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1B559B"/>
          <w:sz w:val="48"/>
        </w:rPr>
        <w:t>Digidokters – Rollen, Groepen &amp; Rechten</w:t>
      </w:r>
    </w:p>
    <w:p>
      <w:pPr>
        <w:spacing w:before="0" w:after="360"/>
      </w:pPr>
      <w:r>
        <w:rPr>
          <w:rFonts w:ascii="Calibri" w:hAnsi="Calibri"/>
          <w:i/>
          <w:color w:val="6B7280"/>
          <w:sz w:val="26"/>
        </w:rPr>
        <w:t>Functioneel en technisch overzicht van het dynamische autorisatiemodel • Bijgewerkt: 06-10-2026</w:t>
      </w:r>
    </w:p>
    <w:p>
      <w:pPr>
        <w:keepNext/>
        <w:spacing w:before="360" w:after="120"/>
      </w:pPr>
      <w:r>
        <w:rPr>
          <w:rFonts w:ascii="Calibri" w:hAnsi="Calibri"/>
          <w:b/>
          <w:color w:val="1B559B"/>
          <w:sz w:val="30"/>
        </w:rPr>
        <w:t>1. Inleiding &amp; Visie</w:t>
      </w:r>
    </w:p>
    <w:p>
      <w:pPr>
        <w:spacing w:before="0" w:after="120" w:line="276" w:lineRule="auto"/>
      </w:pPr>
      <w:r>
        <w:rPr>
          <w:color w:val="1F2937"/>
        </w:rPr>
        <w:t>Binnen het Digidokters-platform is het autorisatiesysteem ontworpen met maximale flexibiliteit en strikte tenant-isolatie als uitgangspunten. Omdat elke aangesloten gemeente of organisatie eigen organisatorische eisen stelt aan wie welke functionaliteiten mag raadplegen en beheren, maakt het platform gebruik van een dynamisch, fijnmazig rol- en groepenmodel (Role-Based Access Control – RBAC).</w:t>
      </w:r>
    </w:p>
    <w:p>
      <w:pPr>
        <w:spacing w:before="0" w:after="120" w:line="276" w:lineRule="auto"/>
      </w:pPr>
      <w:r>
        <w:rPr>
          <w:color w:val="1F2937"/>
        </w:rPr>
        <w:t>In plaats van een rigide, vastgelegd 4-rollenmodel kunnen organisaties nu eigen groepen definiëren, gedetailleerde permissies per module toekennen, en gebruikers aan meerdere groepen tegelijk koppelen.</w:t>
      </w:r>
    </w:p>
    <w:p>
      <w:pPr>
        <w:keepNext/>
        <w:spacing w:before="360" w:after="120"/>
      </w:pPr>
      <w:r>
        <w:rPr>
          <w:rFonts w:ascii="Calibri" w:hAnsi="Calibri"/>
          <w:b/>
          <w:color w:val="1B559B"/>
          <w:sz w:val="30"/>
        </w:rPr>
        <w:t>2. Kernconcepten van het Autorisatieschema</w:t>
      </w:r>
    </w:p>
    <w:p>
      <w:pPr>
        <w:spacing w:before="0" w:after="120" w:line="276" w:lineRule="auto"/>
      </w:pPr>
      <w:r>
        <w:rPr>
          <w:color w:val="1F2937"/>
        </w:rPr>
        <w:t>Het autorisatiesysteem rust op vier pijlers:</w:t>
      </w:r>
    </w:p>
    <w:p>
      <w:pPr>
        <w:pStyle w:val="ListBullet"/>
        <w:spacing w:before="0" w:after="60" w:line="276" w:lineRule="auto"/>
      </w:pPr>
      <w:r>
        <w:rPr>
          <w:b/>
          <w:color w:val="1F2937"/>
        </w:rPr>
        <w:t xml:space="preserve">1. Multi-Tenant Isolatie: </w:t>
      </w:r>
      <w:r>
        <w:rPr>
          <w:color w:val="1F2937"/>
        </w:rPr>
        <w:t>Elke gemeente of afdeling opereert als een afzonderlijke tenant. Groepen, permissies en toewijzingen zijn strikt gebonden aan de actieve organisatie. Een gebruiker kan in Organisatie A andere rechten hebben dan in Organisatie B.</w:t>
      </w:r>
    </w:p>
    <w:p>
      <w:pPr>
        <w:pStyle w:val="ListBullet"/>
        <w:spacing w:before="0" w:after="60" w:line="276" w:lineRule="auto"/>
      </w:pPr>
      <w:r>
        <w:rPr>
          <w:b/>
          <w:color w:val="1F2937"/>
        </w:rPr>
        <w:t xml:space="preserve">2. Module-gebaseerde Permissies: </w:t>
      </w:r>
      <w:r>
        <w:rPr>
          <w:color w:val="1F2937"/>
        </w:rPr>
        <w:t>Voor elke functionele module binnen de applicatie (zoals Registraties, Agenda, Evaluaties, Documenten, Stamgegevens, Gebruikersbeheer) kan per groep het toegangsniveau worden ingesteld op Geen toegang, Alleen lezen, of Lezen en schrijven.</w:t>
      </w:r>
    </w:p>
    <w:p>
      <w:pPr>
        <w:pStyle w:val="ListBullet"/>
        <w:spacing w:before="0" w:after="60" w:line="276" w:lineRule="auto"/>
      </w:pPr>
      <w:r>
        <w:rPr>
          <w:b/>
          <w:color w:val="1F2937"/>
        </w:rPr>
        <w:t xml:space="preserve">3. Meervoudig Groepslidmaatschap: </w:t>
      </w:r>
      <w:r>
        <w:rPr>
          <w:color w:val="1F2937"/>
        </w:rPr>
        <w:t>Een gebruiker kan lid zijn van één of meerdere groepen binnen zijn organisatie. Rechten worden cumulatief samengevoegd volgens het principe 'hoogste recht telt' (Schrijven &gt; Lezen &gt; Geen).</w:t>
      </w:r>
    </w:p>
    <w:p>
      <w:pPr>
        <w:pStyle w:val="ListBullet"/>
        <w:spacing w:before="0" w:after="60" w:line="276" w:lineRule="auto"/>
      </w:pPr>
      <w:r>
        <w:rPr>
          <w:b/>
          <w:color w:val="1F2937"/>
        </w:rPr>
        <w:t xml:space="preserve">4. Privacy &amp; Digidokter-restrictie: </w:t>
      </w:r>
      <w:r>
        <w:rPr>
          <w:color w:val="1F2937"/>
        </w:rPr>
        <w:t>Voor specifieke organisaties waar vrijwilligers uitsluitend hun eigen consultaties mogen inzien, kan per groep een privacy-restrictie worden geactiveerd. Het platform schermt dan automatisch de consultaties van andere digidokters af en verbergt de filterkeuzelijst.</w:t>
      </w:r>
    </w:p>
    <w:p>
      <w:pPr>
        <w:keepNext/>
        <w:spacing w:before="360" w:after="120"/>
      </w:pPr>
      <w:r>
        <w:rPr>
          <w:rFonts w:ascii="Calibri" w:hAnsi="Calibri"/>
          <w:b/>
          <w:color w:val="1B559B"/>
          <w:sz w:val="30"/>
        </w:rPr>
        <w:t>3. Permissieniveaus &amp; Modules</w:t>
      </w:r>
    </w:p>
    <w:p>
      <w:pPr>
        <w:spacing w:before="0" w:after="120" w:line="276" w:lineRule="auto"/>
      </w:pPr>
      <w:r>
        <w:rPr>
          <w:color w:val="1F2937"/>
        </w:rPr>
        <w:t>Binnen elke groep kan voor elk van de onderstaande 13 functionele modules het toegangsniveau worden geconfigureerd:</w:t>
      </w:r>
    </w:p>
    <w:p>
      <w:pPr>
        <w:pStyle w:val="ListBullet"/>
        <w:spacing w:before="0" w:after="60" w:line="276" w:lineRule="auto"/>
      </w:pPr>
      <w:r>
        <w:rPr>
          <w:b/>
          <w:color w:val="1F2937"/>
        </w:rPr>
        <w:t xml:space="preserve">• Geen toegang (geen): </w:t>
      </w:r>
      <w:r>
        <w:rPr>
          <w:color w:val="1F2937"/>
        </w:rPr>
        <w:t>De gebruiker heeft geen toegang tot de module. De navigatie-optie wordt verborgen in het menu en directe route-aanroepen worden geweigerd met een 403 Forbidden foutmelding.</w:t>
      </w:r>
    </w:p>
    <w:p>
      <w:pPr>
        <w:pStyle w:val="ListBullet"/>
        <w:spacing w:before="0" w:after="60" w:line="276" w:lineRule="auto"/>
      </w:pPr>
      <w:r>
        <w:rPr>
          <w:b/>
          <w:color w:val="1F2937"/>
        </w:rPr>
        <w:t xml:space="preserve">• Alleen lezen (lezen): </w:t>
      </w:r>
      <w:r>
        <w:rPr>
          <w:color w:val="1F2937"/>
        </w:rPr>
        <w:t>De gebruiker kan gegevens inzien, filteren, doorzoeken en details bekijken, maar kan geen wijzigingen aanbrengen, items toevoegen of records wissen.</w:t>
      </w:r>
    </w:p>
    <w:p>
      <w:pPr>
        <w:pStyle w:val="ListBullet"/>
        <w:spacing w:before="0" w:after="60" w:line="276" w:lineRule="auto"/>
      </w:pPr>
      <w:r>
        <w:rPr>
          <w:b/>
          <w:color w:val="1F2937"/>
        </w:rPr>
        <w:t xml:space="preserve">• Lezen en schrijven (schrijven): </w:t>
      </w:r>
      <w:r>
        <w:rPr>
          <w:color w:val="1F2937"/>
        </w:rPr>
        <w:t>De gebruiker heeft volledige functionele bevoegdheid om records aan te maken, te bewerken, te publiceren en te verwijderen binnen zijn organisatie.</w:t>
      </w:r>
    </w:p>
    <w:p>
      <w:pPr>
        <w:keepNext/>
        <w:spacing w:before="240" w:after="80"/>
      </w:pPr>
      <w:r>
        <w:rPr>
          <w:rFonts w:ascii="Calibri" w:hAnsi="Calibri"/>
          <w:b/>
          <w:color w:val="3B82F6"/>
          <w:sz w:val="25"/>
        </w:rPr>
        <w:t>Overzicht van de 13 Modules:</w:t>
      </w:r>
    </w:p>
    <w:p>
      <w:pPr>
        <w:pStyle w:val="ListBullet"/>
        <w:spacing w:before="0" w:after="60" w:line="276" w:lineRule="auto"/>
      </w:pPr>
      <w:r>
        <w:rPr>
          <w:b/>
          <w:color w:val="1F2937"/>
        </w:rPr>
        <w:t xml:space="preserve">• Registraties (registraties): </w:t>
      </w:r>
      <w:r>
        <w:rPr>
          <w:color w:val="1F2937"/>
        </w:rPr>
        <w:t>Bezoekersregistraties en consultaties van digidokters</w:t>
      </w:r>
    </w:p>
    <w:p>
      <w:pPr>
        <w:pStyle w:val="ListBullet"/>
        <w:spacing w:before="0" w:after="60" w:line="276" w:lineRule="auto"/>
      </w:pPr>
      <w:r>
        <w:rPr>
          <w:b/>
          <w:color w:val="1F2937"/>
        </w:rPr>
        <w:t xml:space="preserve">• Agenda &amp; Planning (agenda): </w:t>
      </w:r>
      <w:r>
        <w:rPr>
          <w:color w:val="1F2937"/>
        </w:rPr>
        <w:t>Sessies, aanwezigheid, toewijzingen van digidokters en planning</w:t>
      </w:r>
    </w:p>
    <w:p>
      <w:pPr>
        <w:pStyle w:val="ListBullet"/>
        <w:spacing w:before="0" w:after="60" w:line="276" w:lineRule="auto"/>
      </w:pPr>
      <w:r>
        <w:rPr>
          <w:b/>
          <w:color w:val="1F2937"/>
        </w:rPr>
        <w:t xml:space="preserve">• Statistieken &amp; Rapporten (statistieken): </w:t>
      </w:r>
      <w:r>
        <w:rPr>
          <w:color w:val="1F2937"/>
        </w:rPr>
        <w:t>KPI's, grafieken, bezoekerstrends en AI-vraaganalyses</w:t>
      </w:r>
    </w:p>
    <w:p>
      <w:pPr>
        <w:pStyle w:val="ListBullet"/>
        <w:spacing w:before="0" w:after="60" w:line="276" w:lineRule="auto"/>
      </w:pPr>
      <w:r>
        <w:rPr>
          <w:b/>
          <w:color w:val="1F2937"/>
        </w:rPr>
        <w:t xml:space="preserve">• Kennisbank Documenten (documenten): </w:t>
      </w:r>
      <w:r>
        <w:rPr>
          <w:color w:val="1F2937"/>
        </w:rPr>
        <w:t>Interne handleidingen, mappen, documentuploads en zoeken</w:t>
      </w:r>
    </w:p>
    <w:p>
      <w:pPr>
        <w:pStyle w:val="ListBullet"/>
        <w:spacing w:before="0" w:after="60" w:line="276" w:lineRule="auto"/>
      </w:pPr>
      <w:r>
        <w:rPr>
          <w:b/>
          <w:color w:val="1F2937"/>
        </w:rPr>
        <w:t xml:space="preserve">• Evaluaties (evaluaties): </w:t>
      </w:r>
      <w:r>
        <w:rPr>
          <w:color w:val="1F2937"/>
        </w:rPr>
        <w:t>Kwaliteitsmetingen, sessie-evaluaties, formulieren en uitnodigingen</w:t>
      </w:r>
    </w:p>
    <w:p>
      <w:pPr>
        <w:pStyle w:val="ListBullet"/>
        <w:spacing w:before="0" w:after="60" w:line="276" w:lineRule="auto"/>
      </w:pPr>
      <w:r>
        <w:rPr>
          <w:b/>
          <w:color w:val="1F2937"/>
        </w:rPr>
        <w:t xml:space="preserve">• Feedback (feedback): </w:t>
      </w:r>
      <w:r>
        <w:rPr>
          <w:color w:val="1F2937"/>
        </w:rPr>
        <w:t>Voorstellen, bugmeldingen, discussie, stemmen en screenshots</w:t>
      </w:r>
    </w:p>
    <w:p>
      <w:pPr>
        <w:pStyle w:val="ListBullet"/>
        <w:spacing w:before="0" w:after="60" w:line="276" w:lineRule="auto"/>
      </w:pPr>
      <w:r>
        <w:rPr>
          <w:b/>
          <w:color w:val="1F2937"/>
        </w:rPr>
        <w:t xml:space="preserve">• Stamgegevens (stamgegevens): </w:t>
      </w:r>
      <w:r>
        <w:rPr>
          <w:color w:val="1F2937"/>
        </w:rPr>
        <w:t>Locaties, digidokters, activiteitstypes, toestellen, herkomst en functies</w:t>
      </w:r>
    </w:p>
    <w:p>
      <w:pPr>
        <w:pStyle w:val="ListBullet"/>
        <w:spacing w:before="0" w:after="60" w:line="276" w:lineRule="auto"/>
      </w:pPr>
      <w:r>
        <w:rPr>
          <w:b/>
          <w:color w:val="1F2937"/>
        </w:rPr>
        <w:t xml:space="preserve">• Gebruikersbeheer (gebruikers): </w:t>
      </w:r>
      <w:r>
        <w:rPr>
          <w:color w:val="1F2937"/>
        </w:rPr>
        <w:t>Medewerkers accounts, groeps- en functietoewijzingen</w:t>
      </w:r>
    </w:p>
    <w:p>
      <w:pPr>
        <w:pStyle w:val="ListBullet"/>
        <w:spacing w:before="0" w:after="60" w:line="276" w:lineRule="auto"/>
      </w:pPr>
      <w:r>
        <w:rPr>
          <w:b/>
          <w:color w:val="1F2937"/>
        </w:rPr>
        <w:t xml:space="preserve">• Groepen &amp; Permissies (groepen): </w:t>
      </w:r>
      <w:r>
        <w:rPr>
          <w:color w:val="1F2937"/>
        </w:rPr>
        <w:t>Groepen beheren en rechtenmatrix configureren per groep</w:t>
      </w:r>
    </w:p>
    <w:p>
      <w:pPr>
        <w:pStyle w:val="ListBullet"/>
        <w:spacing w:before="0" w:after="60" w:line="276" w:lineRule="auto"/>
      </w:pPr>
      <w:r>
        <w:rPr>
          <w:b/>
          <w:color w:val="1F2937"/>
        </w:rPr>
        <w:t xml:space="preserve">• Import &amp; Export (import_export): </w:t>
      </w:r>
      <w:r>
        <w:rPr>
          <w:color w:val="1F2937"/>
        </w:rPr>
        <w:t>Exporteren van data (CSV/Excel) en importeren van historische gegevens</w:t>
      </w:r>
    </w:p>
    <w:p>
      <w:pPr>
        <w:pStyle w:val="ListBullet"/>
        <w:spacing w:before="0" w:after="60" w:line="276" w:lineRule="auto"/>
      </w:pPr>
      <w:r>
        <w:rPr>
          <w:b/>
          <w:color w:val="1F2937"/>
        </w:rPr>
        <w:t xml:space="preserve">• Backups &amp; Herstel (backups): </w:t>
      </w:r>
      <w:r>
        <w:rPr>
          <w:color w:val="1F2937"/>
        </w:rPr>
        <w:t>Lokale JSON/SQL back-ups downloaden en herstelprocedures</w:t>
      </w:r>
    </w:p>
    <w:p>
      <w:pPr>
        <w:pStyle w:val="ListBullet"/>
        <w:spacing w:before="0" w:after="60" w:line="276" w:lineRule="auto"/>
      </w:pPr>
      <w:r>
        <w:rPr>
          <w:b/>
          <w:color w:val="1F2937"/>
        </w:rPr>
        <w:t xml:space="preserve">• Audit Logs (auditlogs): </w:t>
      </w:r>
      <w:r>
        <w:rPr>
          <w:color w:val="1F2937"/>
        </w:rPr>
        <w:t>Inzien van het lokale beveiligings- en wijzigingenlogboek</w:t>
      </w:r>
    </w:p>
    <w:p>
      <w:pPr>
        <w:pStyle w:val="ListBullet"/>
        <w:spacing w:before="0" w:after="60" w:line="276" w:lineRule="auto"/>
      </w:pPr>
      <w:r>
        <w:rPr>
          <w:b/>
          <w:color w:val="1F2937"/>
        </w:rPr>
        <w:t xml:space="preserve">• Centrale App Documentatie (app_documenten): </w:t>
      </w:r>
      <w:r>
        <w:rPr>
          <w:color w:val="1F2937"/>
        </w:rPr>
        <w:t>Platformbrede documentatie en centrale handleidingen</w:t>
      </w:r>
    </w:p>
    <w:p>
      <w:pPr>
        <w:keepNext/>
        <w:spacing w:before="360" w:after="120"/>
      </w:pPr>
      <w:r>
        <w:rPr>
          <w:rFonts w:ascii="Calibri" w:hAnsi="Calibri"/>
          <w:b/>
          <w:color w:val="1B559B"/>
          <w:sz w:val="30"/>
        </w:rPr>
        <w:t>4. Standaardgroepen &amp; Seeding</w:t>
      </w:r>
    </w:p>
    <w:p>
      <w:pPr>
        <w:spacing w:before="0" w:after="120" w:line="276" w:lineRule="auto"/>
      </w:pPr>
      <w:r>
        <w:rPr>
          <w:color w:val="1F2937"/>
        </w:rPr>
        <w:t>Om een naadloze overgang te garanderen en ervoor te zorgen dat gebruikers initieel niets merken van de verandering, bevat elke organisatie standaard vier vooraf gedefinieerde groepen met hun vertrouwde permissieset. Deze groepen kunnen niet hernoemd of verwijderd worden, maar beheerders kunnen de permissies per module naar wens bijstellen of nieuwe maatwerkgroepen aanmaken.</w:t>
      </w:r>
    </w:p>
    <w:p>
      <w:pPr>
        <w:pStyle w:val="ListBullet"/>
        <w:spacing w:before="0" w:after="60" w:line="276" w:lineRule="auto"/>
      </w:pPr>
      <w:r>
        <w:rPr>
          <w:b/>
          <w:color w:val="1F2937"/>
        </w:rPr>
        <w:t xml:space="preserve">1. Lezers (Standaard): </w:t>
      </w:r>
      <w:r>
        <w:rPr>
          <w:color w:val="1F2937"/>
        </w:rPr>
        <w:t>Bedoeld voor toeschouwers, kwaliteitsopvolgers of auditeurs. Heeft alleen-lezen rechten op registraties, agenda, documenten, statistieken, feedback, export en centrale app-documentatie. Geen toegang tot gebruikers, groepen of systeeminstellingen.</w:t>
      </w:r>
    </w:p>
    <w:p>
      <w:pPr>
        <w:pStyle w:val="ListBullet"/>
        <w:spacing w:before="0" w:after="60" w:line="276" w:lineRule="auto"/>
      </w:pPr>
      <w:r>
        <w:rPr>
          <w:b/>
          <w:color w:val="1F2937"/>
        </w:rPr>
        <w:t xml:space="preserve">2. Medewerkers (Standaard): </w:t>
      </w:r>
      <w:r>
        <w:rPr>
          <w:color w:val="1F2937"/>
        </w:rPr>
        <w:t>Bedoeld voor actieve digidokters en vrijwilligers. Heeft volledige lees- en schrijfrechten op registraties, agenda, documenten, evaluaties en feedback, en leesrechten op statistieken, export en app-documentatie.</w:t>
      </w:r>
    </w:p>
    <w:p>
      <w:pPr>
        <w:pStyle w:val="ListBullet"/>
        <w:spacing w:before="0" w:after="60" w:line="276" w:lineRule="auto"/>
      </w:pPr>
      <w:r>
        <w:rPr>
          <w:b/>
          <w:color w:val="1F2937"/>
        </w:rPr>
        <w:t xml:space="preserve">3. Beheerders (Standaard): </w:t>
      </w:r>
      <w:r>
        <w:rPr>
          <w:color w:val="1F2937"/>
        </w:rPr>
        <w:t>Bedoeld voor lokale coördinatoren en gemeentelijke beheerders. Heeft volledige lees- en schrijfrechten op alle modules binnen de eigen organisatie, inclusief stamgegevens, gebruikersbeheer, groepen &amp; rechten, imports/exports, lokale backups en auditlogs.</w:t>
      </w:r>
    </w:p>
    <w:p>
      <w:pPr>
        <w:pStyle w:val="ListBullet"/>
        <w:spacing w:before="0" w:after="60" w:line="276" w:lineRule="auto"/>
      </w:pPr>
      <w:r>
        <w:rPr>
          <w:b/>
          <w:color w:val="1F2937"/>
        </w:rPr>
        <w:t xml:space="preserve">4. Platformbeheerders (Standaard): </w:t>
      </w:r>
      <w:r>
        <w:rPr>
          <w:color w:val="1F2937"/>
        </w:rPr>
        <w:t>Bedoeld voor centrale superadministrators. Heeft volledige toegang tot alle functionaliteiten binnen alle aangesloten organisaties, inclusief overkoepelend platformbeheer.</w:t>
      </w:r>
    </w:p>
    <w:tbl>
      <w:tblPr>
        <w:tblW w:type="auto" w:w="0"/>
        <w:jc w:val="center"/>
        <w:tblLayout w:type="fixed"/>
        <w:tblLook w:firstColumn="1" w:firstRow="1" w:lastColumn="0" w:lastRow="0" w:noHBand="0" w:noVBand="1" w:val="04A0"/>
      </w:tblPr>
      <w:tblGrid>
        <w:gridCol w:w="9360"/>
      </w:tblGrid>
      <w:tr>
        <w:tc>
          <w:tcPr>
            <w:tcW w:type="dxa" w:w="9360"/>
            <w:shd w:fill="F0F7FF"/>
            <w:tcBorders>
              <w:top w:val="none" w:sz="0" w:space="0" w:color="auto"/>
              <w:left w:val="single" w:sz="24" w:space="0" w:color="1B559B"/>
              <w:bottom w:val="none" w:sz="0" w:space="0" w:color="auto"/>
              <w:right w:val="none" w:sz="0" w:space="0" w:color="auto"/>
            </w:tcBorders>
          </w:tcPr>
          <w:p>
            <w:pPr>
              <w:spacing w:before="120" w:after="120"/>
              <w:ind w:left="144" w:right="144"/>
            </w:pPr>
            <w:r>
              <w:rPr>
                <w:b/>
                <w:color w:val="1B559B"/>
              </w:rPr>
              <w:t xml:space="preserve">Automatische Sjabloon-overname: </w:t>
            </w:r>
            <w:r>
              <w:rPr>
                <w:color w:val="1F2937"/>
              </w:rPr>
              <w:t>Bij het aanmaken van een nieuwe organisatie via het platformdashboard worden alle standaardgroepen en hun permissies automatisch overgenomen uit de centrale 'Sjabloon'-organisatie. Hierdoor start elke nieuwe gemeente direct met een consistente en geteste configuratie.</w:t>
            </w:r>
          </w:p>
        </w:tc>
      </w:tr>
    </w:tbl>
    <w:p>
      <w:pPr>
        <w:spacing w:before="0" w:after="120"/>
      </w:pPr>
    </w:p>
    <w:p>
      <w:pPr>
        <w:keepNext/>
        <w:spacing w:before="360" w:after="120"/>
      </w:pPr>
      <w:r>
        <w:rPr>
          <w:rFonts w:ascii="Calibri" w:hAnsi="Calibri"/>
          <w:b/>
          <w:color w:val="1B559B"/>
          <w:sz w:val="30"/>
        </w:rPr>
        <w:t>5. Speciale Restrictie: 'Alleen eigen registraties tonen'</w:t>
      </w:r>
    </w:p>
    <w:p>
      <w:pPr>
        <w:spacing w:before="0" w:after="120" w:line="276" w:lineRule="auto"/>
      </w:pPr>
      <w:r>
        <w:rPr>
          <w:color w:val="1F2937"/>
        </w:rPr>
        <w:t>Sommige organisaties of gemeenten eisen dat vrijwilligers uitsluitend de bezoekersregistraties kunnen inzien en bewerken die door henzelf zijn aangemaakt. Het Digidokters-platform ondersteunt deze eis op groepsniveau:</w:t>
      </w:r>
    </w:p>
    <w:p>
      <w:pPr>
        <w:pStyle w:val="ListBullet"/>
        <w:spacing w:before="0" w:after="60" w:line="276" w:lineRule="auto"/>
      </w:pPr>
      <w:r>
        <w:rPr>
          <w:b/>
          <w:color w:val="1F2937"/>
        </w:rPr>
        <w:t xml:space="preserve">• Automatische Query-filtering: </w:t>
      </w:r>
      <w:r>
        <w:rPr>
          <w:color w:val="1F2937"/>
        </w:rPr>
        <w:t>Wanneer de optie 'Alleen eigen registraties tonen' is aangevinkt voor een groep, ziet een lid van deze groep in de registratielijst uitsluitend de consultaties die aan zijn/haar Digidokter-profiel gekoppeld zijn.</w:t>
      </w:r>
    </w:p>
    <w:p>
      <w:pPr>
        <w:pStyle w:val="ListBullet"/>
        <w:spacing w:before="0" w:after="60" w:line="276" w:lineRule="auto"/>
      </w:pPr>
      <w:r>
        <w:rPr>
          <w:b/>
          <w:color w:val="1F2937"/>
        </w:rPr>
        <w:t xml:space="preserve">• Verbergen van het Filter: </w:t>
      </w:r>
      <w:r>
        <w:rPr>
          <w:color w:val="1F2937"/>
        </w:rPr>
        <w:t>Het filterveld 'Digidokter' in de zoekbalk bovenaan de registratiepagina wordt automatisch verborgen voor deze gebruikers.</w:t>
      </w:r>
    </w:p>
    <w:p>
      <w:pPr>
        <w:pStyle w:val="ListBullet"/>
        <w:spacing w:before="0" w:after="60" w:line="276" w:lineRule="auto"/>
      </w:pPr>
      <w:r>
        <w:rPr>
          <w:b/>
          <w:color w:val="1F2937"/>
        </w:rPr>
        <w:t xml:space="preserve">• Backend Manipulatiebeveiliging: </w:t>
      </w:r>
      <w:r>
        <w:rPr>
          <w:color w:val="1F2937"/>
        </w:rPr>
        <w:t>Zelfs als een gebruiker handmatig parameters toevoegt aan de URL (zoals ?digidokter=99), neutraliseert de backend controller deze parameter en forceert de filtering op de ingelogde gebruiker.</w:t>
      </w:r>
    </w:p>
    <w:p>
      <w:pPr>
        <w:pStyle w:val="ListBullet"/>
        <w:spacing w:before="0" w:after="60" w:line="276" w:lineRule="auto"/>
      </w:pPr>
      <w:r>
        <w:rPr>
          <w:b/>
          <w:color w:val="1F2937"/>
        </w:rPr>
        <w:t xml:space="preserve">• Beheerdersoverzicht: </w:t>
      </w:r>
      <w:r>
        <w:rPr>
          <w:color w:val="1F2937"/>
        </w:rPr>
        <w:t>Beheerders en leden van groepen zonder deze restrictie behouden te allen tijde het complete overzicht en de volledige filtermogelijkheid.</w:t>
      </w:r>
    </w:p>
    <w:p>
      <w:pPr>
        <w:keepNext/>
        <w:spacing w:before="360" w:after="120"/>
      </w:pPr>
      <w:r>
        <w:rPr>
          <w:rFonts w:ascii="Calibri" w:hAnsi="Calibri"/>
          <w:b/>
          <w:color w:val="1B559B"/>
          <w:sz w:val="30"/>
        </w:rPr>
        <w:t>6. Beheer via de Gebruikersinterface</w:t>
      </w:r>
    </w:p>
    <w:p>
      <w:pPr>
        <w:keepNext/>
        <w:spacing w:before="240" w:after="80"/>
      </w:pPr>
      <w:r>
        <w:rPr>
          <w:rFonts w:ascii="Calibri" w:hAnsi="Calibri"/>
          <w:b/>
          <w:color w:val="3B82F6"/>
          <w:sz w:val="25"/>
        </w:rPr>
        <w:t>6.1 Pagina 'Groepen &amp; Permissies' (/beheer/groepen)</w:t>
      </w:r>
    </w:p>
    <w:p>
      <w:pPr>
        <w:spacing w:before="0" w:after="120" w:line="276" w:lineRule="auto"/>
      </w:pPr>
      <w:r>
        <w:rPr>
          <w:color w:val="1F2937"/>
        </w:rPr>
        <w:t>Via het beheer-menu kunnen beheerders en platformbeheerders het groepenoverzicht openen. Hier vindt u:</w:t>
      </w:r>
    </w:p>
    <w:p>
      <w:pPr>
        <w:pStyle w:val="ListBullet"/>
        <w:spacing w:before="0" w:after="60" w:line="276" w:lineRule="auto"/>
      </w:pPr>
      <w:r>
        <w:rPr>
          <w:color w:val="1F2937"/>
        </w:rPr>
        <w:t>Overzicht van alle actieve groepen binnen de gemeente;</w:t>
      </w:r>
    </w:p>
    <w:p>
      <w:pPr>
        <w:pStyle w:val="ListBullet"/>
        <w:spacing w:before="0" w:after="60" w:line="276" w:lineRule="auto"/>
      </w:pPr>
      <w:r>
        <w:rPr>
          <w:color w:val="1F2937"/>
        </w:rPr>
        <w:t>Het aantal gekoppelde actieve leden per groep;</w:t>
      </w:r>
    </w:p>
    <w:p>
      <w:pPr>
        <w:pStyle w:val="ListBullet"/>
        <w:spacing w:before="0" w:after="60" w:line="276" w:lineRule="auto"/>
      </w:pPr>
      <w:r>
        <w:rPr>
          <w:color w:val="1F2937"/>
        </w:rPr>
        <w:t>Aanduiding van de privacy-restrictie ('Alleen eigen registraties');</w:t>
      </w:r>
    </w:p>
    <w:p>
      <w:pPr>
        <w:pStyle w:val="ListBullet"/>
        <w:spacing w:before="0" w:after="60" w:line="276" w:lineRule="auto"/>
      </w:pPr>
      <w:r>
        <w:rPr>
          <w:color w:val="1F2937"/>
        </w:rPr>
        <w:t>Knoppen voor het aanmaken van nieuwe groepen, wijzigen van permissiematrices en veilig verwijderen van maatwerkgroepen (standaardgroepen zijn beveiligd).</w:t>
      </w:r>
    </w:p>
    <w:p>
      <w:pPr>
        <w:keepNext/>
        <w:spacing w:before="240" w:after="80"/>
      </w:pPr>
      <w:r>
        <w:rPr>
          <w:rFonts w:ascii="Calibri" w:hAnsi="Calibri"/>
          <w:b/>
          <w:color w:val="3B82F6"/>
          <w:sz w:val="25"/>
        </w:rPr>
        <w:t>6.2 Pagina 'Groep Aanmaken / Bewerken' (/beheer/groepen/nieuw &amp; /beheer/groepen/&lt;id&gt;/wijzig)</w:t>
      </w:r>
    </w:p>
    <w:p>
      <w:pPr>
        <w:spacing w:before="0" w:after="120" w:line="276" w:lineRule="auto"/>
      </w:pPr>
      <w:r>
        <w:rPr>
          <w:color w:val="1F2937"/>
        </w:rPr>
        <w:t>In het groepenformulier stelt de beheerder de naam, beschrijving en privacy-restrictie in, gevolgd door een interactieve permissiematrix. Voor elke module kan via overzichtelijke radioknoppen gekozen worden tussen 'Geen toegang', 'Alleen lezen' en 'Lezen &amp; schrijven'.</w:t>
      </w:r>
    </w:p>
    <w:p>
      <w:pPr>
        <w:keepNext/>
        <w:spacing w:before="240" w:after="80"/>
      </w:pPr>
      <w:r>
        <w:rPr>
          <w:rFonts w:ascii="Calibri" w:hAnsi="Calibri"/>
          <w:b/>
          <w:color w:val="3B82F6"/>
          <w:sz w:val="25"/>
        </w:rPr>
        <w:t>6.3 Pagina 'Gebruikersbeheer' (/beheer/gebruikers)</w:t>
      </w:r>
    </w:p>
    <w:p>
      <w:pPr>
        <w:spacing w:before="0" w:after="120" w:line="276" w:lineRule="auto"/>
      </w:pPr>
      <w:r>
        <w:rPr>
          <w:color w:val="1F2937"/>
        </w:rPr>
        <w:t>In het gebruikersoverzicht zijn de volgende verbeteringen doorgevoerd:</w:t>
      </w:r>
    </w:p>
    <w:p>
      <w:pPr>
        <w:pStyle w:val="ListBullet"/>
        <w:spacing w:before="0" w:after="60" w:line="276" w:lineRule="auto"/>
      </w:pPr>
      <w:r>
        <w:rPr>
          <w:color w:val="1F2937"/>
        </w:rPr>
        <w:t>Groepenfilter: Een handige dropdown in de werkbalk waarmee direct gefilterd kan worden op leden van een specifieke groep, inclusief snelkoppeling om het filter te wissen;</w:t>
      </w:r>
    </w:p>
    <w:p>
      <w:pPr>
        <w:pStyle w:val="ListBullet"/>
        <w:spacing w:before="0" w:after="60" w:line="276" w:lineRule="auto"/>
      </w:pPr>
      <w:r>
        <w:rPr>
          <w:color w:val="1F2937"/>
        </w:rPr>
        <w:t>Groep(en)-kolom: Toont per medewerker alle toegekende groepen als duidelijke badges;</w:t>
      </w:r>
    </w:p>
    <w:p>
      <w:pPr>
        <w:pStyle w:val="ListBullet"/>
        <w:spacing w:before="0" w:after="60" w:line="276" w:lineRule="auto"/>
      </w:pPr>
      <w:r>
        <w:rPr>
          <w:color w:val="1F2937"/>
        </w:rPr>
        <w:t>Toewijzing in het gebruikersformulier: Beheerders kunnen bij het aanmaken of wijzigen van een account eenvoudig aanvinken tot welke groepen de gebruiker behoort.</w:t>
      </w:r>
    </w:p>
    <w:p>
      <w:pPr>
        <w:keepNext/>
        <w:spacing w:before="360" w:after="120"/>
      </w:pPr>
      <w:r>
        <w:rPr>
          <w:rFonts w:ascii="Calibri" w:hAnsi="Calibri"/>
          <w:b/>
          <w:color w:val="1B559B"/>
          <w:sz w:val="30"/>
        </w:rPr>
        <w:t>7. Standaard Permissiematrix</w:t>
      </w:r>
    </w:p>
    <w:p>
      <w:pPr>
        <w:spacing w:before="0" w:after="120" w:line="276" w:lineRule="auto"/>
      </w:pPr>
      <w:r>
        <w:rPr>
          <w:color w:val="1F2937"/>
        </w:rPr>
        <w:t>Onderstaande matrix toont het standaard permissieniveau per module voor de vier standaardgroepen:</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3600"/>
            <w:shd w:fill="1B559B"/>
          </w:tcPr>
          <w:p>
            <w:pPr>
              <w:jc w:val="center"/>
            </w:pPr>
            <w:r>
              <w:rPr>
                <w:b/>
              </w:rPr>
              <w:t>Module / Functionaliteit</w:t>
            </w:r>
          </w:p>
        </w:tc>
        <w:tc>
          <w:tcPr>
            <w:tcW w:type="dxa" w:w="1440"/>
            <w:shd w:fill="1B559B"/>
          </w:tcPr>
          <w:p>
            <w:pPr>
              <w:jc w:val="center"/>
            </w:pPr>
            <w:r>
              <w:rPr>
                <w:b/>
              </w:rPr>
              <w:t>Lezers</w:t>
            </w:r>
          </w:p>
        </w:tc>
        <w:tc>
          <w:tcPr>
            <w:tcW w:type="dxa" w:w="1440"/>
            <w:shd w:fill="1B559B"/>
          </w:tcPr>
          <w:p>
            <w:pPr>
              <w:jc w:val="center"/>
            </w:pPr>
            <w:r>
              <w:rPr>
                <w:b/>
              </w:rPr>
              <w:t>Medewerkers</w:t>
            </w:r>
          </w:p>
        </w:tc>
        <w:tc>
          <w:tcPr>
            <w:tcW w:type="dxa" w:w="1440"/>
            <w:shd w:fill="1B559B"/>
          </w:tcPr>
          <w:p>
            <w:pPr>
              <w:jc w:val="center"/>
            </w:pPr>
            <w:r>
              <w:rPr>
                <w:b/>
              </w:rPr>
              <w:t>Beheerders</w:t>
            </w:r>
          </w:p>
        </w:tc>
        <w:tc>
          <w:tcPr>
            <w:tcW w:type="dxa" w:w="2160"/>
            <w:shd w:fill="1B559B"/>
          </w:tcPr>
          <w:p>
            <w:pPr>
              <w:jc w:val="center"/>
            </w:pPr>
            <w:r>
              <w:rPr>
                <w:b/>
              </w:rPr>
              <w:t>Platformbeheerders</w:t>
            </w:r>
          </w:p>
        </w:tc>
      </w:tr>
      <w:tr>
        <w:trPr>
          <w:cantSplit/>
        </w:trPr>
        <w:tc>
          <w:tcPr>
            <w:tcW w:type="dxa" w:w="3600"/>
          </w:tcPr>
          <w:p>
            <w:r>
              <w:t>Bezoekersregistraties (registraties)</w:t>
            </w:r>
          </w:p>
        </w:tc>
        <w:tc>
          <w:tcPr>
            <w:tcW w:type="dxa" w:w="1440"/>
          </w:tcPr>
          <w:p>
            <w:pPr>
              <w:jc w:val="center"/>
            </w:pPr>
            <w:r>
              <w:rPr>
                <w:color w:val="3B82F6"/>
              </w:rPr>
              <w:t>Alleen lezen</w:t>
            </w:r>
          </w:p>
        </w:tc>
        <w:tc>
          <w:tcPr>
            <w:tcW w:type="dxa" w:w="1440"/>
          </w:tcPr>
          <w:p>
            <w:pPr>
              <w:jc w:val="center"/>
            </w:pPr>
            <w:r>
              <w:rPr>
                <w:b/>
                <w:color w:val="10B981"/>
              </w:rPr>
              <w:t>Lezen &amp; schrijven</w:t>
            </w:r>
          </w:p>
        </w:tc>
        <w:tc>
          <w:tcPr>
            <w:tcW w:type="dxa" w:w="1440"/>
          </w:tcPr>
          <w:p>
            <w:pPr>
              <w:jc w:val="center"/>
            </w:pPr>
            <w:r>
              <w:rPr>
                <w:b/>
                <w:color w:val="10B981"/>
              </w:rPr>
              <w:t>Lezen &amp; schrijven</w:t>
            </w:r>
          </w:p>
        </w:tc>
        <w:tc>
          <w:tcPr>
            <w:tcW w:type="dxa" w:w="2160"/>
          </w:tcPr>
          <w:p>
            <w:pPr>
              <w:jc w:val="center"/>
            </w:pPr>
            <w:r>
              <w:rPr>
                <w:b/>
                <w:color w:val="10B981"/>
              </w:rPr>
              <w:t>Lezen &amp; schrijven (alle orgs)</w:t>
            </w:r>
          </w:p>
        </w:tc>
      </w:tr>
      <w:tr>
        <w:trPr>
          <w:cantSplit/>
        </w:trPr>
        <w:tc>
          <w:tcPr>
            <w:tcW w:type="dxa" w:w="3600"/>
            <w:shd w:fill="F8FAFC"/>
          </w:tcPr>
          <w:p>
            <w:r>
              <w:t>Agenda &amp; Planning (agenda)</w:t>
            </w:r>
          </w:p>
        </w:tc>
        <w:tc>
          <w:tcPr>
            <w:tcW w:type="dxa" w:w="1440"/>
            <w:shd w:fill="F8FAFC"/>
          </w:tcPr>
          <w:p>
            <w:pPr>
              <w:jc w:val="center"/>
            </w:pPr>
            <w:r>
              <w:rPr>
                <w:color w:val="3B82F6"/>
              </w:rPr>
              <w:t>Alleen lezen</w:t>
            </w:r>
          </w:p>
        </w:tc>
        <w:tc>
          <w:tcPr>
            <w:tcW w:type="dxa" w:w="1440"/>
            <w:shd w:fill="F8FAFC"/>
          </w:tcPr>
          <w:p>
            <w:pPr>
              <w:jc w:val="center"/>
            </w:pPr>
            <w:r>
              <w:rPr>
                <w:b/>
                <w:color w:val="10B981"/>
              </w:rPr>
              <w:t>Lezen &amp; schrijven</w:t>
            </w:r>
          </w:p>
        </w:tc>
        <w:tc>
          <w:tcPr>
            <w:tcW w:type="dxa" w:w="1440"/>
            <w:shd w:fill="F8FAFC"/>
          </w:tcPr>
          <w:p>
            <w:pPr>
              <w:jc w:val="center"/>
            </w:pPr>
            <w:r>
              <w:rPr>
                <w:b/>
                <w:color w:val="10B981"/>
              </w:rPr>
              <w:t>Lezen &amp; schrijven</w:t>
            </w:r>
          </w:p>
        </w:tc>
        <w:tc>
          <w:tcPr>
            <w:tcW w:type="dxa" w:w="2160"/>
            <w:shd w:fill="F8FAFC"/>
          </w:tcPr>
          <w:p>
            <w:pPr>
              <w:jc w:val="center"/>
            </w:pPr>
            <w:r>
              <w:rPr>
                <w:b/>
                <w:color w:val="10B981"/>
              </w:rPr>
              <w:t>Lezen &amp; schrijven</w:t>
            </w:r>
          </w:p>
        </w:tc>
      </w:tr>
      <w:tr>
        <w:trPr>
          <w:cantSplit/>
        </w:trPr>
        <w:tc>
          <w:tcPr>
            <w:tcW w:type="dxa" w:w="3600"/>
          </w:tcPr>
          <w:p>
            <w:r>
              <w:t>Statistieken &amp; Rapporten (statistieken)</w:t>
            </w:r>
          </w:p>
        </w:tc>
        <w:tc>
          <w:tcPr>
            <w:tcW w:type="dxa" w:w="1440"/>
          </w:tcPr>
          <w:p>
            <w:pPr>
              <w:jc w:val="center"/>
            </w:pPr>
            <w:r>
              <w:rPr>
                <w:color w:val="3B82F6"/>
              </w:rPr>
              <w:t>Alleen lezen</w:t>
            </w:r>
          </w:p>
        </w:tc>
        <w:tc>
          <w:tcPr>
            <w:tcW w:type="dxa" w:w="1440"/>
          </w:tcPr>
          <w:p>
            <w:pPr>
              <w:jc w:val="center"/>
            </w:pPr>
            <w:r>
              <w:rPr>
                <w:color w:val="3B82F6"/>
              </w:rPr>
              <w:t>Alleen lezen</w:t>
            </w:r>
          </w:p>
        </w:tc>
        <w:tc>
          <w:tcPr>
            <w:tcW w:type="dxa" w:w="1440"/>
          </w:tcPr>
          <w:p>
            <w:pPr>
              <w:jc w:val="center"/>
            </w:pPr>
            <w:r>
              <w:rPr>
                <w:b/>
                <w:color w:val="10B981"/>
              </w:rPr>
              <w:t>Lezen &amp; schrijven</w:t>
            </w:r>
          </w:p>
        </w:tc>
        <w:tc>
          <w:tcPr>
            <w:tcW w:type="dxa" w:w="2160"/>
          </w:tcPr>
          <w:p>
            <w:pPr>
              <w:jc w:val="center"/>
            </w:pPr>
            <w:r>
              <w:rPr>
                <w:b/>
                <w:color w:val="10B981"/>
              </w:rPr>
              <w:t>Lezen &amp; schrijven</w:t>
            </w:r>
          </w:p>
        </w:tc>
      </w:tr>
      <w:tr>
        <w:trPr>
          <w:cantSplit/>
        </w:trPr>
        <w:tc>
          <w:tcPr>
            <w:tcW w:type="dxa" w:w="3600"/>
            <w:shd w:fill="F8FAFC"/>
          </w:tcPr>
          <w:p>
            <w:r>
              <w:t>Kennisbank Documenten (documenten)</w:t>
            </w:r>
          </w:p>
        </w:tc>
        <w:tc>
          <w:tcPr>
            <w:tcW w:type="dxa" w:w="1440"/>
            <w:shd w:fill="F8FAFC"/>
          </w:tcPr>
          <w:p>
            <w:pPr>
              <w:jc w:val="center"/>
            </w:pPr>
            <w:r>
              <w:rPr>
                <w:color w:val="3B82F6"/>
              </w:rPr>
              <w:t>Alleen lezen</w:t>
            </w:r>
          </w:p>
        </w:tc>
        <w:tc>
          <w:tcPr>
            <w:tcW w:type="dxa" w:w="1440"/>
            <w:shd w:fill="F8FAFC"/>
          </w:tcPr>
          <w:p>
            <w:pPr>
              <w:jc w:val="center"/>
            </w:pPr>
            <w:r>
              <w:rPr>
                <w:b/>
                <w:color w:val="10B981"/>
              </w:rPr>
              <w:t>Lezen &amp; schrijven</w:t>
            </w:r>
          </w:p>
        </w:tc>
        <w:tc>
          <w:tcPr>
            <w:tcW w:type="dxa" w:w="1440"/>
            <w:shd w:fill="F8FAFC"/>
          </w:tcPr>
          <w:p>
            <w:pPr>
              <w:jc w:val="center"/>
            </w:pPr>
            <w:r>
              <w:rPr>
                <w:b/>
                <w:color w:val="10B981"/>
              </w:rPr>
              <w:t>Lezen &amp; schrijven</w:t>
            </w:r>
          </w:p>
        </w:tc>
        <w:tc>
          <w:tcPr>
            <w:tcW w:type="dxa" w:w="2160"/>
            <w:shd w:fill="F8FAFC"/>
          </w:tcPr>
          <w:p>
            <w:pPr>
              <w:jc w:val="center"/>
            </w:pPr>
            <w:r>
              <w:rPr>
                <w:b/>
                <w:color w:val="10B981"/>
              </w:rPr>
              <w:t>Lezen &amp; schrijven</w:t>
            </w:r>
          </w:p>
        </w:tc>
      </w:tr>
      <w:tr>
        <w:trPr>
          <w:cantSplit/>
        </w:trPr>
        <w:tc>
          <w:tcPr>
            <w:tcW w:type="dxa" w:w="3600"/>
          </w:tcPr>
          <w:p>
            <w:r>
              <w:t>Evaluaties (evaluaties)</w:t>
            </w:r>
          </w:p>
        </w:tc>
        <w:tc>
          <w:tcPr>
            <w:tcW w:type="dxa" w:w="1440"/>
          </w:tcPr>
          <w:p>
            <w:pPr>
              <w:jc w:val="center"/>
            </w:pPr>
            <w:r>
              <w:rPr>
                <w:color w:val="6B7280"/>
              </w:rPr>
              <w:t>Geen toegang</w:t>
            </w:r>
          </w:p>
        </w:tc>
        <w:tc>
          <w:tcPr>
            <w:tcW w:type="dxa" w:w="1440"/>
          </w:tcPr>
          <w:p>
            <w:pPr>
              <w:jc w:val="center"/>
            </w:pPr>
            <w:r>
              <w:rPr>
                <w:b/>
                <w:color w:val="10B981"/>
              </w:rPr>
              <w:t>Lezen &amp; schrijven</w:t>
            </w:r>
          </w:p>
        </w:tc>
        <w:tc>
          <w:tcPr>
            <w:tcW w:type="dxa" w:w="1440"/>
          </w:tcPr>
          <w:p>
            <w:pPr>
              <w:jc w:val="center"/>
            </w:pPr>
            <w:r>
              <w:rPr>
                <w:b/>
                <w:color w:val="10B981"/>
              </w:rPr>
              <w:t>Lezen &amp; schrijven</w:t>
            </w:r>
          </w:p>
        </w:tc>
        <w:tc>
          <w:tcPr>
            <w:tcW w:type="dxa" w:w="2160"/>
          </w:tcPr>
          <w:p>
            <w:pPr>
              <w:jc w:val="center"/>
            </w:pPr>
            <w:r>
              <w:rPr>
                <w:b/>
                <w:color w:val="10B981"/>
              </w:rPr>
              <w:t>Lezen &amp; schrijven</w:t>
            </w:r>
          </w:p>
        </w:tc>
      </w:tr>
      <w:tr>
        <w:trPr>
          <w:cantSplit/>
        </w:trPr>
        <w:tc>
          <w:tcPr>
            <w:tcW w:type="dxa" w:w="3600"/>
            <w:shd w:fill="F8FAFC"/>
          </w:tcPr>
          <w:p>
            <w:r>
              <w:t>Feedback &amp; Voorstellen (feedback)</w:t>
            </w:r>
          </w:p>
        </w:tc>
        <w:tc>
          <w:tcPr>
            <w:tcW w:type="dxa" w:w="1440"/>
            <w:shd w:fill="F8FAFC"/>
          </w:tcPr>
          <w:p>
            <w:pPr>
              <w:jc w:val="center"/>
            </w:pPr>
            <w:r>
              <w:rPr>
                <w:color w:val="3B82F6"/>
              </w:rPr>
              <w:t>Alleen lezen</w:t>
            </w:r>
          </w:p>
        </w:tc>
        <w:tc>
          <w:tcPr>
            <w:tcW w:type="dxa" w:w="1440"/>
            <w:shd w:fill="F8FAFC"/>
          </w:tcPr>
          <w:p>
            <w:pPr>
              <w:jc w:val="center"/>
            </w:pPr>
            <w:r>
              <w:rPr>
                <w:b/>
                <w:color w:val="10B981"/>
              </w:rPr>
              <w:t>Lezen &amp; schrijven</w:t>
            </w:r>
          </w:p>
        </w:tc>
        <w:tc>
          <w:tcPr>
            <w:tcW w:type="dxa" w:w="1440"/>
            <w:shd w:fill="F8FAFC"/>
          </w:tcPr>
          <w:p>
            <w:pPr>
              <w:jc w:val="center"/>
            </w:pPr>
            <w:r>
              <w:rPr>
                <w:b/>
                <w:color w:val="10B981"/>
              </w:rPr>
              <w:t>Lezen &amp; schrijven</w:t>
            </w:r>
          </w:p>
        </w:tc>
        <w:tc>
          <w:tcPr>
            <w:tcW w:type="dxa" w:w="2160"/>
            <w:shd w:fill="F8FAFC"/>
          </w:tcPr>
          <w:p>
            <w:pPr>
              <w:jc w:val="center"/>
            </w:pPr>
            <w:r>
              <w:rPr>
                <w:b/>
                <w:color w:val="10B981"/>
              </w:rPr>
              <w:t>Lezen &amp; schrijven</w:t>
            </w:r>
          </w:p>
        </w:tc>
      </w:tr>
      <w:tr>
        <w:trPr>
          <w:cantSplit/>
        </w:trPr>
        <w:tc>
          <w:tcPr>
            <w:tcW w:type="dxa" w:w="3600"/>
          </w:tcPr>
          <w:p>
            <w:r>
              <w:t>Stamgegevens (stamgegevens)</w:t>
            </w:r>
          </w:p>
        </w:tc>
        <w:tc>
          <w:tcPr>
            <w:tcW w:type="dxa" w:w="1440"/>
          </w:tcPr>
          <w:p>
            <w:pPr>
              <w:jc w:val="center"/>
            </w:pPr>
            <w:r>
              <w:rPr>
                <w:color w:val="3B82F6"/>
              </w:rPr>
              <w:t>Alleen lezen</w:t>
            </w:r>
          </w:p>
        </w:tc>
        <w:tc>
          <w:tcPr>
            <w:tcW w:type="dxa" w:w="1440"/>
          </w:tcPr>
          <w:p>
            <w:pPr>
              <w:jc w:val="center"/>
            </w:pPr>
            <w:r>
              <w:rPr>
                <w:color w:val="6B7280"/>
              </w:rPr>
              <w:t>Geen toegang</w:t>
            </w:r>
          </w:p>
        </w:tc>
        <w:tc>
          <w:tcPr>
            <w:tcW w:type="dxa" w:w="1440"/>
          </w:tcPr>
          <w:p>
            <w:pPr>
              <w:jc w:val="center"/>
            </w:pPr>
            <w:r>
              <w:rPr>
                <w:b/>
                <w:color w:val="10B981"/>
              </w:rPr>
              <w:t>Lezen &amp; schrijven</w:t>
            </w:r>
          </w:p>
        </w:tc>
        <w:tc>
          <w:tcPr>
            <w:tcW w:type="dxa" w:w="2160"/>
          </w:tcPr>
          <w:p>
            <w:pPr>
              <w:jc w:val="center"/>
            </w:pPr>
            <w:r>
              <w:rPr>
                <w:b/>
                <w:color w:val="10B981"/>
              </w:rPr>
              <w:t>Lezen &amp; schrijven</w:t>
            </w:r>
          </w:p>
        </w:tc>
      </w:tr>
      <w:tr>
        <w:trPr>
          <w:cantSplit/>
        </w:trPr>
        <w:tc>
          <w:tcPr>
            <w:tcW w:type="dxa" w:w="3600"/>
            <w:shd w:fill="F8FAFC"/>
          </w:tcPr>
          <w:p>
            <w:r>
              <w:t>Gebruikersbeheer (gebruikers)</w:t>
            </w:r>
          </w:p>
        </w:tc>
        <w:tc>
          <w:tcPr>
            <w:tcW w:type="dxa" w:w="1440"/>
            <w:shd w:fill="F8FAFC"/>
          </w:tcPr>
          <w:p>
            <w:pPr>
              <w:jc w:val="center"/>
            </w:pPr>
            <w:r>
              <w:rPr>
                <w:color w:val="6B7280"/>
              </w:rPr>
              <w:t>Geen toegang</w:t>
            </w:r>
          </w:p>
        </w:tc>
        <w:tc>
          <w:tcPr>
            <w:tcW w:type="dxa" w:w="1440"/>
            <w:shd w:fill="F8FAFC"/>
          </w:tcPr>
          <w:p>
            <w:pPr>
              <w:jc w:val="center"/>
            </w:pPr>
            <w:r>
              <w:rPr>
                <w:color w:val="6B7280"/>
              </w:rPr>
              <w:t>Geen toegang</w:t>
            </w:r>
          </w:p>
        </w:tc>
        <w:tc>
          <w:tcPr>
            <w:tcW w:type="dxa" w:w="1440"/>
            <w:shd w:fill="F8FAFC"/>
          </w:tcPr>
          <w:p>
            <w:pPr>
              <w:jc w:val="center"/>
            </w:pPr>
            <w:r>
              <w:rPr>
                <w:b/>
                <w:color w:val="10B981"/>
              </w:rPr>
              <w:t>Lezen &amp; schrijven</w:t>
            </w:r>
          </w:p>
        </w:tc>
        <w:tc>
          <w:tcPr>
            <w:tcW w:type="dxa" w:w="2160"/>
            <w:shd w:fill="F8FAFC"/>
          </w:tcPr>
          <w:p>
            <w:pPr>
              <w:jc w:val="center"/>
            </w:pPr>
            <w:r>
              <w:rPr>
                <w:b/>
                <w:color w:val="10B981"/>
              </w:rPr>
              <w:t>Lezen &amp; schrijven</w:t>
            </w:r>
          </w:p>
        </w:tc>
      </w:tr>
      <w:tr>
        <w:trPr>
          <w:cantSplit/>
        </w:trPr>
        <w:tc>
          <w:tcPr>
            <w:tcW w:type="dxa" w:w="3600"/>
          </w:tcPr>
          <w:p>
            <w:r>
              <w:t>Groepen &amp; Permissies (groepen)</w:t>
            </w:r>
          </w:p>
        </w:tc>
        <w:tc>
          <w:tcPr>
            <w:tcW w:type="dxa" w:w="1440"/>
          </w:tcPr>
          <w:p>
            <w:pPr>
              <w:jc w:val="center"/>
            </w:pPr>
            <w:r>
              <w:rPr>
                <w:color w:val="6B7280"/>
              </w:rPr>
              <w:t>Geen toegang</w:t>
            </w:r>
          </w:p>
        </w:tc>
        <w:tc>
          <w:tcPr>
            <w:tcW w:type="dxa" w:w="1440"/>
          </w:tcPr>
          <w:p>
            <w:pPr>
              <w:jc w:val="center"/>
            </w:pPr>
            <w:r>
              <w:rPr>
                <w:color w:val="6B7280"/>
              </w:rPr>
              <w:t>Geen toegang</w:t>
            </w:r>
          </w:p>
        </w:tc>
        <w:tc>
          <w:tcPr>
            <w:tcW w:type="dxa" w:w="1440"/>
          </w:tcPr>
          <w:p>
            <w:pPr>
              <w:jc w:val="center"/>
            </w:pPr>
            <w:r>
              <w:rPr>
                <w:b/>
                <w:color w:val="10B981"/>
              </w:rPr>
              <w:t>Lezen &amp; schrijven</w:t>
            </w:r>
          </w:p>
        </w:tc>
        <w:tc>
          <w:tcPr>
            <w:tcW w:type="dxa" w:w="2160"/>
          </w:tcPr>
          <w:p>
            <w:pPr>
              <w:jc w:val="center"/>
            </w:pPr>
            <w:r>
              <w:rPr>
                <w:b/>
                <w:color w:val="10B981"/>
              </w:rPr>
              <w:t>Lezen &amp; schrijven</w:t>
            </w:r>
          </w:p>
        </w:tc>
      </w:tr>
      <w:tr>
        <w:trPr>
          <w:cantSplit/>
        </w:trPr>
        <w:tc>
          <w:tcPr>
            <w:tcW w:type="dxa" w:w="3600"/>
            <w:shd w:fill="F8FAFC"/>
          </w:tcPr>
          <w:p>
            <w:r>
              <w:t>Data Export (import_export)</w:t>
            </w:r>
          </w:p>
        </w:tc>
        <w:tc>
          <w:tcPr>
            <w:tcW w:type="dxa" w:w="1440"/>
            <w:shd w:fill="F8FAFC"/>
          </w:tcPr>
          <w:p>
            <w:pPr>
              <w:jc w:val="center"/>
            </w:pPr>
            <w:r>
              <w:rPr>
                <w:color w:val="3B82F6"/>
              </w:rPr>
              <w:t>Alleen lezen</w:t>
            </w:r>
          </w:p>
        </w:tc>
        <w:tc>
          <w:tcPr>
            <w:tcW w:type="dxa" w:w="1440"/>
            <w:shd w:fill="F8FAFC"/>
          </w:tcPr>
          <w:p>
            <w:pPr>
              <w:jc w:val="center"/>
            </w:pPr>
            <w:r>
              <w:rPr>
                <w:color w:val="3B82F6"/>
              </w:rPr>
              <w:t>Alleen lezen</w:t>
            </w:r>
          </w:p>
        </w:tc>
        <w:tc>
          <w:tcPr>
            <w:tcW w:type="dxa" w:w="1440"/>
            <w:shd w:fill="F8FAFC"/>
          </w:tcPr>
          <w:p>
            <w:pPr>
              <w:jc w:val="center"/>
            </w:pPr>
            <w:r>
              <w:rPr>
                <w:b/>
                <w:color w:val="10B981"/>
              </w:rPr>
              <w:t>Lezen &amp; schrijven</w:t>
            </w:r>
          </w:p>
        </w:tc>
        <w:tc>
          <w:tcPr>
            <w:tcW w:type="dxa" w:w="2160"/>
            <w:shd w:fill="F8FAFC"/>
          </w:tcPr>
          <w:p>
            <w:pPr>
              <w:jc w:val="center"/>
            </w:pPr>
            <w:r>
              <w:rPr>
                <w:b/>
                <w:color w:val="10B981"/>
              </w:rPr>
              <w:t>Lezen &amp; schrijven</w:t>
            </w:r>
          </w:p>
        </w:tc>
      </w:tr>
      <w:tr>
        <w:trPr>
          <w:cantSplit/>
        </w:trPr>
        <w:tc>
          <w:tcPr>
            <w:tcW w:type="dxa" w:w="3600"/>
          </w:tcPr>
          <w:p>
            <w:r>
              <w:t>Backups &amp; Herstel (backups)</w:t>
            </w:r>
          </w:p>
        </w:tc>
        <w:tc>
          <w:tcPr>
            <w:tcW w:type="dxa" w:w="1440"/>
          </w:tcPr>
          <w:p>
            <w:pPr>
              <w:jc w:val="center"/>
            </w:pPr>
            <w:r>
              <w:rPr>
                <w:color w:val="6B7280"/>
              </w:rPr>
              <w:t>Geen toegang</w:t>
            </w:r>
          </w:p>
        </w:tc>
        <w:tc>
          <w:tcPr>
            <w:tcW w:type="dxa" w:w="1440"/>
          </w:tcPr>
          <w:p>
            <w:pPr>
              <w:jc w:val="center"/>
            </w:pPr>
            <w:r>
              <w:rPr>
                <w:color w:val="6B7280"/>
              </w:rPr>
              <w:t>Geen toegang</w:t>
            </w:r>
          </w:p>
        </w:tc>
        <w:tc>
          <w:tcPr>
            <w:tcW w:type="dxa" w:w="1440"/>
          </w:tcPr>
          <w:p>
            <w:pPr>
              <w:jc w:val="center"/>
            </w:pPr>
            <w:r>
              <w:rPr>
                <w:b/>
                <w:color w:val="10B981"/>
              </w:rPr>
              <w:t>Lezen &amp; schrijven</w:t>
            </w:r>
          </w:p>
        </w:tc>
        <w:tc>
          <w:tcPr>
            <w:tcW w:type="dxa" w:w="2160"/>
          </w:tcPr>
          <w:p>
            <w:pPr>
              <w:jc w:val="center"/>
            </w:pPr>
            <w:r>
              <w:rPr>
                <w:b/>
                <w:color w:val="10B981"/>
              </w:rPr>
              <w:t>Lezen &amp; schrijven</w:t>
            </w:r>
          </w:p>
        </w:tc>
      </w:tr>
      <w:tr>
        <w:trPr>
          <w:cantSplit/>
        </w:trPr>
        <w:tc>
          <w:tcPr>
            <w:tcW w:type="dxa" w:w="3600"/>
            <w:shd w:fill="F8FAFC"/>
          </w:tcPr>
          <w:p>
            <w:r>
              <w:t>Audit Logs (auditlogs)</w:t>
            </w:r>
          </w:p>
        </w:tc>
        <w:tc>
          <w:tcPr>
            <w:tcW w:type="dxa" w:w="1440"/>
            <w:shd w:fill="F8FAFC"/>
          </w:tcPr>
          <w:p>
            <w:pPr>
              <w:jc w:val="center"/>
            </w:pPr>
            <w:r>
              <w:rPr>
                <w:color w:val="6B7280"/>
              </w:rPr>
              <w:t>Geen toegang</w:t>
            </w:r>
          </w:p>
        </w:tc>
        <w:tc>
          <w:tcPr>
            <w:tcW w:type="dxa" w:w="1440"/>
            <w:shd w:fill="F8FAFC"/>
          </w:tcPr>
          <w:p>
            <w:pPr>
              <w:jc w:val="center"/>
            </w:pPr>
            <w:r>
              <w:rPr>
                <w:color w:val="6B7280"/>
              </w:rPr>
              <w:t>Geen toegang</w:t>
            </w:r>
          </w:p>
        </w:tc>
        <w:tc>
          <w:tcPr>
            <w:tcW w:type="dxa" w:w="1440"/>
            <w:shd w:fill="F8FAFC"/>
          </w:tcPr>
          <w:p>
            <w:pPr>
              <w:jc w:val="center"/>
            </w:pPr>
            <w:r>
              <w:rPr>
                <w:b/>
                <w:color w:val="10B981"/>
              </w:rPr>
              <w:t>Lezen &amp; schrijven</w:t>
            </w:r>
          </w:p>
        </w:tc>
        <w:tc>
          <w:tcPr>
            <w:tcW w:type="dxa" w:w="2160"/>
            <w:shd w:fill="F8FAFC"/>
          </w:tcPr>
          <w:p>
            <w:pPr>
              <w:jc w:val="center"/>
            </w:pPr>
            <w:r>
              <w:rPr>
                <w:b/>
                <w:color w:val="10B981"/>
              </w:rPr>
              <w:t>Lezen &amp; schrijven</w:t>
            </w:r>
          </w:p>
        </w:tc>
      </w:tr>
      <w:tr>
        <w:trPr>
          <w:cantSplit/>
        </w:trPr>
        <w:tc>
          <w:tcPr>
            <w:tcW w:type="dxa" w:w="3600"/>
          </w:tcPr>
          <w:p>
            <w:r>
              <w:t>Centrale App Documentatie (app_documenten)</w:t>
            </w:r>
          </w:p>
        </w:tc>
        <w:tc>
          <w:tcPr>
            <w:tcW w:type="dxa" w:w="1440"/>
          </w:tcPr>
          <w:p>
            <w:pPr>
              <w:jc w:val="center"/>
            </w:pPr>
            <w:r>
              <w:rPr>
                <w:color w:val="3B82F6"/>
              </w:rPr>
              <w:t>Alleen lezen</w:t>
            </w:r>
          </w:p>
        </w:tc>
        <w:tc>
          <w:tcPr>
            <w:tcW w:type="dxa" w:w="1440"/>
          </w:tcPr>
          <w:p>
            <w:pPr>
              <w:jc w:val="center"/>
            </w:pPr>
            <w:r>
              <w:rPr>
                <w:color w:val="3B82F6"/>
              </w:rPr>
              <w:t>Alleen lezen</w:t>
            </w:r>
          </w:p>
        </w:tc>
        <w:tc>
          <w:tcPr>
            <w:tcW w:type="dxa" w:w="1440"/>
          </w:tcPr>
          <w:p>
            <w:pPr>
              <w:jc w:val="center"/>
            </w:pPr>
            <w:r>
              <w:rPr>
                <w:color w:val="3B82F6"/>
              </w:rPr>
              <w:t>Alleen lezen</w:t>
            </w:r>
          </w:p>
        </w:tc>
        <w:tc>
          <w:tcPr>
            <w:tcW w:type="dxa" w:w="2160"/>
          </w:tcPr>
          <w:p>
            <w:pPr>
              <w:jc w:val="center"/>
            </w:pPr>
            <w:r>
              <w:rPr>
                <w:b/>
                <w:color w:val="10B981"/>
              </w:rPr>
              <w:t>Lezen &amp; schrijven (beheer)</w:t>
            </w:r>
          </w:p>
        </w:tc>
      </w:tr>
      <w:tr>
        <w:trPr>
          <w:cantSplit/>
        </w:trPr>
        <w:tc>
          <w:tcPr>
            <w:tcW w:type="dxa" w:w="3600"/>
            <w:shd w:fill="F8FAFC"/>
          </w:tcPr>
          <w:p>
            <w:r>
              <w:t>Platform Dashboard &amp; Multi-org beheer</w:t>
            </w:r>
          </w:p>
        </w:tc>
        <w:tc>
          <w:tcPr>
            <w:tcW w:type="dxa" w:w="1440"/>
            <w:shd w:fill="F8FAFC"/>
          </w:tcPr>
          <w:p>
            <w:pPr>
              <w:jc w:val="center"/>
            </w:pPr>
            <w:r>
              <w:rPr>
                <w:color w:val="6B7280"/>
              </w:rPr>
              <w:t>Geen toegang</w:t>
            </w:r>
          </w:p>
        </w:tc>
        <w:tc>
          <w:tcPr>
            <w:tcW w:type="dxa" w:w="1440"/>
            <w:shd w:fill="F8FAFC"/>
          </w:tcPr>
          <w:p>
            <w:pPr>
              <w:jc w:val="center"/>
            </w:pPr>
            <w:r>
              <w:rPr>
                <w:color w:val="6B7280"/>
              </w:rPr>
              <w:t>Geen toegang</w:t>
            </w:r>
          </w:p>
        </w:tc>
        <w:tc>
          <w:tcPr>
            <w:tcW w:type="dxa" w:w="1440"/>
            <w:shd w:fill="F8FAFC"/>
          </w:tcPr>
          <w:p>
            <w:pPr>
              <w:jc w:val="center"/>
            </w:pPr>
            <w:r>
              <w:rPr>
                <w:color w:val="6B7280"/>
              </w:rPr>
              <w:t>Geen toegang</w:t>
            </w:r>
          </w:p>
        </w:tc>
        <w:tc>
          <w:tcPr>
            <w:tcW w:type="dxa" w:w="2160"/>
            <w:shd w:fill="F8FAFC"/>
          </w:tcPr>
          <w:p>
            <w:pPr>
              <w:jc w:val="center"/>
            </w:pPr>
            <w:r>
              <w:rPr>
                <w:b/>
                <w:color w:val="10B981"/>
              </w:rPr>
              <w:t>Lezen &amp; schrijven (superadmin)</w:t>
            </w:r>
          </w:p>
        </w:tc>
      </w:tr>
      <w:tr>
        <w:tc>
          <w:tcPr>
            <w:tcW w:type="dxa" w:w="1872"/>
          </w:tcPr>
          <w:p>
            <w:r>
              <w:t>Groepen &amp; Autorisatiematrix beheren (Permissies per module &amp; restricties)</w:t>
            </w:r>
          </w:p>
        </w:tc>
        <w:tc>
          <w:tcPr>
            <w:tcW w:type="dxa" w:w="1872"/>
          </w:tcPr>
          <w:p>
            <w:r>
              <w:t>—</w:t>
            </w:r>
          </w:p>
        </w:tc>
        <w:tc>
          <w:tcPr>
            <w:tcW w:type="dxa" w:w="1872"/>
          </w:tcPr>
          <w:p>
            <w:r>
              <w:t>—</w:t>
            </w:r>
          </w:p>
        </w:tc>
        <w:tc>
          <w:tcPr>
            <w:tcW w:type="dxa" w:w="1872"/>
          </w:tcPr>
          <w:p>
            <w:r>
              <w:t>✓</w:t>
            </w:r>
          </w:p>
        </w:tc>
        <w:tc>
          <w:tcPr>
            <w:tcW w:type="dxa" w:w="1872"/>
          </w:tcPr>
          <w:p>
            <w:r>
              <w:t>✓</w:t>
            </w:r>
          </w:p>
        </w:tc>
      </w:tr>
      <w:tr>
        <w:tc>
          <w:tcPr>
            <w:tcW w:type="dxa" w:w="1872"/>
          </w:tcPr>
          <w:p>
            <w:r>
              <w:t>Groepen &amp; Autorisatiematrix beheren (Permissies per module &amp; restricties)</w:t>
            </w:r>
          </w:p>
        </w:tc>
        <w:tc>
          <w:tcPr>
            <w:tcW w:type="dxa" w:w="1872"/>
          </w:tcPr>
          <w:p>
            <w:r>
              <w:t>—</w:t>
            </w:r>
          </w:p>
        </w:tc>
        <w:tc>
          <w:tcPr>
            <w:tcW w:type="dxa" w:w="1872"/>
          </w:tcPr>
          <w:p>
            <w:r>
              <w:t>—</w:t>
            </w:r>
          </w:p>
        </w:tc>
        <w:tc>
          <w:tcPr>
            <w:tcW w:type="dxa" w:w="1872"/>
          </w:tcPr>
          <w:p>
            <w:r>
              <w:t>✓</w:t>
            </w:r>
          </w:p>
        </w:tc>
        <w:tc>
          <w:tcPr>
            <w:tcW w:type="dxa" w:w="1872"/>
          </w:tcPr>
          <w:p>
            <w:r>
              <w:t>✓</w:t>
            </w:r>
          </w:p>
        </w:tc>
      </w:tr>
      <w:tr>
        <w:tc>
          <w:tcPr>
            <w:tcW w:type="dxa" w:w="1872"/>
          </w:tcPr>
          <w:p>
            <w:r>
              <w:t>Groepen &amp; Autorisatiematrix beheren (Permissies per module &amp; restricties)</w:t>
            </w:r>
          </w:p>
        </w:tc>
        <w:tc>
          <w:tcPr>
            <w:tcW w:type="dxa" w:w="1872"/>
          </w:tcPr>
          <w:p>
            <w:r>
              <w:t>—</w:t>
            </w:r>
          </w:p>
        </w:tc>
        <w:tc>
          <w:tcPr>
            <w:tcW w:type="dxa" w:w="1872"/>
          </w:tcPr>
          <w:p>
            <w:r>
              <w:t>—</w:t>
            </w:r>
          </w:p>
        </w:tc>
        <w:tc>
          <w:tcPr>
            <w:tcW w:type="dxa" w:w="1872"/>
          </w:tcPr>
          <w:p>
            <w:r>
              <w:t>✓</w:t>
            </w:r>
          </w:p>
        </w:tc>
        <w:tc>
          <w:tcPr>
            <w:tcW w:type="dxa" w:w="1872"/>
          </w:tcPr>
          <w:p>
            <w:r>
              <w:t>✓</w:t>
            </w:r>
          </w:p>
        </w:tc>
      </w:tr>
    </w:tbl>
    <w:p>
      <w:pPr>
        <w:keepNext/>
        <w:spacing w:before="360" w:after="120"/>
      </w:pPr>
      <w:r>
        <w:rPr>
          <w:rFonts w:ascii="Calibri" w:hAnsi="Calibri"/>
          <w:b/>
          <w:color w:val="1B559B"/>
          <w:sz w:val="30"/>
        </w:rPr>
        <w:t>8. Samenvatting &amp; Beveiligingsprincipes</w:t>
      </w:r>
    </w:p>
    <w:p>
      <w:pPr>
        <w:pStyle w:val="ListBullet"/>
        <w:spacing w:before="0" w:after="60" w:line="276" w:lineRule="auto"/>
      </w:pPr>
      <w:r>
        <w:rPr>
          <w:b/>
          <w:color w:val="1F2937"/>
        </w:rPr>
        <w:t xml:space="preserve">• Strikte Multi-Tenancy: </w:t>
      </w:r>
      <w:r>
        <w:rPr>
          <w:color w:val="1F2937"/>
        </w:rPr>
        <w:t>Geen enkele gebruiker kan data buiten de eigen actieve gemeente inzien of bewerken (tenzij superadmin via platformwissel).</w:t>
      </w:r>
    </w:p>
    <w:p>
      <w:pPr>
        <w:pStyle w:val="ListBullet"/>
        <w:spacing w:before="0" w:after="60" w:line="276" w:lineRule="auto"/>
      </w:pPr>
      <w:r>
        <w:rPr>
          <w:b/>
          <w:color w:val="1F2937"/>
        </w:rPr>
        <w:t xml:space="preserve">• Dubbele Verificatie (Frontend &amp; Backend): </w:t>
      </w:r>
      <w:r>
        <w:rPr>
          <w:color w:val="1F2937"/>
        </w:rPr>
        <w:t>Alle permissiecontroles worden zowel in de UI (voorwaardelijke knoppen en menu's) als afgedwongen op backend routeniveau via  decorators en helperfuncties.</w:t>
      </w:r>
    </w:p>
    <w:p>
      <w:pPr>
        <w:pStyle w:val="ListBullet"/>
        <w:spacing w:before="0" w:after="60" w:line="276" w:lineRule="auto"/>
      </w:pPr>
      <w:r>
        <w:rPr>
          <w:b/>
          <w:color w:val="1F2937"/>
        </w:rPr>
        <w:t xml:space="preserve">• Audit Trail: </w:t>
      </w:r>
      <w:r>
        <w:rPr>
          <w:color w:val="1F2937"/>
        </w:rPr>
        <w:t>Belangrijke handelingen (zoals het aanmaken, wijzigen of verwijderen van groepen en toekennen van rechten) worden onuitwisbaar gelogd in het beveiligde audit-logboek.</w:t>
      </w:r>
    </w:p>
    <w:p>
      <w:pPr>
        <w:pStyle w:val="Heading1"/>
      </w:pPr>
      <w:r>
        <w:t>6. Dynamisch Groepenmodel &amp; Permissiematrix</w:t>
      </w:r>
    </w:p>
    <w:p>
      <w:pPr/>
      <w:r>
        <w:t>Het autorisatieschema is volledig dynamisch en multi-tenant opgezet om tegemoet te komen aan verschillende organisatie-eisen:</w:t>
        <w:br/>
        <w:br/>
        <w:t>1. Permissieniveaus per module:</w:t>
        <w:br/>
        <w:t xml:space="preserve">   Voor elke module (Registraties, Agenda, Evaluaties, Documenten, Statistieken, Export, Feedback, Stamgegevens, Gebruikers, Groepen, Backups, Auditlogs, App documentatie) kan per groep het recht worden ingesteld op 'Geen toegang', 'Alleen lezen' of 'Lezen en schrijven'.</w:t>
        <w:br/>
        <w:br/>
        <w:t>2. Meervoudig groepslidmaatschap:</w:t>
        <w:br/>
        <w:t xml:space="preserve">   Een gebruiker kan tot meerdere groepen tegelijk behoren. Bij overlappende rechten combineert het systeem deze volgens het principe 'hoogste recht telt' (Schrijven &gt; Lezen &gt; Geen).</w:t>
        <w:br/>
        <w:br/>
        <w:t>3. Speciale Digidokter-restrictie ('Alleen eigen registraties tonen'):</w:t>
        <w:br/>
        <w:t xml:space="preserve">   Organisaties die eisen dat een digidokter enkel zijn of haar eigen consultaties kan inzien, schakelen deze optie in op de desbetreffende groep. In dat geval wordt het filterveld voor digidokters verborgen en toont het overzicht enkel de eigen consultaties.</w:t>
        <w:br/>
        <w:br/>
        <w:t>4. Beveiliging en standaardovername:</w:t>
        <w:br/>
        <w:t xml:space="preserve">   Standaardgroepen (Lezers, Medewerkers, Beheerders, Platformbeheerders) kunnen niet worden hernoemd of gewist. Bij het aanmaken van een nieuwe organisatie worden alle groepen en permissies automatisch gekopieerd uit de centrale Sjabloon-organisatie.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