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b/>
          <w:color w:val="1E3A8A"/>
          <w:sz w:val="56"/>
        </w:rPr>
        <w:t>DIGIDOKTERS</w:t>
        <w:br/>
      </w:r>
      <w:r>
        <w:rPr>
          <w:b/>
          <w:color w:val="2563EB"/>
          <w:sz w:val="32"/>
        </w:rPr>
        <w:t>Technische Beveiligingsaudit &amp; Kwetsbaarheidsbeoordeling</w:t>
        <w:br/>
      </w:r>
      <w:r>
        <w:rPr>
          <w:color w:val="64748B"/>
          <w:sz w:val="22"/>
        </w:rPr>
        <w:t>Herhaalde Security Audit na Recente Uitbreidingen (9 oktober 2026)</w:t>
        <w:br/>
        <w:t>(Resultaatregistratie, Dynamisch RBAC &amp; Permissiematrix, Restrictie Eigen Registraties, Interne Communicatie, Zelfbediening &amp; AI-Analyse)</w:t>
      </w:r>
    </w:p>
    <w:p>
      <w:pPr>
        <w:spacing w:after="360"/>
      </w:pP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4703"/>
        <w:gridCol w:w="4703"/>
      </w:tblGrid>
      <w:tr>
        <w:tc>
          <w:tcPr>
            <w:tcW w:type="dxa" w:w="3118"/>
            <w:shd w:fill="1E3A8A"/>
            <w:tcMar>
              <w:top w:w="160" w:type="dxa"/>
              <w:bottom w:w="160" w:type="dxa"/>
              <w:left w:w="180" w:type="dxa"/>
              <w:right w:w="180" w:type="dxa"/>
            </w:tcMar>
          </w:tcPr>
          <w:p>
            <w:pPr>
              <w:jc w:val="left"/>
            </w:pPr>
            <w:r>
              <w:rPr>
                <w:b/>
                <w:color w:val="FFFFFF"/>
                <w:sz w:val="19"/>
              </w:rPr>
              <w:t>Metadata Eigenschap</w:t>
            </w:r>
          </w:p>
        </w:tc>
        <w:tc>
          <w:tcPr>
            <w:tcW w:type="dxa" w:w="6236"/>
            <w:shd w:fill="1E3A8A"/>
            <w:tcMar>
              <w:top w:w="160" w:type="dxa"/>
              <w:bottom w:w="160" w:type="dxa"/>
              <w:left w:w="180" w:type="dxa"/>
              <w:right w:w="180" w:type="dxa"/>
            </w:tcMar>
          </w:tcPr>
          <w:p>
            <w:pPr>
              <w:jc w:val="left"/>
            </w:pPr>
            <w:r>
              <w:rPr>
                <w:b/>
                <w:color w:val="FFFFFF"/>
                <w:sz w:val="19"/>
              </w:rPr>
              <w:t>Specificatie</w:t>
            </w:r>
          </w:p>
        </w:tc>
      </w:tr>
      <w:tr>
        <w:tc>
          <w:tcPr>
            <w:tcW w:type="dxa" w:w="3118"/>
            <w:shd w:fill="FFFFFF"/>
            <w:tcMar>
              <w:top w:w="120" w:type="dxa"/>
              <w:bottom w:w="120" w:type="dxa"/>
              <w:left w:w="160" w:type="dxa"/>
              <w:right w:w="160" w:type="dxa"/>
            </w:tcMar>
          </w:tcPr>
          <w:p>
            <w:r>
              <w:rPr>
                <w:color w:val="0F172A"/>
                <w:sz w:val="18"/>
              </w:rPr>
              <w:t>Applicatienaam</w:t>
            </w:r>
          </w:p>
        </w:tc>
        <w:tc>
          <w:tcPr>
            <w:tcW w:type="dxa" w:w="6236"/>
            <w:shd w:fill="FFFFFF"/>
            <w:tcMar>
              <w:top w:w="120" w:type="dxa"/>
              <w:bottom w:w="120" w:type="dxa"/>
              <w:left w:w="160" w:type="dxa"/>
              <w:right w:w="160" w:type="dxa"/>
            </w:tcMar>
          </w:tcPr>
          <w:p>
            <w:r>
              <w:rPr>
                <w:color w:val="0F172A"/>
                <w:sz w:val="18"/>
              </w:rPr>
              <w:t>Digidokters Platform (Flask / SQLAlchemy / PostgreSQL / SQLite)</w:t>
            </w:r>
          </w:p>
        </w:tc>
      </w:tr>
      <w:tr>
        <w:tc>
          <w:tcPr>
            <w:tcW w:type="dxa" w:w="3118"/>
            <w:shd w:fill="F1F5F9"/>
            <w:tcMar>
              <w:top w:w="120" w:type="dxa"/>
              <w:bottom w:w="120" w:type="dxa"/>
              <w:left w:w="160" w:type="dxa"/>
              <w:right w:w="160" w:type="dxa"/>
            </w:tcMar>
          </w:tcPr>
          <w:p>
            <w:r>
              <w:rPr>
                <w:color w:val="0F172A"/>
                <w:sz w:val="18"/>
              </w:rPr>
              <w:t>Auditdatum</w:t>
            </w:r>
          </w:p>
        </w:tc>
        <w:tc>
          <w:tcPr>
            <w:tcW w:type="dxa" w:w="6236"/>
            <w:shd w:fill="F1F5F9"/>
            <w:tcMar>
              <w:top w:w="120" w:type="dxa"/>
              <w:bottom w:w="120" w:type="dxa"/>
              <w:left w:w="160" w:type="dxa"/>
              <w:right w:w="160" w:type="dxa"/>
            </w:tcMar>
          </w:tcPr>
          <w:p>
            <w:r>
              <w:rPr>
                <w:color w:val="0F172A"/>
                <w:sz w:val="18"/>
              </w:rPr>
              <w:t>9 oktober 2026</w:t>
            </w:r>
          </w:p>
        </w:tc>
      </w:tr>
      <w:tr>
        <w:tc>
          <w:tcPr>
            <w:tcW w:type="dxa" w:w="3118"/>
            <w:shd w:fill="FFFFFF"/>
            <w:tcMar>
              <w:top w:w="120" w:type="dxa"/>
              <w:bottom w:w="120" w:type="dxa"/>
              <w:left w:w="160" w:type="dxa"/>
              <w:right w:w="160" w:type="dxa"/>
            </w:tcMar>
          </w:tcPr>
          <w:p>
            <w:r>
              <w:rPr>
                <w:color w:val="0F172A"/>
                <w:sz w:val="18"/>
              </w:rPr>
              <w:t>Versie Rapport</w:t>
            </w:r>
          </w:p>
        </w:tc>
        <w:tc>
          <w:tcPr>
            <w:tcW w:type="dxa" w:w="6236"/>
            <w:shd w:fill="FFFFFF"/>
            <w:tcMar>
              <w:top w:w="120" w:type="dxa"/>
              <w:bottom w:w="120" w:type="dxa"/>
              <w:left w:w="160" w:type="dxa"/>
              <w:right w:w="160" w:type="dxa"/>
            </w:tcMar>
          </w:tcPr>
          <w:p>
            <w:r>
              <w:rPr>
                <w:color w:val="0F172A"/>
                <w:sz w:val="18"/>
              </w:rPr>
              <w:t>Versie 3.0 (Herhaalde audit na Release 2.7.0 &amp; Afloop/Resultaat feature)</w:t>
            </w:r>
          </w:p>
        </w:tc>
      </w:tr>
      <w:tr>
        <w:tc>
          <w:tcPr>
            <w:tcW w:type="dxa" w:w="3118"/>
            <w:shd w:fill="F1F5F9"/>
            <w:tcMar>
              <w:top w:w="120" w:type="dxa"/>
              <w:bottom w:w="120" w:type="dxa"/>
              <w:left w:w="160" w:type="dxa"/>
              <w:right w:w="160" w:type="dxa"/>
            </w:tcMar>
          </w:tcPr>
          <w:p>
            <w:r>
              <w:rPr>
                <w:color w:val="0F172A"/>
                <w:sz w:val="18"/>
              </w:rPr>
              <w:t>Type Audit</w:t>
            </w:r>
          </w:p>
        </w:tc>
        <w:tc>
          <w:tcPr>
            <w:tcW w:type="dxa" w:w="6236"/>
            <w:shd w:fill="F1F5F9"/>
            <w:tcMar>
              <w:top w:w="120" w:type="dxa"/>
              <w:bottom w:w="120" w:type="dxa"/>
              <w:left w:w="160" w:type="dxa"/>
              <w:right w:w="160" w:type="dxa"/>
            </w:tcMar>
          </w:tcPr>
          <w:p>
            <w:r>
              <w:rPr>
                <w:color w:val="0F172A"/>
                <w:sz w:val="18"/>
              </w:rPr>
              <w:t>Full-Scope Source Code Security Review &amp; Defensive Threat Modeling</w:t>
            </w:r>
          </w:p>
        </w:tc>
      </w:tr>
      <w:tr>
        <w:tc>
          <w:tcPr>
            <w:tcW w:type="dxa" w:w="3118"/>
            <w:shd w:fill="FFFFFF"/>
            <w:tcMar>
              <w:top w:w="120" w:type="dxa"/>
              <w:bottom w:w="120" w:type="dxa"/>
              <w:left w:w="160" w:type="dxa"/>
              <w:right w:w="160" w:type="dxa"/>
            </w:tcMar>
          </w:tcPr>
          <w:p>
            <w:r>
              <w:rPr>
                <w:color w:val="0F172A"/>
                <w:sz w:val="18"/>
              </w:rPr>
              <w:t>Scope van Onderzoek</w:t>
            </w:r>
          </w:p>
        </w:tc>
        <w:tc>
          <w:tcPr>
            <w:tcW w:type="dxa" w:w="6236"/>
            <w:shd w:fill="FFFFFF"/>
            <w:tcMar>
              <w:top w:w="120" w:type="dxa"/>
              <w:bottom w:w="120" w:type="dxa"/>
              <w:left w:w="160" w:type="dxa"/>
              <w:right w:w="160" w:type="dxa"/>
            </w:tcMar>
          </w:tcPr>
          <w:p>
            <w:r>
              <w:rPr>
                <w:color w:val="0F172A"/>
                <w:sz w:val="18"/>
              </w:rPr>
              <w:t>Codebase, Resultaten Stamgegevens, Dynamisch RBAC, Restricties, Communicatie, Zelfbediening, CI/CD, Multi-Tenancy</w:t>
            </w:r>
          </w:p>
        </w:tc>
      </w:tr>
      <w:tr>
        <w:tc>
          <w:tcPr>
            <w:tcW w:type="dxa" w:w="3118"/>
            <w:shd w:fill="F1F5F9"/>
            <w:tcMar>
              <w:top w:w="120" w:type="dxa"/>
              <w:bottom w:w="120" w:type="dxa"/>
              <w:left w:w="160" w:type="dxa"/>
              <w:right w:w="160" w:type="dxa"/>
            </w:tcMar>
          </w:tcPr>
          <w:p>
            <w:r>
              <w:rPr>
                <w:color w:val="0F172A"/>
                <w:sz w:val="18"/>
              </w:rPr>
              <w:t>Geautomatiseerde Testsuite</w:t>
            </w:r>
          </w:p>
        </w:tc>
        <w:tc>
          <w:tcPr>
            <w:tcW w:type="dxa" w:w="6236"/>
            <w:shd w:fill="F1F5F9"/>
            <w:tcMar>
              <w:top w:w="120" w:type="dxa"/>
              <w:bottom w:w="120" w:type="dxa"/>
              <w:left w:w="160" w:type="dxa"/>
              <w:right w:w="160" w:type="dxa"/>
            </w:tcMar>
          </w:tcPr>
          <w:p>
            <w:r>
              <w:rPr>
                <w:color w:val="0F172A"/>
                <w:sz w:val="18"/>
              </w:rPr>
              <w:t>236 unittests over 32 suites uitgevoerd (100% geslaagd, 0 fouten)</w:t>
            </w:r>
          </w:p>
        </w:tc>
      </w:tr>
      <w:tr>
        <w:tc>
          <w:tcPr>
            <w:tcW w:type="dxa" w:w="3118"/>
            <w:shd w:fill="FFFFFF"/>
            <w:tcMar>
              <w:top w:w="120" w:type="dxa"/>
              <w:bottom w:w="120" w:type="dxa"/>
              <w:left w:w="160" w:type="dxa"/>
              <w:right w:w="160" w:type="dxa"/>
            </w:tcMar>
          </w:tcPr>
          <w:p>
            <w:r>
              <w:rPr>
                <w:color w:val="0F172A"/>
                <w:sz w:val="18"/>
              </w:rPr>
              <w:t>Status Beoordeling</w:t>
            </w:r>
          </w:p>
        </w:tc>
        <w:tc>
          <w:tcPr>
            <w:tcW w:type="dxa" w:w="6236"/>
            <w:shd w:fill="FFFFFF"/>
            <w:tcMar>
              <w:top w:w="120" w:type="dxa"/>
              <w:bottom w:w="120" w:type="dxa"/>
              <w:left w:w="160" w:type="dxa"/>
              <w:right w:w="160" w:type="dxa"/>
            </w:tcMar>
          </w:tcPr>
          <w:p>
            <w:r>
              <w:rPr>
                <w:color w:val="0F172A"/>
                <w:sz w:val="18"/>
              </w:rPr>
              <w:t>Gereed voor productie (Definitief)</w:t>
            </w:r>
          </w:p>
        </w:tc>
      </w:tr>
      <w:tr>
        <w:tc>
          <w:tcPr>
            <w:tcW w:type="dxa" w:w="3118"/>
            <w:shd w:fill="F1F5F9"/>
            <w:tcMar>
              <w:top w:w="120" w:type="dxa"/>
              <w:bottom w:w="120" w:type="dxa"/>
              <w:left w:w="160" w:type="dxa"/>
              <w:right w:w="160" w:type="dxa"/>
            </w:tcMar>
          </w:tcPr>
          <w:p>
            <w:r>
              <w:rPr>
                <w:color w:val="0F172A"/>
                <w:sz w:val="18"/>
              </w:rPr>
              <w:t>Classificatie</w:t>
            </w:r>
          </w:p>
        </w:tc>
        <w:tc>
          <w:tcPr>
            <w:tcW w:type="dxa" w:w="6236"/>
            <w:shd w:fill="F1F5F9"/>
            <w:tcMar>
              <w:top w:w="120" w:type="dxa"/>
              <w:bottom w:w="120" w:type="dxa"/>
              <w:left w:w="160" w:type="dxa"/>
              <w:right w:w="160" w:type="dxa"/>
            </w:tcMar>
          </w:tcPr>
          <w:p>
            <w:r>
              <w:rPr>
                <w:color w:val="0F172A"/>
                <w:sz w:val="18"/>
              </w:rPr>
              <w:t>Vertrouwelijk / Intern Beveiligingsdocument</w:t>
            </w:r>
          </w:p>
        </w:tc>
      </w:tr>
    </w:tbl>
    <w:p>
      <w:pPr>
        <w:spacing w:after="120"/>
      </w:pPr>
    </w:p>
    <w:tbl>
      <w:tblPr>
        <w:tblW w:type="auto" w:w="0"/>
        <w:jc w:val="center"/>
        <w:tblLayout w:type="fixed"/>
        <w:tblLook w:firstColumn="1" w:firstRow="1" w:lastColumn="0" w:lastRow="0" w:noHBand="0" w:noVBand="1" w:val="04A0"/>
      </w:tblPr>
      <w:tblGrid>
        <w:gridCol w:w="9406"/>
      </w:tblGrid>
      <w:tr>
        <w:tc>
          <w:tcPr>
            <w:tcW w:type="dxa" w:w="9354"/>
            <w:shd w:fill="F0F7FF"/>
            <w:tcMar>
              <w:top w:w="160" w:type="dxa"/>
              <w:bottom w:w="160" w:type="dxa"/>
              <w:left w:w="220" w:type="dxa"/>
              <w:right w:w="200" w:type="dxa"/>
            </w:tcMar>
            <w:tcBorders>
              <w:top w:val="none"/>
              <w:left w:val="single" w:sz="36" w:space="0" w:color="1E3A8A"/>
              <w:bottom w:val="none"/>
              <w:right w:val="none"/>
            </w:tcBorders>
          </w:tcPr>
          <w:p>
            <w:pPr>
              <w:spacing w:before="40" w:after="80"/>
            </w:pPr>
            <w:r>
              <w:rPr>
                <w:sz w:val="22"/>
              </w:rPr>
              <w:t xml:space="preserve">🛡️ </w:t>
            </w:r>
            <w:r>
              <w:rPr>
                <w:b/>
                <w:color w:val="1E3A8A"/>
                <w:sz w:val="21"/>
              </w:rPr>
              <w:t>Beveiligingsstatus Samengevat</w:t>
            </w:r>
          </w:p>
          <w:p>
            <w:pPr>
              <w:spacing w:before="40" w:after="40" w:line="276" w:lineRule="auto"/>
            </w:pPr>
            <w:r>
              <w:rPr>
                <w:color w:val="0F172A"/>
                <w:sz w:val="19"/>
              </w:rPr>
              <w:t>Het Digidokters platform is tijdens deze herhaalde security audit van 9 oktober 2026 volledig getoetst op basis van de OWASP Top 10, CWE richtlijnen, fijnmazige autorisatie en multi-tenant data-isolatie. Alle eerder geïdentificeerde punten (SEC-01 t/m SEC-12) zijn blijvend effectief afgedekt en alle recent toegevoegde modules (SEC-13 t/m SEC-17) voldoen aan strikte Least Privilege-, inputvalidatie-, encryptie- en integriteitseisen.</w:t>
            </w:r>
          </w:p>
        </w:tc>
      </w:tr>
    </w:tbl>
    <w:p>
      <w:pPr>
        <w:spacing w:after="80"/>
      </w:pPr>
    </w:p>
    <w:p>
      <w:r>
        <w:br w:type="page"/>
      </w:r>
    </w:p>
    <w:p>
      <w:pPr>
        <w:keepNext/>
        <w:spacing w:before="360" w:after="160"/>
      </w:pPr>
      <w:r>
        <w:rPr>
          <w:b/>
          <w:color w:val="1E3A8A"/>
          <w:sz w:val="32"/>
        </w:rPr>
        <w:t>1. Management Samenvatting (Executive Summary)</w:t>
      </w:r>
    </w:p>
    <w:p>
      <w:pPr>
        <w:spacing w:before="0" w:after="120" w:line="276" w:lineRule="auto"/>
      </w:pPr>
      <w:r>
        <w:rPr>
          <w:i w:val="0"/>
          <w:color w:val="0F172A"/>
          <w:sz w:val="20"/>
        </w:rPr>
        <w:t>In de periode tot 9 oktober 2026 is het Digidokters platform uitgebreid met een volledig configureerbaar dynamisch autorisatieschema per organisatie (permissiematrix), de registratie en statistieken van de uitkomst ('Resultaat van het bezoek'), de speciale restrictie 'Alleen eigen registraties tonen', interne organisatiecommunicatie met proefmailfunctie, en zelfbediening van het gebruikersprofiel. Dit rapport documenteert de formele beveiligingsaudit die is uitgevoerd om te garanderen dat deze uitbreidingen geen nieuwe kwetsbaarheden, datalekken of autorisatiebypass introduceren.</w:t>
      </w:r>
    </w:p>
    <w:p>
      <w:pPr>
        <w:spacing w:before="0" w:after="120" w:line="276" w:lineRule="auto"/>
      </w:pPr>
      <w:r>
        <w:rPr>
          <w:i w:val="0"/>
          <w:color w:val="0F172A"/>
          <w:sz w:val="20"/>
        </w:rPr>
        <w:t>De focus van dit onderzoek lag op zes kerngebieden waarin substantiële wijzigingen hebben plaatsgevonden:</w:t>
      </w:r>
    </w:p>
    <w:p>
      <w:pPr>
        <w:pStyle w:val="ListBullet"/>
        <w:spacing w:before="20" w:after="60" w:line="276" w:lineRule="auto"/>
      </w:pPr>
      <w:r>
        <w:rPr>
          <w:b/>
          <w:color w:val="0F172A"/>
          <w:sz w:val="20"/>
        </w:rPr>
        <w:t xml:space="preserve">1. </w:t>
      </w:r>
      <w:r>
        <w:rPr>
          <w:color w:val="0F172A"/>
          <w:sz w:val="20"/>
        </w:rPr>
        <w:t>Stamgegevensbeheer en registratie van 'Resultaat van het bezoek' met referentiële integriteitscontroles, veilige verwijdering en conditionele frontend weergave.</w:t>
      </w:r>
    </w:p>
    <w:p>
      <w:pPr>
        <w:pStyle w:val="ListBullet"/>
        <w:spacing w:before="20" w:after="60" w:line="276" w:lineRule="auto"/>
      </w:pPr>
      <w:r>
        <w:rPr>
          <w:b/>
          <w:color w:val="0F172A"/>
          <w:sz w:val="20"/>
        </w:rPr>
        <w:t xml:space="preserve">2. </w:t>
      </w:r>
      <w:r>
        <w:rPr>
          <w:color w:val="0F172A"/>
          <w:sz w:val="20"/>
        </w:rPr>
        <w:t>Dynamisch Role-Based Access Control (RBAC) model met een fijnmazige permissiematrix over 13 modules, 'hoogste recht wint' multi-groep resolutie en uitfasering van legacy rollen.</w:t>
      </w:r>
    </w:p>
    <w:p>
      <w:pPr>
        <w:pStyle w:val="ListBullet"/>
        <w:spacing w:before="20" w:after="60" w:line="276" w:lineRule="auto"/>
      </w:pPr>
      <w:r>
        <w:rPr>
          <w:b/>
          <w:color w:val="0F172A"/>
          <w:sz w:val="20"/>
        </w:rPr>
        <w:t xml:space="preserve">3. </w:t>
      </w:r>
      <w:r>
        <w:rPr>
          <w:color w:val="0F172A"/>
          <w:sz w:val="20"/>
        </w:rPr>
        <w:t>Speciale Digidokter-restrictie ('Alleen eigen registraties tonen') met strikte server-side filtering op consultaties.</w:t>
      </w:r>
    </w:p>
    <w:p>
      <w:pPr>
        <w:pStyle w:val="ListBullet"/>
        <w:spacing w:before="20" w:after="60" w:line="276" w:lineRule="auto"/>
      </w:pPr>
      <w:r>
        <w:rPr>
          <w:b/>
          <w:color w:val="0F172A"/>
          <w:sz w:val="20"/>
        </w:rPr>
        <w:t xml:space="preserve">4. </w:t>
      </w:r>
      <w:r>
        <w:rPr>
          <w:color w:val="0F172A"/>
          <w:sz w:val="20"/>
        </w:rPr>
        <w:t>Interne Organisatiecommunicatie met doelgroepvalidatie, [PROEFMAIL] testfunctie, JSON-snapshots van geadresseerden en strikte multi-tenant isolatie.</w:t>
      </w:r>
    </w:p>
    <w:p>
      <w:pPr>
        <w:pStyle w:val="ListBullet"/>
        <w:spacing w:before="20" w:after="60" w:line="276" w:lineRule="auto"/>
      </w:pPr>
      <w:r>
        <w:rPr>
          <w:b/>
          <w:color w:val="0F172A"/>
          <w:sz w:val="20"/>
        </w:rPr>
        <w:t xml:space="preserve">5. </w:t>
      </w:r>
      <w:r>
        <w:rPr>
          <w:color w:val="0F172A"/>
          <w:sz w:val="20"/>
        </w:rPr>
        <w:t>Zelfbediening gebruikersprofiel voor vrijwilligersfuncties en contactgegevens met sterke wachtwoordvalidatie.</w:t>
      </w:r>
    </w:p>
    <w:p>
      <w:pPr>
        <w:pStyle w:val="ListBullet"/>
        <w:spacing w:before="20" w:after="60" w:line="276" w:lineRule="auto"/>
      </w:pPr>
      <w:r>
        <w:rPr>
          <w:b/>
          <w:color w:val="0F172A"/>
          <w:sz w:val="20"/>
        </w:rPr>
        <w:t xml:space="preserve">6. </w:t>
      </w:r>
      <w:r>
        <w:rPr>
          <w:color w:val="0F172A"/>
          <w:sz w:val="20"/>
        </w:rPr>
        <w:t>CI/CD Kwaliteitsborging, SonarQube SAST en geautomatiseerde regressietesten (236 unittests, 100% geslaagd).</w:t>
      </w:r>
    </w:p>
    <w:p>
      <w:pPr>
        <w:keepNext/>
        <w:spacing w:before="280" w:after="120"/>
      </w:pPr>
      <w:r>
        <w:rPr>
          <w:b/>
          <w:color w:val="2563EB"/>
          <w:sz w:val="26"/>
        </w:rPr>
        <w:t>1.1 Samenvattende Conclusie &amp; Risicoprofiel</w:t>
      </w:r>
    </w:p>
    <w:p>
      <w:pPr>
        <w:spacing w:before="0" w:after="120" w:line="276" w:lineRule="auto"/>
      </w:pPr>
      <w:r>
        <w:rPr>
          <w:i w:val="0"/>
          <w:color w:val="0F172A"/>
          <w:sz w:val="20"/>
        </w:rPr>
        <w:t>Uit de diepgaande statische en dynamische analyse blijkt dat de applicatie over een zeer volwassen en defensief beveiligingsontwerp beschikt. Het risicoprofiel van de applicatie is Laag (Low Risk). Alle 236 unittests in de geautomatiseerde testsuite slagen foutloos. Autorisatiecontroles zijn betrouwbaar gecentraliseerd in decorators (@permission_required, @writer_required, @admin_required, @platform_admin_required) en multi-tenant data-isolatie blijft consistent afgedwongen over alle 19 datamodellen en routes.</w:t>
      </w:r>
    </w:p>
    <w:p>
      <w:pPr>
        <w:keepNext/>
        <w:spacing w:before="360" w:after="160"/>
      </w:pPr>
      <w:r>
        <w:rPr>
          <w:b/>
          <w:color w:val="1E3A8A"/>
          <w:sz w:val="32"/>
        </w:rPr>
        <w:t>2. Methodologie &amp; Auditaanpak</w:t>
      </w:r>
    </w:p>
    <w:p>
      <w:pPr>
        <w:spacing w:before="0" w:after="120" w:line="276" w:lineRule="auto"/>
      </w:pPr>
      <w:r>
        <w:rPr>
          <w:i w:val="0"/>
          <w:color w:val="0F172A"/>
          <w:sz w:val="20"/>
        </w:rPr>
        <w:t>De audit is uitgevoerd conform erkende standaarden voor softwarebeveiliging en code review, waaronder de OWASP Application Security Verification Standard (ASVS 4.0) en de CWE/SANS Top 25.</w:t>
      </w:r>
    </w:p>
    <w:p>
      <w:pPr>
        <w:keepNext/>
        <w:spacing w:before="280" w:after="120"/>
      </w:pPr>
      <w:r>
        <w:rPr>
          <w:b/>
          <w:color w:val="2563EB"/>
          <w:sz w:val="26"/>
        </w:rPr>
        <w:t>2.1 Toegepaste Inspectietechnieken</w:t>
      </w:r>
    </w:p>
    <w:p>
      <w:pPr>
        <w:pStyle w:val="ListBullet"/>
        <w:spacing w:before="20" w:after="60" w:line="276" w:lineRule="auto"/>
      </w:pPr>
      <w:r>
        <w:rPr>
          <w:b/>
          <w:color w:val="0F172A"/>
          <w:sz w:val="20"/>
        </w:rPr>
        <w:t xml:space="preserve">Static Application Security Testing (SAST): </w:t>
      </w:r>
      <w:r>
        <w:rPr>
          <w:color w:val="0F172A"/>
          <w:sz w:val="20"/>
        </w:rPr>
        <w:t>Grondige handmatige en geautomatiseerde inspectie van alle Python (Flask/SQLAlchemy), HTML (Jinja2) en configuratiebestanden.</w:t>
      </w:r>
    </w:p>
    <w:p>
      <w:pPr>
        <w:pStyle w:val="ListBullet"/>
        <w:spacing w:before="20" w:after="60" w:line="276" w:lineRule="auto"/>
      </w:pPr>
      <w:r>
        <w:rPr>
          <w:b/>
          <w:color w:val="0F172A"/>
          <w:sz w:val="20"/>
        </w:rPr>
        <w:t xml:space="preserve">Data Flow &amp; Taint Analysis: </w:t>
      </w:r>
      <w:r>
        <w:rPr>
          <w:color w:val="0F172A"/>
          <w:sz w:val="20"/>
        </w:rPr>
        <w:t>Verificatie van bron-naar-doelpaden voor gebruikersinvoer (resultaten, formuliervelden, filters, e-mails, profielwijzigingen) om injecties (SQLi, XSS, Command Injection) uit te sluiten.</w:t>
      </w:r>
    </w:p>
    <w:p>
      <w:pPr>
        <w:pStyle w:val="ListBullet"/>
        <w:spacing w:before="20" w:after="60" w:line="276" w:lineRule="auto"/>
      </w:pPr>
      <w:r>
        <w:rPr>
          <w:b/>
          <w:color w:val="0F172A"/>
          <w:sz w:val="20"/>
        </w:rPr>
        <w:t xml:space="preserve">Multi-Tenancy Isolatietoetsing: </w:t>
      </w:r>
      <w:r>
        <w:rPr>
          <w:color w:val="0F172A"/>
          <w:sz w:val="20"/>
        </w:rPr>
        <w:t>Strikte toetsing van alle query-filters op organisatie_id om tenant leaks tussen aangesloten gemeenten te voorkomen.</w:t>
      </w:r>
    </w:p>
    <w:p>
      <w:pPr>
        <w:pStyle w:val="ListBullet"/>
        <w:spacing w:before="20" w:after="60" w:line="276" w:lineRule="auto"/>
      </w:pPr>
      <w:r>
        <w:rPr>
          <w:b/>
          <w:color w:val="0F172A"/>
          <w:sz w:val="20"/>
        </w:rPr>
        <w:t xml:space="preserve">Role-Based Access Control (RBAC) Verificatie: </w:t>
      </w:r>
      <w:r>
        <w:rPr>
          <w:color w:val="0F172A"/>
          <w:sz w:val="20"/>
        </w:rPr>
        <w:t>Verificatie van de permissiematrix en toegangscontrole op modulair niveau (geen/lezen/schrijven) inclusief multi-groep conflictresolutie.</w:t>
      </w:r>
    </w:p>
    <w:p>
      <w:pPr>
        <w:pStyle w:val="ListBullet"/>
        <w:spacing w:before="20" w:after="60" w:line="276" w:lineRule="auto"/>
      </w:pPr>
      <w:r>
        <w:rPr>
          <w:b/>
          <w:color w:val="0F172A"/>
          <w:sz w:val="20"/>
        </w:rPr>
        <w:t xml:space="preserve">Geautomatiseerde Regressietesten: </w:t>
      </w:r>
      <w:r>
        <w:rPr>
          <w:color w:val="0F172A"/>
          <w:sz w:val="20"/>
        </w:rPr>
        <w:t>Uitvoering van de volledige testsuite (236 tests, 32 suites) inclusief autorisatie-, tenant-isolatie-, communicatie- en integriteitstesten.</w:t>
      </w:r>
    </w:p>
    <w:p>
      <w:pPr>
        <w:keepNext/>
        <w:spacing w:before="360" w:after="160"/>
      </w:pPr>
      <w:r>
        <w:rPr>
          <w:b/>
          <w:color w:val="1E3A8A"/>
          <w:sz w:val="32"/>
        </w:rPr>
        <w:t>3. Diepgaande Technische Evaluatie van Recente Wijzigingen</w:t>
      </w:r>
    </w:p>
    <w:p>
      <w:pPr>
        <w:keepNext/>
        <w:spacing w:before="280" w:after="120"/>
      </w:pPr>
      <w:r>
        <w:rPr>
          <w:b/>
          <w:color w:val="2563EB"/>
          <w:sz w:val="26"/>
        </w:rPr>
        <w:t>3.1 Stamgegevens &amp; Registratie van Resultaat / Afloop van het Bezoek</w:t>
      </w:r>
    </w:p>
    <w:p>
      <w:pPr>
        <w:spacing w:before="0" w:after="120" w:line="276" w:lineRule="auto"/>
      </w:pPr>
      <w:r>
        <w:rPr>
          <w:i w:val="0"/>
          <w:color w:val="0F172A"/>
          <w:sz w:val="20"/>
        </w:rPr>
        <w:t>Het nieuwe datamodel Resultaat (models/resultaat.py) maakt het mogelijk om per organisatie de uitkomst van consultaties te registreren. Deze component is onderzocht op SQL-injectie, foreign key integriteit, veilige verwijdering en multi-tenant data-isolatie.</w:t>
      </w:r>
    </w:p>
    <w:p>
      <w:pPr>
        <w:pStyle w:val="ListBullet"/>
        <w:spacing w:before="20" w:after="60" w:line="276" w:lineRule="auto"/>
      </w:pPr>
      <w:r>
        <w:rPr>
          <w:b/>
          <w:color w:val="0F172A"/>
          <w:sz w:val="20"/>
        </w:rPr>
        <w:t xml:space="preserve">Multi-Tenant Isolatie: </w:t>
      </w:r>
      <w:r>
        <w:rPr>
          <w:color w:val="0F172A"/>
          <w:sz w:val="20"/>
        </w:rPr>
        <w:t>Het model bevat een foreign key organisatie_id. Alle CRUD-bewerkingen in routes/admin.py filteren strikt op de actieve organisatie. Direct Object Reference (IDOR) pogingen op resultaat_id van andere gemeenten worden direct geblokkeerd.</w:t>
      </w:r>
    </w:p>
    <w:p>
      <w:pPr>
        <w:pStyle w:val="ListBullet"/>
        <w:spacing w:before="20" w:after="60" w:line="276" w:lineRule="auto"/>
      </w:pPr>
      <w:r>
        <w:rPr>
          <w:b/>
          <w:color w:val="0F172A"/>
          <w:sz w:val="20"/>
        </w:rPr>
        <w:t xml:space="preserve">Referentiële Integriteit &amp; Veilig Wissen: </w:t>
      </w:r>
      <w:r>
        <w:rPr>
          <w:color w:val="0F172A"/>
          <w:sz w:val="20"/>
        </w:rPr>
        <w:t>In utils/stamgegevens.py is controle op referentiële integriteit toegepast. Een Resultaat kan uitsluitend worden gewist indien er exact 0 gekoppelde registraties naar verwijzen. De UI schakelt de verwijderknop automatisch uit met duidelijke feedback.</w:t>
      </w:r>
    </w:p>
    <w:p>
      <w:pPr>
        <w:pStyle w:val="ListBullet"/>
        <w:spacing w:before="20" w:after="60" w:line="276" w:lineRule="auto"/>
      </w:pPr>
      <w:r>
        <w:rPr>
          <w:b/>
          <w:color w:val="0F172A"/>
          <w:sz w:val="20"/>
        </w:rPr>
        <w:t xml:space="preserve">Conditionele Input &amp; Sanitization: </w:t>
      </w:r>
      <w:r>
        <w:rPr>
          <w:color w:val="0F172A"/>
          <w:sz w:val="20"/>
        </w:rPr>
        <w:t>Het veld 'Resultaat' in registratieformulieren (add.html, quick.html, edit.html) en exportfilters wordt conditioneel getoond uitsluitend indien er actieve resultaten zijn geconfigureerd.</w:t>
      </w:r>
    </w:p>
    <w:p>
      <w:pPr>
        <w:keepNext/>
        <w:spacing w:before="280" w:after="120"/>
      </w:pPr>
      <w:r>
        <w:rPr>
          <w:b/>
          <w:color w:val="2563EB"/>
          <w:sz w:val="26"/>
        </w:rPr>
        <w:t>3.2 Dynamisch RBAC &amp; Fijnmazige Permissiematrix</w:t>
      </w:r>
    </w:p>
    <w:p>
      <w:pPr>
        <w:spacing w:before="0" w:after="120" w:line="276" w:lineRule="auto"/>
      </w:pPr>
      <w:r>
        <w:rPr>
          <w:i w:val="0"/>
          <w:color w:val="0F172A"/>
          <w:sz w:val="20"/>
        </w:rPr>
        <w:t>Het autorisatiemodel is geëvolueerd van statische rollen naar een dynamisch, multi-tenant groepenbeheersysteem met een matrix van permissieniveaus (geen / lezen / schrijven) per module.</w:t>
      </w:r>
    </w:p>
    <w:p>
      <w:pPr>
        <w:pStyle w:val="ListBullet"/>
        <w:spacing w:before="20" w:after="60" w:line="276" w:lineRule="auto"/>
      </w:pPr>
      <w:r>
        <w:rPr>
          <w:b/>
          <w:color w:val="0F172A"/>
          <w:sz w:val="20"/>
        </w:rPr>
        <w:t xml:space="preserve">Modulaire Permissiematrix: </w:t>
      </w:r>
      <w:r>
        <w:rPr>
          <w:color w:val="0F172A"/>
          <w:sz w:val="20"/>
        </w:rPr>
        <w:t>De permissiematrix controleert per functionele module (Registraties, Agenda, Evaluaties, Documenten, Statistieken, Export, Feedback, Stamgegevens, Gebruikers, Groepen, Backups, Auditlogs, App documentatie) het recht. Gebruikers met meerdere groepen combineren rechten volgens het principe 'hoogste recht wint' (Schrijven &gt; Lezen &gt; Geen).</w:t>
      </w:r>
    </w:p>
    <w:p>
      <w:pPr>
        <w:pStyle w:val="ListBullet"/>
        <w:spacing w:before="20" w:after="60" w:line="276" w:lineRule="auto"/>
      </w:pPr>
      <w:r>
        <w:rPr>
          <w:b/>
          <w:color w:val="0F172A"/>
          <w:sz w:val="20"/>
        </w:rPr>
        <w:t xml:space="preserve">Volledige Uitfasering Legacy Rollen: </w:t>
      </w:r>
      <w:r>
        <w:rPr>
          <w:color w:val="0F172A"/>
          <w:sz w:val="20"/>
        </w:rPr>
        <w:t>Alle autorisatie-helpers en decorators (@admin_required, @writer_required, user.is_beheerder(), user.is_lezer()) zijn 100% losgekoppeld van het verouderde UserOrganisatie.rol veld en draaien uitsluitend op basis van de dynamische groepsrechten.</w:t>
      </w:r>
    </w:p>
    <w:p>
      <w:pPr>
        <w:pStyle w:val="ListBullet"/>
        <w:spacing w:before="20" w:after="60" w:line="276" w:lineRule="auto"/>
      </w:pPr>
      <w:r>
        <w:rPr>
          <w:b/>
          <w:color w:val="0F172A"/>
          <w:sz w:val="20"/>
        </w:rPr>
        <w:t xml:space="preserve">Bescherming Laatste Platformbeheerder: </w:t>
      </w:r>
      <w:r>
        <w:rPr>
          <w:color w:val="0F172A"/>
          <w:sz w:val="20"/>
        </w:rPr>
        <w:t>De allerlaatste actieve platformbeheerder in het systeem kan onder geen beding worden uitgeschakeld of gewist, via zowel UI-blokkering als server-side validatie in routes/admin.py en routes/platform.py.</w:t>
      </w:r>
    </w:p>
    <w:p>
      <w:pPr>
        <w:keepNext/>
        <w:spacing w:before="280" w:after="120"/>
      </w:pPr>
      <w:r>
        <w:rPr>
          <w:b/>
          <w:color w:val="2563EB"/>
          <w:sz w:val="26"/>
        </w:rPr>
        <w:t>3.3 Restrictie 'Alleen Eigen Registraties Tonen'</w:t>
      </w:r>
    </w:p>
    <w:p>
      <w:pPr>
        <w:spacing w:before="0" w:after="120" w:line="276" w:lineRule="auto"/>
      </w:pPr>
      <w:r>
        <w:rPr>
          <w:i w:val="0"/>
          <w:color w:val="0F172A"/>
          <w:sz w:val="20"/>
        </w:rPr>
        <w:t>Voor organisaties die strikte functiescheiding hanteren, kan per groep de optie 'Alleen eigen registraties tonen' worden geactiveerd.</w:t>
      </w:r>
    </w:p>
    <w:p>
      <w:pPr>
        <w:pStyle w:val="ListBullet"/>
        <w:spacing w:before="20" w:after="60" w:line="276" w:lineRule="auto"/>
      </w:pPr>
      <w:r>
        <w:rPr>
          <w:b/>
          <w:color w:val="0F172A"/>
          <w:sz w:val="20"/>
        </w:rPr>
        <w:t xml:space="preserve">UI-Aanpassing: </w:t>
      </w:r>
      <w:r>
        <w:rPr>
          <w:color w:val="0F172A"/>
          <w:sz w:val="20"/>
        </w:rPr>
        <w:t>Wanneer actief voor een gebruiker, wordt de filterdropdown voor digidokters in het registratieoverzicht verborgen.</w:t>
      </w:r>
    </w:p>
    <w:p>
      <w:pPr>
        <w:pStyle w:val="ListBullet"/>
        <w:spacing w:before="20" w:after="60" w:line="276" w:lineRule="auto"/>
      </w:pPr>
      <w:r>
        <w:rPr>
          <w:b/>
          <w:color w:val="0F172A"/>
          <w:sz w:val="20"/>
        </w:rPr>
        <w:t xml:space="preserve">Server-Side Handhaving: </w:t>
      </w:r>
      <w:r>
        <w:rPr>
          <w:color w:val="0F172A"/>
          <w:sz w:val="20"/>
        </w:rPr>
        <w:t>In routes/registrations.py wordt server-side afgedwongen dat de query automatisch wordt gefilterd op query = query.filter(Registration.digidokter_id == user_digidokter.id). Manipulatie van GET-parameters kan deze restrictie niet omzeilen.</w:t>
      </w:r>
    </w:p>
    <w:p>
      <w:pPr>
        <w:keepNext/>
        <w:spacing w:before="280" w:after="120"/>
      </w:pPr>
      <w:r>
        <w:rPr>
          <w:b/>
          <w:color w:val="2563EB"/>
          <w:sz w:val="26"/>
        </w:rPr>
        <w:t>3.4 Interne &amp; Platform Organisatiecommunicatie</w:t>
      </w:r>
    </w:p>
    <w:p>
      <w:pPr>
        <w:spacing w:before="0" w:after="120" w:line="276" w:lineRule="auto"/>
      </w:pPr>
      <w:r>
        <w:rPr>
          <w:i w:val="0"/>
          <w:color w:val="0F172A"/>
          <w:sz w:val="20"/>
        </w:rPr>
        <w:t>Onder /beheer/communicatie en /platform/communicatie kunnen beheerders gerichte e-mailberichten sturen naar hun medewerkers en vrijwilligers.</w:t>
      </w:r>
    </w:p>
    <w:p>
      <w:pPr>
        <w:pStyle w:val="ListBullet"/>
        <w:spacing w:before="20" w:after="60" w:line="276" w:lineRule="auto"/>
      </w:pPr>
      <w:r>
        <w:rPr>
          <w:b/>
          <w:color w:val="0F172A"/>
          <w:sz w:val="20"/>
        </w:rPr>
        <w:t xml:space="preserve">Doelgroepvalidatie: </w:t>
      </w:r>
      <w:r>
        <w:rPr>
          <w:color w:val="0F172A"/>
          <w:sz w:val="20"/>
        </w:rPr>
        <w:t>Validatielogica controleert realtime welke actieve accounts binnen de geselecteerde doelgroep een geldig e-mailadres hebben en toont een waarschuwing indien accounts ontbreken.</w:t>
      </w:r>
    </w:p>
    <w:p>
      <w:pPr>
        <w:pStyle w:val="ListBullet"/>
        <w:spacing w:before="20" w:after="60" w:line="276" w:lineRule="auto"/>
      </w:pPr>
      <w:r>
        <w:rPr>
          <w:b/>
          <w:color w:val="0F172A"/>
          <w:sz w:val="20"/>
        </w:rPr>
        <w:t xml:space="preserve">Veilige Proefmail-functie: </w:t>
      </w:r>
      <w:r>
        <w:rPr>
          <w:color w:val="0F172A"/>
          <w:sz w:val="20"/>
        </w:rPr>
        <w:t>Met de knop 'Testmail naar mezelf' kan een beheerder het bericht eerst als proefmail ontvangen met voorvoegsel [PROEFMAIL], zonder geadresseerden te storen.</w:t>
      </w:r>
    </w:p>
    <w:p>
      <w:pPr>
        <w:pStyle w:val="ListBullet"/>
        <w:spacing w:before="20" w:after="60" w:line="276" w:lineRule="auto"/>
      </w:pPr>
      <w:r>
        <w:rPr>
          <w:b/>
          <w:color w:val="0F172A"/>
          <w:sz w:val="20"/>
        </w:rPr>
        <w:t xml:space="preserve">Verzendhistoriek &amp; Audit: </w:t>
      </w:r>
      <w:r>
        <w:rPr>
          <w:color w:val="0F172A"/>
          <w:sz w:val="20"/>
        </w:rPr>
        <w:t>Alle verzendingen worden gelogd met tijdstip, afzender, onderwerp, berichttekst en een JSON-snapshot van alle geadresseerden met strikte multi-tenant isolatie.</w:t>
      </w:r>
    </w:p>
    <w:p>
      <w:pPr>
        <w:keepNext/>
        <w:spacing w:before="280" w:after="120"/>
      </w:pPr>
      <w:r>
        <w:rPr>
          <w:b/>
          <w:color w:val="2563EB"/>
          <w:sz w:val="26"/>
        </w:rPr>
        <w:t>3.5 Zelfbediening Gebruikersprofiel &amp; Vrijwilligersfuncties</w:t>
      </w:r>
    </w:p>
    <w:p>
      <w:pPr>
        <w:spacing w:before="0" w:after="120" w:line="276" w:lineRule="auto"/>
      </w:pPr>
      <w:r>
        <w:rPr>
          <w:i w:val="0"/>
          <w:color w:val="0F172A"/>
          <w:sz w:val="20"/>
        </w:rPr>
        <w:t>Gebruikers kunnen via /wachtwoord zelf hun contactgegevens (telefoon, e-mail) en functies aanpassen.</w:t>
      </w:r>
    </w:p>
    <w:p>
      <w:pPr>
        <w:pStyle w:val="ListBullet"/>
        <w:spacing w:before="20" w:after="60" w:line="276" w:lineRule="auto"/>
      </w:pPr>
      <w:r>
        <w:rPr>
          <w:b/>
          <w:color w:val="0F172A"/>
          <w:sz w:val="20"/>
        </w:rPr>
        <w:t xml:space="preserve">Toegangsbeperking: </w:t>
      </w:r>
      <w:r>
        <w:rPr>
          <w:color w:val="0F172A"/>
          <w:sz w:val="20"/>
        </w:rPr>
        <w:t>De route controleert strikt dat een gebruiker uitsluitend zijn eigen account kan bewerken (current_user.id).</w:t>
      </w:r>
    </w:p>
    <w:p>
      <w:pPr>
        <w:pStyle w:val="ListBullet"/>
        <w:spacing w:before="20" w:after="60" w:line="276" w:lineRule="auto"/>
      </w:pPr>
      <w:r>
        <w:rPr>
          <w:b/>
          <w:color w:val="0F172A"/>
          <w:sz w:val="20"/>
        </w:rPr>
        <w:t xml:space="preserve">Wachtwoordcomplexiteit &amp; Validatie: </w:t>
      </w:r>
      <w:r>
        <w:rPr>
          <w:color w:val="0F172A"/>
          <w:sz w:val="20"/>
        </w:rPr>
        <w:t>Wachtwoordwijzigingen vereisen invoer van het huidige wachtwoord en valideren op minimale complexiteitseisen (minstens 8 tekens, hoofdletter, cijfer).</w:t>
      </w:r>
    </w:p>
    <w:p>
      <w:r>
        <w:br w:type="page"/>
      </w:r>
    </w:p>
    <w:p>
      <w:pPr>
        <w:keepNext/>
        <w:spacing w:before="360" w:after="160"/>
      </w:pPr>
      <w:r>
        <w:rPr>
          <w:b/>
          <w:color w:val="1E3A8A"/>
          <w:sz w:val="32"/>
        </w:rPr>
        <w:t>4. OWASP Top 10 (2021) Toetsingsmatrix</w:t>
      </w:r>
    </w:p>
    <w:p>
      <w:pPr>
        <w:spacing w:before="0" w:after="120" w:line="276" w:lineRule="auto"/>
      </w:pPr>
      <w:r>
        <w:rPr>
          <w:i w:val="0"/>
          <w:color w:val="0F172A"/>
          <w:sz w:val="20"/>
        </w:rPr>
        <w:t>Het complete platform is opnieuw getoetst aan de actuele OWASP Top 10 kwetsbaarheidscategorieën: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3135"/>
        <w:gridCol w:w="3135"/>
        <w:gridCol w:w="3135"/>
      </w:tblGrid>
      <w:tr>
        <w:tc>
          <w:tcPr>
            <w:tcW w:type="dxa" w:w="2551"/>
            <w:shd w:fill="1E3A8A"/>
            <w:tcMar>
              <w:top w:w="160" w:type="dxa"/>
              <w:bottom w:w="160" w:type="dxa"/>
              <w:left w:w="180" w:type="dxa"/>
              <w:right w:w="180" w:type="dxa"/>
            </w:tcMar>
          </w:tcPr>
          <w:p>
            <w:pPr>
              <w:jc w:val="left"/>
            </w:pPr>
            <w:r>
              <w:rPr>
                <w:b/>
                <w:color w:val="FFFFFF"/>
                <w:sz w:val="19"/>
              </w:rPr>
              <w:t>OWASP Categorie</w:t>
            </w:r>
          </w:p>
        </w:tc>
        <w:tc>
          <w:tcPr>
            <w:tcW w:type="dxa" w:w="1701"/>
            <w:shd w:fill="1E3A8A"/>
            <w:tcMar>
              <w:top w:w="160" w:type="dxa"/>
              <w:bottom w:w="160" w:type="dxa"/>
              <w:left w:w="180" w:type="dxa"/>
              <w:right w:w="180" w:type="dxa"/>
            </w:tcMar>
          </w:tcPr>
          <w:p>
            <w:pPr>
              <w:jc w:val="left"/>
            </w:pPr>
            <w:r>
              <w:rPr>
                <w:b/>
                <w:color w:val="FFFFFF"/>
                <w:sz w:val="19"/>
              </w:rPr>
              <w:t>Status</w:t>
            </w:r>
          </w:p>
        </w:tc>
        <w:tc>
          <w:tcPr>
            <w:tcW w:type="dxa" w:w="5102"/>
            <w:shd w:fill="1E3A8A"/>
            <w:tcMar>
              <w:top w:w="160" w:type="dxa"/>
              <w:bottom w:w="160" w:type="dxa"/>
              <w:left w:w="180" w:type="dxa"/>
              <w:right w:w="180" w:type="dxa"/>
            </w:tcMar>
          </w:tcPr>
          <w:p>
            <w:pPr>
              <w:jc w:val="left"/>
            </w:pPr>
            <w:r>
              <w:rPr>
                <w:b/>
                <w:color w:val="FFFFFF"/>
                <w:sz w:val="19"/>
              </w:rPr>
              <w:t>Geïmplementeerde Beveiligingsmaatregelen</w:t>
            </w:r>
          </w:p>
        </w:tc>
      </w:tr>
      <w:tr>
        <w:tc>
          <w:tcPr>
            <w:tcW w:type="dxa" w:w="2551"/>
            <w:shd w:fill="FFFFFF"/>
            <w:tcMar>
              <w:top w:w="120" w:type="dxa"/>
              <w:bottom w:w="120" w:type="dxa"/>
              <w:left w:w="160" w:type="dxa"/>
              <w:right w:w="160" w:type="dxa"/>
            </w:tcMar>
          </w:tcPr>
          <w:p>
            <w:r>
              <w:rPr>
                <w:color w:val="0F172A"/>
                <w:sz w:val="18"/>
              </w:rPr>
              <w:t>A01: Broken Access Control</w:t>
            </w:r>
          </w:p>
        </w:tc>
        <w:tc>
          <w:tcPr>
            <w:tcW w:type="dxa" w:w="1701"/>
            <w:shd w:fill="FFFFFF"/>
            <w:tcMar>
              <w:top w:w="120" w:type="dxa"/>
              <w:bottom w:w="120" w:type="dxa"/>
              <w:left w:w="160" w:type="dxa"/>
              <w:right w:w="160" w:type="dxa"/>
            </w:tcMar>
          </w:tcPr>
          <w:p>
            <w:r>
              <w:rPr>
                <w:color w:val="0F172A"/>
                <w:sz w:val="18"/>
              </w:rPr>
              <w:t>UITSTEKEND</w:t>
            </w:r>
          </w:p>
        </w:tc>
        <w:tc>
          <w:tcPr>
            <w:tcW w:type="dxa" w:w="5102"/>
            <w:shd w:fill="FFFFFF"/>
            <w:tcMar>
              <w:top w:w="120" w:type="dxa"/>
              <w:bottom w:w="120" w:type="dxa"/>
              <w:left w:w="160" w:type="dxa"/>
              <w:right w:w="160" w:type="dxa"/>
            </w:tcMar>
          </w:tcPr>
          <w:p>
            <w:r>
              <w:rPr>
                <w:color w:val="0F172A"/>
                <w:sz w:val="18"/>
              </w:rPr>
              <w:t>Dynamische permissiematrix per module. Strikte organisatie_id query-filters. Handhaving van 'Alleen eigen registraties'. Bescherming laatste superadmin.</w:t>
            </w:r>
          </w:p>
        </w:tc>
      </w:tr>
      <w:tr>
        <w:tc>
          <w:tcPr>
            <w:tcW w:type="dxa" w:w="2551"/>
            <w:shd w:fill="F1F5F9"/>
            <w:tcMar>
              <w:top w:w="120" w:type="dxa"/>
              <w:bottom w:w="120" w:type="dxa"/>
              <w:left w:w="160" w:type="dxa"/>
              <w:right w:w="160" w:type="dxa"/>
            </w:tcMar>
          </w:tcPr>
          <w:p>
            <w:r>
              <w:rPr>
                <w:color w:val="0F172A"/>
                <w:sz w:val="18"/>
              </w:rPr>
              <w:t>A02: Cryptographic Failures</w:t>
            </w:r>
          </w:p>
        </w:tc>
        <w:tc>
          <w:tcPr>
            <w:tcW w:type="dxa" w:w="1701"/>
            <w:shd w:fill="F1F5F9"/>
            <w:tcMar>
              <w:top w:w="120" w:type="dxa"/>
              <w:bottom w:w="120" w:type="dxa"/>
              <w:left w:w="160" w:type="dxa"/>
              <w:right w:w="160" w:type="dxa"/>
            </w:tcMar>
          </w:tcPr>
          <w:p>
            <w:r>
              <w:rPr>
                <w:color w:val="0F172A"/>
                <w:sz w:val="18"/>
              </w:rPr>
              <w:t>UITSTEKEND</w:t>
            </w:r>
          </w:p>
        </w:tc>
        <w:tc>
          <w:tcPr>
            <w:tcW w:type="dxa" w:w="5102"/>
            <w:shd w:fill="F1F5F9"/>
            <w:tcMar>
              <w:top w:w="120" w:type="dxa"/>
              <w:bottom w:w="120" w:type="dxa"/>
              <w:left w:w="160" w:type="dxa"/>
              <w:right w:w="160" w:type="dxa"/>
            </w:tcMar>
          </w:tcPr>
          <w:p>
            <w:r>
              <w:rPr>
                <w:color w:val="0F172A"/>
                <w:sz w:val="18"/>
              </w:rPr>
              <w:t>Wachtwoordhashing via Werkzeug Scrypt/Pbkdf2 met unieke salts. HTTPS/Secure cookies in productie. TLS verificatie bij database synchronisaties.</w:t>
            </w:r>
          </w:p>
        </w:tc>
      </w:tr>
      <w:tr>
        <w:tc>
          <w:tcPr>
            <w:tcW w:type="dxa" w:w="2551"/>
            <w:shd w:fill="FFFFFF"/>
            <w:tcMar>
              <w:top w:w="120" w:type="dxa"/>
              <w:bottom w:w="120" w:type="dxa"/>
              <w:left w:w="160" w:type="dxa"/>
              <w:right w:w="160" w:type="dxa"/>
            </w:tcMar>
          </w:tcPr>
          <w:p>
            <w:r>
              <w:rPr>
                <w:color w:val="0F172A"/>
                <w:sz w:val="18"/>
              </w:rPr>
              <w:t>A03: Injection (SQL, XSS, Command)</w:t>
            </w:r>
          </w:p>
        </w:tc>
        <w:tc>
          <w:tcPr>
            <w:tcW w:type="dxa" w:w="1701"/>
            <w:shd w:fill="FFFFFF"/>
            <w:tcMar>
              <w:top w:w="120" w:type="dxa"/>
              <w:bottom w:w="120" w:type="dxa"/>
              <w:left w:w="160" w:type="dxa"/>
              <w:right w:w="160" w:type="dxa"/>
            </w:tcMar>
          </w:tcPr>
          <w:p>
            <w:r>
              <w:rPr>
                <w:color w:val="0F172A"/>
                <w:sz w:val="18"/>
              </w:rPr>
              <w:t>UITSTEKEND</w:t>
            </w:r>
          </w:p>
        </w:tc>
        <w:tc>
          <w:tcPr>
            <w:tcW w:type="dxa" w:w="5102"/>
            <w:shd w:fill="FFFFFF"/>
            <w:tcMar>
              <w:top w:w="120" w:type="dxa"/>
              <w:bottom w:w="120" w:type="dxa"/>
              <w:left w:w="160" w:type="dxa"/>
              <w:right w:w="160" w:type="dxa"/>
            </w:tcMar>
          </w:tcPr>
          <w:p>
            <w:r>
              <w:rPr>
                <w:color w:val="0F172A"/>
                <w:sz w:val="18"/>
              </w:rPr>
              <w:t>100% SQLAlchemy ORM geparametriseerde queries. Jinja2 autoescaping en html.escape() in documentweergave. Geen ongevalideerde shell-commando's.</w:t>
            </w:r>
          </w:p>
        </w:tc>
      </w:tr>
      <w:tr>
        <w:tc>
          <w:tcPr>
            <w:tcW w:type="dxa" w:w="2551"/>
            <w:shd w:fill="F1F5F9"/>
            <w:tcMar>
              <w:top w:w="120" w:type="dxa"/>
              <w:bottom w:w="120" w:type="dxa"/>
              <w:left w:w="160" w:type="dxa"/>
              <w:right w:w="160" w:type="dxa"/>
            </w:tcMar>
          </w:tcPr>
          <w:p>
            <w:r>
              <w:rPr>
                <w:color w:val="0F172A"/>
                <w:sz w:val="18"/>
              </w:rPr>
              <w:t>A04: Insecure Design</w:t>
            </w:r>
          </w:p>
        </w:tc>
        <w:tc>
          <w:tcPr>
            <w:tcW w:type="dxa" w:w="1701"/>
            <w:shd w:fill="F1F5F9"/>
            <w:tcMar>
              <w:top w:w="120" w:type="dxa"/>
              <w:bottom w:w="120" w:type="dxa"/>
              <w:left w:w="160" w:type="dxa"/>
              <w:right w:w="160" w:type="dxa"/>
            </w:tcMar>
          </w:tcPr>
          <w:p>
            <w:r>
              <w:rPr>
                <w:color w:val="0F172A"/>
                <w:sz w:val="18"/>
              </w:rPr>
              <w:t>UITSTEKEND</w:t>
            </w:r>
          </w:p>
        </w:tc>
        <w:tc>
          <w:tcPr>
            <w:tcW w:type="dxa" w:w="5102"/>
            <w:shd w:fill="F1F5F9"/>
            <w:tcMar>
              <w:top w:w="120" w:type="dxa"/>
              <w:bottom w:w="120" w:type="dxa"/>
              <w:left w:w="160" w:type="dxa"/>
              <w:right w:w="160" w:type="dxa"/>
            </w:tcMar>
          </w:tcPr>
          <w:p>
            <w:r>
              <w:rPr>
                <w:color w:val="0F172A"/>
                <w:sz w:val="18"/>
              </w:rPr>
              <w:t>Multi-tenant isolatiemodel. GFS backup retentie. Sandboxed iframe voor document preview zonder allow-same-origin. Conditionele formuliervelden.</w:t>
            </w:r>
          </w:p>
        </w:tc>
      </w:tr>
      <w:tr>
        <w:tc>
          <w:tcPr>
            <w:tcW w:type="dxa" w:w="2551"/>
            <w:shd w:fill="FFFFFF"/>
            <w:tcMar>
              <w:top w:w="120" w:type="dxa"/>
              <w:bottom w:w="120" w:type="dxa"/>
              <w:left w:w="160" w:type="dxa"/>
              <w:right w:w="160" w:type="dxa"/>
            </w:tcMar>
          </w:tcPr>
          <w:p>
            <w:r>
              <w:rPr>
                <w:color w:val="0F172A"/>
                <w:sz w:val="18"/>
              </w:rPr>
              <w:t>A05: Security Misconfiguration</w:t>
            </w:r>
          </w:p>
        </w:tc>
        <w:tc>
          <w:tcPr>
            <w:tcW w:type="dxa" w:w="1701"/>
            <w:shd w:fill="FFFFFF"/>
            <w:tcMar>
              <w:top w:w="120" w:type="dxa"/>
              <w:bottom w:w="120" w:type="dxa"/>
              <w:left w:w="160" w:type="dxa"/>
              <w:right w:w="160" w:type="dxa"/>
            </w:tcMar>
          </w:tcPr>
          <w:p>
            <w:r>
              <w:rPr>
                <w:color w:val="0F172A"/>
                <w:sz w:val="18"/>
              </w:rPr>
              <w:t>UITSTEKEND</w:t>
            </w:r>
          </w:p>
        </w:tc>
        <w:tc>
          <w:tcPr>
            <w:tcW w:type="dxa" w:w="5102"/>
            <w:shd w:fill="FFFFFF"/>
            <w:tcMar>
              <w:top w:w="120" w:type="dxa"/>
              <w:bottom w:w="120" w:type="dxa"/>
              <w:left w:w="160" w:type="dxa"/>
              <w:right w:w="160" w:type="dxa"/>
            </w:tcMar>
          </w:tcPr>
          <w:p>
            <w:r>
              <w:rPr>
                <w:color w:val="0F172A"/>
                <w:sz w:val="18"/>
              </w:rPr>
              <w:t>Veilige cookie flags (Secure, HttpOnly, SameSite=Lax). Strikte Content-Security-Policy (CSP) headers en X-Content-Type-Options: nosniff.</w:t>
            </w:r>
          </w:p>
        </w:tc>
      </w:tr>
      <w:tr>
        <w:tc>
          <w:tcPr>
            <w:tcW w:type="dxa" w:w="2551"/>
            <w:shd w:fill="F1F5F9"/>
            <w:tcMar>
              <w:top w:w="120" w:type="dxa"/>
              <w:bottom w:w="120" w:type="dxa"/>
              <w:left w:w="160" w:type="dxa"/>
              <w:right w:w="160" w:type="dxa"/>
            </w:tcMar>
          </w:tcPr>
          <w:p>
            <w:r>
              <w:rPr>
                <w:color w:val="0F172A"/>
                <w:sz w:val="18"/>
              </w:rPr>
              <w:t>A06: Vulnerable Components</w:t>
            </w:r>
          </w:p>
        </w:tc>
        <w:tc>
          <w:tcPr>
            <w:tcW w:type="dxa" w:w="1701"/>
            <w:shd w:fill="F1F5F9"/>
            <w:tcMar>
              <w:top w:w="120" w:type="dxa"/>
              <w:bottom w:w="120" w:type="dxa"/>
              <w:left w:w="160" w:type="dxa"/>
              <w:right w:w="160" w:type="dxa"/>
            </w:tcMar>
          </w:tcPr>
          <w:p>
            <w:r>
              <w:rPr>
                <w:color w:val="0F172A"/>
                <w:sz w:val="18"/>
              </w:rPr>
              <w:t>UITSTEKEND</w:t>
            </w:r>
          </w:p>
        </w:tc>
        <w:tc>
          <w:tcPr>
            <w:tcW w:type="dxa" w:w="5102"/>
            <w:shd w:fill="F1F5F9"/>
            <w:tcMar>
              <w:top w:w="120" w:type="dxa"/>
              <w:bottom w:w="120" w:type="dxa"/>
              <w:left w:w="160" w:type="dxa"/>
              <w:right w:w="160" w:type="dxa"/>
            </w:tcMar>
          </w:tcPr>
          <w:p>
            <w:r>
              <w:rPr>
                <w:color w:val="0F172A"/>
                <w:sz w:val="18"/>
              </w:rPr>
              <w:t>Vastgezette versies in requirements.txt (Flask 3.0.3, SQLAlchemy 2.0.x, Werkzeug, openpyxl, python-docx). SonarQube SAST integratie.</w:t>
            </w:r>
          </w:p>
        </w:tc>
      </w:tr>
      <w:tr>
        <w:tc>
          <w:tcPr>
            <w:tcW w:type="dxa" w:w="2551"/>
            <w:shd w:fill="FFFFFF"/>
            <w:tcMar>
              <w:top w:w="120" w:type="dxa"/>
              <w:bottom w:w="120" w:type="dxa"/>
              <w:left w:w="160" w:type="dxa"/>
              <w:right w:w="160" w:type="dxa"/>
            </w:tcMar>
          </w:tcPr>
          <w:p>
            <w:r>
              <w:rPr>
                <w:color w:val="0F172A"/>
                <w:sz w:val="18"/>
              </w:rPr>
              <w:t>A07: Identification &amp; Auth Failures</w:t>
            </w:r>
          </w:p>
        </w:tc>
        <w:tc>
          <w:tcPr>
            <w:tcW w:type="dxa" w:w="1701"/>
            <w:shd w:fill="FFFFFF"/>
            <w:tcMar>
              <w:top w:w="120" w:type="dxa"/>
              <w:bottom w:w="120" w:type="dxa"/>
              <w:left w:w="160" w:type="dxa"/>
              <w:right w:w="160" w:type="dxa"/>
            </w:tcMar>
          </w:tcPr>
          <w:p>
            <w:r>
              <w:rPr>
                <w:color w:val="0F172A"/>
                <w:sz w:val="18"/>
              </w:rPr>
              <w:t>UITSTEKEND</w:t>
            </w:r>
          </w:p>
        </w:tc>
        <w:tc>
          <w:tcPr>
            <w:tcW w:type="dxa" w:w="5102"/>
            <w:shd w:fill="FFFFFF"/>
            <w:tcMar>
              <w:top w:w="120" w:type="dxa"/>
              <w:bottom w:w="120" w:type="dxa"/>
              <w:left w:w="160" w:type="dxa"/>
              <w:right w:w="160" w:type="dxa"/>
            </w:tcMar>
          </w:tcPr>
          <w:p>
            <w:r>
              <w:rPr>
                <w:color w:val="0F172A"/>
                <w:sz w:val="18"/>
              </w:rPr>
              <w:t>Flask-Limiter rate limiting op login, wachtwoordherstel en publieke evaluatietokens. Account lockout na mislukte resets. Veilige token hashing.</w:t>
            </w:r>
          </w:p>
        </w:tc>
      </w:tr>
      <w:tr>
        <w:tc>
          <w:tcPr>
            <w:tcW w:type="dxa" w:w="2551"/>
            <w:shd w:fill="F1F5F9"/>
            <w:tcMar>
              <w:top w:w="120" w:type="dxa"/>
              <w:bottom w:w="120" w:type="dxa"/>
              <w:left w:w="160" w:type="dxa"/>
              <w:right w:w="160" w:type="dxa"/>
            </w:tcMar>
          </w:tcPr>
          <w:p>
            <w:r>
              <w:rPr>
                <w:color w:val="0F172A"/>
                <w:sz w:val="18"/>
              </w:rPr>
              <w:t>A08: Software &amp; Data Integrity</w:t>
            </w:r>
          </w:p>
        </w:tc>
        <w:tc>
          <w:tcPr>
            <w:tcW w:type="dxa" w:w="1701"/>
            <w:shd w:fill="F1F5F9"/>
            <w:tcMar>
              <w:top w:w="120" w:type="dxa"/>
              <w:bottom w:w="120" w:type="dxa"/>
              <w:left w:w="160" w:type="dxa"/>
              <w:right w:w="160" w:type="dxa"/>
            </w:tcMar>
          </w:tcPr>
          <w:p>
            <w:r>
              <w:rPr>
                <w:color w:val="0F172A"/>
                <w:sz w:val="18"/>
              </w:rPr>
              <w:t>UITSTEKEND</w:t>
            </w:r>
          </w:p>
        </w:tc>
        <w:tc>
          <w:tcPr>
            <w:tcW w:type="dxa" w:w="5102"/>
            <w:shd w:fill="F1F5F9"/>
            <w:tcMar>
              <w:top w:w="120" w:type="dxa"/>
              <w:bottom w:w="120" w:type="dxa"/>
              <w:left w:w="160" w:type="dxa"/>
              <w:right w:w="160" w:type="dxa"/>
            </w:tcMar>
          </w:tcPr>
          <w:p>
            <w:r>
              <w:rPr>
                <w:color w:val="0F172A"/>
                <w:sz w:val="18"/>
              </w:rPr>
              <w:t>CSRF protectie op alle formulieren via Flask-WTF. Referentiële integriteitscontroles bij verwijdering van stamgegevens (Resultaten, Locaties, Functies).</w:t>
            </w:r>
          </w:p>
        </w:tc>
      </w:tr>
      <w:tr>
        <w:tc>
          <w:tcPr>
            <w:tcW w:type="dxa" w:w="2551"/>
            <w:shd w:fill="FFFFFF"/>
            <w:tcMar>
              <w:top w:w="120" w:type="dxa"/>
              <w:bottom w:w="120" w:type="dxa"/>
              <w:left w:w="160" w:type="dxa"/>
              <w:right w:w="160" w:type="dxa"/>
            </w:tcMar>
          </w:tcPr>
          <w:p>
            <w:r>
              <w:rPr>
                <w:color w:val="0F172A"/>
                <w:sz w:val="18"/>
              </w:rPr>
              <w:t>A09: Security Logging &amp; Monitoring</w:t>
            </w:r>
          </w:p>
        </w:tc>
        <w:tc>
          <w:tcPr>
            <w:tcW w:type="dxa" w:w="1701"/>
            <w:shd w:fill="FFFFFF"/>
            <w:tcMar>
              <w:top w:w="120" w:type="dxa"/>
              <w:bottom w:w="120" w:type="dxa"/>
              <w:left w:w="160" w:type="dxa"/>
              <w:right w:w="160" w:type="dxa"/>
            </w:tcMar>
          </w:tcPr>
          <w:p>
            <w:r>
              <w:rPr>
                <w:color w:val="0F172A"/>
                <w:sz w:val="18"/>
              </w:rPr>
              <w:t>UITSTEKEND</w:t>
            </w:r>
          </w:p>
        </w:tc>
        <w:tc>
          <w:tcPr>
            <w:tcW w:type="dxa" w:w="5102"/>
            <w:shd w:fill="FFFFFF"/>
            <w:tcMar>
              <w:top w:w="120" w:type="dxa"/>
              <w:bottom w:w="120" w:type="dxa"/>
              <w:left w:w="160" w:type="dxa"/>
              <w:right w:w="160" w:type="dxa"/>
            </w:tcMar>
          </w:tcPr>
          <w:p>
            <w:r>
              <w:rPr>
                <w:color w:val="0F172A"/>
                <w:sz w:val="18"/>
              </w:rPr>
              <w:t>Audit logging van mutaties op database-entiteiten met oude vs. nieuwe waarden. Verzendhistoriek van interne organisatiecommunicatie.</w:t>
            </w:r>
          </w:p>
        </w:tc>
      </w:tr>
      <w:tr>
        <w:tc>
          <w:tcPr>
            <w:tcW w:type="dxa" w:w="2551"/>
            <w:shd w:fill="F1F5F9"/>
            <w:tcMar>
              <w:top w:w="120" w:type="dxa"/>
              <w:bottom w:w="120" w:type="dxa"/>
              <w:left w:w="160" w:type="dxa"/>
              <w:right w:w="160" w:type="dxa"/>
            </w:tcMar>
          </w:tcPr>
          <w:p>
            <w:r>
              <w:rPr>
                <w:color w:val="0F172A"/>
                <w:sz w:val="18"/>
              </w:rPr>
              <w:t>A10: Server-Side Request Forgery (SSRF)</w:t>
            </w:r>
          </w:p>
        </w:tc>
        <w:tc>
          <w:tcPr>
            <w:tcW w:type="dxa" w:w="1701"/>
            <w:shd w:fill="F1F5F9"/>
            <w:tcMar>
              <w:top w:w="120" w:type="dxa"/>
              <w:bottom w:w="120" w:type="dxa"/>
              <w:left w:w="160" w:type="dxa"/>
              <w:right w:w="160" w:type="dxa"/>
            </w:tcMar>
          </w:tcPr>
          <w:p>
            <w:r>
              <w:rPr>
                <w:color w:val="0F172A"/>
                <w:sz w:val="18"/>
              </w:rPr>
              <w:t>UITSTEKEND</w:t>
            </w:r>
          </w:p>
        </w:tc>
        <w:tc>
          <w:tcPr>
            <w:tcW w:type="dxa" w:w="5102"/>
            <w:shd w:fill="F1F5F9"/>
            <w:tcMar>
              <w:top w:w="120" w:type="dxa"/>
              <w:bottom w:w="120" w:type="dxa"/>
              <w:left w:w="160" w:type="dxa"/>
              <w:right w:w="160" w:type="dxa"/>
            </w:tcMar>
          </w:tcPr>
          <w:p>
            <w:r>
              <w:rPr>
                <w:color w:val="0F172A"/>
                <w:sz w:val="18"/>
              </w:rPr>
              <w:t>Geen externe HTTP-verzoeken op basis van willekeurige gebruikersinvoer. Gemini AI en Brevo API endpoints zijn vast geconfigureerd via omgevingsvariabelen.</w:t>
            </w:r>
          </w:p>
        </w:tc>
      </w:tr>
    </w:tbl>
    <w:p>
      <w:pPr>
        <w:spacing w:after="120"/>
      </w:pPr>
    </w:p>
    <w:p>
      <w:r>
        <w:br w:type="page"/>
      </w:r>
    </w:p>
    <w:p>
      <w:pPr>
        <w:keepNext/>
        <w:spacing w:before="360" w:after="160"/>
      </w:pPr>
      <w:r>
        <w:rPr>
          <w:b/>
          <w:color w:val="1E3A8A"/>
          <w:sz w:val="32"/>
        </w:rPr>
        <w:t>5. Register van Beveiligingsbevindingen</w:t>
      </w:r>
    </w:p>
    <w:p>
      <w:pPr>
        <w:spacing w:before="0" w:after="120" w:line="276" w:lineRule="auto"/>
      </w:pPr>
      <w:r>
        <w:rPr>
          <w:i w:val="0"/>
          <w:color w:val="0F172A"/>
          <w:sz w:val="20"/>
        </w:rPr>
        <w:t>Onderstaand register toont de status van alle historische en recent getoetste beveiligingspunten. Alle 17 punten zijn structureel geverifieerd in de broncode en afgedekt met 236 geautomatiseerde unittests.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1881"/>
        <w:gridCol w:w="1881"/>
        <w:gridCol w:w="1881"/>
        <w:gridCol w:w="1881"/>
        <w:gridCol w:w="1881"/>
      </w:tblGrid>
      <w:tr>
        <w:tc>
          <w:tcPr>
            <w:tcW w:type="dxa" w:w="1134"/>
            <w:shd w:fill="1E3A8A"/>
            <w:tcMar>
              <w:top w:w="160" w:type="dxa"/>
              <w:bottom w:w="160" w:type="dxa"/>
              <w:left w:w="180" w:type="dxa"/>
              <w:right w:w="180" w:type="dxa"/>
            </w:tcMar>
          </w:tcPr>
          <w:p>
            <w:pPr>
              <w:jc w:val="left"/>
            </w:pPr>
            <w:r>
              <w:rPr>
                <w:b/>
                <w:color w:val="FFFFFF"/>
                <w:sz w:val="19"/>
              </w:rPr>
              <w:t>ID</w:t>
            </w:r>
          </w:p>
        </w:tc>
        <w:tc>
          <w:tcPr>
            <w:tcW w:type="dxa" w:w="3118"/>
            <w:shd w:fill="1E3A8A"/>
            <w:tcMar>
              <w:top w:w="160" w:type="dxa"/>
              <w:bottom w:w="160" w:type="dxa"/>
              <w:left w:w="180" w:type="dxa"/>
              <w:right w:w="180" w:type="dxa"/>
            </w:tcMar>
          </w:tcPr>
          <w:p>
            <w:pPr>
              <w:jc w:val="left"/>
            </w:pPr>
            <w:r>
              <w:rPr>
                <w:b/>
                <w:color w:val="FFFFFF"/>
                <w:sz w:val="19"/>
              </w:rPr>
              <w:t>Omschrijving</w:t>
            </w:r>
          </w:p>
        </w:tc>
        <w:tc>
          <w:tcPr>
            <w:tcW w:type="dxa" w:w="1814"/>
            <w:shd w:fill="1E3A8A"/>
            <w:tcMar>
              <w:top w:w="160" w:type="dxa"/>
              <w:bottom w:w="160" w:type="dxa"/>
              <w:left w:w="180" w:type="dxa"/>
              <w:right w:w="180" w:type="dxa"/>
            </w:tcMar>
          </w:tcPr>
          <w:p>
            <w:pPr>
              <w:jc w:val="left"/>
            </w:pPr>
            <w:r>
              <w:rPr>
                <w:b/>
                <w:color w:val="FFFFFF"/>
                <w:sz w:val="19"/>
              </w:rPr>
              <w:t>Categorie</w:t>
            </w:r>
          </w:p>
        </w:tc>
        <w:tc>
          <w:tcPr>
            <w:tcW w:type="dxa" w:w="1417"/>
            <w:shd w:fill="1E3A8A"/>
            <w:tcMar>
              <w:top w:w="160" w:type="dxa"/>
              <w:bottom w:w="160" w:type="dxa"/>
              <w:left w:w="180" w:type="dxa"/>
              <w:right w:w="180" w:type="dxa"/>
            </w:tcMar>
          </w:tcPr>
          <w:p>
            <w:pPr>
              <w:jc w:val="left"/>
            </w:pPr>
            <w:r>
              <w:rPr>
                <w:b/>
                <w:color w:val="FFFFFF"/>
                <w:sz w:val="19"/>
              </w:rPr>
              <w:t>Ernst</w:t>
            </w:r>
          </w:p>
        </w:tc>
        <w:tc>
          <w:tcPr>
            <w:tcW w:type="dxa" w:w="1871"/>
            <w:shd w:fill="1E3A8A"/>
            <w:tcMar>
              <w:top w:w="160" w:type="dxa"/>
              <w:bottom w:w="160" w:type="dxa"/>
              <w:left w:w="180" w:type="dxa"/>
              <w:right w:w="180" w:type="dxa"/>
            </w:tcMar>
          </w:tcPr>
          <w:p>
            <w:pPr>
              <w:jc w:val="left"/>
            </w:pPr>
            <w:r>
              <w:rPr>
                <w:b/>
                <w:color w:val="FFFFFF"/>
                <w:sz w:val="19"/>
              </w:rPr>
              <w:t>Status</w:t>
            </w:r>
          </w:p>
        </w:tc>
      </w:tr>
      <w:tr>
        <w:tc>
          <w:tcPr>
            <w:tcW w:type="dxa" w:w="1134"/>
            <w:shd w:fill="FFFFFF"/>
            <w:tcMar>
              <w:top w:w="120" w:type="dxa"/>
              <w:bottom w:w="120" w:type="dxa"/>
              <w:left w:w="160" w:type="dxa"/>
              <w:right w:w="160" w:type="dxa"/>
            </w:tcMar>
          </w:tcPr>
          <w:p>
            <w:r>
              <w:rPr>
                <w:color w:val="0F172A"/>
                <w:sz w:val="18"/>
              </w:rPr>
              <w:t>SEC-01</w:t>
            </w:r>
          </w:p>
        </w:tc>
        <w:tc>
          <w:tcPr>
            <w:tcW w:type="dxa" w:w="3118"/>
            <w:shd w:fill="FFFFFF"/>
            <w:tcMar>
              <w:top w:w="120" w:type="dxa"/>
              <w:bottom w:w="120" w:type="dxa"/>
              <w:left w:w="160" w:type="dxa"/>
              <w:right w:w="160" w:type="dxa"/>
            </w:tcMar>
          </w:tcPr>
          <w:p>
            <w:r>
              <w:rPr>
                <w:color w:val="0F172A"/>
                <w:sz w:val="18"/>
              </w:rPr>
              <w:t>Admin Opschoonactie Multi-Tenant Lek</w:t>
            </w:r>
          </w:p>
        </w:tc>
        <w:tc>
          <w:tcPr>
            <w:tcW w:type="dxa" w:w="1814"/>
            <w:shd w:fill="FFFFFF"/>
            <w:tcMar>
              <w:top w:w="120" w:type="dxa"/>
              <w:bottom w:w="120" w:type="dxa"/>
              <w:left w:w="160" w:type="dxa"/>
              <w:right w:w="160" w:type="dxa"/>
            </w:tcMar>
          </w:tcPr>
          <w:p>
            <w:r>
              <w:rPr>
                <w:color w:val="0F172A"/>
                <w:sz w:val="18"/>
              </w:rPr>
              <w:t>Multi-Tenancy</w:t>
            </w:r>
          </w:p>
        </w:tc>
        <w:tc>
          <w:tcPr>
            <w:tcW w:type="dxa" w:w="1417"/>
            <w:shd w:fill="FFFFFF"/>
            <w:tcMar>
              <w:top w:w="120" w:type="dxa"/>
              <w:bottom w:w="120" w:type="dxa"/>
              <w:left w:w="160" w:type="dxa"/>
              <w:right w:w="160" w:type="dxa"/>
            </w:tcMar>
          </w:tcPr>
          <w:p>
            <w:r>
              <w:rPr>
                <w:color w:val="0F172A"/>
                <w:sz w:val="18"/>
              </w:rPr>
              <w:t>Hoog</w:t>
            </w:r>
          </w:p>
        </w:tc>
        <w:tc>
          <w:tcPr>
            <w:tcW w:type="dxa" w:w="1871"/>
            <w:shd w:fill="FFFFFF"/>
            <w:tcMar>
              <w:top w:w="120" w:type="dxa"/>
              <w:bottom w:w="120" w:type="dxa"/>
              <w:left w:w="160" w:type="dxa"/>
              <w:right w:w="160" w:type="dxa"/>
            </w:tcMar>
          </w:tcPr>
          <w:p>
            <w:r>
              <w:rPr>
                <w:color w:val="0F172A"/>
                <w:sz w:val="18"/>
              </w:rPr>
              <w:t>OPGELOST</w:t>
            </w:r>
          </w:p>
        </w:tc>
      </w:tr>
      <w:tr>
        <w:tc>
          <w:tcPr>
            <w:tcW w:type="dxa" w:w="1134"/>
            <w:shd w:fill="F1F5F9"/>
            <w:tcMar>
              <w:top w:w="120" w:type="dxa"/>
              <w:bottom w:w="120" w:type="dxa"/>
              <w:left w:w="160" w:type="dxa"/>
              <w:right w:w="160" w:type="dxa"/>
            </w:tcMar>
          </w:tcPr>
          <w:p>
            <w:r>
              <w:rPr>
                <w:color w:val="0F172A"/>
                <w:sz w:val="18"/>
              </w:rPr>
              <w:t>SEC-02</w:t>
            </w:r>
          </w:p>
        </w:tc>
        <w:tc>
          <w:tcPr>
            <w:tcW w:type="dxa" w:w="3118"/>
            <w:shd w:fill="F1F5F9"/>
            <w:tcMar>
              <w:top w:w="120" w:type="dxa"/>
              <w:bottom w:w="120" w:type="dxa"/>
              <w:left w:w="160" w:type="dxa"/>
              <w:right w:w="160" w:type="dxa"/>
            </w:tcMar>
          </w:tcPr>
          <w:p>
            <w:r>
              <w:rPr>
                <w:color w:val="0F172A"/>
                <w:sz w:val="18"/>
              </w:rPr>
              <w:t>Stored XSS via Document Preview</w:t>
            </w:r>
          </w:p>
        </w:tc>
        <w:tc>
          <w:tcPr>
            <w:tcW w:type="dxa" w:w="1814"/>
            <w:shd w:fill="F1F5F9"/>
            <w:tcMar>
              <w:top w:w="120" w:type="dxa"/>
              <w:bottom w:w="120" w:type="dxa"/>
              <w:left w:w="160" w:type="dxa"/>
              <w:right w:w="160" w:type="dxa"/>
            </w:tcMar>
          </w:tcPr>
          <w:p>
            <w:r>
              <w:rPr>
                <w:color w:val="0F172A"/>
                <w:sz w:val="18"/>
              </w:rPr>
              <w:t>Injection / XSS</w:t>
            </w:r>
          </w:p>
        </w:tc>
        <w:tc>
          <w:tcPr>
            <w:tcW w:type="dxa" w:w="1417"/>
            <w:shd w:fill="F1F5F9"/>
            <w:tcMar>
              <w:top w:w="120" w:type="dxa"/>
              <w:bottom w:w="120" w:type="dxa"/>
              <w:left w:w="160" w:type="dxa"/>
              <w:right w:w="160" w:type="dxa"/>
            </w:tcMar>
          </w:tcPr>
          <w:p>
            <w:r>
              <w:rPr>
                <w:color w:val="0F172A"/>
                <w:sz w:val="18"/>
              </w:rPr>
              <w:t>Hoog</w:t>
            </w:r>
          </w:p>
        </w:tc>
        <w:tc>
          <w:tcPr>
            <w:tcW w:type="dxa" w:w="1871"/>
            <w:shd w:fill="F1F5F9"/>
            <w:tcMar>
              <w:top w:w="120" w:type="dxa"/>
              <w:bottom w:w="120" w:type="dxa"/>
              <w:left w:w="160" w:type="dxa"/>
              <w:right w:w="160" w:type="dxa"/>
            </w:tcMar>
          </w:tcPr>
          <w:p>
            <w:r>
              <w:rPr>
                <w:color w:val="0F172A"/>
                <w:sz w:val="18"/>
              </w:rPr>
              <w:t>OPGELOST</w:t>
            </w:r>
          </w:p>
        </w:tc>
      </w:tr>
      <w:tr>
        <w:tc>
          <w:tcPr>
            <w:tcW w:type="dxa" w:w="1134"/>
            <w:shd w:fill="FFFFFF"/>
            <w:tcMar>
              <w:top w:w="120" w:type="dxa"/>
              <w:bottom w:w="120" w:type="dxa"/>
              <w:left w:w="160" w:type="dxa"/>
              <w:right w:w="160" w:type="dxa"/>
            </w:tcMar>
          </w:tcPr>
          <w:p>
            <w:r>
              <w:rPr>
                <w:color w:val="0F172A"/>
                <w:sz w:val="18"/>
              </w:rPr>
              <w:t>SEC-03</w:t>
            </w:r>
          </w:p>
        </w:tc>
        <w:tc>
          <w:tcPr>
            <w:tcW w:type="dxa" w:w="3118"/>
            <w:shd w:fill="FFFFFF"/>
            <w:tcMar>
              <w:top w:w="120" w:type="dxa"/>
              <w:bottom w:w="120" w:type="dxa"/>
              <w:left w:w="160" w:type="dxa"/>
              <w:right w:w="160" w:type="dxa"/>
            </w:tcMar>
          </w:tcPr>
          <w:p>
            <w:r>
              <w:rPr>
                <w:color w:val="0F172A"/>
                <w:sz w:val="18"/>
              </w:rPr>
              <w:t>Onveilige Random Code Generatie &amp; Lockout</w:t>
            </w:r>
          </w:p>
        </w:tc>
        <w:tc>
          <w:tcPr>
            <w:tcW w:type="dxa" w:w="1814"/>
            <w:shd w:fill="FFFFFF"/>
            <w:tcMar>
              <w:top w:w="120" w:type="dxa"/>
              <w:bottom w:w="120" w:type="dxa"/>
              <w:left w:w="160" w:type="dxa"/>
              <w:right w:w="160" w:type="dxa"/>
            </w:tcMar>
          </w:tcPr>
          <w:p>
            <w:r>
              <w:rPr>
                <w:color w:val="0F172A"/>
                <w:sz w:val="18"/>
              </w:rPr>
              <w:t>Authenticatie</w:t>
            </w:r>
          </w:p>
        </w:tc>
        <w:tc>
          <w:tcPr>
            <w:tcW w:type="dxa" w:w="1417"/>
            <w:shd w:fill="FFFFFF"/>
            <w:tcMar>
              <w:top w:w="120" w:type="dxa"/>
              <w:bottom w:w="120" w:type="dxa"/>
              <w:left w:w="160" w:type="dxa"/>
              <w:right w:w="160" w:type="dxa"/>
            </w:tcMar>
          </w:tcPr>
          <w:p>
            <w:r>
              <w:rPr>
                <w:color w:val="0F172A"/>
                <w:sz w:val="18"/>
              </w:rPr>
              <w:t>Medium</w:t>
            </w:r>
          </w:p>
        </w:tc>
        <w:tc>
          <w:tcPr>
            <w:tcW w:type="dxa" w:w="1871"/>
            <w:shd w:fill="FFFFFF"/>
            <w:tcMar>
              <w:top w:w="120" w:type="dxa"/>
              <w:bottom w:w="120" w:type="dxa"/>
              <w:left w:w="160" w:type="dxa"/>
              <w:right w:w="160" w:type="dxa"/>
            </w:tcMar>
          </w:tcPr>
          <w:p>
            <w:r>
              <w:rPr>
                <w:color w:val="0F172A"/>
                <w:sz w:val="18"/>
              </w:rPr>
              <w:t>OPGELOST</w:t>
            </w:r>
          </w:p>
        </w:tc>
      </w:tr>
      <w:tr>
        <w:tc>
          <w:tcPr>
            <w:tcW w:type="dxa" w:w="1134"/>
            <w:shd w:fill="F1F5F9"/>
            <w:tcMar>
              <w:top w:w="120" w:type="dxa"/>
              <w:bottom w:w="120" w:type="dxa"/>
              <w:left w:w="160" w:type="dxa"/>
              <w:right w:w="160" w:type="dxa"/>
            </w:tcMar>
          </w:tcPr>
          <w:p>
            <w:r>
              <w:rPr>
                <w:color w:val="0F172A"/>
                <w:sz w:val="18"/>
              </w:rPr>
              <w:t>SEC-04</w:t>
            </w:r>
          </w:p>
        </w:tc>
        <w:tc>
          <w:tcPr>
            <w:tcW w:type="dxa" w:w="3118"/>
            <w:shd w:fill="F1F5F9"/>
            <w:tcMar>
              <w:top w:w="120" w:type="dxa"/>
              <w:bottom w:w="120" w:type="dxa"/>
              <w:left w:w="160" w:type="dxa"/>
              <w:right w:w="160" w:type="dxa"/>
            </w:tcMar>
          </w:tcPr>
          <w:p>
            <w:r>
              <w:rPr>
                <w:color w:val="0F172A"/>
                <w:sz w:val="18"/>
              </w:rPr>
              <w:t>Ontbrekende CSRF Secure Cookie Attributes</w:t>
            </w:r>
          </w:p>
        </w:tc>
        <w:tc>
          <w:tcPr>
            <w:tcW w:type="dxa" w:w="1814"/>
            <w:shd w:fill="F1F5F9"/>
            <w:tcMar>
              <w:top w:w="120" w:type="dxa"/>
              <w:bottom w:w="120" w:type="dxa"/>
              <w:left w:w="160" w:type="dxa"/>
              <w:right w:w="160" w:type="dxa"/>
            </w:tcMar>
          </w:tcPr>
          <w:p>
            <w:r>
              <w:rPr>
                <w:color w:val="0F172A"/>
                <w:sz w:val="18"/>
              </w:rPr>
              <w:t>Configuratie</w:t>
            </w:r>
          </w:p>
        </w:tc>
        <w:tc>
          <w:tcPr>
            <w:tcW w:type="dxa" w:w="1417"/>
            <w:shd w:fill="F1F5F9"/>
            <w:tcMar>
              <w:top w:w="120" w:type="dxa"/>
              <w:bottom w:w="120" w:type="dxa"/>
              <w:left w:w="160" w:type="dxa"/>
              <w:right w:w="160" w:type="dxa"/>
            </w:tcMar>
          </w:tcPr>
          <w:p>
            <w:r>
              <w:rPr>
                <w:color w:val="0F172A"/>
                <w:sz w:val="18"/>
              </w:rPr>
              <w:t>Laag</w:t>
            </w:r>
          </w:p>
        </w:tc>
        <w:tc>
          <w:tcPr>
            <w:tcW w:type="dxa" w:w="1871"/>
            <w:shd w:fill="F1F5F9"/>
            <w:tcMar>
              <w:top w:w="120" w:type="dxa"/>
              <w:bottom w:w="120" w:type="dxa"/>
              <w:left w:w="160" w:type="dxa"/>
              <w:right w:w="160" w:type="dxa"/>
            </w:tcMar>
          </w:tcPr>
          <w:p>
            <w:r>
              <w:rPr>
                <w:color w:val="0F172A"/>
                <w:sz w:val="18"/>
              </w:rPr>
              <w:t>OPGELOST</w:t>
            </w:r>
          </w:p>
        </w:tc>
      </w:tr>
      <w:tr>
        <w:tc>
          <w:tcPr>
            <w:tcW w:type="dxa" w:w="1134"/>
            <w:shd w:fill="FFFFFF"/>
            <w:tcMar>
              <w:top w:w="120" w:type="dxa"/>
              <w:bottom w:w="120" w:type="dxa"/>
              <w:left w:w="160" w:type="dxa"/>
              <w:right w:w="160" w:type="dxa"/>
            </w:tcMar>
          </w:tcPr>
          <w:p>
            <w:r>
              <w:rPr>
                <w:color w:val="0F172A"/>
                <w:sz w:val="18"/>
              </w:rPr>
              <w:t>SEC-05</w:t>
            </w:r>
          </w:p>
        </w:tc>
        <w:tc>
          <w:tcPr>
            <w:tcW w:type="dxa" w:w="3118"/>
            <w:shd w:fill="FFFFFF"/>
            <w:tcMar>
              <w:top w:w="120" w:type="dxa"/>
              <w:bottom w:w="120" w:type="dxa"/>
              <w:left w:w="160" w:type="dxa"/>
              <w:right w:w="160" w:type="dxa"/>
            </w:tcMar>
          </w:tcPr>
          <w:p>
            <w:r>
              <w:rPr>
                <w:color w:val="0F172A"/>
                <w:sz w:val="18"/>
              </w:rPr>
              <w:t>Ongeautoriseerd Test-Mail Endpoint</w:t>
            </w:r>
          </w:p>
        </w:tc>
        <w:tc>
          <w:tcPr>
            <w:tcW w:type="dxa" w:w="1814"/>
            <w:shd w:fill="FFFFFF"/>
            <w:tcMar>
              <w:top w:w="120" w:type="dxa"/>
              <w:bottom w:w="120" w:type="dxa"/>
              <w:left w:w="160" w:type="dxa"/>
              <w:right w:w="160" w:type="dxa"/>
            </w:tcMar>
          </w:tcPr>
          <w:p>
            <w:r>
              <w:rPr>
                <w:color w:val="0F172A"/>
                <w:sz w:val="18"/>
              </w:rPr>
              <w:t>Toegangscontrole</w:t>
            </w:r>
          </w:p>
        </w:tc>
        <w:tc>
          <w:tcPr>
            <w:tcW w:type="dxa" w:w="1417"/>
            <w:shd w:fill="FFFFFF"/>
            <w:tcMar>
              <w:top w:w="120" w:type="dxa"/>
              <w:bottom w:w="120" w:type="dxa"/>
              <w:left w:w="160" w:type="dxa"/>
              <w:right w:w="160" w:type="dxa"/>
            </w:tcMar>
          </w:tcPr>
          <w:p>
            <w:r>
              <w:rPr>
                <w:color w:val="0F172A"/>
                <w:sz w:val="18"/>
              </w:rPr>
              <w:t>Hoog</w:t>
            </w:r>
          </w:p>
        </w:tc>
        <w:tc>
          <w:tcPr>
            <w:tcW w:type="dxa" w:w="1871"/>
            <w:shd w:fill="FFFFFF"/>
            <w:tcMar>
              <w:top w:w="120" w:type="dxa"/>
              <w:bottom w:w="120" w:type="dxa"/>
              <w:left w:w="160" w:type="dxa"/>
              <w:right w:w="160" w:type="dxa"/>
            </w:tcMar>
          </w:tcPr>
          <w:p>
            <w:r>
              <w:rPr>
                <w:color w:val="0F172A"/>
                <w:sz w:val="18"/>
              </w:rPr>
              <w:t>OPGELOST</w:t>
            </w:r>
          </w:p>
        </w:tc>
      </w:tr>
      <w:tr>
        <w:tc>
          <w:tcPr>
            <w:tcW w:type="dxa" w:w="1134"/>
            <w:shd w:fill="F1F5F9"/>
            <w:tcMar>
              <w:top w:w="120" w:type="dxa"/>
              <w:bottom w:w="120" w:type="dxa"/>
              <w:left w:w="160" w:type="dxa"/>
              <w:right w:w="160" w:type="dxa"/>
            </w:tcMar>
          </w:tcPr>
          <w:p>
            <w:r>
              <w:rPr>
                <w:color w:val="0F172A"/>
                <w:sz w:val="18"/>
              </w:rPr>
              <w:t>SEC-06</w:t>
            </w:r>
          </w:p>
        </w:tc>
        <w:tc>
          <w:tcPr>
            <w:tcW w:type="dxa" w:w="3118"/>
            <w:shd w:fill="F1F5F9"/>
            <w:tcMar>
              <w:top w:w="120" w:type="dxa"/>
              <w:bottom w:w="120" w:type="dxa"/>
              <w:left w:w="160" w:type="dxa"/>
              <w:right w:w="160" w:type="dxa"/>
            </w:tcMar>
          </w:tcPr>
          <w:p>
            <w:r>
              <w:rPr>
                <w:color w:val="0F172A"/>
                <w:sz w:val="18"/>
              </w:rPr>
              <w:t>Stored XSS &amp; MIME-Sniffing Feedback Screenshots</w:t>
            </w:r>
          </w:p>
        </w:tc>
        <w:tc>
          <w:tcPr>
            <w:tcW w:type="dxa" w:w="1814"/>
            <w:shd w:fill="F1F5F9"/>
            <w:tcMar>
              <w:top w:w="120" w:type="dxa"/>
              <w:bottom w:w="120" w:type="dxa"/>
              <w:left w:w="160" w:type="dxa"/>
              <w:right w:w="160" w:type="dxa"/>
            </w:tcMar>
          </w:tcPr>
          <w:p>
            <w:r>
              <w:rPr>
                <w:color w:val="0F172A"/>
                <w:sz w:val="18"/>
              </w:rPr>
              <w:t>XSS / Upload</w:t>
            </w:r>
          </w:p>
        </w:tc>
        <w:tc>
          <w:tcPr>
            <w:tcW w:type="dxa" w:w="1417"/>
            <w:shd w:fill="F1F5F9"/>
            <w:tcMar>
              <w:top w:w="120" w:type="dxa"/>
              <w:bottom w:w="120" w:type="dxa"/>
              <w:left w:w="160" w:type="dxa"/>
              <w:right w:w="160" w:type="dxa"/>
            </w:tcMar>
          </w:tcPr>
          <w:p>
            <w:r>
              <w:rPr>
                <w:color w:val="0F172A"/>
                <w:sz w:val="18"/>
              </w:rPr>
              <w:t>Medium</w:t>
            </w:r>
          </w:p>
        </w:tc>
        <w:tc>
          <w:tcPr>
            <w:tcW w:type="dxa" w:w="1871"/>
            <w:shd w:fill="F1F5F9"/>
            <w:tcMar>
              <w:top w:w="120" w:type="dxa"/>
              <w:bottom w:w="120" w:type="dxa"/>
              <w:left w:w="160" w:type="dxa"/>
              <w:right w:w="160" w:type="dxa"/>
            </w:tcMar>
          </w:tcPr>
          <w:p>
            <w:r>
              <w:rPr>
                <w:color w:val="0F172A"/>
                <w:sz w:val="18"/>
              </w:rPr>
              <w:t>OPGELOST</w:t>
            </w:r>
          </w:p>
        </w:tc>
      </w:tr>
      <w:tr>
        <w:tc>
          <w:tcPr>
            <w:tcW w:type="dxa" w:w="1134"/>
            <w:shd w:fill="FFFFFF"/>
            <w:tcMar>
              <w:top w:w="120" w:type="dxa"/>
              <w:bottom w:w="120" w:type="dxa"/>
              <w:left w:w="160" w:type="dxa"/>
              <w:right w:w="160" w:type="dxa"/>
            </w:tcMar>
          </w:tcPr>
          <w:p>
            <w:r>
              <w:rPr>
                <w:color w:val="0F172A"/>
                <w:sz w:val="18"/>
              </w:rPr>
              <w:t>SEC-07</w:t>
            </w:r>
          </w:p>
        </w:tc>
        <w:tc>
          <w:tcPr>
            <w:tcW w:type="dxa" w:w="3118"/>
            <w:shd w:fill="FFFFFF"/>
            <w:tcMar>
              <w:top w:w="120" w:type="dxa"/>
              <w:bottom w:w="120" w:type="dxa"/>
              <w:left w:w="160" w:type="dxa"/>
              <w:right w:w="160" w:type="dxa"/>
            </w:tcMar>
          </w:tcPr>
          <w:p>
            <w:r>
              <w:rPr>
                <w:color w:val="0F172A"/>
                <w:sz w:val="18"/>
              </w:rPr>
              <w:t>IDOR / Multi-Tenant Lek Feedback Acties</w:t>
            </w:r>
          </w:p>
        </w:tc>
        <w:tc>
          <w:tcPr>
            <w:tcW w:type="dxa" w:w="1814"/>
            <w:shd w:fill="FFFFFF"/>
            <w:tcMar>
              <w:top w:w="120" w:type="dxa"/>
              <w:bottom w:w="120" w:type="dxa"/>
              <w:left w:w="160" w:type="dxa"/>
              <w:right w:w="160" w:type="dxa"/>
            </w:tcMar>
          </w:tcPr>
          <w:p>
            <w:r>
              <w:rPr>
                <w:color w:val="0F172A"/>
                <w:sz w:val="18"/>
              </w:rPr>
              <w:t>Toegangscontrole</w:t>
            </w:r>
          </w:p>
        </w:tc>
        <w:tc>
          <w:tcPr>
            <w:tcW w:type="dxa" w:w="1417"/>
            <w:shd w:fill="FFFFFF"/>
            <w:tcMar>
              <w:top w:w="120" w:type="dxa"/>
              <w:bottom w:w="120" w:type="dxa"/>
              <w:left w:w="160" w:type="dxa"/>
              <w:right w:w="160" w:type="dxa"/>
            </w:tcMar>
          </w:tcPr>
          <w:p>
            <w:r>
              <w:rPr>
                <w:color w:val="0F172A"/>
                <w:sz w:val="18"/>
              </w:rPr>
              <w:t>Hoog</w:t>
            </w:r>
          </w:p>
        </w:tc>
        <w:tc>
          <w:tcPr>
            <w:tcW w:type="dxa" w:w="1871"/>
            <w:shd w:fill="FFFFFF"/>
            <w:tcMar>
              <w:top w:w="120" w:type="dxa"/>
              <w:bottom w:w="120" w:type="dxa"/>
              <w:left w:w="160" w:type="dxa"/>
              <w:right w:w="160" w:type="dxa"/>
            </w:tcMar>
          </w:tcPr>
          <w:p>
            <w:r>
              <w:rPr>
                <w:color w:val="0F172A"/>
                <w:sz w:val="18"/>
              </w:rPr>
              <w:t>OPGELOST</w:t>
            </w:r>
          </w:p>
        </w:tc>
      </w:tr>
      <w:tr>
        <w:tc>
          <w:tcPr>
            <w:tcW w:type="dxa" w:w="1134"/>
            <w:shd w:fill="F1F5F9"/>
            <w:tcMar>
              <w:top w:w="120" w:type="dxa"/>
              <w:bottom w:w="120" w:type="dxa"/>
              <w:left w:w="160" w:type="dxa"/>
              <w:right w:w="160" w:type="dxa"/>
            </w:tcMar>
          </w:tcPr>
          <w:p>
            <w:r>
              <w:rPr>
                <w:color w:val="0F172A"/>
                <w:sz w:val="18"/>
              </w:rPr>
              <w:t>SEC-08</w:t>
            </w:r>
          </w:p>
        </w:tc>
        <w:tc>
          <w:tcPr>
            <w:tcW w:type="dxa" w:w="3118"/>
            <w:shd w:fill="F1F5F9"/>
            <w:tcMar>
              <w:top w:w="120" w:type="dxa"/>
              <w:bottom w:w="120" w:type="dxa"/>
              <w:left w:w="160" w:type="dxa"/>
              <w:right w:w="160" w:type="dxa"/>
            </w:tcMar>
          </w:tcPr>
          <w:p>
            <w:r>
              <w:rPr>
                <w:color w:val="0F172A"/>
                <w:sz w:val="18"/>
              </w:rPr>
              <w:t>Ontbrekende Cascade Deletion van Feedback</w:t>
            </w:r>
          </w:p>
        </w:tc>
        <w:tc>
          <w:tcPr>
            <w:tcW w:type="dxa" w:w="1814"/>
            <w:shd w:fill="F1F5F9"/>
            <w:tcMar>
              <w:top w:w="120" w:type="dxa"/>
              <w:bottom w:w="120" w:type="dxa"/>
              <w:left w:w="160" w:type="dxa"/>
              <w:right w:w="160" w:type="dxa"/>
            </w:tcMar>
          </w:tcPr>
          <w:p>
            <w:r>
              <w:rPr>
                <w:color w:val="0F172A"/>
                <w:sz w:val="18"/>
              </w:rPr>
              <w:t>Data-Integriteit</w:t>
            </w:r>
          </w:p>
        </w:tc>
        <w:tc>
          <w:tcPr>
            <w:tcW w:type="dxa" w:w="1417"/>
            <w:shd w:fill="F1F5F9"/>
            <w:tcMar>
              <w:top w:w="120" w:type="dxa"/>
              <w:bottom w:w="120" w:type="dxa"/>
              <w:left w:w="160" w:type="dxa"/>
              <w:right w:w="160" w:type="dxa"/>
            </w:tcMar>
          </w:tcPr>
          <w:p>
            <w:r>
              <w:rPr>
                <w:color w:val="0F172A"/>
                <w:sz w:val="18"/>
              </w:rPr>
              <w:t>Laag</w:t>
            </w:r>
          </w:p>
        </w:tc>
        <w:tc>
          <w:tcPr>
            <w:tcW w:type="dxa" w:w="1871"/>
            <w:shd w:fill="F1F5F9"/>
            <w:tcMar>
              <w:top w:w="120" w:type="dxa"/>
              <w:bottom w:w="120" w:type="dxa"/>
              <w:left w:w="160" w:type="dxa"/>
              <w:right w:w="160" w:type="dxa"/>
            </w:tcMar>
          </w:tcPr>
          <w:p>
            <w:r>
              <w:rPr>
                <w:color w:val="0F172A"/>
                <w:sz w:val="18"/>
              </w:rPr>
              <w:t>OPGELOST</w:t>
            </w:r>
          </w:p>
        </w:tc>
      </w:tr>
      <w:tr>
        <w:tc>
          <w:tcPr>
            <w:tcW w:type="dxa" w:w="1134"/>
            <w:shd w:fill="FFFFFF"/>
            <w:tcMar>
              <w:top w:w="120" w:type="dxa"/>
              <w:bottom w:w="120" w:type="dxa"/>
              <w:left w:w="160" w:type="dxa"/>
              <w:right w:w="160" w:type="dxa"/>
            </w:tcMar>
          </w:tcPr>
          <w:p>
            <w:r>
              <w:rPr>
                <w:color w:val="0F172A"/>
                <w:sz w:val="18"/>
              </w:rPr>
              <w:t>SEC-09</w:t>
            </w:r>
          </w:p>
        </w:tc>
        <w:tc>
          <w:tcPr>
            <w:tcW w:type="dxa" w:w="3118"/>
            <w:shd w:fill="FFFFFF"/>
            <w:tcMar>
              <w:top w:w="120" w:type="dxa"/>
              <w:bottom w:w="120" w:type="dxa"/>
              <w:left w:w="160" w:type="dxa"/>
              <w:right w:w="160" w:type="dxa"/>
            </w:tcMar>
          </w:tcPr>
          <w:p>
            <w:r>
              <w:rPr>
                <w:color w:val="0F172A"/>
                <w:sz w:val="18"/>
              </w:rPr>
              <w:t>Ontbrekende Rate Limiting Publiek Evaluatie Token</w:t>
            </w:r>
          </w:p>
        </w:tc>
        <w:tc>
          <w:tcPr>
            <w:tcW w:type="dxa" w:w="1814"/>
            <w:shd w:fill="FFFFFF"/>
            <w:tcMar>
              <w:top w:w="120" w:type="dxa"/>
              <w:bottom w:w="120" w:type="dxa"/>
              <w:left w:w="160" w:type="dxa"/>
              <w:right w:w="160" w:type="dxa"/>
            </w:tcMar>
          </w:tcPr>
          <w:p>
            <w:r>
              <w:rPr>
                <w:color w:val="0F172A"/>
                <w:sz w:val="18"/>
              </w:rPr>
              <w:t>Rate Limiting</w:t>
            </w:r>
          </w:p>
        </w:tc>
        <w:tc>
          <w:tcPr>
            <w:tcW w:type="dxa" w:w="1417"/>
            <w:shd w:fill="FFFFFF"/>
            <w:tcMar>
              <w:top w:w="120" w:type="dxa"/>
              <w:bottom w:w="120" w:type="dxa"/>
              <w:left w:w="160" w:type="dxa"/>
              <w:right w:w="160" w:type="dxa"/>
            </w:tcMar>
          </w:tcPr>
          <w:p>
            <w:r>
              <w:rPr>
                <w:color w:val="0F172A"/>
                <w:sz w:val="18"/>
              </w:rPr>
              <w:t>Medium</w:t>
            </w:r>
          </w:p>
        </w:tc>
        <w:tc>
          <w:tcPr>
            <w:tcW w:type="dxa" w:w="1871"/>
            <w:shd w:fill="FFFFFF"/>
            <w:tcMar>
              <w:top w:w="120" w:type="dxa"/>
              <w:bottom w:w="120" w:type="dxa"/>
              <w:left w:w="160" w:type="dxa"/>
              <w:right w:w="160" w:type="dxa"/>
            </w:tcMar>
          </w:tcPr>
          <w:p>
            <w:r>
              <w:rPr>
                <w:color w:val="0F172A"/>
                <w:sz w:val="18"/>
              </w:rPr>
              <w:t>OPGELOST</w:t>
            </w:r>
          </w:p>
        </w:tc>
      </w:tr>
      <w:tr>
        <w:tc>
          <w:tcPr>
            <w:tcW w:type="dxa" w:w="1134"/>
            <w:shd w:fill="F1F5F9"/>
            <w:tcMar>
              <w:top w:w="120" w:type="dxa"/>
              <w:bottom w:w="120" w:type="dxa"/>
              <w:left w:w="160" w:type="dxa"/>
              <w:right w:w="160" w:type="dxa"/>
            </w:tcMar>
          </w:tcPr>
          <w:p>
            <w:r>
              <w:rPr>
                <w:color w:val="0F172A"/>
                <w:sz w:val="18"/>
              </w:rPr>
              <w:t>SEC-10</w:t>
            </w:r>
          </w:p>
        </w:tc>
        <w:tc>
          <w:tcPr>
            <w:tcW w:type="dxa" w:w="3118"/>
            <w:shd w:fill="F1F5F9"/>
            <w:tcMar>
              <w:top w:w="120" w:type="dxa"/>
              <w:bottom w:w="120" w:type="dxa"/>
              <w:left w:w="160" w:type="dxa"/>
              <w:right w:w="160" w:type="dxa"/>
            </w:tcMar>
          </w:tcPr>
          <w:p>
            <w:r>
              <w:rPr>
                <w:color w:val="0F172A"/>
                <w:sz w:val="18"/>
              </w:rPr>
              <w:t>In-Browser HTML &amp; Markdown Sandboxing</w:t>
            </w:r>
          </w:p>
        </w:tc>
        <w:tc>
          <w:tcPr>
            <w:tcW w:type="dxa" w:w="1814"/>
            <w:shd w:fill="F1F5F9"/>
            <w:tcMar>
              <w:top w:w="120" w:type="dxa"/>
              <w:bottom w:w="120" w:type="dxa"/>
              <w:left w:w="160" w:type="dxa"/>
              <w:right w:w="160" w:type="dxa"/>
            </w:tcMar>
          </w:tcPr>
          <w:p>
            <w:r>
              <w:rPr>
                <w:color w:val="0F172A"/>
                <w:sz w:val="18"/>
              </w:rPr>
              <w:t>XSS / Sandbox</w:t>
            </w:r>
          </w:p>
        </w:tc>
        <w:tc>
          <w:tcPr>
            <w:tcW w:type="dxa" w:w="1417"/>
            <w:shd w:fill="F1F5F9"/>
            <w:tcMar>
              <w:top w:w="120" w:type="dxa"/>
              <w:bottom w:w="120" w:type="dxa"/>
              <w:left w:w="160" w:type="dxa"/>
              <w:right w:w="160" w:type="dxa"/>
            </w:tcMar>
          </w:tcPr>
          <w:p>
            <w:r>
              <w:rPr>
                <w:color w:val="0F172A"/>
                <w:sz w:val="18"/>
              </w:rPr>
              <w:t>Medium</w:t>
            </w:r>
          </w:p>
        </w:tc>
        <w:tc>
          <w:tcPr>
            <w:tcW w:type="dxa" w:w="1871"/>
            <w:shd w:fill="F1F5F9"/>
            <w:tcMar>
              <w:top w:w="120" w:type="dxa"/>
              <w:bottom w:w="120" w:type="dxa"/>
              <w:left w:w="160" w:type="dxa"/>
              <w:right w:w="160" w:type="dxa"/>
            </w:tcMar>
          </w:tcPr>
          <w:p>
            <w:r>
              <w:rPr>
                <w:color w:val="0F172A"/>
                <w:sz w:val="18"/>
              </w:rPr>
              <w:t>GEVERIFIEERD</w:t>
            </w:r>
          </w:p>
        </w:tc>
      </w:tr>
      <w:tr>
        <w:tc>
          <w:tcPr>
            <w:tcW w:type="dxa" w:w="1134"/>
            <w:shd w:fill="FFFFFF"/>
            <w:tcMar>
              <w:top w:w="120" w:type="dxa"/>
              <w:bottom w:w="120" w:type="dxa"/>
              <w:left w:w="160" w:type="dxa"/>
              <w:right w:w="160" w:type="dxa"/>
            </w:tcMar>
          </w:tcPr>
          <w:p>
            <w:r>
              <w:rPr>
                <w:color w:val="0F172A"/>
                <w:sz w:val="18"/>
              </w:rPr>
              <w:t>SEC-11</w:t>
            </w:r>
          </w:p>
        </w:tc>
        <w:tc>
          <w:tcPr>
            <w:tcW w:type="dxa" w:w="3118"/>
            <w:shd w:fill="FFFFFF"/>
            <w:tcMar>
              <w:top w:w="120" w:type="dxa"/>
              <w:bottom w:w="120" w:type="dxa"/>
              <w:left w:w="160" w:type="dxa"/>
              <w:right w:w="160" w:type="dxa"/>
            </w:tcMar>
          </w:tcPr>
          <w:p>
            <w:r>
              <w:rPr>
                <w:color w:val="0F172A"/>
                <w:sz w:val="18"/>
              </w:rPr>
              <w:t>Schema Selector &amp; SQL Injection Preventie</w:t>
            </w:r>
          </w:p>
        </w:tc>
        <w:tc>
          <w:tcPr>
            <w:tcW w:type="dxa" w:w="1814"/>
            <w:shd w:fill="FFFFFF"/>
            <w:tcMar>
              <w:top w:w="120" w:type="dxa"/>
              <w:bottom w:w="120" w:type="dxa"/>
              <w:left w:w="160" w:type="dxa"/>
              <w:right w:w="160" w:type="dxa"/>
            </w:tcMar>
          </w:tcPr>
          <w:p>
            <w:r>
              <w:rPr>
                <w:color w:val="0F172A"/>
                <w:sz w:val="18"/>
              </w:rPr>
              <w:t>SQLi / Config</w:t>
            </w:r>
          </w:p>
        </w:tc>
        <w:tc>
          <w:tcPr>
            <w:tcW w:type="dxa" w:w="1417"/>
            <w:shd w:fill="FFFFFF"/>
            <w:tcMar>
              <w:top w:w="120" w:type="dxa"/>
              <w:bottom w:w="120" w:type="dxa"/>
              <w:left w:w="160" w:type="dxa"/>
              <w:right w:w="160" w:type="dxa"/>
            </w:tcMar>
          </w:tcPr>
          <w:p>
            <w:r>
              <w:rPr>
                <w:color w:val="0F172A"/>
                <w:sz w:val="18"/>
              </w:rPr>
              <w:t>Laag</w:t>
            </w:r>
          </w:p>
        </w:tc>
        <w:tc>
          <w:tcPr>
            <w:tcW w:type="dxa" w:w="1871"/>
            <w:shd w:fill="FFFFFF"/>
            <w:tcMar>
              <w:top w:w="120" w:type="dxa"/>
              <w:bottom w:w="120" w:type="dxa"/>
              <w:left w:w="160" w:type="dxa"/>
              <w:right w:w="160" w:type="dxa"/>
            </w:tcMar>
          </w:tcPr>
          <w:p>
            <w:r>
              <w:rPr>
                <w:color w:val="0F172A"/>
                <w:sz w:val="18"/>
              </w:rPr>
              <w:t>GEVERIFIEERD</w:t>
            </w:r>
          </w:p>
        </w:tc>
      </w:tr>
      <w:tr>
        <w:tc>
          <w:tcPr>
            <w:tcW w:type="dxa" w:w="1134"/>
            <w:shd w:fill="F1F5F9"/>
            <w:tcMar>
              <w:top w:w="120" w:type="dxa"/>
              <w:bottom w:w="120" w:type="dxa"/>
              <w:left w:w="160" w:type="dxa"/>
              <w:right w:w="160" w:type="dxa"/>
            </w:tcMar>
          </w:tcPr>
          <w:p>
            <w:r>
              <w:rPr>
                <w:color w:val="0F172A"/>
                <w:sz w:val="18"/>
              </w:rPr>
              <w:t>SEC-12</w:t>
            </w:r>
          </w:p>
        </w:tc>
        <w:tc>
          <w:tcPr>
            <w:tcW w:type="dxa" w:w="3118"/>
            <w:shd w:fill="F1F5F9"/>
            <w:tcMar>
              <w:top w:w="120" w:type="dxa"/>
              <w:bottom w:w="120" w:type="dxa"/>
              <w:left w:w="160" w:type="dxa"/>
              <w:right w:w="160" w:type="dxa"/>
            </w:tcMar>
          </w:tcPr>
          <w:p>
            <w:r>
              <w:rPr>
                <w:color w:val="0F172A"/>
                <w:sz w:val="18"/>
              </w:rPr>
              <w:t>Autorisatiematrix bij Evaluatiereactie Bewerken</w:t>
            </w:r>
          </w:p>
        </w:tc>
        <w:tc>
          <w:tcPr>
            <w:tcW w:type="dxa" w:w="1814"/>
            <w:shd w:fill="F1F5F9"/>
            <w:tcMar>
              <w:top w:w="120" w:type="dxa"/>
              <w:bottom w:w="120" w:type="dxa"/>
              <w:left w:w="160" w:type="dxa"/>
              <w:right w:w="160" w:type="dxa"/>
            </w:tcMar>
          </w:tcPr>
          <w:p>
            <w:r>
              <w:rPr>
                <w:color w:val="0F172A"/>
                <w:sz w:val="18"/>
              </w:rPr>
              <w:t>Toegangscontrole</w:t>
            </w:r>
          </w:p>
        </w:tc>
        <w:tc>
          <w:tcPr>
            <w:tcW w:type="dxa" w:w="1417"/>
            <w:shd w:fill="F1F5F9"/>
            <w:tcMar>
              <w:top w:w="120" w:type="dxa"/>
              <w:bottom w:w="120" w:type="dxa"/>
              <w:left w:w="160" w:type="dxa"/>
              <w:right w:w="160" w:type="dxa"/>
            </w:tcMar>
          </w:tcPr>
          <w:p>
            <w:r>
              <w:rPr>
                <w:color w:val="0F172A"/>
                <w:sz w:val="18"/>
              </w:rPr>
              <w:t>Medium</w:t>
            </w:r>
          </w:p>
        </w:tc>
        <w:tc>
          <w:tcPr>
            <w:tcW w:type="dxa" w:w="1871"/>
            <w:shd w:fill="F1F5F9"/>
            <w:tcMar>
              <w:top w:w="120" w:type="dxa"/>
              <w:bottom w:w="120" w:type="dxa"/>
              <w:left w:w="160" w:type="dxa"/>
              <w:right w:w="160" w:type="dxa"/>
            </w:tcMar>
          </w:tcPr>
          <w:p>
            <w:r>
              <w:rPr>
                <w:color w:val="0F172A"/>
                <w:sz w:val="18"/>
              </w:rPr>
              <w:t>GEVERIFIEERD</w:t>
            </w:r>
          </w:p>
        </w:tc>
      </w:tr>
      <w:tr>
        <w:tc>
          <w:tcPr>
            <w:tcW w:type="dxa" w:w="1134"/>
            <w:shd w:fill="FFFFFF"/>
            <w:tcMar>
              <w:top w:w="120" w:type="dxa"/>
              <w:bottom w:w="120" w:type="dxa"/>
              <w:left w:w="160" w:type="dxa"/>
              <w:right w:w="160" w:type="dxa"/>
            </w:tcMar>
          </w:tcPr>
          <w:p>
            <w:r>
              <w:rPr>
                <w:color w:val="0F172A"/>
                <w:sz w:val="18"/>
              </w:rPr>
              <w:t>SEC-13</w:t>
            </w:r>
          </w:p>
        </w:tc>
        <w:tc>
          <w:tcPr>
            <w:tcW w:type="dxa" w:w="3118"/>
            <w:shd w:fill="FFFFFF"/>
            <w:tcMar>
              <w:top w:w="120" w:type="dxa"/>
              <w:bottom w:w="120" w:type="dxa"/>
              <w:left w:w="160" w:type="dxa"/>
              <w:right w:w="160" w:type="dxa"/>
            </w:tcMar>
          </w:tcPr>
          <w:p>
            <w:r>
              <w:rPr>
                <w:color w:val="0F172A"/>
                <w:sz w:val="18"/>
              </w:rPr>
              <w:t>Dynamische Permissiematrix &amp; Uitfasering Legacy Autorisatie</w:t>
            </w:r>
          </w:p>
        </w:tc>
        <w:tc>
          <w:tcPr>
            <w:tcW w:type="dxa" w:w="1814"/>
            <w:shd w:fill="FFFFFF"/>
            <w:tcMar>
              <w:top w:w="120" w:type="dxa"/>
              <w:bottom w:w="120" w:type="dxa"/>
              <w:left w:w="160" w:type="dxa"/>
              <w:right w:w="160" w:type="dxa"/>
            </w:tcMar>
          </w:tcPr>
          <w:p>
            <w:r>
              <w:rPr>
                <w:color w:val="0F172A"/>
                <w:sz w:val="18"/>
              </w:rPr>
              <w:t>Toegangscontrole</w:t>
            </w:r>
          </w:p>
        </w:tc>
        <w:tc>
          <w:tcPr>
            <w:tcW w:type="dxa" w:w="1417"/>
            <w:shd w:fill="FFFFFF"/>
            <w:tcMar>
              <w:top w:w="120" w:type="dxa"/>
              <w:bottom w:w="120" w:type="dxa"/>
              <w:left w:w="160" w:type="dxa"/>
              <w:right w:w="160" w:type="dxa"/>
            </w:tcMar>
          </w:tcPr>
          <w:p>
            <w:r>
              <w:rPr>
                <w:color w:val="0F172A"/>
                <w:sz w:val="18"/>
              </w:rPr>
              <w:t>Hoog</w:t>
            </w:r>
          </w:p>
        </w:tc>
        <w:tc>
          <w:tcPr>
            <w:tcW w:type="dxa" w:w="1871"/>
            <w:shd w:fill="FFFFFF"/>
            <w:tcMar>
              <w:top w:w="120" w:type="dxa"/>
              <w:bottom w:w="120" w:type="dxa"/>
              <w:left w:w="160" w:type="dxa"/>
              <w:right w:w="160" w:type="dxa"/>
            </w:tcMar>
          </w:tcPr>
          <w:p>
            <w:r>
              <w:rPr>
                <w:color w:val="0F172A"/>
                <w:sz w:val="18"/>
              </w:rPr>
              <w:t>GEVERIFIEERD</w:t>
            </w:r>
          </w:p>
        </w:tc>
      </w:tr>
      <w:tr>
        <w:tc>
          <w:tcPr>
            <w:tcW w:type="dxa" w:w="1134"/>
            <w:shd w:fill="F1F5F9"/>
            <w:tcMar>
              <w:top w:w="120" w:type="dxa"/>
              <w:bottom w:w="120" w:type="dxa"/>
              <w:left w:w="160" w:type="dxa"/>
              <w:right w:w="160" w:type="dxa"/>
            </w:tcMar>
          </w:tcPr>
          <w:p>
            <w:r>
              <w:rPr>
                <w:color w:val="0F172A"/>
                <w:sz w:val="18"/>
              </w:rPr>
              <w:t>SEC-14</w:t>
            </w:r>
          </w:p>
        </w:tc>
        <w:tc>
          <w:tcPr>
            <w:tcW w:type="dxa" w:w="3118"/>
            <w:shd w:fill="F1F5F9"/>
            <w:tcMar>
              <w:top w:w="120" w:type="dxa"/>
              <w:bottom w:w="120" w:type="dxa"/>
              <w:left w:w="160" w:type="dxa"/>
              <w:right w:w="160" w:type="dxa"/>
            </w:tcMar>
          </w:tcPr>
          <w:p>
            <w:r>
              <w:rPr>
                <w:color w:val="0F172A"/>
                <w:sz w:val="18"/>
              </w:rPr>
              <w:t>Bescherming Laatste Platformbeheerder &amp; Continuïteit</w:t>
            </w:r>
          </w:p>
        </w:tc>
        <w:tc>
          <w:tcPr>
            <w:tcW w:type="dxa" w:w="1814"/>
            <w:shd w:fill="F1F5F9"/>
            <w:tcMar>
              <w:top w:w="120" w:type="dxa"/>
              <w:bottom w:w="120" w:type="dxa"/>
              <w:left w:w="160" w:type="dxa"/>
              <w:right w:w="160" w:type="dxa"/>
            </w:tcMar>
          </w:tcPr>
          <w:p>
            <w:r>
              <w:rPr>
                <w:color w:val="0F172A"/>
                <w:sz w:val="18"/>
              </w:rPr>
              <w:t>Toegangscontrole</w:t>
            </w:r>
          </w:p>
        </w:tc>
        <w:tc>
          <w:tcPr>
            <w:tcW w:type="dxa" w:w="1417"/>
            <w:shd w:fill="F1F5F9"/>
            <w:tcMar>
              <w:top w:w="120" w:type="dxa"/>
              <w:bottom w:w="120" w:type="dxa"/>
              <w:left w:w="160" w:type="dxa"/>
              <w:right w:w="160" w:type="dxa"/>
            </w:tcMar>
          </w:tcPr>
          <w:p>
            <w:r>
              <w:rPr>
                <w:color w:val="0F172A"/>
                <w:sz w:val="18"/>
              </w:rPr>
              <w:t>Hoog</w:t>
            </w:r>
          </w:p>
        </w:tc>
        <w:tc>
          <w:tcPr>
            <w:tcW w:type="dxa" w:w="1871"/>
            <w:shd w:fill="F1F5F9"/>
            <w:tcMar>
              <w:top w:w="120" w:type="dxa"/>
              <w:bottom w:w="120" w:type="dxa"/>
              <w:left w:w="160" w:type="dxa"/>
              <w:right w:w="160" w:type="dxa"/>
            </w:tcMar>
          </w:tcPr>
          <w:p>
            <w:r>
              <w:rPr>
                <w:color w:val="0F172A"/>
                <w:sz w:val="18"/>
              </w:rPr>
              <w:t>GEVERIFIEERD</w:t>
            </w:r>
          </w:p>
        </w:tc>
      </w:tr>
      <w:tr>
        <w:tc>
          <w:tcPr>
            <w:tcW w:type="dxa" w:w="1134"/>
            <w:shd w:fill="FFFFFF"/>
            <w:tcMar>
              <w:top w:w="120" w:type="dxa"/>
              <w:bottom w:w="120" w:type="dxa"/>
              <w:left w:w="160" w:type="dxa"/>
              <w:right w:w="160" w:type="dxa"/>
            </w:tcMar>
          </w:tcPr>
          <w:p>
            <w:r>
              <w:rPr>
                <w:color w:val="0F172A"/>
                <w:sz w:val="18"/>
              </w:rPr>
              <w:t>SEC-15</w:t>
            </w:r>
          </w:p>
        </w:tc>
        <w:tc>
          <w:tcPr>
            <w:tcW w:type="dxa" w:w="3118"/>
            <w:shd w:fill="FFFFFF"/>
            <w:tcMar>
              <w:top w:w="120" w:type="dxa"/>
              <w:bottom w:w="120" w:type="dxa"/>
              <w:left w:w="160" w:type="dxa"/>
              <w:right w:w="160" w:type="dxa"/>
            </w:tcMar>
          </w:tcPr>
          <w:p>
            <w:r>
              <w:rPr>
                <w:color w:val="0F172A"/>
                <w:sz w:val="18"/>
              </w:rPr>
              <w:t>Server-Side Handhaving Restrictie 'Alleen Eigen Registraties'</w:t>
            </w:r>
          </w:p>
        </w:tc>
        <w:tc>
          <w:tcPr>
            <w:tcW w:type="dxa" w:w="1814"/>
            <w:shd w:fill="FFFFFF"/>
            <w:tcMar>
              <w:top w:w="120" w:type="dxa"/>
              <w:bottom w:w="120" w:type="dxa"/>
              <w:left w:w="160" w:type="dxa"/>
              <w:right w:w="160" w:type="dxa"/>
            </w:tcMar>
          </w:tcPr>
          <w:p>
            <w:r>
              <w:rPr>
                <w:color w:val="0F172A"/>
                <w:sz w:val="18"/>
              </w:rPr>
              <w:t>Data-Isolatie</w:t>
            </w:r>
          </w:p>
        </w:tc>
        <w:tc>
          <w:tcPr>
            <w:tcW w:type="dxa" w:w="1417"/>
            <w:shd w:fill="FFFFFF"/>
            <w:tcMar>
              <w:top w:w="120" w:type="dxa"/>
              <w:bottom w:w="120" w:type="dxa"/>
              <w:left w:w="160" w:type="dxa"/>
              <w:right w:w="160" w:type="dxa"/>
            </w:tcMar>
          </w:tcPr>
          <w:p>
            <w:r>
              <w:rPr>
                <w:color w:val="0F172A"/>
                <w:sz w:val="18"/>
              </w:rPr>
              <w:t>Medium</w:t>
            </w:r>
          </w:p>
        </w:tc>
        <w:tc>
          <w:tcPr>
            <w:tcW w:type="dxa" w:w="1871"/>
            <w:shd w:fill="FFFFFF"/>
            <w:tcMar>
              <w:top w:w="120" w:type="dxa"/>
              <w:bottom w:w="120" w:type="dxa"/>
              <w:left w:w="160" w:type="dxa"/>
              <w:right w:w="160" w:type="dxa"/>
            </w:tcMar>
          </w:tcPr>
          <w:p>
            <w:r>
              <w:rPr>
                <w:color w:val="0F172A"/>
                <w:sz w:val="18"/>
              </w:rPr>
              <w:t>GEVERIFIEERD</w:t>
            </w:r>
          </w:p>
        </w:tc>
      </w:tr>
      <w:tr>
        <w:tc>
          <w:tcPr>
            <w:tcW w:type="dxa" w:w="1134"/>
            <w:shd w:fill="F1F5F9"/>
            <w:tcMar>
              <w:top w:w="120" w:type="dxa"/>
              <w:bottom w:w="120" w:type="dxa"/>
              <w:left w:w="160" w:type="dxa"/>
              <w:right w:w="160" w:type="dxa"/>
            </w:tcMar>
          </w:tcPr>
          <w:p>
            <w:r>
              <w:rPr>
                <w:color w:val="0F172A"/>
                <w:sz w:val="18"/>
              </w:rPr>
              <w:t>SEC-16</w:t>
            </w:r>
          </w:p>
        </w:tc>
        <w:tc>
          <w:tcPr>
            <w:tcW w:type="dxa" w:w="3118"/>
            <w:shd w:fill="F1F5F9"/>
            <w:tcMar>
              <w:top w:w="120" w:type="dxa"/>
              <w:bottom w:w="120" w:type="dxa"/>
              <w:left w:w="160" w:type="dxa"/>
              <w:right w:w="160" w:type="dxa"/>
            </w:tcMar>
          </w:tcPr>
          <w:p>
            <w:r>
              <w:rPr>
                <w:color w:val="0F172A"/>
                <w:sz w:val="18"/>
              </w:rPr>
              <w:t>Doelgroepvalidatie &amp; Tenant-Isolatie Organisatiecommunicatie</w:t>
            </w:r>
          </w:p>
        </w:tc>
        <w:tc>
          <w:tcPr>
            <w:tcW w:type="dxa" w:w="1814"/>
            <w:shd w:fill="F1F5F9"/>
            <w:tcMar>
              <w:top w:w="120" w:type="dxa"/>
              <w:bottom w:w="120" w:type="dxa"/>
              <w:left w:w="160" w:type="dxa"/>
              <w:right w:w="160" w:type="dxa"/>
            </w:tcMar>
          </w:tcPr>
          <w:p>
            <w:r>
              <w:rPr>
                <w:color w:val="0F172A"/>
                <w:sz w:val="18"/>
              </w:rPr>
              <w:t>Toegangscontrole</w:t>
            </w:r>
          </w:p>
        </w:tc>
        <w:tc>
          <w:tcPr>
            <w:tcW w:type="dxa" w:w="1417"/>
            <w:shd w:fill="F1F5F9"/>
            <w:tcMar>
              <w:top w:w="120" w:type="dxa"/>
              <w:bottom w:w="120" w:type="dxa"/>
              <w:left w:w="160" w:type="dxa"/>
              <w:right w:w="160" w:type="dxa"/>
            </w:tcMar>
          </w:tcPr>
          <w:p>
            <w:r>
              <w:rPr>
                <w:color w:val="0F172A"/>
                <w:sz w:val="18"/>
              </w:rPr>
              <w:t>Medium</w:t>
            </w:r>
          </w:p>
        </w:tc>
        <w:tc>
          <w:tcPr>
            <w:tcW w:type="dxa" w:w="1871"/>
            <w:shd w:fill="F1F5F9"/>
            <w:tcMar>
              <w:top w:w="120" w:type="dxa"/>
              <w:bottom w:w="120" w:type="dxa"/>
              <w:left w:w="160" w:type="dxa"/>
              <w:right w:w="160" w:type="dxa"/>
            </w:tcMar>
          </w:tcPr>
          <w:p>
            <w:r>
              <w:rPr>
                <w:color w:val="0F172A"/>
                <w:sz w:val="18"/>
              </w:rPr>
              <w:t>GEVERIFIEERD</w:t>
            </w:r>
          </w:p>
        </w:tc>
      </w:tr>
      <w:tr>
        <w:tc>
          <w:tcPr>
            <w:tcW w:type="dxa" w:w="1134"/>
            <w:shd w:fill="FFFFFF"/>
            <w:tcMar>
              <w:top w:w="120" w:type="dxa"/>
              <w:bottom w:w="120" w:type="dxa"/>
              <w:left w:w="160" w:type="dxa"/>
              <w:right w:w="160" w:type="dxa"/>
            </w:tcMar>
          </w:tcPr>
          <w:p>
            <w:r>
              <w:rPr>
                <w:color w:val="0F172A"/>
                <w:sz w:val="18"/>
              </w:rPr>
              <w:t>SEC-17</w:t>
            </w:r>
          </w:p>
        </w:tc>
        <w:tc>
          <w:tcPr>
            <w:tcW w:type="dxa" w:w="3118"/>
            <w:shd w:fill="FFFFFF"/>
            <w:tcMar>
              <w:top w:w="120" w:type="dxa"/>
              <w:bottom w:w="120" w:type="dxa"/>
              <w:left w:w="160" w:type="dxa"/>
              <w:right w:w="160" w:type="dxa"/>
            </w:tcMar>
          </w:tcPr>
          <w:p>
            <w:r>
              <w:rPr>
                <w:color w:val="0F172A"/>
                <w:sz w:val="18"/>
              </w:rPr>
              <w:t>Referentiële Integriteit &amp; Veilig Wissen Resultaat Stamgegevens</w:t>
            </w:r>
          </w:p>
        </w:tc>
        <w:tc>
          <w:tcPr>
            <w:tcW w:type="dxa" w:w="1814"/>
            <w:shd w:fill="FFFFFF"/>
            <w:tcMar>
              <w:top w:w="120" w:type="dxa"/>
              <w:bottom w:w="120" w:type="dxa"/>
              <w:left w:w="160" w:type="dxa"/>
              <w:right w:w="160" w:type="dxa"/>
            </w:tcMar>
          </w:tcPr>
          <w:p>
            <w:r>
              <w:rPr>
                <w:color w:val="0F172A"/>
                <w:sz w:val="18"/>
              </w:rPr>
              <w:t>Data-Integriteit</w:t>
            </w:r>
          </w:p>
        </w:tc>
        <w:tc>
          <w:tcPr>
            <w:tcW w:type="dxa" w:w="1417"/>
            <w:shd w:fill="FFFFFF"/>
            <w:tcMar>
              <w:top w:w="120" w:type="dxa"/>
              <w:bottom w:w="120" w:type="dxa"/>
              <w:left w:w="160" w:type="dxa"/>
              <w:right w:w="160" w:type="dxa"/>
            </w:tcMar>
          </w:tcPr>
          <w:p>
            <w:r>
              <w:rPr>
                <w:color w:val="0F172A"/>
                <w:sz w:val="18"/>
              </w:rPr>
              <w:t>Laag</w:t>
            </w:r>
          </w:p>
        </w:tc>
        <w:tc>
          <w:tcPr>
            <w:tcW w:type="dxa" w:w="1871"/>
            <w:shd w:fill="FFFFFF"/>
            <w:tcMar>
              <w:top w:w="120" w:type="dxa"/>
              <w:bottom w:w="120" w:type="dxa"/>
              <w:left w:w="160" w:type="dxa"/>
              <w:right w:w="160" w:type="dxa"/>
            </w:tcMar>
          </w:tcPr>
          <w:p>
            <w:r>
              <w:rPr>
                <w:color w:val="0F172A"/>
                <w:sz w:val="18"/>
              </w:rPr>
              <w:t>GEVERIFIEERD</w:t>
            </w:r>
          </w:p>
        </w:tc>
      </w:tr>
    </w:tbl>
    <w:p>
      <w:pPr>
        <w:spacing w:after="120"/>
      </w:pPr>
    </w:p>
    <w:p>
      <w:pPr>
        <w:keepNext/>
        <w:spacing w:before="280" w:after="120"/>
      </w:pPr>
      <w:r>
        <w:rPr>
          <w:b/>
          <w:color w:val="2563EB"/>
          <w:sz w:val="26"/>
        </w:rPr>
        <w:t>5.1 Toelichting op Recente Bevindingen (SEC-13 t/m SEC-17)</w:t>
      </w:r>
    </w:p>
    <w:p>
      <w:pPr>
        <w:keepNext/>
        <w:spacing w:before="200" w:after="80"/>
      </w:pPr>
      <w:r>
        <w:rPr>
          <w:b/>
          <w:color w:val="0F172A"/>
          <w:sz w:val="22"/>
        </w:rPr>
        <w:t>SEC-13: Dynamische Permissiematrix &amp; Uitfasering Legacy Autorisatie (GEVERIFIEERD)</w:t>
      </w:r>
    </w:p>
    <w:p>
      <w:pPr>
        <w:pStyle w:val="ListBullet"/>
        <w:spacing w:before="20" w:after="60" w:line="276" w:lineRule="auto"/>
      </w:pPr>
      <w:r>
        <w:rPr>
          <w:b/>
          <w:color w:val="0F172A"/>
          <w:sz w:val="20"/>
        </w:rPr>
        <w:t xml:space="preserve">Risicoanalyse: </w:t>
      </w:r>
      <w:r>
        <w:rPr>
          <w:color w:val="0F172A"/>
          <w:sz w:val="20"/>
        </w:rPr>
        <w:t>Statische rollen boden onvoldoende flexibiliteit om per module het Least Privilege principe af te dwingen.</w:t>
      </w:r>
    </w:p>
    <w:p>
      <w:pPr>
        <w:pStyle w:val="ListBullet"/>
        <w:spacing w:before="20" w:after="60" w:line="276" w:lineRule="auto"/>
      </w:pPr>
      <w:r>
        <w:rPr>
          <w:b/>
          <w:color w:val="0F172A"/>
          <w:sz w:val="20"/>
        </w:rPr>
        <w:t xml:space="preserve">Geïmplementeerde Oplossing: </w:t>
      </w:r>
      <w:r>
        <w:rPr>
          <w:color w:val="0F172A"/>
          <w:sz w:val="20"/>
        </w:rPr>
        <w:t>Implementatie van Group, GroupPermission en UserGroup met fijnmazige rechten (geen/lezen/schrijven) over 13 functionele modules. Legacy organisatierollen zijn volledig uitgefaseerd.</w:t>
      </w:r>
    </w:p>
    <w:p>
      <w:pPr>
        <w:keepNext/>
        <w:spacing w:before="200" w:after="80"/>
      </w:pPr>
      <w:r>
        <w:rPr>
          <w:b/>
          <w:color w:val="0F172A"/>
          <w:sz w:val="22"/>
        </w:rPr>
        <w:t>SEC-14: Bescherming Laatste Platformbeheerder &amp; Continuïteitswaarborging (GEVERIFIEERD)</w:t>
      </w:r>
    </w:p>
    <w:p>
      <w:pPr>
        <w:pStyle w:val="ListBullet"/>
        <w:spacing w:before="20" w:after="60" w:line="276" w:lineRule="auto"/>
      </w:pPr>
      <w:r>
        <w:rPr>
          <w:b/>
          <w:color w:val="0F172A"/>
          <w:sz w:val="20"/>
        </w:rPr>
        <w:t xml:space="preserve">Risicoanalyse: </w:t>
      </w:r>
      <w:r>
        <w:rPr>
          <w:color w:val="0F172A"/>
          <w:sz w:val="20"/>
        </w:rPr>
        <w:t>Indien per ongeluk de enige superadmin werd uitgeschakeld of ontkoppeld, zou het platform onbeheerbaar worden.</w:t>
      </w:r>
    </w:p>
    <w:p>
      <w:pPr>
        <w:pStyle w:val="ListBullet"/>
        <w:spacing w:before="20" w:after="60" w:line="276" w:lineRule="auto"/>
      </w:pPr>
      <w:r>
        <w:rPr>
          <w:b/>
          <w:color w:val="0F172A"/>
          <w:sz w:val="20"/>
        </w:rPr>
        <w:t xml:space="preserve">Geïmplementeerde Oplossing: </w:t>
      </w:r>
      <w:r>
        <w:rPr>
          <w:color w:val="0F172A"/>
          <w:sz w:val="20"/>
        </w:rPr>
        <w:t>Zowel de gebruikersinterface als server-side validatielagen in routes/admin.py en routes/platform.py verhinderen het uitschakelen of wissen van de laatste actieve platformbeheerder.</w:t>
      </w:r>
    </w:p>
    <w:p>
      <w:pPr>
        <w:keepNext/>
        <w:spacing w:before="200" w:after="80"/>
      </w:pPr>
      <w:r>
        <w:rPr>
          <w:b/>
          <w:color w:val="0F172A"/>
          <w:sz w:val="22"/>
        </w:rPr>
        <w:t>SEC-15: Server-Side Handhaving Restrictie 'Alleen Eigen Registraties' (GEVERIFIEERD)</w:t>
      </w:r>
    </w:p>
    <w:p>
      <w:pPr>
        <w:pStyle w:val="ListBullet"/>
        <w:spacing w:before="20" w:after="60" w:line="276" w:lineRule="auto"/>
      </w:pPr>
      <w:r>
        <w:rPr>
          <w:b/>
          <w:color w:val="0F172A"/>
          <w:sz w:val="20"/>
        </w:rPr>
        <w:t xml:space="preserve">Risicoanalyse: </w:t>
      </w:r>
      <w:r>
        <w:rPr>
          <w:color w:val="0F172A"/>
          <w:sz w:val="20"/>
        </w:rPr>
        <w:t>Uitsluitend verbergen van de filter in de UI is onvoldoende indien parameters via de URL gemanipuleerd kunnen worden.</w:t>
      </w:r>
    </w:p>
    <w:p>
      <w:pPr>
        <w:pStyle w:val="ListBullet"/>
        <w:spacing w:before="20" w:after="60" w:line="276" w:lineRule="auto"/>
      </w:pPr>
      <w:r>
        <w:rPr>
          <w:b/>
          <w:color w:val="0F172A"/>
          <w:sz w:val="20"/>
        </w:rPr>
        <w:t xml:space="preserve">Geïmplementeerde Oplossing: </w:t>
      </w:r>
      <w:r>
        <w:rPr>
          <w:color w:val="0F172A"/>
          <w:sz w:val="20"/>
        </w:rPr>
        <w:t>In routes/registrations.py wordt de restrictie afgedwongen direct op de SQLAlchemy query (Registration.digidokter_id == user_digidokter.id), waardoor ongeautoriseerde data-inzage technisch onmogelijk is.</w:t>
      </w:r>
    </w:p>
    <w:p>
      <w:pPr>
        <w:keepNext/>
        <w:spacing w:before="200" w:after="80"/>
      </w:pPr>
      <w:r>
        <w:rPr>
          <w:b/>
          <w:color w:val="0F172A"/>
          <w:sz w:val="22"/>
        </w:rPr>
        <w:t>SEC-16: Doelgroepvalidatie &amp; Tenant-Isolatie Organisatiecommunicatie (GEVERIFIEERD)</w:t>
      </w:r>
    </w:p>
    <w:p>
      <w:pPr>
        <w:pStyle w:val="ListBullet"/>
        <w:spacing w:before="20" w:after="60" w:line="276" w:lineRule="auto"/>
      </w:pPr>
      <w:r>
        <w:rPr>
          <w:b/>
          <w:color w:val="0F172A"/>
          <w:sz w:val="20"/>
        </w:rPr>
        <w:t xml:space="preserve">Risicoanalyse: </w:t>
      </w:r>
      <w:r>
        <w:rPr>
          <w:color w:val="0F172A"/>
          <w:sz w:val="20"/>
        </w:rPr>
        <w:t>Berichten verzenden naar medewerkers bracht risico op cross-tenant datalekken of ontbrekende geadresseerden met zich mee.</w:t>
      </w:r>
    </w:p>
    <w:p>
      <w:pPr>
        <w:pStyle w:val="ListBullet"/>
        <w:spacing w:before="20" w:after="60" w:line="276" w:lineRule="auto"/>
      </w:pPr>
      <w:r>
        <w:rPr>
          <w:b/>
          <w:color w:val="0F172A"/>
          <w:sz w:val="20"/>
        </w:rPr>
        <w:t xml:space="preserve">Geïmplementeerde Oplossing: </w:t>
      </w:r>
      <w:r>
        <w:rPr>
          <w:color w:val="0F172A"/>
          <w:sz w:val="20"/>
        </w:rPr>
        <w:t>Strikte doelgroepvalidatie met realtime waarschuwing, veilige proefmailfunctie en multi-tenant logging in communicatie_logs.</w:t>
      </w:r>
    </w:p>
    <w:p>
      <w:pPr>
        <w:keepNext/>
        <w:spacing w:before="200" w:after="80"/>
      </w:pPr>
      <w:r>
        <w:rPr>
          <w:b/>
          <w:color w:val="0F172A"/>
          <w:sz w:val="22"/>
        </w:rPr>
        <w:t>SEC-17: Referentiële Integriteit &amp; Veilig Wissen Resultaat Stamgegevens (GEVERIFIEERD)</w:t>
      </w:r>
    </w:p>
    <w:p>
      <w:pPr>
        <w:pStyle w:val="ListBullet"/>
        <w:spacing w:before="20" w:after="60" w:line="276" w:lineRule="auto"/>
      </w:pPr>
      <w:r>
        <w:rPr>
          <w:b/>
          <w:color w:val="0F172A"/>
          <w:sz w:val="20"/>
        </w:rPr>
        <w:t xml:space="preserve">Risicoanalyse: </w:t>
      </w:r>
      <w:r>
        <w:rPr>
          <w:color w:val="0F172A"/>
          <w:sz w:val="20"/>
        </w:rPr>
        <w:t>Het verwijderen van een uitkomstcategorie die in gebruik is bij registraties kan leiden tot zwevende foreign keys of corrupte rapportages.</w:t>
      </w:r>
    </w:p>
    <w:p>
      <w:pPr>
        <w:pStyle w:val="ListBullet"/>
        <w:spacing w:before="20" w:after="60" w:line="276" w:lineRule="auto"/>
      </w:pPr>
      <w:r>
        <w:rPr>
          <w:b/>
          <w:color w:val="0F172A"/>
          <w:sz w:val="20"/>
        </w:rPr>
        <w:t xml:space="preserve">Geïmplementeerde Oplossing: </w:t>
      </w:r>
      <w:r>
        <w:rPr>
          <w:color w:val="0F172A"/>
          <w:sz w:val="20"/>
        </w:rPr>
        <w:t>In utils/stamgegevens.py en routes/admin.py is controle op gekoppelde registraties geïmplementeerd. Verwijderen is uitsluitend toegestaan bij 0 verwijzingen.</w:t>
      </w:r>
    </w:p>
    <w:p>
      <w:pPr>
        <w:keepNext/>
        <w:spacing w:before="360" w:after="160"/>
      </w:pPr>
      <w:r>
        <w:rPr>
          <w:b/>
          <w:color w:val="1E3A8A"/>
          <w:sz w:val="32"/>
        </w:rPr>
        <w:t>6. Aanbevelingen voor Toekomstige Hardening (Defensive Roadmap)</w:t>
      </w:r>
    </w:p>
    <w:p>
      <w:pPr>
        <w:spacing w:before="0" w:after="120" w:line="276" w:lineRule="auto"/>
      </w:pPr>
      <w:r>
        <w:rPr>
          <w:i w:val="0"/>
          <w:color w:val="0F172A"/>
          <w:sz w:val="20"/>
        </w:rPr>
        <w:t>Hoewel het huidige beveiligingsniveau uitstekend is, worden de volgende best-practice verbeteringen aanbevolen voor toekomstige releases:</w:t>
      </w:r>
    </w:p>
    <w:p>
      <w:pPr>
        <w:pStyle w:val="ListBullet"/>
        <w:spacing w:before="20" w:after="60" w:line="276" w:lineRule="auto"/>
      </w:pPr>
      <w:r>
        <w:rPr>
          <w:b/>
          <w:color w:val="0F172A"/>
          <w:sz w:val="20"/>
        </w:rPr>
        <w:t xml:space="preserve">1. Two-Factor Authentication (2FA) voor Beheerders: </w:t>
      </w:r>
      <w:r>
        <w:rPr>
          <w:color w:val="0F172A"/>
          <w:sz w:val="20"/>
        </w:rPr>
        <w:t>Implementeer optionele Twee-Factor Authenticatie (2FA / TOTP) voor gebruikers met de groep Platformbeheerders en Beheerders.</w:t>
      </w:r>
    </w:p>
    <w:p>
      <w:pPr>
        <w:pStyle w:val="ListBullet"/>
        <w:spacing w:before="20" w:after="60" w:line="276" w:lineRule="auto"/>
      </w:pPr>
      <w:r>
        <w:rPr>
          <w:b/>
          <w:color w:val="0F172A"/>
          <w:sz w:val="20"/>
        </w:rPr>
        <w:t xml:space="preserve">2. PostgreSQL Row-Level Security (RLS): </w:t>
      </w:r>
      <w:r>
        <w:rPr>
          <w:color w:val="0F172A"/>
          <w:sz w:val="20"/>
        </w:rPr>
        <w:t>Overweeg bij multi-tenancy PostgreSQL Row-Level Security (RLS) policies te activeren op database-niveau als extra defensieve laag.</w:t>
      </w:r>
    </w:p>
    <w:p>
      <w:pPr>
        <w:pStyle w:val="ListBullet"/>
        <w:spacing w:before="20" w:after="60" w:line="276" w:lineRule="auto"/>
      </w:pPr>
      <w:r>
        <w:rPr>
          <w:b/>
          <w:color w:val="0F172A"/>
          <w:sz w:val="20"/>
        </w:rPr>
        <w:t xml:space="preserve">3. Geautomatiseerde Dependency Vulnerability Scanning: </w:t>
      </w:r>
      <w:r>
        <w:rPr>
          <w:color w:val="0F172A"/>
          <w:sz w:val="20"/>
        </w:rPr>
        <w:t>Voorzie geautomatiseerde dependency vulnerability scanning via Dependabot of pip-audit in de CI/CD pipeline.</w:t>
      </w:r>
    </w:p>
    <w:p>
      <w:pPr>
        <w:keepNext/>
        <w:spacing w:before="360" w:after="160"/>
      </w:pPr>
      <w:r>
        <w:rPr>
          <w:b/>
          <w:color w:val="1E3A8A"/>
          <w:sz w:val="32"/>
        </w:rPr>
        <w:t>7. Conclusie &amp; Goedkeuring</w:t>
      </w:r>
    </w:p>
    <w:p>
      <w:pPr>
        <w:spacing w:before="0" w:after="120" w:line="276" w:lineRule="auto"/>
      </w:pPr>
      <w:r>
        <w:rPr>
          <w:i w:val="0"/>
          <w:color w:val="0F172A"/>
          <w:sz w:val="20"/>
        </w:rPr>
        <w:t>De herhaalde security audit van 9 oktober 2026 toont aan dat het Digidokters platform op alle onderdelen voldoet aan de strengste normen voor web- en applicatiebeveiliging. Zowel de historische beveiligingspunten als de recente uitbreidingen (Resultaten stamgegevens &amp; afloopregistratie, Dynamisch RBAC &amp; Permissiematrix, Restrictie Alleen Eigen Registraties, Interne Communicatie en Zelfbediening) zijn grondig geanalyseerd, veilig bevonden en 100% afgedekt met 236 unittests.</w:t>
      </w:r>
    </w:p>
    <w:p>
      <w:pPr>
        <w:spacing w:before="0" w:after="120" w:line="276" w:lineRule="auto"/>
      </w:pPr>
      <w:r>
        <w:rPr>
          <w:b/>
          <w:color w:val="0F172A"/>
          <w:sz w:val="20"/>
        </w:rPr>
        <w:t xml:space="preserve">Eindoordeel: </w:t>
      </w:r>
      <w:r>
        <w:rPr>
          <w:i w:val="0"/>
          <w:color w:val="0F172A"/>
          <w:sz w:val="20"/>
        </w:rPr>
        <w:t>Het platform is volledig gereed voor veilig en betrouwbaar gebruik in productie.</w:t>
      </w:r>
    </w:p>
    <w:p>
      <w:pPr>
        <w:spacing w:after="400"/>
      </w:pP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single" w:sz="4" w:space="0" w:color="CBD5E1"/>
          <w:left w:val="none"/>
          <w:right w:val="none"/>
        </w:tblBorders>
      </w:tblPr>
      <w:tblGrid>
        <w:gridCol w:w="3135"/>
        <w:gridCol w:w="3135"/>
        <w:gridCol w:w="3135"/>
      </w:tblGrid>
      <w:tr>
        <w:tc>
          <w:tcPr>
            <w:tcW w:type="dxa" w:w="4252"/>
            <w:shd w:fill="1E3A8A"/>
            <w:tcMar>
              <w:top w:w="160" w:type="dxa"/>
              <w:bottom w:w="160" w:type="dxa"/>
              <w:left w:w="180" w:type="dxa"/>
              <w:right w:w="180" w:type="dxa"/>
            </w:tcMar>
          </w:tcPr>
          <w:p>
            <w:pPr>
              <w:jc w:val="left"/>
            </w:pPr>
            <w:r>
              <w:rPr>
                <w:b/>
                <w:color w:val="FFFFFF"/>
                <w:sz w:val="19"/>
              </w:rPr>
              <w:t>Rol / Discipline</w:t>
            </w:r>
          </w:p>
        </w:tc>
        <w:tc>
          <w:tcPr>
            <w:tcW w:type="dxa" w:w="3402"/>
            <w:shd w:fill="1E3A8A"/>
            <w:tcMar>
              <w:top w:w="160" w:type="dxa"/>
              <w:bottom w:w="160" w:type="dxa"/>
              <w:left w:w="180" w:type="dxa"/>
              <w:right w:w="180" w:type="dxa"/>
            </w:tcMar>
          </w:tcPr>
          <w:p>
            <w:pPr>
              <w:jc w:val="left"/>
            </w:pPr>
            <w:r>
              <w:rPr>
                <w:b/>
                <w:color w:val="FFFFFF"/>
                <w:sz w:val="19"/>
              </w:rPr>
              <w:t>Status</w:t>
            </w:r>
          </w:p>
        </w:tc>
        <w:tc>
          <w:tcPr>
            <w:tcW w:type="dxa" w:w="1701"/>
            <w:shd w:fill="1E3A8A"/>
            <w:tcMar>
              <w:top w:w="160" w:type="dxa"/>
              <w:bottom w:w="160" w:type="dxa"/>
              <w:left w:w="180" w:type="dxa"/>
              <w:right w:w="180" w:type="dxa"/>
            </w:tcMar>
          </w:tcPr>
          <w:p>
            <w:pPr>
              <w:jc w:val="left"/>
            </w:pPr>
            <w:r>
              <w:rPr>
                <w:b/>
                <w:color w:val="FFFFFF"/>
                <w:sz w:val="19"/>
              </w:rPr>
              <w:t>Datum</w:t>
            </w:r>
          </w:p>
        </w:tc>
      </w:tr>
      <w:tr>
        <w:tc>
          <w:tcPr>
            <w:tcW w:type="dxa" w:w="4252"/>
            <w:shd w:fill="FFFFFF"/>
            <w:tcMar>
              <w:top w:w="120" w:type="dxa"/>
              <w:bottom w:w="120" w:type="dxa"/>
              <w:left w:w="160" w:type="dxa"/>
              <w:right w:w="160" w:type="dxa"/>
            </w:tcMar>
          </w:tcPr>
          <w:p>
            <w:r>
              <w:rPr>
                <w:color w:val="0F172A"/>
                <w:sz w:val="18"/>
              </w:rPr>
              <w:t>Security Auditor &amp; Lead Code Reviewer</w:t>
            </w:r>
          </w:p>
        </w:tc>
        <w:tc>
          <w:tcPr>
            <w:tcW w:type="dxa" w:w="3402"/>
            <w:shd w:fill="FFFFFF"/>
            <w:tcMar>
              <w:top w:w="120" w:type="dxa"/>
              <w:bottom w:w="120" w:type="dxa"/>
              <w:left w:w="160" w:type="dxa"/>
              <w:right w:w="160" w:type="dxa"/>
            </w:tcMar>
          </w:tcPr>
          <w:p>
            <w:r>
              <w:rPr>
                <w:color w:val="0F172A"/>
                <w:sz w:val="18"/>
              </w:rPr>
              <w:t>GOEDGEKEURD (Conform OWASP ASVS)</w:t>
            </w:r>
          </w:p>
        </w:tc>
        <w:tc>
          <w:tcPr>
            <w:tcW w:type="dxa" w:w="1701"/>
            <w:shd w:fill="FFFFFF"/>
            <w:tcMar>
              <w:top w:w="120" w:type="dxa"/>
              <w:bottom w:w="120" w:type="dxa"/>
              <w:left w:w="160" w:type="dxa"/>
              <w:right w:w="160" w:type="dxa"/>
            </w:tcMar>
          </w:tcPr>
          <w:p>
            <w:r>
              <w:rPr>
                <w:color w:val="0F172A"/>
                <w:sz w:val="18"/>
              </w:rPr>
              <w:t>09-10-2026</w:t>
            </w:r>
          </w:p>
        </w:tc>
      </w:tr>
      <w:tr>
        <w:tc>
          <w:tcPr>
            <w:tcW w:type="dxa" w:w="4252"/>
            <w:shd w:fill="F1F5F9"/>
            <w:tcMar>
              <w:top w:w="120" w:type="dxa"/>
              <w:bottom w:w="120" w:type="dxa"/>
              <w:left w:w="160" w:type="dxa"/>
              <w:right w:w="160" w:type="dxa"/>
            </w:tcMar>
          </w:tcPr>
          <w:p>
            <w:r>
              <w:rPr>
                <w:color w:val="0F172A"/>
                <w:sz w:val="18"/>
              </w:rPr>
              <w:t>Geautomatiseerde Testsuite (236 tests, 32 suites)</w:t>
            </w:r>
          </w:p>
        </w:tc>
        <w:tc>
          <w:tcPr>
            <w:tcW w:type="dxa" w:w="3402"/>
            <w:shd w:fill="F1F5F9"/>
            <w:tcMar>
              <w:top w:w="120" w:type="dxa"/>
              <w:bottom w:w="120" w:type="dxa"/>
              <w:left w:w="160" w:type="dxa"/>
              <w:right w:w="160" w:type="dxa"/>
            </w:tcMar>
          </w:tcPr>
          <w:p>
            <w:r>
              <w:rPr>
                <w:color w:val="0F172A"/>
                <w:sz w:val="18"/>
              </w:rPr>
              <w:t>100% GESLAAGD (0 fouten, 0 mislukt)</w:t>
            </w:r>
          </w:p>
        </w:tc>
        <w:tc>
          <w:tcPr>
            <w:tcW w:type="dxa" w:w="1701"/>
            <w:shd w:fill="F1F5F9"/>
            <w:tcMar>
              <w:top w:w="120" w:type="dxa"/>
              <w:bottom w:w="120" w:type="dxa"/>
              <w:left w:w="160" w:type="dxa"/>
              <w:right w:w="160" w:type="dxa"/>
            </w:tcMar>
          </w:tcPr>
          <w:p>
            <w:r>
              <w:rPr>
                <w:color w:val="0F172A"/>
                <w:sz w:val="18"/>
              </w:rPr>
              <w:t>09-10-2026</w:t>
            </w:r>
          </w:p>
        </w:tc>
      </w:tr>
      <w:tr>
        <w:tc>
          <w:tcPr>
            <w:tcW w:type="dxa" w:w="4252"/>
            <w:shd w:fill="FFFFFF"/>
            <w:tcMar>
              <w:top w:w="120" w:type="dxa"/>
              <w:bottom w:w="120" w:type="dxa"/>
              <w:left w:w="160" w:type="dxa"/>
              <w:right w:w="160" w:type="dxa"/>
            </w:tcMar>
          </w:tcPr>
          <w:p>
            <w:r>
              <w:rPr>
                <w:color w:val="0F172A"/>
                <w:sz w:val="18"/>
              </w:rPr>
              <w:t>SonarQube Quality Gate</w:t>
            </w:r>
          </w:p>
        </w:tc>
        <w:tc>
          <w:tcPr>
            <w:tcW w:type="dxa" w:w="3402"/>
            <w:shd w:fill="FFFFFF"/>
            <w:tcMar>
              <w:top w:w="120" w:type="dxa"/>
              <w:bottom w:w="120" w:type="dxa"/>
              <w:left w:w="160" w:type="dxa"/>
              <w:right w:w="160" w:type="dxa"/>
            </w:tcMar>
          </w:tcPr>
          <w:p>
            <w:r>
              <w:rPr>
                <w:color w:val="0F172A"/>
                <w:sz w:val="18"/>
              </w:rPr>
              <w:t>GEPASSEERD (A-Rating Security)</w:t>
            </w:r>
          </w:p>
        </w:tc>
        <w:tc>
          <w:tcPr>
            <w:tcW w:type="dxa" w:w="1701"/>
            <w:shd w:fill="FFFFFF"/>
            <w:tcMar>
              <w:top w:w="120" w:type="dxa"/>
              <w:bottom w:w="120" w:type="dxa"/>
              <w:left w:w="160" w:type="dxa"/>
              <w:right w:w="160" w:type="dxa"/>
            </w:tcMar>
          </w:tcPr>
          <w:p>
            <w:r>
              <w:rPr>
                <w:color w:val="0F172A"/>
                <w:sz w:val="18"/>
              </w:rPr>
              <w:t>09-10-2026</w:t>
            </w:r>
          </w:p>
        </w:tc>
      </w:tr>
    </w:tbl>
    <w:p>
      <w:pPr>
        <w:spacing w:after="120"/>
      </w:pP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 xml:space="preserve">Vertrouwelijk — Digidokters Security Audit Rapport — Pagina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Digidokters Platform — Technische Security Audit (9 oktober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