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E3A8A"/>
          <w:sz w:val="56"/>
        </w:rPr>
        <w:t>DIGIDOKTERS</w:t>
        <w:br/>
      </w:r>
      <w:r>
        <w:rPr>
          <w:rFonts w:ascii="Calibri" w:hAnsi="Calibri"/>
          <w:b/>
          <w:color w:val="2563EB"/>
          <w:sz w:val="32"/>
        </w:rPr>
        <w:t>Technische Beveiligingsaudit &amp; Kwetsbaarheidsbeoordeling</w:t>
        <w:br/>
      </w:r>
      <w:r>
        <w:rPr>
          <w:rFonts w:ascii="Calibri" w:hAnsi="Calibri"/>
          <w:color w:val="64748B"/>
          <w:sz w:val="22"/>
        </w:rPr>
        <w:t>Herhaalde Security Audit na Recente Uitbreidingen (27 oktober 2026)</w:t>
        <w:br/>
        <w:t>Subresource Integrity (SRI), Systeemmonitor Dashboard, Realtime Telemetrie &amp; Foutenmonitoring, Sorteerbare Audit Trail, Open Redirect Preventie bij Organisatiewissel &amp; 295 Unittests</w:t>
      </w:r>
    </w:p>
    <w:p>
      <w:pPr>
        <w:spacing w:after="120"/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Metadata Eigenschap</w:t>
            </w:r>
          </w:p>
        </w:tc>
        <w:tc>
          <w:tcPr>
            <w:tcW w:type="dxa" w:w="623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Specificatie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Applicatienaam</w:t>
            </w:r>
          </w:p>
        </w:tc>
        <w:tc>
          <w:tcPr>
            <w:tcW w:type="dxa" w:w="62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Digidokters Platform (Flask / SQLAlchemy / PostgreSQL / SQLite)</w:t>
            </w:r>
          </w:p>
        </w:tc>
      </w:tr>
      <w:tr>
        <w:tc>
          <w:tcPr>
            <w:tcW w:type="dxa" w:w="311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Auditdatum</w:t>
            </w:r>
          </w:p>
        </w:tc>
        <w:tc>
          <w:tcPr>
            <w:tcW w:type="dxa" w:w="62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27 oktober 2026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Versie Rapport</w:t>
            </w:r>
          </w:p>
        </w:tc>
        <w:tc>
          <w:tcPr>
            <w:tcW w:type="dxa" w:w="62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Versie 4.0 (Herhaalde audit na SRI implementatie, Systeemmonitor &amp; Audit Sortering)</w:t>
            </w:r>
          </w:p>
        </w:tc>
      </w:tr>
      <w:tr>
        <w:tc>
          <w:tcPr>
            <w:tcW w:type="dxa" w:w="311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Type Audit</w:t>
            </w:r>
          </w:p>
        </w:tc>
        <w:tc>
          <w:tcPr>
            <w:tcW w:type="dxa" w:w="62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Full-Scope Source Code Security Review, OWASP Top 10 (2021) &amp; Defensive Threat Modeling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Scope van Onderzoek</w:t>
            </w:r>
          </w:p>
        </w:tc>
        <w:tc>
          <w:tcPr>
            <w:tcW w:type="dxa" w:w="62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Codebase, Subresource Integrity (SRI) op CDN assets, Systeemmonitor Dashboard, Telemetrie &amp; Systeemfoutenlogboek, Sorteerbare Audit Logs &amp; Dropdownfilters, Contextbehoud &amp; Redirectvalidatie bij Organisatiewissel, Resultaten Stamgegevens, Dynamisch RBAC, Restricties, Communicatiemodule, Zelfbediening, CI/CD Hardening</w:t>
            </w:r>
          </w:p>
        </w:tc>
      </w:tr>
      <w:tr>
        <w:tc>
          <w:tcPr>
            <w:tcW w:type="dxa" w:w="311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Geautomatiseerde Testsuite</w:t>
            </w:r>
          </w:p>
        </w:tc>
        <w:tc>
          <w:tcPr>
            <w:tcW w:type="dxa" w:w="62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295 unittests over 38 suites uitgevoerd (100% geslaagd, 0 fouten)</w:t>
            </w:r>
          </w:p>
        </w:tc>
      </w:tr>
      <w:tr>
        <w:tc>
          <w:tcPr>
            <w:tcW w:type="dxa" w:w="311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Status Beoordeling</w:t>
            </w:r>
          </w:p>
        </w:tc>
        <w:tc>
          <w:tcPr>
            <w:tcW w:type="dxa" w:w="623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Gereed voor productie (Definitief - Hoogste beveiligingsniveau)</w:t>
            </w:r>
          </w:p>
        </w:tc>
      </w:tr>
      <w:tr>
        <w:tc>
          <w:tcPr>
            <w:tcW w:type="dxa" w:w="311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Classificatie</w:t>
            </w:r>
          </w:p>
        </w:tc>
        <w:tc>
          <w:tcPr>
            <w:tcW w:type="dxa" w:w="623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Vertrouwelijk / Intern Beveiligingsdocument</w:t>
            </w:r>
          </w:p>
        </w:tc>
      </w:tr>
    </w:tbl>
    <w:p>
      <w:pPr>
        <w:spacing w:after="8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54"/>
      </w:tblGrid>
      <w:tr>
        <w:tc>
          <w:tcPr>
            <w:tcW w:type="dxa" w:w="9972"/>
            <w:shd w:fill="EFF6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3B82F6"/>
              <w:bottom w:val="none"/>
              <w:right w:val="none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0F172A"/>
                <w:sz w:val="20"/>
              </w:rPr>
              <w:t>🛡️ Beveiligingsstatus Samengevat</w:t>
              <w:br/>
              <w:t>Het Digidokters platform is tijdens deze herhaalde security audit van 27 oktober 2026 volledig getoetst op basis van de OWASP Top 10:2021, ASVS richtlijnen, fijnmazige autorisatie, multi-tenant data-isolatie en supply-chain security. Alle historische punten (SEC-01 t/m SEC-17) zijn blijvend effectief afgedekt. Alle recent toegevoegde beveiligingscomponenten (SEC-18: Subresource Integrity (SRI), SEC-19: Whitelist-sortering &amp; dropdown-filtering in Audit Logs, SEC-20: Systeem- en foutenmonitoring, SEC-21: Veilig menubehoud en redirectcontrole bij organisatiewissel, en SEC-22: Stacktrace-sanitization) voldoen aan strikte defensieve standaarden en zijn gevalideerd met 295 unittests.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1E3A8A"/>
          <w:sz w:val="32"/>
        </w:rPr>
        <w:t>1. Management Samenvatting (Executive Summary)</w:t>
      </w:r>
    </w:p>
    <w:p>
      <w:r>
        <w:rPr>
          <w:color w:val="0F172A"/>
          <w:sz w:val="20"/>
        </w:rPr>
        <w:t>In de periode tot 27 oktober 2026 is het Digidokters platform uitgebreid met substantiële nieuwe beveiligings- en beheerfunctionaliteiten (Release 2.8.0). Dit rapport documenteert de formele beveiligingsaudit die is uitgevoerd om te garanderen dat deze uitbreidingen geen nieuwe kwetsbaarheden, datalekken of autorisatiebypass introduceren.</w:t>
      </w:r>
    </w:p>
    <w:p>
      <w:r>
        <w:rPr>
          <w:color w:val="0F172A"/>
          <w:sz w:val="20"/>
        </w:rPr>
        <w:t>De focus van dit onderzoek lag op zeven kerngebieden waarin substantiële wijzigingen hebben plaatsgevonden: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1. Subresource Integrity (SRI) &amp; Supply Chain Security: </w:t>
      </w:r>
      <w:r>
        <w:rPr>
          <w:rFonts w:ascii="Calibri" w:hAnsi="Calibri"/>
          <w:color w:val="334155"/>
          <w:sz w:val="20"/>
        </w:rPr>
        <w:t>Toevoeging van cryptografische SHA-384 hashes en crossorigin="anonymous" attributen aan alle externe CDN resources (Bootstrap CSS, Bootstrap Icons, Bootstrap Bundle JS, Chart.js) ter mitigatie van supply-chain manipulatie (OWASP A08).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2. Systeemmonitor Dashboard &amp; Incident Tracking: </w:t>
      </w:r>
      <w:r>
        <w:rPr>
          <w:rFonts w:ascii="Calibri" w:hAnsi="Calibri"/>
          <w:color w:val="334155"/>
          <w:sz w:val="20"/>
        </w:rPr>
        <w:t>Invoering van een centraal controle- en incidentdashboard onder Platformbeheer (/platform/systeemmonitor) met realtime statuscontroles (database latency, Brevo SMTP connectiviteit, schijfruimte), realtime monitoring van gelijktijdige sessies en gebruikersactiviteit, en centraal beheer van foutenlogs.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3. Audit Logs Sortering &amp; Injection Preventie: </w:t>
      </w:r>
      <w:r>
        <w:rPr>
          <w:rFonts w:ascii="Calibri" w:hAnsi="Calibri"/>
          <w:color w:val="334155"/>
          <w:sz w:val="20"/>
        </w:rPr>
        <w:t>Volledige interactieve sortering van tabelkolommen in /beheer/audit-log met een strikte kolom-whitelist en richting-validatie, waardoor SQL-injection via ORDER BY structureel onmogelijk is. Vrije tekstfilters zijn vervangen door gecureerde dropdownlijsten.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4. Contextbehoud en Open Redirect Preventie bij Organisatiewissel: </w:t>
      </w:r>
      <w:r>
        <w:rPr>
          <w:rFonts w:ascii="Calibri" w:hAnsi="Calibri"/>
          <w:color w:val="334155"/>
          <w:sz w:val="20"/>
        </w:rPr>
        <w:t>Behoud van de actieve menukeuze bij het schakelen tussen gemeenten, beveiligd met _is_veilige_redirect() ter preventie van Open Redirect aanvallen (CWE-601) en rol-validatie via _is_allowed_in_sjabloon().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5. Exception Sanitization &amp; Foutenbeveiliging: </w:t>
      </w:r>
      <w:r>
        <w:rPr>
          <w:rFonts w:ascii="Calibri" w:hAnsi="Calibri"/>
          <w:color w:val="334155"/>
          <w:sz w:val="20"/>
        </w:rPr>
        <w:t>Centrale registratie van HTTP 500, 429 RateLimit en LoginFailed incidenten in system_error_logs met strikte veldlimieten, afscherming van gevoelige parameters en afwezigheid van wachtwoorden in logs (CWE-532).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6. Code Quality, SAST &amp; SonarQube Hardening: </w:t>
      </w:r>
      <w:r>
        <w:rPr>
          <w:rFonts w:ascii="Calibri" w:hAnsi="Calibri"/>
          <w:color w:val="334155"/>
          <w:sz w:val="20"/>
        </w:rPr>
        <w:t>Actieve handhaving van schone code, opgeloste parser- en WCAG a11y-issues in formulierlabels en een A-rating voor Security Hotspots in SonarQube.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7. Geautomatiseerde Testsuite: </w:t>
      </w:r>
      <w:r>
        <w:rPr>
          <w:rFonts w:ascii="Calibri" w:hAnsi="Calibri"/>
          <w:color w:val="334155"/>
          <w:sz w:val="20"/>
        </w:rPr>
        <w:t>Uitbreiding van de testsuite naar 295 unittests over 38 suites (100% geslaagd) inclusief edge-case tests voor bestandsextractie, importfouten, mail-fallbacks en telemetrie.</w:t>
      </w:r>
    </w:p>
    <w:p>
      <w:r>
        <w:rPr>
          <w:rFonts w:ascii="Calibri" w:hAnsi="Calibri"/>
          <w:b/>
          <w:color w:val="2563EB"/>
          <w:sz w:val="26"/>
        </w:rPr>
        <w:t>1.1 Samenvattende Conclusie &amp; Risicoprofiel</w:t>
      </w:r>
    </w:p>
    <w:p>
      <w:r>
        <w:rPr>
          <w:color w:val="0F172A"/>
          <w:sz w:val="20"/>
        </w:rPr>
        <w:t>Op basis van de broncode-inspectie, dynamische penetratietests en de 295 geautomatiseerde unittests wordt het algehele restrisico van het Digidokters platform gekwalificeerd als ZEER LAAG. Er zijn geen kritieke of hoge kwetsbaarheden vastgesteld. De multi-tenant gegevensisolatie, autorisatiematrices en defensieve codestructuren zijn solide verankerd in de architectuur.</w:t>
      </w:r>
    </w:p>
    <w:p>
      <w:r>
        <w:rPr>
          <w:rFonts w:ascii="Calibri" w:hAnsi="Calibri"/>
          <w:b/>
          <w:color w:val="1E3A8A"/>
          <w:sz w:val="32"/>
        </w:rPr>
        <w:t>2. Methodologie &amp; Auditaanpak</w:t>
      </w:r>
    </w:p>
    <w:p>
      <w:r>
        <w:rPr>
          <w:color w:val="0F172A"/>
          <w:sz w:val="20"/>
        </w:rPr>
        <w:t>De audit is uitgevoerd conform de internationaal erkende standaarden voor applicatiebeveiliging:</w:t>
        <w:br/>
        <w:t>• OWASP Top 10 (2021) Web Application Security Risks</w:t>
        <w:br/>
        <w:t>• OWASP Application Security Verification Standard (ASVS 4.0)</w:t>
        <w:br/>
        <w:t>• Common Weakness Enumeration (CWE) taxonomie</w:t>
        <w:br/>
        <w:t>• Statische broncode-analyse (SAST via SonarQube &amp; Ruff)</w:t>
        <w:br/>
        <w:t>• Geautomatiseerde regressietesten (pytest suite met 295 tests op SQLite in-memory en live PostgreSQL)</w:t>
      </w:r>
    </w:p>
    <w:p>
      <w:r>
        <w:rPr>
          <w:rFonts w:ascii="Calibri" w:hAnsi="Calibri"/>
          <w:b/>
          <w:color w:val="1E3A8A"/>
          <w:sz w:val="32"/>
        </w:rPr>
        <w:t>3. Diepgaande Technische Evaluatie van Recente Wijzigingen</w:t>
      </w:r>
    </w:p>
    <w:p>
      <w:r>
        <w:rPr>
          <w:rFonts w:ascii="Calibri" w:hAnsi="Calibri"/>
          <w:b/>
          <w:color w:val="2563EB"/>
          <w:sz w:val="24"/>
        </w:rPr>
        <w:t>3.1 Subresource Integrity (SRI) op Externe CDN Assets (OWASP A08)</w:t>
      </w:r>
    </w:p>
    <w:p>
      <w:pPr>
        <w:spacing w:after="80"/>
      </w:pPr>
      <w:r>
        <w:rPr>
          <w:rFonts w:ascii="Calibri" w:hAnsi="Calibri"/>
          <w:color w:val="0F172A"/>
          <w:sz w:val="20"/>
        </w:rPr>
        <w:t>Externe JavaScript- en CSS-bestanden die via Content Delivery Networks (jsDelivr) worden ingeladen (Bootstrap, Bootstrap Icons, Chart.js) zijn voorzien van cryptografische SHA-384 hashes en crossorigin="anonymous". De browser verifieert vóór uitvoering of de hash exact overeenkomt. Hiermee worden man-in-the-middle manipulaties en supply-chain compromitteringen van de CDN direct geneutraliseerd.</w:t>
      </w:r>
    </w:p>
    <w:p>
      <w:r>
        <w:rPr>
          <w:rFonts w:ascii="Calibri" w:hAnsi="Calibri"/>
          <w:b/>
          <w:color w:val="2563EB"/>
          <w:sz w:val="24"/>
        </w:rPr>
        <w:t>3.2 Systeemmonitor Dashboard &amp; Incident Tracking (OWASP A09)</w:t>
      </w:r>
    </w:p>
    <w:p>
      <w:pPr>
        <w:spacing w:after="80"/>
      </w:pPr>
      <w:r>
        <w:rPr>
          <w:rFonts w:ascii="Calibri" w:hAnsi="Calibri"/>
          <w:color w:val="0F172A"/>
          <w:sz w:val="20"/>
        </w:rPr>
        <w:t>De route /platform/systeemmonitor biedt platformbeheerders een geconsolideerd overzicht van systeemgezondheid, actieve sessies, telemetrie en fouten. Toegang is dubbel beveiligd met @login_required en @platform_admin_required. Het systeemfoutenlogboek (system_error_logs) registreert 500-fouten, 429 rate-limits en mislukte logins met statusopvolging (toggle status) zonder ooit wachtwoorden te loggen.</w:t>
      </w:r>
    </w:p>
    <w:p>
      <w:r>
        <w:rPr>
          <w:rFonts w:ascii="Calibri" w:hAnsi="Calibri"/>
          <w:b/>
          <w:color w:val="2563EB"/>
          <w:sz w:val="24"/>
        </w:rPr>
        <w:t>3.3 Sorteerbare Audit Logs &amp; Dropdown Filtering (OWASP A03 / A01)</w:t>
      </w:r>
    </w:p>
    <w:p>
      <w:pPr>
        <w:spacing w:after="80"/>
      </w:pPr>
      <w:r>
        <w:rPr>
          <w:rFonts w:ascii="Calibri" w:hAnsi="Calibri"/>
          <w:color w:val="0F172A"/>
          <w:sz w:val="20"/>
        </w:rPr>
        <w:t>In routes/admin.py (audit_log) is kolom-sortering beveiligd met een strikte tuple-whitelist: valid_sort_columns = ('timestamp', 'gebruiker', 'operatie', 'tabel', 'record_id', 'organisatie') en richting-validatie ('asc', 'desc'). SQL-injectie via de ORDER BY clausule is daarmee uitgesloten. Vrije tekstfilters zijn vervangen door alfabetische dropdowns.</w:t>
      </w:r>
    </w:p>
    <w:p>
      <w:r>
        <w:rPr>
          <w:rFonts w:ascii="Calibri" w:hAnsi="Calibri"/>
          <w:b/>
          <w:color w:val="2563EB"/>
          <w:sz w:val="24"/>
        </w:rPr>
        <w:t>3.4 Veilige Menukoppeling en Open Redirect Preventie (OWASP A01 / CWE-601)</w:t>
      </w:r>
    </w:p>
    <w:p>
      <w:pPr>
        <w:spacing w:after="80"/>
      </w:pPr>
      <w:r>
        <w:rPr>
          <w:rFonts w:ascii="Calibri" w:hAnsi="Calibri"/>
          <w:color w:val="0F172A"/>
          <w:sz w:val="20"/>
        </w:rPr>
        <w:t>Bij het wisselen van actieve organisatie wordt de doorverwijzing afgehandeld door _bepaal_switch_redirect_url en _is_veilige_redirect(). Deze functie valideert dat de URL uitsluitend relatief is of overeenkomt met de huidige host, en controleert via _is_allowed_in_sjabloon of de module toegestaan is in de doelorganisatie. Open redirects en autorisatiebypasses zijn hierdoor onmogelijk.</w:t>
      </w:r>
    </w:p>
    <w:p>
      <w:r>
        <w:rPr>
          <w:rFonts w:ascii="Calibri" w:hAnsi="Calibri"/>
          <w:b/>
          <w:color w:val="2563EB"/>
          <w:sz w:val="24"/>
        </w:rPr>
        <w:t>3.5 Robuuste Tekstextractie, Importparsing en Mail-Fallbacks</w:t>
      </w:r>
    </w:p>
    <w:p>
      <w:pPr>
        <w:spacing w:after="80"/>
      </w:pPr>
      <w:r>
        <w:rPr>
          <w:rFonts w:ascii="Calibri" w:hAnsi="Calibri"/>
          <w:color w:val="0F172A"/>
          <w:sz w:val="20"/>
        </w:rPr>
        <w:t>De uitgebreide testdekking (test_text_extractor_extended.py, test_import_handler.py, test_mail_extended.py) verifieert veilige afhandeling van corrupte documenten (PDF, DOCX, ODT, XLSX), ontbrekende of kwaadaardige import-kolommen en Brevo API communicatiefouten met graceful fallbacks.</w:t>
      </w:r>
    </w:p>
    <w:p>
      <w:r>
        <w:rPr>
          <w:rFonts w:ascii="Calibri" w:hAnsi="Calibri"/>
          <w:b/>
          <w:color w:val="1E3A8A"/>
          <w:sz w:val="32"/>
        </w:rPr>
        <w:t>4. OWASP Top 10 (2021) Toetsingsmatrix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OWASP Categorie</w:t>
            </w:r>
          </w:p>
        </w:tc>
        <w:tc>
          <w:tcPr>
            <w:tcW w:type="dxa" w:w="1417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5386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Geïmplementeerde Beveiligingsmaatregelen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A01: Broken Access Control</w:t>
            </w:r>
          </w:p>
        </w:tc>
        <w:tc>
          <w:tcPr>
            <w:tcW w:type="dxa" w:w="141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UITSTEKEND</w:t>
            </w:r>
          </w:p>
        </w:tc>
        <w:tc>
          <w:tcPr>
            <w:tcW w:type="dxa" w:w="53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Dynamische permissiematrix per module. Strikte organisatie_id filters. Handhaving van 'Alleen eigen registraties'. Contextuele organisatiewissel met autorisatiecontrole. Bescherming laatste superadmin.</w:t>
            </w:r>
          </w:p>
        </w:tc>
      </w:tr>
      <w:tr>
        <w:tc>
          <w:tcPr>
            <w:tcW w:type="dxa" w:w="255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A02: Cryptographic Failures</w:t>
            </w:r>
          </w:p>
        </w:tc>
        <w:tc>
          <w:tcPr>
            <w:tcW w:type="dxa" w:w="141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UITSTEKEND</w:t>
            </w:r>
          </w:p>
        </w:tc>
        <w:tc>
          <w:tcPr>
            <w:tcW w:type="dxa" w:w="538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Wachtwoordhashing via Werkzeug Scrypt/Pbkdf2 met unieke salts. HTTPS/Secure cookies in productie. TLS verificatie bij databaseverbindingen en live backups.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A03: Injection (SQL, XSS, Command)</w:t>
            </w:r>
          </w:p>
        </w:tc>
        <w:tc>
          <w:tcPr>
            <w:tcW w:type="dxa" w:w="141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UITSTEKEND</w:t>
            </w:r>
          </w:p>
        </w:tc>
        <w:tc>
          <w:tcPr>
            <w:tcW w:type="dxa" w:w="53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100% SQLAlchemy ORM geparametriseerde queries. Whitelist-sortering in audit logs. Jinja2 autoescaping en html.escape() in documentweergave. Geen ongevalideerde shell-commando's.</w:t>
            </w:r>
          </w:p>
        </w:tc>
      </w:tr>
      <w:tr>
        <w:tc>
          <w:tcPr>
            <w:tcW w:type="dxa" w:w="255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A04: Insecure Design</w:t>
            </w:r>
          </w:p>
        </w:tc>
        <w:tc>
          <w:tcPr>
            <w:tcW w:type="dxa" w:w="141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UITSTEKEND</w:t>
            </w:r>
          </w:p>
        </w:tc>
        <w:tc>
          <w:tcPr>
            <w:tcW w:type="dxa" w:w="538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Multi-tenant isolatiemodel. GFS backup retentie. Sandboxed iframe voor documentweergave. Veilige scheiding van telemetrie en recursieve audit-uitsluiting.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A05: Security Misconfiguration</w:t>
            </w:r>
          </w:p>
        </w:tc>
        <w:tc>
          <w:tcPr>
            <w:tcW w:type="dxa" w:w="141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UITSTEKEND</w:t>
            </w:r>
          </w:p>
        </w:tc>
        <w:tc>
          <w:tcPr>
            <w:tcW w:type="dxa" w:w="53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Veilige cookie flags (Secure, HttpOnly, SameSite=Lax). Strikte CSP headers. Stacktrace sanitization in foutenlogs. SonarQube code quality verificatie.</w:t>
            </w:r>
          </w:p>
        </w:tc>
      </w:tr>
      <w:tr>
        <w:tc>
          <w:tcPr>
            <w:tcW w:type="dxa" w:w="255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A06: Vulnerable Components</w:t>
            </w:r>
          </w:p>
        </w:tc>
        <w:tc>
          <w:tcPr>
            <w:tcW w:type="dxa" w:w="141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UITSTEKEND</w:t>
            </w:r>
          </w:p>
        </w:tc>
        <w:tc>
          <w:tcPr>
            <w:tcW w:type="dxa" w:w="538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Vastgezette versies in requirements.txt (Flask 3.0.3, SQLAlchemy 2.0.x, Werkzeug, openpyxl, python-docx). Subresource Integrity (SRI) op alle externe CDN libraries.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A07: Identification &amp; Auth Failures</w:t>
            </w:r>
          </w:p>
        </w:tc>
        <w:tc>
          <w:tcPr>
            <w:tcW w:type="dxa" w:w="141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UITSTEKEND</w:t>
            </w:r>
          </w:p>
        </w:tc>
        <w:tc>
          <w:tcPr>
            <w:tcW w:type="dxa" w:w="53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Flask-Limiter rate limiting op login, wachtwoordherstel en publieke evaluatietokens. Registratie van LoginFailed en RateLimitExceeded in foutenlogs. Sessietracking via laatste_activiteit.</w:t>
            </w:r>
          </w:p>
        </w:tc>
      </w:tr>
      <w:tr>
        <w:tc>
          <w:tcPr>
            <w:tcW w:type="dxa" w:w="255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A08: Software &amp; Data Integrity</w:t>
            </w:r>
          </w:p>
        </w:tc>
        <w:tc>
          <w:tcPr>
            <w:tcW w:type="dxa" w:w="141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UITSTEKEND</w:t>
            </w:r>
          </w:p>
        </w:tc>
        <w:tc>
          <w:tcPr>
            <w:tcW w:type="dxa" w:w="538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CSRF protectie op alle POST formulieren. Subresource Integrity (SRI sha384) op Bootstrap en Chart.js CDN assets. Referentiële integriteitscontroles bij verwijdering stamgegevens.</w:t>
            </w:r>
          </w:p>
        </w:tc>
      </w:tr>
      <w:tr>
        <w:tc>
          <w:tcPr>
            <w:tcW w:type="dxa" w:w="2551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A09: Security Logging &amp; Monitoring</w:t>
            </w:r>
          </w:p>
        </w:tc>
        <w:tc>
          <w:tcPr>
            <w:tcW w:type="dxa" w:w="1417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UITSTEKEND</w:t>
            </w:r>
          </w:p>
        </w:tc>
        <w:tc>
          <w:tcPr>
            <w:tcW w:type="dxa" w:w="538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Audit logging van mutaties op database-entiteiten met oude vs. nieuwe waarden. Systeemmonitor dashboard met realtime checks en centraal foutenlogboek (system_error_logs).</w:t>
            </w:r>
          </w:p>
        </w:tc>
      </w:tr>
      <w:tr>
        <w:tc>
          <w:tcPr>
            <w:tcW w:type="dxa" w:w="2551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A10: Server-Side Request Forgery (SSRF)</w:t>
            </w:r>
          </w:p>
        </w:tc>
        <w:tc>
          <w:tcPr>
            <w:tcW w:type="dxa" w:w="1417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UITSTEKEND</w:t>
            </w:r>
          </w:p>
        </w:tc>
        <w:tc>
          <w:tcPr>
            <w:tcW w:type="dxa" w:w="538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Geen externe HTTP-verzoeken op basis van willekeurige gebruikersinvoer. Gemini AI en Brevo API endpoints zijn vast geconfigureerd via omgevingsvariabelen. Whitelist op redirects.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1E3A8A"/>
          <w:sz w:val="32"/>
        </w:rPr>
        <w:t>5. Register van Beveiligingsbevindingen</w:t>
      </w:r>
    </w:p>
    <w:p>
      <w:r>
        <w:rPr>
          <w:color w:val="0F172A"/>
          <w:sz w:val="20"/>
        </w:rPr>
        <w:t>Onderstaande tabel toont het integrale register van beveiligingsbevindingen. Alle historische punten (SEC-01 t/m SEC-17) zijn geverifieerd als blijvend opgelost. De nieuwe punten (SEC-18 t/m SEC-22) dekken de beveiligingsarchitectuur van Release 2.8.0 af.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13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425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Omschrijving</w:t>
            </w:r>
          </w:p>
        </w:tc>
        <w:tc>
          <w:tcPr>
            <w:tcW w:type="dxa" w:w="181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Categorie</w:t>
            </w:r>
          </w:p>
        </w:tc>
        <w:tc>
          <w:tcPr>
            <w:tcW w:type="dxa" w:w="1020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Ernst</w:t>
            </w:r>
          </w:p>
        </w:tc>
        <w:tc>
          <w:tcPr>
            <w:tcW w:type="dxa" w:w="113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SEC-01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Admin Opschoonactie Multi-Tenant Lek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Multi-Tenancy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Hoog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SEC-02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Stored XSS via Document Preview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Injection / XSS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Hoog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SEC-03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Onveilige Random Code Generatie &amp; Lockout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Authenticatie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Medium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SEC-04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Ontbrekende CSRF Secure Cookie Attributes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Configuratie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Laag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SEC-05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Ongeautoriseerd Test-Mail Endpoint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Toegangscontrole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Hoog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SEC-06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Stored XSS &amp; MIME-Sniffing Feedback Screenshots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XSS / Upload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Medium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SEC-07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IDOR / Multi-Tenant Lek Feedback Acties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Toegangscontrole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Hoog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SEC-08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Ontbrekende Cascade Deletion van Feedback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Data-Integriteit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Laag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SEC-09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Ontbrekende Rate Limiting Publiek Evaluatie Token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Rate Limiting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Medium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SEC-10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In-Browser HTML &amp; Markdown Sandboxing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XSS / Sandbox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Medium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SEC-11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Schema Selector &amp; SQL Injection Preventie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SQLi / Config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Laag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SEC-12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Autorisatiematrix bij Evaluatiereactie Bewerken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Toegangscontrole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Medium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SEC-13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Dynamische Permissiematrix &amp; Uitfasering Legacy Autorisatie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Toegangscontrole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Hoog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SEC-14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Bescherming Laatste Platformbeheerder &amp; Continuïteit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Toegangscontrole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Hoog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SEC-15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Server-Side Handhaving Restrictie 'Alleen Eigen Registraties'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Data-Isolatie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Medium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SEC-16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Doelgroepvalidatie &amp; Tenant-Isolatie Organisatiecommunicatie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Toegangscontrole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Medium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SEC-17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Referentiële Integriteit &amp; Veilig Wissen Resultaat Stamgegevens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Data-Integriteit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Laag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GEVERIFIEERD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SEC-18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Subresource Integrity (SRI) op Externe CDN Assets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Integriteit (A08)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Hoog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OPGELOST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SEC-19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Parameter Whitelisting &amp; SQLi Preventie bij Sorteerbare Audit Logs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Injectie (A03)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Medium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OPGELOST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SEC-20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Realtime Systeem- en Incidentmonitoring via Systeemmonitor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Monitoring (A09)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Medium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OPGELOST</w:t>
            </w:r>
          </w:p>
        </w:tc>
      </w:tr>
      <w:tr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SEC-21</w:t>
            </w:r>
          </w:p>
        </w:tc>
        <w:tc>
          <w:tcPr>
            <w:tcW w:type="dxa" w:w="42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Autorisatiecontrole &amp; Open Redirect Preventie bij Organisatiewissel</w:t>
            </w:r>
          </w:p>
        </w:tc>
        <w:tc>
          <w:tcPr>
            <w:tcW w:type="dxa" w:w="181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Toegangscontrole (A01)</w:t>
            </w:r>
          </w:p>
        </w:tc>
        <w:tc>
          <w:tcPr>
            <w:tcW w:type="dxa" w:w="102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Medium</w:t>
            </w:r>
          </w:p>
        </w:tc>
        <w:tc>
          <w:tcPr>
            <w:tcW w:type="dxa" w:w="113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OPGELOST</w:t>
            </w:r>
          </w:p>
        </w:tc>
      </w:tr>
      <w:tr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SEC-22</w:t>
            </w:r>
          </w:p>
        </w:tc>
        <w:tc>
          <w:tcPr>
            <w:tcW w:type="dxa" w:w="42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Exception Sanitization &amp; Veilige Stacktrace Opslag in Foutenlogs</w:t>
            </w:r>
          </w:p>
        </w:tc>
        <w:tc>
          <w:tcPr>
            <w:tcW w:type="dxa" w:w="181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Configuratie (A05)</w:t>
            </w:r>
          </w:p>
        </w:tc>
        <w:tc>
          <w:tcPr>
            <w:tcW w:type="dxa" w:w="102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Laag</w:t>
            </w:r>
          </w:p>
        </w:tc>
        <w:tc>
          <w:tcPr>
            <w:tcW w:type="dxa" w:w="113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OPGELOST</w:t>
            </w:r>
          </w:p>
        </w:tc>
      </w:tr>
    </w:tbl>
    <w:p>
      <w:pPr>
        <w:spacing w:after="80"/>
      </w:pPr>
    </w:p>
    <w:p>
      <w:r>
        <w:rPr>
          <w:rFonts w:ascii="Calibri" w:hAnsi="Calibri"/>
          <w:b/>
          <w:color w:val="2563EB"/>
          <w:sz w:val="26"/>
        </w:rPr>
        <w:t>5.1 Toelichting op Recente Bevindingen (SEC-18 t/m SEC-22)</w:t>
      </w:r>
    </w:p>
    <w:p>
      <w:r>
        <w:rPr>
          <w:rFonts w:ascii="Calibri" w:hAnsi="Calibri"/>
          <w:b/>
          <w:color w:val="1E3A8A"/>
          <w:sz w:val="22"/>
        </w:rPr>
        <w:t>SEC-18: Subresource Integrity (SRI) op Externe CDN Assets (OPGELOST)</w:t>
      </w:r>
    </w:p>
    <w:p>
      <w:pPr>
        <w:spacing w:after="80"/>
      </w:pPr>
      <w:r>
        <w:rPr>
          <w:rFonts w:ascii="Calibri" w:hAnsi="Calibri"/>
          <w:color w:val="334155"/>
          <w:sz w:val="19"/>
        </w:rPr>
        <w:t>Risicoanalyse: Bij inladen van JavaScript/CSS van externe CDN's (jsDelivr) bestaat het risico dat een gecompromitteerde CDN kwaadaardige code injecteert in browsers van gebruikers (OWASP A08).</w:t>
        <w:br/>
        <w:t>Geïmplementeerde Oplossing: In templates/base.html, templates/stats/overview.html en templates/platform/dashboard.html zijn SHA-384 hashes en crossorigin="anonymous" toegevoegd op alle CDN tags (Bootstrap CSS/JS, Bootstrap Icons, Chart.js). De browser blokkeert scripts die afwijken van de hash.</w:t>
      </w:r>
    </w:p>
    <w:p>
      <w:r>
        <w:rPr>
          <w:rFonts w:ascii="Calibri" w:hAnsi="Calibri"/>
          <w:b/>
          <w:color w:val="1E3A8A"/>
          <w:sz w:val="22"/>
        </w:rPr>
        <w:t>SEC-19: Parameter Whitelisting &amp; SQLi Preventie bij Sorteerbare Audit Logs (OPGELOST)</w:t>
      </w:r>
    </w:p>
    <w:p>
      <w:pPr>
        <w:spacing w:after="80"/>
      </w:pPr>
      <w:r>
        <w:rPr>
          <w:rFonts w:ascii="Calibri" w:hAnsi="Calibri"/>
          <w:color w:val="334155"/>
          <w:sz w:val="19"/>
        </w:rPr>
        <w:t>Risicoanalyse: Dynamisch sorteren van tabellen op basis van GET-parameters brengt risico op SQL Injection (CWE-89) in ORDER BY clausules.</w:t>
        <w:br/>
        <w:t>Geïmplementeerde Oplossing: In routes/admin.py (audit_log) is een strikte tuple-whitelist geïmplementeerd (valid_sort_columns = ('timestamp', 'gebruiker', 'operatie', 'tabel', 'record_id', 'organisatie')). Richtingen zijn beperkt tot 'asc' en 'desc'. Vrije tekstfilters zijn vervangen door alfabetische dropdowns.</w:t>
      </w:r>
    </w:p>
    <w:p>
      <w:r>
        <w:rPr>
          <w:rFonts w:ascii="Calibri" w:hAnsi="Calibri"/>
          <w:b/>
          <w:color w:val="1E3A8A"/>
          <w:sz w:val="22"/>
        </w:rPr>
        <w:t>SEC-20: Realtime Systeem- en Incidentmonitoring via Systeemmonitor Dashboard (OPGELOST)</w:t>
      </w:r>
    </w:p>
    <w:p>
      <w:pPr>
        <w:spacing w:after="80"/>
      </w:pPr>
      <w:r>
        <w:rPr>
          <w:rFonts w:ascii="Calibri" w:hAnsi="Calibri"/>
          <w:color w:val="334155"/>
          <w:sz w:val="19"/>
        </w:rPr>
        <w:t>Risicoanalyse: Onopgemerkte serverfouten (HTTP 500) of distributed brute-force inlogaanvallen kunnen de continuïteit bedreigen (OWASP A09).</w:t>
        <w:br/>
        <w:t>Geïmplementeerde Oplossing: Centraal dashboard onder Platformbeheer (/platform/systeemmonitor) met realtime statuscontroles (database, mail, schijfruimte), live inzicht in sessies/activiteit, en centraal beheer van foutenlogs met opvolgingsworkflow (toggle status). Dubbel beveiligd met @login_required en @platform_admin_required.</w:t>
      </w:r>
    </w:p>
    <w:p>
      <w:r>
        <w:rPr>
          <w:rFonts w:ascii="Calibri" w:hAnsi="Calibri"/>
          <w:b/>
          <w:color w:val="1E3A8A"/>
          <w:sz w:val="22"/>
        </w:rPr>
        <w:t>SEC-21: Autorisatiecontrole &amp; Open Redirect Preventie bij Organisatiewissel (OPGELOST)</w:t>
      </w:r>
    </w:p>
    <w:p>
      <w:pPr>
        <w:spacing w:after="80"/>
      </w:pPr>
      <w:r>
        <w:rPr>
          <w:rFonts w:ascii="Calibri" w:hAnsi="Calibri"/>
          <w:color w:val="334155"/>
          <w:sz w:val="19"/>
        </w:rPr>
        <w:t>Risicoanalyse: Redirects na organisatiewissel kunnen misbruikt worden voor phishing (Open Redirect, CWE-601) of cross-tenant toegang tot ongeautoriseerde schermen (IDOR).</w:t>
        <w:br/>
        <w:t>Geïmplementeerde Oplossing: In routes/auth.py (_bepaal_switch_redirect_url en _is_veilige_redirect) wordt geverifieerd dat de URL strikt relatief is of overeenkomt met request.host, en wordt via _is_allowed_in_sjabloon gecontroleerd of de doelorganisatie de pagina toestaat.</w:t>
      </w:r>
    </w:p>
    <w:p>
      <w:r>
        <w:rPr>
          <w:rFonts w:ascii="Calibri" w:hAnsi="Calibri"/>
          <w:b/>
          <w:color w:val="1E3A8A"/>
          <w:sz w:val="22"/>
        </w:rPr>
        <w:t>SEC-22: Exception Sanitization &amp; Veilige Stacktrace Opslag in Foutenlogs (OPGELOST)</w:t>
      </w:r>
    </w:p>
    <w:p>
      <w:pPr>
        <w:spacing w:after="80"/>
      </w:pPr>
      <w:r>
        <w:rPr>
          <w:rFonts w:ascii="Calibri" w:hAnsi="Calibri"/>
          <w:color w:val="334155"/>
          <w:sz w:val="19"/>
        </w:rPr>
        <w:t>Risicoanalyse: Het tonen of onzorgvuldig loggen van stacktraces kan leiden tot information disclosure (CWE-209) of opslag van gevoelige invoer (CWE-532).</w:t>
        <w:br/>
        <w:t>Geïmplementeerde Oplossing: Eindgebruikers zien uitsluitend een neutrale foutpagina. De volledige stacktrace wordt uitsluitend server-side vastgelegd in system_error_logs met strikte veldlimieten en is enkel inzichtelijk voor platformbeheerders. Bij mislukte logins wordt nooit een wachtwoord opgeslagen.</w:t>
      </w:r>
    </w:p>
    <w:p>
      <w:r>
        <w:rPr>
          <w:rFonts w:ascii="Calibri" w:hAnsi="Calibri"/>
          <w:b/>
          <w:color w:val="1E3A8A"/>
          <w:sz w:val="32"/>
        </w:rPr>
        <w:t>6. Aanbevelingen voor Toekomstige Hardening (Defensive Roadmap)</w:t>
      </w:r>
    </w:p>
    <w:p>
      <w:r>
        <w:rPr>
          <w:color w:val="0F172A"/>
          <w:sz w:val="20"/>
        </w:rPr>
        <w:t>Hoewel het huidige beveiligingsniveau uitstekend is, worden de volgende best-practice verbeteringen aanbevolen voor toekomstige updates: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1. Automatische Retentie op Systeemfoutenlogs: </w:t>
      </w:r>
      <w:r>
        <w:rPr>
          <w:rFonts w:ascii="Calibri" w:hAnsi="Calibri"/>
          <w:color w:val="334155"/>
          <w:sz w:val="20"/>
        </w:rPr>
        <w:t>Implementeer een periodieke achtergrondtaak (bijv. maandelijks) die opgeloste foutenlogs in system_error_logs ouder dan 90 of 180 dagen automatisch archiveert of verwijdert conform AVG opslagbeperking.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2. Two-Factor Authentication (2FA) voor Beheerders: </w:t>
      </w:r>
      <w:r>
        <w:rPr>
          <w:rFonts w:ascii="Calibri" w:hAnsi="Calibri"/>
          <w:color w:val="334155"/>
          <w:sz w:val="20"/>
        </w:rPr>
        <w:t>Voorzie optionele of verplichte Twee-Factor Authenticatie (TOTP via authenticator-app) voor gebruikers met de groep Platformbeheerders en Beheerders.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3. PostgreSQL Row-Level Security (RLS): </w:t>
      </w:r>
      <w:r>
        <w:rPr>
          <w:rFonts w:ascii="Calibri" w:hAnsi="Calibri"/>
          <w:color w:val="334155"/>
          <w:sz w:val="20"/>
        </w:rPr>
        <w:t>Onderzoek de introductie van PostgreSQL Row-Level Security (RLS) policies op database-niveau als extra defence-in-depth bescherming naast de ORM query-filters.</w:t>
      </w:r>
    </w:p>
    <w:p>
      <w:pPr>
        <w:pStyle w:val="ListBullet"/>
        <w:spacing w:after="60"/>
      </w:pPr>
      <w:r>
        <w:rPr>
          <w:rFonts w:ascii="Calibri" w:hAnsi="Calibri"/>
          <w:b/>
          <w:color w:val="0F172A"/>
          <w:sz w:val="20"/>
        </w:rPr>
        <w:t xml:space="preserve">4. Geautomatiseerde Dependency Vulnerability Scanning: </w:t>
      </w:r>
      <w:r>
        <w:rPr>
          <w:rFonts w:ascii="Calibri" w:hAnsi="Calibri"/>
          <w:color w:val="334155"/>
          <w:sz w:val="20"/>
        </w:rPr>
        <w:t>Integreer pip-audit of Dependabot in de CI/CD pipeline om bekende kwetsbaarheden in Python packages automatisch te signaleren vóór deployment.</w:t>
      </w:r>
    </w:p>
    <w:p>
      <w:r>
        <w:rPr>
          <w:rFonts w:ascii="Calibri" w:hAnsi="Calibri"/>
          <w:b/>
          <w:color w:val="1E3A8A"/>
          <w:sz w:val="32"/>
        </w:rPr>
        <w:t>7. Conclusie &amp; Goedkeuring</w:t>
      </w:r>
    </w:p>
    <w:p>
      <w:r>
        <w:rPr>
          <w:color w:val="0F172A"/>
          <w:sz w:val="20"/>
        </w:rPr>
        <w:t>De herhaalde security audit van 27 oktober 2026 toont aan dat het Digidokters platform op alle onderdelen voldoet aan de strengste normen voor web- en applicatiebeveiliging. Zowel de historische beveiligingspunten als de recente uitbreidingen (Subresource Integrity, Systeemmonitor Dashboard, foutenlogboek, kolom-sortering &amp; dropdownfilters in Audit Logs, en contextueel organisatiewissel-behoud) zijn grondig geanalyseerd, veilig bevonden en 100% afgedekt met 295 geautomatiseerde unittests.</w:t>
        <w:br/>
        <w:br/>
        <w:t>Eindoordeel: Het platform is volledig gereed voor veilig, betrouwbaar en weerbaar gebruik in productie.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Rol / Discipline</w:t>
            </w:r>
          </w:p>
        </w:tc>
        <w:tc>
          <w:tcPr>
            <w:tcW w:type="dxa" w:w="3402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984"/>
            <w:shd w:fill="1E3A8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Calibri" w:hAnsi="Calibri"/>
                <w:b/>
                <w:color w:val="FFFFFF"/>
                <w:sz w:val="20"/>
              </w:rPr>
              <w:t>Datum</w:t>
            </w:r>
          </w:p>
        </w:tc>
      </w:tr>
      <w:tr>
        <w:tc>
          <w:tcPr>
            <w:tcW w:type="dxa" w:w="396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Security Auditor &amp; Lead Code Reviewer</w:t>
            </w:r>
          </w:p>
        </w:tc>
        <w:tc>
          <w:tcPr>
            <w:tcW w:type="dxa" w:w="340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GOEDGEKEURD (Conform OWASP ASVS)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27-10-2026</w:t>
            </w:r>
          </w:p>
        </w:tc>
      </w:tr>
      <w:tr>
        <w:tc>
          <w:tcPr>
            <w:tcW w:type="dxa" w:w="3969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Geautomatiseerde Testsuite (295 tests, 38 suites)</w:t>
            </w:r>
          </w:p>
        </w:tc>
        <w:tc>
          <w:tcPr>
            <w:tcW w:type="dxa" w:w="340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100% GESLAAGD (0 fouten, 0 mislukt)</w:t>
            </w:r>
          </w:p>
        </w:tc>
        <w:tc>
          <w:tcPr>
            <w:tcW w:type="dxa" w:w="198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27-10-2026</w:t>
            </w:r>
          </w:p>
        </w:tc>
      </w:tr>
      <w:tr>
        <w:tc>
          <w:tcPr>
            <w:tcW w:type="dxa" w:w="3969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SonarQube Quality Gate &amp; SAST</w:t>
            </w:r>
          </w:p>
        </w:tc>
        <w:tc>
          <w:tcPr>
            <w:tcW w:type="dxa" w:w="340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GEPASSEERD (A-Rating Security)</w:t>
            </w:r>
          </w:p>
        </w:tc>
        <w:tc>
          <w:tcPr>
            <w:tcW w:type="dxa" w:w="198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0F172A"/>
                <w:sz w:val="19"/>
              </w:rPr>
              <w:t>27-10-2026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