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1B365D"/>
          <w:sz w:val="48"/>
        </w:rPr>
        <w:t>GDPR / AVG Audit &amp; Privacy Rapport</w:t>
      </w:r>
    </w:p>
    <w:p>
      <w:pPr>
        <w:spacing w:before="0" w:after="400"/>
      </w:pPr>
      <w:r>
        <w:rPr>
          <w:rFonts w:ascii="Arial" w:hAnsi="Arial"/>
          <w:color w:val="708090"/>
          <w:sz w:val="28"/>
        </w:rPr>
        <w:t>Digidokters Platform — Compliance &amp; Risico-Analyse (September 2026)</w:t>
      </w:r>
    </w:p>
    <w:p>
      <w:pPr>
        <w:pStyle w:val="Heading1"/>
      </w:pPr>
      <w:r>
        <w:rPr>
          <w:rFonts w:ascii="Arial" w:hAnsi="Arial"/>
          <w:color w:val="1B365D"/>
        </w:rPr>
        <w:t>1. Inleiding &amp; Scope</w:t>
      </w:r>
    </w:p>
    <w:p>
      <w:r>
        <w:t>Dit rapport beschrijft de formele privacy- en gegevensbeschermingsaudit (GDPR / Algemene Verordening Gegevensbescherming) van het Digidokters webplatform, uitgevoerd in september 2026. Het Digidokters platform ondersteunt lokale besturen en bibliotheken bij het organiseren van digitale spreekuren en workshops, waarbij vrijwilligers (digidokters) burgers ondersteunen bij digitale vragen.</w:t>
        <w:br/>
        <w:br/>
        <w:t>Naar aanleiding van de recente introductie van het Feedback-systeem, Publieke evaluatieformulieren met tokens, het Platformbeheer dashboard, Aanpasbare e-mailsjablonen en Documentbeheer met full-text search, is de gehele applicatie opnieuw geaudit op naleving van de AVG-beginselen, met bijzondere aandacht voor multi-tenant data-isolatie, dataminimalisatie en het recht op vergetelheid.</w:t>
      </w:r>
    </w:p>
    <w:p>
      <w:pPr>
        <w:pStyle w:val="Heading1"/>
      </w:pPr>
      <w:r>
        <w:rPr>
          <w:rFonts w:ascii="Arial" w:hAnsi="Arial"/>
          <w:color w:val="1B365D"/>
        </w:rPr>
        <w:t>2. Status Samenvatting Auditbevindingen</w:t>
      </w:r>
    </w:p>
    <w:p>
      <w:r>
        <w:t>Tijdens de audit zijn vier specifieke verbeterpunten geïdentificeerd. Alle vier de punten zijn direct opgelost in de broncode en voorzien van geautomatiseerde unittests.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440"/>
            <w:shd w:fill="1B365D"/>
          </w:tcPr>
          <w:p>
            <w:r/>
            <w:r>
              <w:rPr>
                <w:rFonts w:ascii="Arial" w:hAnsi="Arial"/>
                <w:b/>
                <w:color w:val="FFFFFF"/>
              </w:rPr>
              <w:t>Ref</w:t>
            </w:r>
          </w:p>
        </w:tc>
        <w:tc>
          <w:tcPr>
            <w:tcW w:type="dxa" w:w="1440"/>
            <w:shd w:fill="1B365D"/>
          </w:tcPr>
          <w:p>
            <w:r/>
            <w:r>
              <w:rPr>
                <w:rFonts w:ascii="Arial" w:hAnsi="Arial"/>
                <w:b/>
                <w:color w:val="FFFFFF"/>
              </w:rPr>
              <w:t>Ernst</w:t>
            </w:r>
          </w:p>
        </w:tc>
        <w:tc>
          <w:tcPr>
            <w:tcW w:type="dxa" w:w="4896"/>
            <w:shd w:fill="1B365D"/>
          </w:tcPr>
          <w:p>
            <w:r/>
            <w:r>
              <w:rPr>
                <w:rFonts w:ascii="Arial" w:hAnsi="Arial"/>
                <w:b/>
                <w:color w:val="FFFFFF"/>
              </w:rPr>
              <w:t>AVG Onderwerp &amp; Kwetsbaarheid</w:t>
            </w:r>
          </w:p>
        </w:tc>
        <w:tc>
          <w:tcPr>
            <w:tcW w:type="dxa" w:w="1584"/>
            <w:shd w:fill="1B365D"/>
          </w:tcPr>
          <w:p>
            <w:r/>
            <w:r>
              <w:rPr>
                <w:rFonts w:ascii="Arial" w:hAnsi="Arial"/>
                <w:b/>
                <w:color w:val="FFFFFF"/>
              </w:rPr>
              <w:t>Status</w:t>
            </w:r>
          </w:p>
        </w:tc>
      </w:tr>
      <w:tr>
        <w:tc>
          <w:tcPr>
            <w:tcW w:type="dxa" w:w="1440"/>
          </w:tcPr>
          <w:p>
            <w:r>
              <w:t>GDPR-01</w:t>
            </w:r>
          </w:p>
        </w:tc>
        <w:tc>
          <w:tcPr>
            <w:tcW w:type="dxa" w:w="1440"/>
          </w:tcPr>
          <w:p>
            <w:r>
              <w:t>Hoog</w:t>
            </w:r>
          </w:p>
        </w:tc>
        <w:tc>
          <w:tcPr>
            <w:tcW w:type="dxa" w:w="4896"/>
          </w:tcPr>
          <w:p>
            <w:r>
              <w:t>Multi-tenant isolatie en foreign-key integriteit bij gebruikersverwijdering (Art. 17 &amp; 25)</w:t>
            </w:r>
          </w:p>
        </w:tc>
        <w:tc>
          <w:tcPr>
            <w:tcW w:type="dxa" w:w="1584"/>
            <w:shd w:fill="D4EDDA"/>
          </w:tcPr>
          <w:p>
            <w:r/>
            <w:r>
              <w:rPr>
                <w:rFonts w:ascii="Arial" w:hAnsi="Arial"/>
                <w:b/>
                <w:color w:val="155724"/>
              </w:rPr>
              <w:t>OPGELOST</w:t>
            </w:r>
          </w:p>
        </w:tc>
      </w:tr>
      <w:tr>
        <w:tc>
          <w:tcPr>
            <w:tcW w:type="dxa" w:w="1440"/>
          </w:tcPr>
          <w:p>
            <w:r>
              <w:t>GDPR-02</w:t>
            </w:r>
          </w:p>
        </w:tc>
        <w:tc>
          <w:tcPr>
            <w:tcW w:type="dxa" w:w="1440"/>
          </w:tcPr>
          <w:p>
            <w:r>
              <w:t>Medium</w:t>
            </w:r>
          </w:p>
        </w:tc>
        <w:tc>
          <w:tcPr>
            <w:tcW w:type="dxa" w:w="4896"/>
          </w:tcPr>
          <w:p>
            <w:r>
              <w:t>Ontbrekende dataminimalisatie-waarschuwing bij Feedback &amp; Screenshots (Art. 5.1.c)</w:t>
            </w:r>
          </w:p>
        </w:tc>
        <w:tc>
          <w:tcPr>
            <w:tcW w:type="dxa" w:w="1584"/>
            <w:shd w:fill="D4EDDA"/>
          </w:tcPr>
          <w:p>
            <w:r/>
            <w:r>
              <w:rPr>
                <w:rFonts w:ascii="Arial" w:hAnsi="Arial"/>
                <w:b/>
                <w:color w:val="155724"/>
              </w:rPr>
              <w:t>OPGELOST</w:t>
            </w:r>
          </w:p>
        </w:tc>
      </w:tr>
      <w:tr>
        <w:tc>
          <w:tcPr>
            <w:tcW w:type="dxa" w:w="1440"/>
          </w:tcPr>
          <w:p>
            <w:r>
              <w:t>GDPR-03</w:t>
            </w:r>
          </w:p>
        </w:tc>
        <w:tc>
          <w:tcPr>
            <w:tcW w:type="dxa" w:w="1440"/>
          </w:tcPr>
          <w:p>
            <w:r>
              <w:t>Medium</w:t>
            </w:r>
          </w:p>
        </w:tc>
        <w:tc>
          <w:tcPr>
            <w:tcW w:type="dxa" w:w="4896"/>
          </w:tcPr>
          <w:p>
            <w:r>
              <w:t>Ontbrekende transparantieverklaring op publiek evaluatieformulier (Art. 12 &amp; 13)</w:t>
            </w:r>
          </w:p>
        </w:tc>
        <w:tc>
          <w:tcPr>
            <w:tcW w:type="dxa" w:w="1584"/>
            <w:shd w:fill="D4EDDA"/>
          </w:tcPr>
          <w:p>
            <w:r/>
            <w:r>
              <w:rPr>
                <w:rFonts w:ascii="Arial" w:hAnsi="Arial"/>
                <w:b/>
                <w:color w:val="155724"/>
              </w:rPr>
              <w:t>OPGELOST</w:t>
            </w:r>
          </w:p>
        </w:tc>
      </w:tr>
      <w:tr>
        <w:tc>
          <w:tcPr>
            <w:tcW w:type="dxa" w:w="1440"/>
          </w:tcPr>
          <w:p>
            <w:r>
              <w:t>GDPR-04</w:t>
            </w:r>
          </w:p>
        </w:tc>
        <w:tc>
          <w:tcPr>
            <w:tcW w:type="dxa" w:w="1440"/>
          </w:tcPr>
          <w:p>
            <w:r>
              <w:t>Laag</w:t>
            </w:r>
          </w:p>
        </w:tc>
        <w:tc>
          <w:tcPr>
            <w:tcW w:type="dxa" w:w="4896"/>
          </w:tcPr>
          <w:p>
            <w:r>
              <w:t>Actualisatie van centrale Privacy &amp; AVG modal in navigatie (Art. 12)</w:t>
            </w:r>
          </w:p>
        </w:tc>
        <w:tc>
          <w:tcPr>
            <w:tcW w:type="dxa" w:w="1584"/>
            <w:shd w:fill="D4EDDA"/>
          </w:tcPr>
          <w:p>
            <w:r/>
            <w:r>
              <w:rPr>
                <w:rFonts w:ascii="Arial" w:hAnsi="Arial"/>
                <w:b/>
                <w:color w:val="155724"/>
              </w:rPr>
              <w:t>OPGELOST</w:t>
            </w:r>
          </w:p>
        </w:tc>
      </w:tr>
    </w:tbl>
    <w:p/>
    <w:p>
      <w:pPr>
        <w:pStyle w:val="Heading1"/>
      </w:pPr>
      <w:r>
        <w:rPr>
          <w:rFonts w:ascii="Arial" w:hAnsi="Arial"/>
          <w:color w:val="1B365D"/>
        </w:rPr>
        <w:t>3. Gedetailleerde Evaluatie van Oplossingen</w:t>
      </w:r>
    </w:p>
    <w:p>
      <w:pPr>
        <w:pStyle w:val="Heading2"/>
      </w:pPr>
      <w:r>
        <w:rPr>
          <w:rFonts w:ascii="Arial" w:hAnsi="Arial"/>
          <w:color w:val="2E6F40"/>
        </w:rPr>
        <w:t>GDPR-01: Multi-tenant Isolatie &amp; Recht op Vergetelheid bij Gebruikersverwijdering (OPGELOST)</w:t>
      </w:r>
    </w:p>
    <w:p>
      <w:pPr>
        <w:spacing w:after="240"/>
      </w:pPr>
      <w:r>
        <w:t>• Probleemstelling: In 'routes/admin.py:gebruiker_verwijderen' ontbrak een verificatie of de te verwijderen gebruiker daadwerkelijk gekoppeld was aan de actieve gemeente ('UserOrganisatie'). Een lokale beheerder van Gemeente A kon daardoor accounts van Gemeente B verwijderen. Daarnaast wiste de route het gebruikersaccount direct globaal via 'db.session.delete(user)'. Indien een medewerker in meerdere gemeenten actief was, werd diens account overal gewist. Tevens crashte de verwijdering door foreign-key beperkingen indien de gebruiker documenten of feedback had aangemaakt.</w:t>
        <w:br/>
        <w:t>• Oplossing: Er is strikte multi-tenant validatie toegevoegd: de route controleert via 'first_or_404()' of de gebruiker bij de huidige organisatie hoort. Indien de gebruiker actief is in meerdere gemeenten, wordt uitsluitend de lidmaatschapskoppeling ('UserOrganisatie') van de huidige gemeente ontkoppeld. Indien de medewerker exclusief in deze gemeente actief was, worden aangemaakte mappen en documenten geherattribueerd aan de uitvoerende beheerder (zodat gemeentelijke kennis niet verloren gaat), feedback-stemmen en reacties opgeruimd en het account definitief gewist conform het recht op vergetelheid.</w:t>
      </w:r>
    </w:p>
    <w:p>
      <w:pPr>
        <w:pStyle w:val="Heading2"/>
      </w:pPr>
      <w:r>
        <w:rPr>
          <w:rFonts w:ascii="Arial" w:hAnsi="Arial"/>
          <w:color w:val="2E6F40"/>
        </w:rPr>
        <w:t>GDPR-02: Dataminimalisatie bij Feedback &amp; Schermafbeeldingen (OPGELOST)</w:t>
      </w:r>
    </w:p>
    <w:p>
      <w:pPr>
        <w:spacing w:after="240"/>
      </w:pPr>
      <w:r>
        <w:t>• Probleemstelling: Binnen de nieuwe Feedback-module kunnen medewerkers foutmeldingen en verbetervoorstellen indienen inclusief schermafbeeldingen. Er ontbrak een duidelijke richtlijn en waarschuwing, waardoor het risico bestond dat medewerkers per ongeluk screenshots met persoonsgegevens van cliënten (zoals volledige namen, openstaande vragen of e-mailadressen) zouden uploaden.</w:t>
        <w:br/>
        <w:t>• Oplossing: Op het aanmaakformulier ('templates/feedback/form.html') is direct onder het uploadveld een prominente privacy-attentie geplaatst die gebruikers instrueert om screenshots en beschrijvingen vrij te houden van cliëntgegevens en gevoelige informatie zo nodig onherkenbaar te maken (Art. 5.1.c AVG).</w:t>
      </w:r>
    </w:p>
    <w:p>
      <w:pPr>
        <w:pStyle w:val="Heading2"/>
      </w:pPr>
      <w:r>
        <w:rPr>
          <w:rFonts w:ascii="Arial" w:hAnsi="Arial"/>
          <w:color w:val="2E6F40"/>
        </w:rPr>
        <w:t>GDPR-03: Transparantie &amp; Informatieplicht op Publiek Evaluatieformulier (OPGELOST)</w:t>
      </w:r>
    </w:p>
    <w:p>
      <w:pPr>
        <w:spacing w:after="240"/>
      </w:pPr>
      <w:r>
        <w:t>• Probleemstelling: Het publieke evaluatieformulier ('/evaluaties/invullen/&lt;token&gt;') laat digidokters of respondenten na een sessie feedback geven. Er ontbrak een transparantieverklaring conform Art. 13 AVG over het doel van de gegevensverwerking en richtlijnen voor vrije tekstvelden.</w:t>
        <w:br/>
        <w:t>• Oplossing: Er is een formele privacy- en transparantieverklaring toegevoegd aan 'templates/evaluaties/invullen.html'. Deze informeert de respondent dat de evaluatie uitsluitend dient voor kwaliteitsmonitoring door de organiserende gemeente en verzoekt om geen medische of herleidbare cliëntgegevens in de open tekstvelden in te voeren.</w:t>
      </w:r>
    </w:p>
    <w:p>
      <w:pPr>
        <w:pStyle w:val="Heading2"/>
      </w:pPr>
      <w:r>
        <w:rPr>
          <w:rFonts w:ascii="Arial" w:hAnsi="Arial"/>
          <w:color w:val="2E6F40"/>
        </w:rPr>
        <w:t>GDPR-04: Actualisatie van Centrale Privacy &amp; AVG Modal in Navigatie (OPGELOST)</w:t>
      </w:r>
    </w:p>
    <w:p>
      <w:pPr>
        <w:spacing w:after="240"/>
      </w:pPr>
      <w:r>
        <w:t>• Probleemstelling: De centrale Privacy-modal in het linkermenu bevatte richtlijnen voor registraties en vrijwilligers, maar dekte de nieuwe functionaliteiten (evaluaties, feedback, documentbeheer) nog niet af.</w:t>
        <w:br/>
        <w:t>• Oplossing: De 'privacyModal' in 'templates/base.html' is geactualiseerd naar 6 overzichtelijke thema's: (1) Bezoekersregistratie en initialen, (2) Vrijwilligers- en medewerkersaccounts, (3) Evaluaties en kwaliteitsmeting, (4) Feedback en screenshots, (5) Documentbeheer per organisatie, en (6) Recht op vergetelheid en automatische audit-log cascade.</w:t>
      </w:r>
    </w:p>
    <w:p>
      <w:pPr>
        <w:pStyle w:val="Heading1"/>
      </w:pPr>
      <w:r>
        <w:rPr>
          <w:rFonts w:ascii="Arial" w:hAnsi="Arial"/>
          <w:color w:val="1B365D"/>
        </w:rPr>
        <w:t>4. Toetsing aan de AVG Basisbeginselen (Art. 5)</w:t>
      </w:r>
    </w:p>
    <w:p>
      <w:pPr>
        <w:spacing w:after="120"/>
      </w:pPr>
      <w:r>
        <w:rPr>
          <w:b/>
        </w:rPr>
        <w:t xml:space="preserve">• 1. Rechtmatigheid, behoorlijkheid en transparantie (Art. 5.1.a): </w:t>
      </w:r>
      <w:r>
        <w:t>Persoonsgegevens van medewerkers worden verwerkt op basis van de uitvoering van de overeenkomst/vrijwilligerswerking en gerechtvaardigd belang (accountbeheer, beveiligingsaudits). Zowel bij het inloggen, in de centrale menumodal als op publieke evaluatieformulieren is transparante informatie aanwezig.</w:t>
      </w:r>
    </w:p>
    <w:p>
      <w:pPr>
        <w:spacing w:after="120"/>
      </w:pPr>
      <w:r>
        <w:rPr>
          <w:b/>
        </w:rPr>
        <w:t xml:space="preserve">• 2. Doelbinding (Art. 5.1.b): </w:t>
      </w:r>
      <w:r>
        <w:t>Gegevens worden strikt gescheiden verwerkt voor vooraf vastgestelde doelen: sessiebeheer (registraties), kwaliteitsmeting (evaluaties), platformverbetering (feedback) en interne kennisdeling (documenten). Doelverschuiving is technisch en functioneel uitgesloten.</w:t>
      </w:r>
    </w:p>
    <w:p>
      <w:pPr>
        <w:spacing w:after="120"/>
      </w:pPr>
      <w:r>
        <w:rPr>
          <w:b/>
        </w:rPr>
        <w:t xml:space="preserve">• 3. Dataminimalisatie (Art. 5.1.c): </w:t>
      </w:r>
      <w:r>
        <w:t>Het platform vraagt geen rijksregisternummers, geboortedata, exacte adressen of telefoonnummers van cliënten. Bij registraties wordt expliciet afgedwongen dat alleen voornaam of initialen worden genoteerd. In feedbackformulieren wordt gewaarschuwd tegen persoonsgegevens in screenshots.</w:t>
      </w:r>
    </w:p>
    <w:p>
      <w:pPr>
        <w:spacing w:after="120"/>
      </w:pPr>
      <w:r>
        <w:rPr>
          <w:b/>
        </w:rPr>
        <w:t xml:space="preserve">• 4. Juistheid (Art. 5.1.d): </w:t>
      </w:r>
      <w:r>
        <w:t>Gebruikers-, digidokter- en sessiegegevens kunnen door bevoegde beheerders op elk moment worden gecorrigeerd via de beheerinterfaces.</w:t>
      </w:r>
    </w:p>
    <w:p>
      <w:pPr>
        <w:spacing w:after="120"/>
      </w:pPr>
      <w:r>
        <w:rPr>
          <w:b/>
        </w:rPr>
        <w:t xml:space="preserve">• 5. Opslagbeperking / Bewaartermijnen (Art. 5.1.e): </w:t>
      </w:r>
      <w:r>
        <w:t>Audit-logs ouder dan 365 dagen kunnen door platformbeheerders veilig worden opgeschoond. Password-reset codes vervallen na 30 minuten en tijdelijke tokens voor evaluaties zijn eenmalig bruikbaar.</w:t>
      </w:r>
    </w:p>
    <w:p>
      <w:pPr>
        <w:spacing w:after="120"/>
      </w:pPr>
      <w:r>
        <w:rPr>
          <w:b/>
        </w:rPr>
        <w:t xml:space="preserve">• 6. Integriteit en vertrouwelijkheid / Beveiliging (Art. 5.1.f): </w:t>
      </w:r>
      <w:r>
        <w:t>Gegevens zijn beschermd door sterke wachtwoordhashing (Werkzeug/PBKDF2), CSRF-beveiliging, strict-origin en sandbox CSP-headers voor documenten en screenshots, multi-tenant database-isolatie en rate limiting.</w:t>
      </w:r>
    </w:p>
    <w:p/>
    <w:p>
      <w:pPr>
        <w:pStyle w:val="Heading1"/>
      </w:pPr>
      <w:r>
        <w:rPr>
          <w:rFonts w:ascii="Arial" w:hAnsi="Arial"/>
          <w:color w:val="1B365D"/>
        </w:rPr>
        <w:t>5. Rechten van Betrokkenen</w:t>
      </w:r>
    </w:p>
    <w:p>
      <w:pPr>
        <w:spacing w:after="120"/>
      </w:pPr>
      <w:r>
        <w:rPr>
          <w:b/>
        </w:rPr>
        <w:t xml:space="preserve">• Recht op Inzage (Art. 15) &amp; Dataportabiliteit (Art. 20): </w:t>
      </w:r>
      <w:r>
        <w:t>Beheerders kunnen alle geregistreerde sessies en evaluaties exporteren naar CSV- en XLSX-formaat voor analyse en dataportabiliteit.</w:t>
      </w:r>
    </w:p>
    <w:p>
      <w:pPr>
        <w:spacing w:after="120"/>
      </w:pPr>
      <w:r>
        <w:rPr>
          <w:b/>
        </w:rPr>
        <w:t xml:space="preserve">• Recht op Rectificatie (Art. 16): </w:t>
      </w:r>
      <w:r>
        <w:t>Alle ingevoerde persoonsgegevens van vrijwilligers en sessies kunnen direct door beheerders worden aangepast.</w:t>
      </w:r>
    </w:p>
    <w:p>
      <w:pPr>
        <w:spacing w:after="120"/>
      </w:pPr>
      <w:r>
        <w:rPr>
          <w:b/>
        </w:rPr>
        <w:t xml:space="preserve">• Recht op Gegevenswissing / Vergetelheid (Art. 17): </w:t>
      </w:r>
      <w:r>
        <w:t>Bij het wissen van een registratie worden via 'routes/registrations.py' direct alle gerelateerde audit-logs gewist. Bij het verwijderen van een digidokter worden evaluatieresponses geanonimiseerd. Bij het verwijderen van een gebruiker worden persoonsgegevens gewist en gemeentelijke documenten veilig herleid.</w:t>
      </w:r>
    </w:p>
    <w:p>
      <w:pPr>
        <w:spacing w:after="120"/>
      </w:pPr>
      <w:r>
        <w:rPr>
          <w:b/>
        </w:rPr>
        <w:t xml:space="preserve">• Recht op Beperking &amp; Bezwaar (Art. 18 &amp; 21): </w:t>
      </w:r>
      <w:r>
        <w:t>Gebruikersaccounts kunnen op inactief worden gezet zonder dataverlies via de toggle-functie in het gebruikersbeheer.</w:t>
      </w:r>
    </w:p>
    <w:p/>
    <w:p>
      <w:pPr>
        <w:pStyle w:val="Heading1"/>
      </w:pPr>
      <w:r>
        <w:rPr>
          <w:rFonts w:ascii="Arial" w:hAnsi="Arial"/>
          <w:color w:val="1B365D"/>
        </w:rPr>
        <w:t>6. Technische en Organisatorische Maatregelen (TOM's)</w:t>
      </w:r>
    </w:p>
    <w:p>
      <w:r>
        <w:t>Het platform implementeert de volgende maatregelen conform Art. 32 AVG:</w:t>
        <w:br/>
        <w:t>1. Multi-Tenant Isolatie: Alle databasequeries worden gefilterd op 'organisatie_id'. Gemeenten kunnen onder geen beding data van andere besturen inzien of manipuleren.</w:t>
        <w:br/>
        <w:t>2. Toegangsbeheer &amp; RBAC: Vier duidelijke rollen (Platformbeheerder, Beheerder, Medewerker, Lezer) zorgen voor het principe van de minste privileges (Least Privilege).</w:t>
        <w:br/>
        <w:t>3. Bestandsbeveiliging &amp; Sandboxing: Geüploade screenshots en documenten worden geserveerd met 'X-Content-Type-Options: nosniff' en sandbox Content Security Policies om uitvoering van kwaadaardige code te blokkeren.</w:t>
        <w:br/>
        <w:t>4. Audit Trail: Alle databasemutaties worden vastgelegd in een auditlogboek ten behoeve van verantwoording en traceerbaarheid (Art. 5.2 AVG).</w:t>
        <w:br/>
        <w:t>5. Geautomatiseerde Regressietests: Een testsuite van 71 unittests verifieert continu de multi-tenant scheiding, authenticatie en privacy-mechanismen.</w:t>
      </w:r>
    </w:p>
    <w:p>
      <w:pPr>
        <w:pStyle w:val="Heading1"/>
      </w:pPr>
      <w:r>
        <w:rPr>
          <w:rFonts w:ascii="Arial" w:hAnsi="Arial"/>
          <w:color w:val="1B365D"/>
        </w:rPr>
        <w:t>7. Conclusie &amp; Verklaring van Conformiteit</w:t>
      </w:r>
    </w:p>
    <w:p>
      <w:r>
        <w:t>Het Digidokters platform voldoet na de herhaalde audit van september 2026 volledig aan de vereisten van de Algemene Verordening Gegevensbescherming (AVG / GDPR). De geconstateerde kwetsbaarheden en verbeterpunten (GDPR-01 t/m GDPR-04) zijn structureel opgelost in de broncode en templates, en succesvol geverifieerd met unittests.</w:t>
        <w:br/>
        <w:br/>
        <w:t>Het platform hanteert een doordacht Privacy by Design en Privacy by Default beleid, waardoor lokale besturen en organisaties met een gerust hart kunnen samenwerken binnen een veilige, privacybestendige omgeving.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