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48"/>
        </w:rPr>
        <w:t>Security Audit &amp; Risico-Analyse</w:t>
      </w:r>
    </w:p>
    <w:p>
      <w:pPr>
        <w:jc w:val="center"/>
      </w:pPr>
      <w:r>
        <w:rPr>
          <w:rFonts w:ascii="Arial" w:hAnsi="Arial"/>
          <w:color w:val="708090"/>
          <w:sz w:val="28"/>
        </w:rPr>
        <w:t>Digidokters Platform — Status: Gemitigeerd (Update september 2026)</w:t>
      </w:r>
    </w:p>
    <w:p>
      <w:pPr>
        <w:spacing w:before="400"/>
      </w:pPr>
    </w:p>
    <w:p>
      <w:pPr>
        <w:pStyle w:val="Heading1"/>
      </w:pPr>
      <w:r>
        <w:rPr>
          <w:color w:val="1B365D"/>
        </w:rPr>
        <w:t>1. Inleiding</w:t>
      </w:r>
    </w:p>
    <w:p>
      <w:pPr>
        <w:spacing w:line="276" w:lineRule="auto" w:after="240"/>
      </w:pPr>
      <w:r>
        <w:t>Dit document bevat het rapport van de herhaalde security audit van het Digidokters platform. Naast de eerdere audit (juli 2026) zijn naar aanleiding van recente functionele uitbreidingen (waaronder het Feedback-systeem, het Platform Dashboard, E-mailsjablonen en Publieke evaluatieformulieren) in september 2026 nieuwe risico-analyses uitgevoerd. Dit rapport beschrijft zowel de eerdere bevindingen als de nieuw geïdentificeerde en inmiddels volledig gemitigeerde kwetsbaarheden (SEC-01 t/m SEC-09).</w:t>
      </w:r>
    </w:p>
    <w:p>
      <w:pPr>
        <w:pStyle w:val="Heading1"/>
      </w:pPr>
      <w:r>
        <w:rPr>
          <w:color w:val="1B365D"/>
        </w:rPr>
        <w:t>2. Status Samenvatting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shd w:fill="1B365D"/>
            <w:tcMar>
              <w:top w:w="100" w:type="dxa"/>
              <w:bottom w:w="100" w:type="dxa"/>
              <w:left w:w="150" w:type="dxa"/>
              <w:right w:w="150" w:type="dxa"/>
            </w:tcMar>
          </w:tcPr>
          <w:p>
            <w:r>
              <w:rPr>
                <w:b/>
                <w:color w:val="FFFFFF"/>
              </w:rPr>
              <w:t>ID</w:t>
            </w:r>
          </w:p>
        </w:tc>
        <w:tc>
          <w:tcPr>
            <w:tcW w:type="dxa" w:w="2160"/>
            <w:shd w:fill="1B365D"/>
            <w:tcMar>
              <w:top w:w="100" w:type="dxa"/>
              <w:bottom w:w="100" w:type="dxa"/>
              <w:left w:w="150" w:type="dxa"/>
              <w:right w:w="150" w:type="dxa"/>
            </w:tcMar>
          </w:tcPr>
          <w:p>
            <w:r>
              <w:rPr>
                <w:b/>
                <w:color w:val="FFFFFF"/>
              </w:rPr>
              <w:t>Risiconiveau</w:t>
            </w:r>
          </w:p>
        </w:tc>
        <w:tc>
          <w:tcPr>
            <w:tcW w:type="dxa" w:w="2160"/>
            <w:shd w:fill="1B365D"/>
            <w:tcMar>
              <w:top w:w="100" w:type="dxa"/>
              <w:bottom w:w="100" w:type="dxa"/>
              <w:left w:w="150" w:type="dxa"/>
              <w:right w:w="150" w:type="dxa"/>
            </w:tcMar>
          </w:tcPr>
          <w:p>
            <w:r>
              <w:rPr>
                <w:b/>
                <w:color w:val="FFFFFF"/>
              </w:rPr>
              <w:t>Kwetsbaarheid</w:t>
            </w:r>
          </w:p>
        </w:tc>
        <w:tc>
          <w:tcPr>
            <w:tcW w:type="dxa" w:w="2160"/>
            <w:shd w:fill="1B365D"/>
            <w:tcMar>
              <w:top w:w="100" w:type="dxa"/>
              <w:bottom w:w="100" w:type="dxa"/>
              <w:left w:w="150" w:type="dxa"/>
              <w:right w:w="150" w:type="dxa"/>
            </w:tcMar>
          </w:tcPr>
          <w:p>
            <w:r>
              <w:rPr>
                <w:b/>
                <w:color w:val="FFFFFF"/>
              </w:rPr>
              <w:t>Status</w:t>
            </w:r>
          </w:p>
        </w:tc>
      </w:tr>
      <w:tr>
        <w:tc>
          <w:tcPr>
            <w:tcW w:type="dxa" w:w="2160"/>
            <w:tcMar>
              <w:top w:w="100" w:type="dxa"/>
              <w:bottom w:w="100" w:type="dxa"/>
              <w:left w:w="150" w:type="dxa"/>
              <w:right w:w="150" w:type="dxa"/>
            </w:tcMar>
          </w:tcPr>
          <w:p>
            <w:r>
              <w:t>SEC-01</w:t>
            </w:r>
          </w:p>
        </w:tc>
        <w:tc>
          <w:tcPr>
            <w:tcW w:type="dxa" w:w="2160"/>
            <w:tcMar>
              <w:top w:w="100" w:type="dxa"/>
              <w:bottom w:w="100" w:type="dxa"/>
              <w:left w:w="150" w:type="dxa"/>
              <w:right w:w="150" w:type="dxa"/>
            </w:tcMar>
          </w:tcPr>
          <w:p>
            <w:r>
              <w:t>Hoog</w:t>
            </w:r>
          </w:p>
        </w:tc>
        <w:tc>
          <w:tcPr>
            <w:tcW w:type="dxa" w:w="2160"/>
            <w:tcMar>
              <w:top w:w="100" w:type="dxa"/>
              <w:bottom w:w="100" w:type="dxa"/>
              <w:left w:w="150" w:type="dxa"/>
              <w:right w:w="150" w:type="dxa"/>
            </w:tcMar>
          </w:tcPr>
          <w:p>
            <w:r>
              <w:t>Cross-Tenant Data Verwijdering via Audit Log Opschonen</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SEC-02</w:t>
            </w:r>
          </w:p>
        </w:tc>
        <w:tc>
          <w:tcPr>
            <w:tcW w:type="dxa" w:w="2160"/>
            <w:tcMar>
              <w:top w:w="100" w:type="dxa"/>
              <w:bottom w:w="100" w:type="dxa"/>
              <w:left w:w="150" w:type="dxa"/>
              <w:right w:w="150" w:type="dxa"/>
            </w:tcMar>
          </w:tcPr>
          <w:p>
            <w:r>
              <w:t>Medium</w:t>
            </w:r>
          </w:p>
        </w:tc>
        <w:tc>
          <w:tcPr>
            <w:tcW w:type="dxa" w:w="2160"/>
            <w:tcMar>
              <w:top w:w="100" w:type="dxa"/>
              <w:bottom w:w="100" w:type="dxa"/>
              <w:left w:w="150" w:type="dxa"/>
              <w:right w:w="150" w:type="dxa"/>
            </w:tcMar>
          </w:tcPr>
          <w:p>
            <w:r>
              <w:t>Stored Cross-Site Scripting (XSS) via Document Preview</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SEC-03</w:t>
            </w:r>
          </w:p>
        </w:tc>
        <w:tc>
          <w:tcPr>
            <w:tcW w:type="dxa" w:w="2160"/>
            <w:tcMar>
              <w:top w:w="100" w:type="dxa"/>
              <w:bottom w:w="100" w:type="dxa"/>
              <w:left w:w="150" w:type="dxa"/>
              <w:right w:w="150" w:type="dxa"/>
            </w:tcMar>
          </w:tcPr>
          <w:p>
            <w:r>
              <w:t>Medium</w:t>
            </w:r>
          </w:p>
        </w:tc>
        <w:tc>
          <w:tcPr>
            <w:tcW w:type="dxa" w:w="2160"/>
            <w:tcMar>
              <w:top w:w="100" w:type="dxa"/>
              <w:bottom w:w="100" w:type="dxa"/>
              <w:left w:w="150" w:type="dxa"/>
              <w:right w:w="150" w:type="dxa"/>
            </w:tcMar>
          </w:tcPr>
          <w:p>
            <w:r>
              <w:t>Onveilige Random Code Generatie &amp; Ontbrekende Lockout</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SEC-04</w:t>
            </w:r>
          </w:p>
        </w:tc>
        <w:tc>
          <w:tcPr>
            <w:tcW w:type="dxa" w:w="2160"/>
            <w:tcMar>
              <w:top w:w="100" w:type="dxa"/>
              <w:bottom w:w="100" w:type="dxa"/>
              <w:left w:w="150" w:type="dxa"/>
              <w:right w:w="150" w:type="dxa"/>
            </w:tcMar>
          </w:tcPr>
          <w:p>
            <w:r>
              <w:t>Laag</w:t>
            </w:r>
          </w:p>
        </w:tc>
        <w:tc>
          <w:tcPr>
            <w:tcW w:type="dxa" w:w="2160"/>
            <w:tcMar>
              <w:top w:w="100" w:type="dxa"/>
              <w:bottom w:w="100" w:type="dxa"/>
              <w:left w:w="150" w:type="dxa"/>
              <w:right w:w="150" w:type="dxa"/>
            </w:tcMar>
          </w:tcPr>
          <w:p>
            <w:r>
              <w:t>Ontbrekende CSRF Secure Cookie Attributes</w:t>
            </w:r>
          </w:p>
        </w:tc>
        <w:tc>
          <w:tcPr>
            <w:tcW w:type="dxa" w:w="2160"/>
            <w:shd w:fill="D4EDDA"/>
            <w:tcMar>
              <w:top w:w="100" w:type="dxa"/>
              <w:bottom w:w="100" w:type="dxa"/>
              <w:left w:w="150" w:type="dxa"/>
              <w:right w:w="150" w:type="dxa"/>
            </w:tcMar>
          </w:tcPr>
          <w:p>
            <w:r>
              <w:rPr>
                <w:b/>
                <w:color w:val="155724"/>
              </w:rPr>
              <w:t>OPGELOST</w:t>
            </w:r>
          </w:p>
        </w:tc>
      </w:tr>
      <w:tr>
        <w:tc>
          <w:tcPr>
            <w:tcW w:type="dxa" w:w="2160"/>
          </w:tcPr>
          <w:p>
            <w:r>
              <w:t>SEC-05</w:t>
            </w:r>
          </w:p>
        </w:tc>
        <w:tc>
          <w:tcPr>
            <w:tcW w:type="dxa" w:w="2160"/>
          </w:tcPr>
          <w:p>
            <w:r>
              <w:t>Hoog</w:t>
            </w:r>
          </w:p>
        </w:tc>
        <w:tc>
          <w:tcPr>
            <w:tcW w:type="dxa" w:w="2160"/>
          </w:tcPr>
          <w:p>
            <w:r>
              <w:t>Ongeautoriseerd Test-Mail Endpoint (Open Relay / Quota Abuse)</w:t>
            </w:r>
          </w:p>
        </w:tc>
        <w:tc>
          <w:tcPr>
            <w:tcW w:type="dxa" w:w="2160"/>
            <w:shd w:fill="D4EDDA"/>
          </w:tcPr>
          <w:p>
            <w:r/>
            <w:r>
              <w:rPr>
                <w:b/>
                <w:color w:val="155724"/>
              </w:rPr>
              <w:t>OPGELOST</w:t>
            </w:r>
          </w:p>
        </w:tc>
      </w:tr>
      <w:tr>
        <w:tc>
          <w:tcPr>
            <w:tcW w:type="dxa" w:w="2160"/>
          </w:tcPr>
          <w:p>
            <w:r>
              <w:t>SEC-06</w:t>
            </w:r>
          </w:p>
        </w:tc>
        <w:tc>
          <w:tcPr>
            <w:tcW w:type="dxa" w:w="2160"/>
          </w:tcPr>
          <w:p>
            <w:r>
              <w:t>Medium</w:t>
            </w:r>
          </w:p>
        </w:tc>
        <w:tc>
          <w:tcPr>
            <w:tcW w:type="dxa" w:w="2160"/>
          </w:tcPr>
          <w:p>
            <w:r>
              <w:t>Stored XSS &amp; MIME-Sniffing Risico bij Feedback Screenshots</w:t>
            </w:r>
          </w:p>
        </w:tc>
        <w:tc>
          <w:tcPr>
            <w:tcW w:type="dxa" w:w="2160"/>
            <w:shd w:fill="D4EDDA"/>
          </w:tcPr>
          <w:p>
            <w:r/>
            <w:r>
              <w:rPr>
                <w:b/>
                <w:color w:val="155724"/>
              </w:rPr>
              <w:t>OPGELOST</w:t>
            </w:r>
          </w:p>
        </w:tc>
      </w:tr>
      <w:tr>
        <w:tc>
          <w:tcPr>
            <w:tcW w:type="dxa" w:w="2160"/>
          </w:tcPr>
          <w:p>
            <w:r>
              <w:t>SEC-07</w:t>
            </w:r>
          </w:p>
        </w:tc>
        <w:tc>
          <w:tcPr>
            <w:tcW w:type="dxa" w:w="2160"/>
          </w:tcPr>
          <w:p>
            <w:r>
              <w:t>Medium</w:t>
            </w:r>
          </w:p>
        </w:tc>
        <w:tc>
          <w:tcPr>
            <w:tcW w:type="dxa" w:w="2160"/>
          </w:tcPr>
          <w:p>
            <w:r>
              <w:t>IDOR / Ontbrekende Tenant-Isolatie bij Feedback Acties</w:t>
            </w:r>
          </w:p>
        </w:tc>
        <w:tc>
          <w:tcPr>
            <w:tcW w:type="dxa" w:w="2160"/>
            <w:shd w:fill="D4EDDA"/>
          </w:tcPr>
          <w:p>
            <w:r/>
            <w:r>
              <w:rPr>
                <w:b/>
                <w:color w:val="155724"/>
              </w:rPr>
              <w:t>OPGELOST</w:t>
            </w:r>
          </w:p>
        </w:tc>
      </w:tr>
      <w:tr>
        <w:tc>
          <w:tcPr>
            <w:tcW w:type="dxa" w:w="2160"/>
          </w:tcPr>
          <w:p>
            <w:r>
              <w:t>SEC-08</w:t>
            </w:r>
          </w:p>
        </w:tc>
        <w:tc>
          <w:tcPr>
            <w:tcW w:type="dxa" w:w="2160"/>
          </w:tcPr>
          <w:p>
            <w:r>
              <w:t>Laag</w:t>
            </w:r>
          </w:p>
        </w:tc>
        <w:tc>
          <w:tcPr>
            <w:tcW w:type="dxa" w:w="2160"/>
          </w:tcPr>
          <w:p>
            <w:r>
              <w:t>Ontbrekende Cascade Deletion van Feedback bij Organisatieverwijdering</w:t>
            </w:r>
          </w:p>
        </w:tc>
        <w:tc>
          <w:tcPr>
            <w:tcW w:type="dxa" w:w="2160"/>
            <w:shd w:fill="D4EDDA"/>
          </w:tcPr>
          <w:p>
            <w:r/>
            <w:r>
              <w:rPr>
                <w:b/>
                <w:color w:val="155724"/>
              </w:rPr>
              <w:t>OPGELOST</w:t>
            </w:r>
          </w:p>
        </w:tc>
      </w:tr>
      <w:tr>
        <w:tc>
          <w:tcPr>
            <w:tcW w:type="dxa" w:w="2160"/>
          </w:tcPr>
          <w:p>
            <w:r>
              <w:t>SEC-09</w:t>
            </w:r>
          </w:p>
        </w:tc>
        <w:tc>
          <w:tcPr>
            <w:tcW w:type="dxa" w:w="2160"/>
          </w:tcPr>
          <w:p>
            <w:r>
              <w:t>Laag</w:t>
            </w:r>
          </w:p>
        </w:tc>
        <w:tc>
          <w:tcPr>
            <w:tcW w:type="dxa" w:w="2160"/>
          </w:tcPr>
          <w:p>
            <w:r>
              <w:t>Ontbrekende Rate Limiting op Publiek Evaluatie Token Endpoint</w:t>
            </w:r>
          </w:p>
        </w:tc>
        <w:tc>
          <w:tcPr>
            <w:tcW w:type="dxa" w:w="2160"/>
            <w:shd w:fill="D4EDDA"/>
          </w:tcPr>
          <w:p>
            <w:r/>
            <w:r>
              <w:rPr>
                <w:b/>
                <w:color w:val="155724"/>
              </w:rPr>
              <w:t>OPGELOST</w:t>
            </w:r>
          </w:p>
        </w:tc>
      </w:tr>
    </w:tbl>
    <w:p>
      <w:pPr>
        <w:spacing w:before="240"/>
      </w:pPr>
    </w:p>
    <w:p>
      <w:pPr>
        <w:pStyle w:val="Heading1"/>
      </w:pPr>
      <w:r>
        <w:rPr>
          <w:color w:val="1B365D"/>
        </w:rPr>
        <w:t>3. Gedetailleerde Evaluatie van Oplossingen</w:t>
      </w:r>
    </w:p>
    <w:p>
      <w:pPr>
        <w:pStyle w:val="Heading2"/>
      </w:pPr>
      <w:r>
        <w:rPr>
          <w:color w:val="2E6F40"/>
        </w:rPr>
        <w:t>SEC-01: Cross-Tenant Data Verwijdering via Audit Log Opschonen (OPGELOST)</w:t>
      </w:r>
    </w:p>
    <w:p>
      <w:r>
        <w:t>• Probleemstelling: De route '/audit-log/opschonen' was beveiligd met '@admin_required', waardoor elke organisatiebeheerder (bijv. beheerder van één specifieke gemeente) logs ouder dan 365 dagen kon wissen. De delete-query bevatte echter geen tenant-filter, waardoor logs van alle organisaties in de database gelijktijdig gewist werden.</w:t>
        <w:br/>
        <w:t>• Oplossing: De decorator is aangepast naar '@platform_admin_required'. Alleen globale platformbeheerders hebben nu toegang tot deze opschoonactie. Hiermee is de multi-tenancy isolatie tijdens het opschonen hersteld.</w:t>
      </w:r>
    </w:p>
    <w:p>
      <w:pPr>
        <w:pStyle w:val="Heading2"/>
      </w:pPr>
      <w:r>
        <w:rPr>
          <w:color w:val="2E6F40"/>
        </w:rPr>
        <w:t>SEC-02: Stored Cross-Site Scripting (XSS) via Document Preview (OPGELOST)</w:t>
      </w:r>
    </w:p>
    <w:p>
      <w:r>
        <w:t>• Probleemstelling: Bestanden werden via '/documenten/&lt;doc_id&gt;/bekijken' inline in de browser gerenderd (as_attachment=False). Als een malafide gebruiker een HTML- of SVG-bestand met JavaScript uploadde, werd dit in de browser van andere gebruikers uitgevoerd binnen het domein van de applicatie.</w:t>
        <w:br/>
        <w:t>• Oplossing: Er is een whitelist geïntroduceerd voor inline weergave. Alleen 'image/png', 'image/jpeg', 'image/gif' en 'application/pdf' worden inline geopend. Alle overige MIME-types worden geforceerd als download (as_attachment=True). Bovendien is een strikte Content-Security-Policy (CSP) toegevoegd aan de inline responses: 'default-src \'none\'; sandbox;'.</w:t>
      </w:r>
    </w:p>
    <w:p>
      <w:pPr>
        <w:pStyle w:val="Heading2"/>
      </w:pPr>
      <w:r>
        <w:rPr>
          <w:color w:val="2E6F40"/>
        </w:rPr>
        <w:t>SEC-03: Onveilige Random Code Generatie &amp; Ontbrekende Lockout (OPGELOST)</w:t>
      </w:r>
    </w:p>
    <w:p>
      <w:r>
        <w:t>• Probleemstelling: Wachtwoordherstelcodes werden gegenereerd via de onveilige 'random' module van Python en waren theoretisch voorspelbaar. Daarnaast kon een aanvaller codes brute-forcen binnen de geldigheidstermijn van 30 minuten omdat mislukte pogingen niet werden bijgehouden.</w:t>
        <w:br/>
        <w:t>• Oplossing: De generatie maakt nu gebruik van de cryptografisch veilige 'secrets' module. Tevens is er een kolom 'reset_pogingen' toegevoegd aan het User-model. Na 5 opeenvolgende mislukte pogingen wordt de code in de database ongeldig gemaakt, de sessie gewist en wordt de gebruiker geblokkeerd voor verdere pogingen tot er een nieuwe code is aangevraagd.</w:t>
      </w:r>
    </w:p>
    <w:p>
      <w:pPr>
        <w:pStyle w:val="Heading2"/>
      </w:pPr>
      <w:r>
        <w:rPr>
          <w:color w:val="2E6F40"/>
        </w:rPr>
        <w:t>SEC-04: Ontbrekende CSRF Secure Cookie Attributes (OPGELOST)</w:t>
      </w:r>
    </w:p>
    <w:p>
      <w:r>
        <w:t>• Probleemstelling: Hoewel Flask-Session cookies beveiligd waren, waren de CSRF-cookies in productie niet expliciet beveiligd met SSL-strict en HTTPOnly vlaggen.</w:t>
        <w:br/>
        <w:t>• Oplossing: In de Config-klasse zijn de volgende parameters toegevoegd en gekoppeld aan de productie-status:</w:t>
        <w:br/>
        <w:t xml:space="preserve">  - WTF_CSRF_SSL_STRICT = _IS_PRODUCTION</w:t>
        <w:br/>
        <w:t xml:space="preserve">  - WTF_CSRF_COOKIE_SECURE = _IS_PRODUCTION</w:t>
        <w:br/>
        <w:t xml:space="preserve">  - WTF_CSRF_COOKIE_HTTPONLY = True</w:t>
      </w:r>
    </w:p>
    <w:p>
      <w:pPr>
        <w:pStyle w:val="Heading2"/>
      </w:pPr>
      <w:r>
        <w:rPr>
          <w:color w:val="2E6F40"/>
        </w:rPr>
        <w:t>SEC-05: Ongeautoriseerd Test-Mail Endpoint (Open Relay / Quota Abuse) (OPGELOST)</w:t>
      </w:r>
    </w:p>
    <w:p>
      <w:pPr/>
      <w:r>
        <w:t>• Probleemstelling: Het endpoint '/test-mail' was in 'app.py' geregistreerd zonder '@login_required' en was vrijgesteld van login-verificatie. Hierdoor kon elke willekeurige ongeauthenticeerde bezoeker via een queryparameter ('?to=') willekeurige e-mails laten versturen door de applicatie. Dit bracht een direct gevaar voor e-mail open relay misbruik, blacklist-vermeldingen en uitputting van verzendquota met zich mee.</w:t>
        <w:br/>
        <w:t>• Oplossing: De route '/test-mail' is verwijderd uit de lijst van openbare endpoints en expliciet beveiligd met '@login_required' en een strikte autorisatiecheck op de rol ('current_user.rol == "platformbeheerder"'). Niet-ingelogde gebruikers worden geredirect naar het inlogscherm en reguliere gebruikers krijgen een 403 Forbidden melding.</w:t>
      </w:r>
    </w:p>
    <w:p>
      <w:pPr>
        <w:pStyle w:val="Heading2"/>
      </w:pPr>
      <w:r>
        <w:rPr>
          <w:color w:val="2E6F40"/>
        </w:rPr>
        <w:t>SEC-06: Stored XSS &amp; MIME-Sniffing Risico bij Feedback Screenshots (OPGELOST)</w:t>
      </w:r>
    </w:p>
    <w:p>
      <w:pPr/>
      <w:r>
        <w:t>• Probleemstelling: Binnen de nieuwe Feedback-module kunnen gebruikers screenshots toevoegen aan foutmeldingen of voorstellen. Indien bestanden niet strikt op MIME-type gevalideerd worden of inline worden weergegeven zonder sandboxing, kunnen kwaadwillenden bestanden zoals HTML of gevectoriseerde SVG's met inline JavaScript injecteren (Stored XSS). Bovendien kon MIME-sniffing door browsers plaatsvinden.</w:t>
        <w:br/>
        <w:t>• Oplossing: Bij de upload wordt het MIME-type gevalideerd tegen een strikte whitelist ('image/png', 'image/jpeg', 'image/gif', 'image/webp'). Bij het serveren via '/feedback/&lt;id&gt;/screenshot' worden 'X-Content-Type-Options: nosniff' en een strikte Content-Security-Policy ('default-src \'none\'; sandbox;') meegegeven. Tevens is de globale security headers handler in 'app.py' aangepast zodat view-specifieke CSP-headers behouden blijven.</w:t>
      </w:r>
    </w:p>
    <w:p>
      <w:pPr>
        <w:pStyle w:val="Heading2"/>
      </w:pPr>
      <w:r>
        <w:rPr>
          <w:color w:val="2E6F40"/>
        </w:rPr>
        <w:t>SEC-07: IDOR / Ontbrekende Tenant-Isolatie bij Feedback Acties (OPGELOST)</w:t>
      </w:r>
    </w:p>
    <w:p>
      <w:pPr/>
      <w:r>
        <w:t>• Probleemstelling: De routes voor interacties op feedback-items (stemmen via '/feedback/&lt;id&gt;/stem', conversatiereacties toevoegen via '/feedback/&lt;id&gt;/reageren' en status wijzigen via '/feedback/&lt;id&gt;/status') zochten het feedback-item enkel op primair sleutel-ID zonder te controleren of het item behoorde tot de actieve organisatie van de ingelogde gebruiker. Gebruikers van Organisatie A konden hierdoor via URL-manipulatie stemmen, reageren of statussen wijzigen op feedback-items van Organisatie B (Insecure Direct Object Reference).</w:t>
        <w:br/>
        <w:t>• Oplossing: In alle routes van 'routes/feedback.py' is een multi-tenant autorisatiecontrole geïmplementeerd. Indien de gebruiker geen globale platformbeheerder is en het feedback-item niet behoort tot diens organisatie, wordt direct een 'abort(404)' geretourneerd (waarmee tevens scanning/ID-enumeration wordt voorkomen).</w:t>
      </w:r>
    </w:p>
    <w:p>
      <w:pPr>
        <w:pStyle w:val="Heading2"/>
      </w:pPr>
      <w:r>
        <w:rPr>
          <w:color w:val="2E6F40"/>
        </w:rPr>
        <w:t>SEC-08: Ontbrekende Cascade Deletion van Feedback bij Organisatieverwijdering (OPGELOST)</w:t>
      </w:r>
    </w:p>
    <w:p>
      <w:pPr/>
      <w:r>
        <w:t>• Probleemstelling: Bij het definitief wissen van een organisatie door een platformbeheerder via '/platform/organisaties/&lt;id&gt;/verwijderen' werden tabellen zoals 'feedback_items', 'feedback_stemmen' en 'feedback_reacties' niet opgeschoond. Dit leidde tot mogelijke database-integriteitsfouten (foreign key constraint violations) of achtergebleven verweesde records (orphaned data).</w:t>
        <w:br/>
        <w:t>• Oplossing: In 'routes/platform.py' is de cascade-verwijderprocedure aangevuld met het gestructureerd opschonen van alle gekoppelde feedback-items, stemmen en reacties behorende tot de te verwijderen organisatie alvorens de organisatie definitief wordt gewist.</w:t>
      </w:r>
    </w:p>
    <w:p>
      <w:pPr>
        <w:pStyle w:val="Heading2"/>
      </w:pPr>
      <w:r>
        <w:rPr>
          <w:color w:val="2E6F40"/>
        </w:rPr>
        <w:t>SEC-09: Ontbrekende Rate Limiting op Publiek Evaluatie Token Endpoint (OPGELOST)</w:t>
      </w:r>
    </w:p>
    <w:p>
      <w:pPr/>
      <w:r>
        <w:t>• Probleemstelling: De route '/evaluaties/invullen/&lt;token&gt;' is bewust publiek toegankelijk zonder authenticatie om cliënten van een sessie laagdrempelig feedback te laten geven via een uniek gegenereerd token. Er ontbrak echter een specifieke rate limiter op dit endpoint, waardoor een aanvaller geautomatiseerde massaverzoeken (DoS of token brute-force pogingen) kon uitvoeren.</w:t>
        <w:br/>
        <w:t>• Oplossing: Het endpoint is voorzien van Flask-Limiter bescherming met een limiet van '@limiter.limit("30 per minute")'. Hiermee wordt misbruik effectief afgeweerd terwijl legitiem gebruik door cliënten ongehinderd doorgang vindt.</w:t>
      </w:r>
    </w:p>
    <w:p>
      <w:pPr>
        <w:pStyle w:val="Heading1"/>
      </w:pPr>
      <w:r>
        <w:rPr>
          <w:color w:val="1B365D"/>
        </w:rPr>
        <w:t>4. Evaluatie van Best-practices</w:t>
      </w:r>
    </w:p>
    <w:p>
      <w:r>
        <w:t>Tijdens de herhaalde audit is de complete codebase getoetst op gangbare OWASP Top 10 en multi-tenancy risico's:</w:t>
        <w:br/>
        <w:t>1. SQL Injection: Alle database-interacties verlopen strikt via SQLAlchemy ORM met geparametriseerde queries. Er zijn nergens raw string SQL-queries aanwezig.</w:t>
        <w:br/>
        <w:t>2. Rate Limiting: Gevoelige endpoints (/login, /wachtwoord-vergeten en het publieke evaluatieformulier /evaluaties/invullen/&lt;token&gt;) worden beschermd door Flask-Limiter om brute-force en DoS-aanvallen tegen te gaan.</w:t>
        <w:br/>
        <w:t>3. Multi-Tenant Isolatie: Alle queries en acties op registraties, stamgegevens, documenten, evaluaties en feedback filteren strikt op 'organisatie_id'. Cross-tenant datalekken zijn uitgesloten en afgedekt met geautomatiseerde unittests.</w:t>
        <w:br/>
        <w:t>4. Content-Security-Policy &amp; Sandboxing: Zowel geüploade documenten als feedback-screenshots worden geserveerd met 'X-Content-Type-Options: nosniff' en sandbox CSP ('default-src \'none\'; sandbox;') om inline scriptuitvoering uit te sluiten.</w:t>
        <w:br/>
        <w:t>5. Test Isolatie: De complete testsuite (69 tests) draait geïsoleerd via een in-memory SQLite database ('sqlite:///:memory:'), waardoor productieve en ontwikkeldata gegarandeerd onaangeroerd blijven.</w:t>
      </w:r>
    </w:p>
    <w:p>
      <w:pPr>
        <w:pStyle w:val="Heading1"/>
      </w:pPr>
      <w:r>
        <w:rPr>
          <w:color w:val="1B365D"/>
        </w:rPr>
        <w:t>5. Conclusie</w:t>
      </w:r>
    </w:p>
    <w:p>
      <w:r>
        <w:t>Het Digidokters platform voldoet na de herhaalde security audit van september 2026 volledig aan de hoogste eisen van web- en applicatiebeveiliging. Alle negen vastgestelde kwetsbaarheden (SEC-01 t/m SEC-09) zijn structureel opgelost en voorzien van regressietests in de testsuite. De isolatie tussen organisaties (tenants) is waterdicht, bestandsuploads zijn strikt gesandboxt en afgeschermd, en open relay- en brute-force-vectoren zijn geëlimineerd.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