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00"/>
        <w:jc w:val="center"/>
      </w:pPr>
      <w:r>
        <w:rPr>
          <w:b/>
          <w:color w:val="27AE60"/>
          <w:sz w:val="56"/>
        </w:rPr>
        <w:t>GDPR / AVG Audit Rapport</w:t>
      </w:r>
    </w:p>
    <w:p>
      <w:pPr>
        <w:spacing w:after="4000"/>
        <w:jc w:val="center"/>
      </w:pPr>
      <w:r>
        <w:rPr>
          <w:i/>
          <w:color w:val="7F8C8D"/>
          <w:sz w:val="32"/>
        </w:rPr>
        <w:t>Sponsoring &amp; Logo Management Systeem</w:t>
        <w:br/>
        <w:t>De Kampanje vzw</w:t>
      </w:r>
    </w:p>
    <w:p>
      <w:pPr>
        <w:jc w:val="center"/>
      </w:pPr>
      <w:r>
        <w:rPr>
          <w:b/>
        </w:rPr>
        <w:t xml:space="preserve">Versie: </w:t>
      </w:r>
      <w:r>
        <w:t>1.0</w:t>
        <w:br/>
      </w:r>
      <w:r>
        <w:rPr>
          <w:b/>
        </w:rPr>
        <w:t xml:space="preserve">Datum: </w:t>
      </w:r>
      <w:r>
        <w:t>24 juli 2026</w:t>
        <w:br/>
      </w:r>
      <w:r>
        <w:rPr>
          <w:b/>
        </w:rPr>
        <w:t xml:space="preserve">Status: </w:t>
      </w:r>
      <w:r>
        <w:t>Voltooid</w:t>
      </w:r>
    </w:p>
    <w:p>
      <w:r>
        <w:br w:type="page"/>
      </w:r>
    </w:p>
    <w:p>
      <w:pPr>
        <w:pStyle w:val="Heading1"/>
      </w:pPr>
      <w:r>
        <w:rPr>
          <w:color w:val="2C3E50"/>
        </w:rPr>
        <w:t>1. Identificatie van Persoonsgegevens</w:t>
      </w:r>
    </w:p>
    <w:p>
      <w:r>
        <w:t>Binnen het Sponsoring Management Systeem van De Kampanje vzw worden verschillende typen persoonsgegevens van natuurlijke personen verwerkt. Hieronder volgt een overzicht van de geïdentificeerde gegevens per categorie:</w:t>
      </w:r>
    </w:p>
    <w:p>
      <w:r>
        <w:t>1. Gebruikers (Bestuursleden &amp; Beheerders):</w:t>
        <w:br/>
        <w:t xml:space="preserve">   • E-mailadres (dient tevens als inlognaam).</w:t>
        <w:br/>
        <w:t xml:space="preserve">   • Activiteitsgegevens (tijdstip van aanmelden, laatste activiteit en gedetailleerde handelingen in het audit log).</w:t>
        <w:br/>
        <w:t>2. Aanbrengers:</w:t>
        <w:br/>
        <w:t xml:space="preserve">   • Naam en initialen van het bestuurslid of medewerker dat de sponsor heeft aangebracht.</w:t>
        <w:br/>
        <w:t>3. Sponsors (Contactpersonen van partnerbedrijven):</w:t>
        <w:br/>
        <w:t xml:space="preserve">   • Naam van de contactpersoon binnen het bedrijf.</w:t>
        <w:br/>
        <w:t xml:space="preserve">   • Zakelijk of persoonlijk e-mailadres van de contactpersoon.</w:t>
        <w:br/>
        <w:t xml:space="preserve">   • Telefoonnummer van de contactpersoon.</w:t>
        <w:br/>
        <w:t xml:space="preserve">   • BTW-nummer (indien het een eenmanszaak of ZZP'er betreft, is dit direct herleidbaar tot een natuurlijk persoon).</w:t>
        <w:br/>
        <w:t xml:space="preserve">   • Adresgegevens.</w:t>
      </w:r>
    </w:p>
    <w:p>
      <w:pPr>
        <w:pStyle w:val="Heading1"/>
      </w:pPr>
      <w:r>
        <w:rPr>
          <w:color w:val="2C3E50"/>
        </w:rPr>
        <w:t>2. Grondslag voor Verwerking (Art. 6 AVG)</w:t>
      </w:r>
    </w:p>
    <w:p>
      <w:r>
        <w:t>De verwerking van persoonsgegevens binnen dit systeem is gebaseerd op de volgende wettelijke grondslagen uit de AVG:</w:t>
        <w:br/>
        <w:t>1. Uitvoering van een overeenkomst (Art. 6 lid 1 sub b AVG): De contactgegevens van sponsors zijn noodzakelijk voor het opstellen, factureren en uitvoeren van de sponsorovereenkomst.</w:t>
        <w:br/>
        <w:t>2. Gerechtvaardigd belang (Art. 6 lid 1 sub f AVG): De verwerking van gegevens van bestuursleden en aanbrengers is noodzakelijk voor de interne werking, verantwoording en beveiliging van vzw De Kampanje.</w:t>
      </w:r>
    </w:p>
    <w:p>
      <w:pPr>
        <w:pStyle w:val="Heading1"/>
      </w:pPr>
      <w:r>
        <w:rPr>
          <w:color w:val="2C3E50"/>
        </w:rPr>
        <w:t>3. AVG-beoordeling &amp; Status</w:t>
      </w:r>
    </w:p>
    <w:tbl>
      <w:tblPr>
        <w:tblStyle w:val="LightShading-Accent2"/>
        <w:tblW w:type="auto" w:w="0"/>
        <w:tblLook w:firstColumn="1" w:firstRow="1" w:lastColumn="0" w:lastRow="0" w:noHBand="0" w:noVBand="1" w:val="04A0"/>
      </w:tblPr>
      <w:tblGrid>
        <w:gridCol w:w="3120"/>
        <w:gridCol w:w="3120"/>
        <w:gridCol w:w="3120"/>
      </w:tblGrid>
      <w:tr>
        <w:tc>
          <w:tcPr>
            <w:tcW w:type="dxa" w:w="3120"/>
          </w:tcPr>
          <w:p>
            <w:r>
              <w:rPr>
                <w:b/>
              </w:rPr>
              <w:t>AVG Beginsel / Recht</w:t>
            </w:r>
          </w:p>
        </w:tc>
        <w:tc>
          <w:tcPr>
            <w:tcW w:type="dxa" w:w="3120"/>
          </w:tcPr>
          <w:p>
            <w:r>
              <w:rPr>
                <w:b/>
              </w:rPr>
              <w:t>Status</w:t>
            </w:r>
          </w:p>
        </w:tc>
        <w:tc>
          <w:tcPr>
            <w:tcW w:type="dxa" w:w="3120"/>
          </w:tcPr>
          <w:p>
            <w:r>
              <w:rPr>
                <w:b/>
              </w:rPr>
              <w:t>Evaluatie</w:t>
            </w:r>
          </w:p>
        </w:tc>
      </w:tr>
      <w:tr>
        <w:tc>
          <w:tcPr>
            <w:tcW w:type="dxa" w:w="3120"/>
          </w:tcPr>
          <w:p>
            <w:r>
              <w:t>Dataminimalisatie</w:t>
            </w:r>
          </w:p>
        </w:tc>
        <w:tc>
          <w:tcPr>
            <w:tcW w:type="dxa" w:w="3120"/>
          </w:tcPr>
          <w:p>
            <w:r>
              <w:t>Conform</w:t>
            </w:r>
          </w:p>
        </w:tc>
        <w:tc>
          <w:tcPr>
            <w:tcW w:type="dxa" w:w="3120"/>
          </w:tcPr>
          <w:p>
            <w:r>
              <w:t>Alleen functioneel noodzakelijke gegevens worden bewaard.</w:t>
            </w:r>
          </w:p>
        </w:tc>
      </w:tr>
      <w:tr>
        <w:tc>
          <w:tcPr>
            <w:tcW w:type="dxa" w:w="3120"/>
          </w:tcPr>
          <w:p>
            <w:r>
              <w:t>Beveiliging (Art. 32)</w:t>
            </w:r>
          </w:p>
        </w:tc>
        <w:tc>
          <w:tcPr>
            <w:tcW w:type="dxa" w:w="3120"/>
          </w:tcPr>
          <w:p>
            <w:r>
              <w:t>Conform</w:t>
            </w:r>
          </w:p>
        </w:tc>
        <w:tc>
          <w:tcPr>
            <w:tcW w:type="dxa" w:w="3120"/>
          </w:tcPr>
          <w:p>
            <w:r>
              <w:t>Hashes via scrypt, HTTPS is actief, sessie-cookies zijn gehardened.</w:t>
            </w:r>
          </w:p>
        </w:tc>
      </w:tr>
      <w:tr>
        <w:tc>
          <w:tcPr>
            <w:tcW w:type="dxa" w:w="3120"/>
          </w:tcPr>
          <w:p>
            <w:r>
              <w:t>Inzage &amp; Portabiliteit</w:t>
            </w:r>
          </w:p>
        </w:tc>
        <w:tc>
          <w:tcPr>
            <w:tcW w:type="dxa" w:w="3120"/>
          </w:tcPr>
          <w:p>
            <w:r>
              <w:t>Conform</w:t>
            </w:r>
          </w:p>
        </w:tc>
        <w:tc>
          <w:tcPr>
            <w:tcW w:type="dxa" w:w="3120"/>
          </w:tcPr>
          <w:p>
            <w:r>
              <w:t>Exports naar Excel en PDF maken snelle data-overdracht mogelijk.</w:t>
            </w:r>
          </w:p>
        </w:tc>
      </w:tr>
      <w:tr>
        <w:tc>
          <w:tcPr>
            <w:tcW w:type="dxa" w:w="3120"/>
          </w:tcPr>
          <w:p>
            <w:r>
              <w:t>Recht op Verwijdering</w:t>
            </w:r>
          </w:p>
        </w:tc>
        <w:tc>
          <w:tcPr>
            <w:tcW w:type="dxa" w:w="3120"/>
          </w:tcPr>
          <w:p>
            <w:r>
              <w:t>Aandachtspunt</w:t>
            </w:r>
          </w:p>
        </w:tc>
        <w:tc>
          <w:tcPr>
            <w:tcW w:type="dxa" w:w="3120"/>
          </w:tcPr>
          <w:p>
            <w:r>
              <w:t>Data wordt gewist uit hoofdtabel; bewaartermijn in logs vereist aandacht.</w:t>
            </w:r>
          </w:p>
        </w:tc>
      </w:tr>
    </w:tbl>
    <w:p>
      <w:r>
        <w:br/>
      </w:r>
    </w:p>
    <w:p>
      <w:pPr>
        <w:pStyle w:val="Heading1"/>
      </w:pPr>
      <w:r>
        <w:rPr>
          <w:color w:val="2C3E50"/>
        </w:rPr>
        <w:t>4. Aanbevelingen voor AVG Compliance</w:t>
      </w:r>
    </w:p>
    <w:p>
      <w:pPr>
        <w:pStyle w:val="Heading2"/>
      </w:pPr>
      <w:r>
        <w:t>4.1 Dataretentiebeleid (Bewaartermijnen)</w:t>
      </w:r>
    </w:p>
    <w:p>
      <w:r>
        <w:t>Persoonsgegevens mogen niet langer bewaard worden dan noodzakelijk voor het doel waarvoor ze zijn verzameld. Gezien de fiscale bewaarplicht voor facturen (7 jaar in België) is het aanbevolen om inactieve sponsors die langer dan 7 jaar geen lopend contract meer hebben gehad, handmatig uit de database te verwijderen.</w:t>
      </w:r>
    </w:p>
    <w:p>
      <w:pPr>
        <w:pStyle w:val="Heading2"/>
      </w:pPr>
      <w:r>
        <w:t>4.2 Informatieplicht &amp; Transparantie</w:t>
      </w:r>
    </w:p>
    <w:p>
      <w:r>
        <w:t>Sponsors (natuurlijke personen) moeten bij het aanleveren van hun gegevens geïnformeerd worden over de verwerking ervan. Het wordt aanbevolen om een korte privacyclausule op te nemen in de sponsorovereenkomsten. Hierin wordt vermeld dat hun contactgegevens vertrouwelijk worden verwerkt in een beveiligde database ten behoeve van relatiebeheer en facturatie.</w:t>
      </w:r>
    </w:p>
    <w:p>
      <w:pPr>
        <w:pStyle w:val="Heading2"/>
      </w:pPr>
      <w:r>
        <w:t>4.3 Audit Logs &amp; Recht op Vergetelheid</w:t>
      </w:r>
    </w:p>
    <w:p>
      <w:r>
        <w:t>Het Audit Log is uitsluitend toegankelijk voor beheerders (zoals ingesteld in de applicatie-rechten). Dit is AVG-conform. Mocht een sponsor verzoeken volledig gewist te worden, dan volstaat het om de sponsor uit de sponsortabel te verwijderen. De logs mogen om veiligheids- en controledoeleinden behouden blijven, mits de bewaartermijn van het logboek is gedefinieerd in de privacyverklaring.</w:t>
      </w:r>
    </w:p>
    <w:p>
      <w:r>
        <w:br/>
      </w:r>
    </w:p>
    <w:p>
      <w:r>
        <w:t>Einde van het auditrapport.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