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EEBBB" w14:textId="5957223C" w:rsidR="00B57C24" w:rsidRDefault="00B57C24">
      <w:r>
        <w:t>CHINA 7/7</w:t>
      </w:r>
    </w:p>
    <w:p w14:paraId="7EC93B73" w14:textId="08FA9AF3" w:rsidR="00B57C24" w:rsidRDefault="00B57C24"/>
    <w:p w14:paraId="2984AA05" w14:textId="617B3D28" w:rsidR="00B57C24" w:rsidRDefault="00B57C24"/>
    <w:p w14:paraId="4FE62257" w14:textId="198BC038" w:rsidR="00B57C24" w:rsidRDefault="00B57C24">
      <w:r>
        <w:t>{</w:t>
      </w:r>
      <w:proofErr w:type="spellStart"/>
      <w:r>
        <w:t>ch</w:t>
      </w:r>
      <w:proofErr w:type="spellEnd"/>
      <w:r>
        <w:t>} Pan Says to Boost Southbound Bond Connect Quota to 800b Yuan (1)</w:t>
      </w:r>
      <w:r>
        <w:br/>
      </w:r>
      <w:r>
        <w:br/>
        <w:t xml:space="preserve">Currently at the HK FIC &amp; Bond connect summit where </w:t>
      </w:r>
      <w:proofErr w:type="spellStart"/>
      <w:r>
        <w:t>Pboc</w:t>
      </w:r>
      <w:proofErr w:type="spellEnd"/>
      <w:r>
        <w:t xml:space="preserve"> Chief Pan mentioned various expansion &amp; measures. Notable measures:</w:t>
      </w:r>
      <w:r>
        <w:br/>
        <w:t>+60% increase in southbound bond connect quota</w:t>
      </w:r>
      <w:r>
        <w:br/>
        <w:t xml:space="preserve">2.5x increase in HK's RMB business facility (5x 2025 numbers, 2nd increase this </w:t>
      </w:r>
      <w:proofErr w:type="spellStart"/>
      <w:r>
        <w:t>yr</w:t>
      </w:r>
      <w:proofErr w:type="spellEnd"/>
      <w:r>
        <w:t>)</w:t>
      </w:r>
      <w:r>
        <w:br/>
      </w:r>
      <w:r>
        <w:br/>
        <w:t xml:space="preserve">Bond activities will continue to be a major driver for hedging/derivatives trading with CNH CCS yield curve at decades low. The increase in </w:t>
      </w:r>
      <w:proofErr w:type="spellStart"/>
      <w:r>
        <w:t>Hk</w:t>
      </w:r>
      <w:proofErr w:type="spellEnd"/>
      <w:r>
        <w:t xml:space="preserve"> </w:t>
      </w:r>
      <w:proofErr w:type="spellStart"/>
      <w:r>
        <w:t>rmb</w:t>
      </w:r>
      <w:proofErr w:type="spellEnd"/>
      <w:r>
        <w:t xml:space="preserve"> business facilities will allow participating banks like SCB HK to tap lower cost source of liquidity for Trade Finance, Corporates' capex/working capital - including </w:t>
      </w:r>
      <w:proofErr w:type="spellStart"/>
      <w:r>
        <w:t>corp</w:t>
      </w:r>
      <w:proofErr w:type="spellEnd"/>
      <w:r>
        <w:t xml:space="preserve"> clients of those banks overseas entities in ASEAN, Middle </w:t>
      </w:r>
      <w:proofErr w:type="gramStart"/>
      <w:r>
        <w:t>East</w:t>
      </w:r>
      <w:proofErr w:type="gramEnd"/>
      <w:r>
        <w:t xml:space="preserve"> and Europe </w:t>
      </w:r>
      <w:proofErr w:type="spellStart"/>
      <w:r>
        <w:t>etc</w:t>
      </w:r>
      <w:proofErr w:type="spellEnd"/>
    </w:p>
    <w:p w14:paraId="2159D93F" w14:textId="0EF00282" w:rsidR="00B57C24" w:rsidRDefault="00B57C24"/>
    <w:p w14:paraId="289CE6AE" w14:textId="264A768E" w:rsidR="00B57C24" w:rsidRDefault="00B57C24"/>
    <w:p w14:paraId="11B2FB28" w14:textId="1A59F1A5" w:rsidR="00B57C24" w:rsidRDefault="00B57C24"/>
    <w:p w14:paraId="0797FEB1" w14:textId="421C0BAF" w:rsidR="00B57C24" w:rsidRDefault="00B57C24"/>
    <w:p w14:paraId="48F9091F" w14:textId="77777777" w:rsidR="00B57C24" w:rsidRDefault="00B57C24">
      <w:pPr>
        <w:rPr>
          <w:rFonts w:hint="eastAsia"/>
        </w:rPr>
      </w:pPr>
    </w:p>
    <w:p w14:paraId="7A8BBDA6" w14:textId="14DFCE38" w:rsidR="00B57C24" w:rsidRDefault="00B57C24">
      <w:r>
        <w:t>{</w:t>
      </w:r>
      <w:proofErr w:type="spellStart"/>
      <w:r>
        <w:t>ch</w:t>
      </w:r>
      <w:proofErr w:type="spellEnd"/>
      <w:r>
        <w:t>} RMB</w:t>
      </w:r>
      <w:r>
        <w:br/>
      </w:r>
      <w:r>
        <w:br/>
        <w:t xml:space="preserve">USDCNO: </w:t>
      </w:r>
      <w:r>
        <w:br/>
        <w:t xml:space="preserve">Spot opened with a heavy selling wave down to below 6.79lvl with overnight </w:t>
      </w:r>
      <w:proofErr w:type="spellStart"/>
      <w:r>
        <w:t>dxy</w:t>
      </w:r>
      <w:proofErr w:type="spellEnd"/>
      <w:r>
        <w:t xml:space="preserve"> plunge but saw a wave of buying back to around 6.7950 into lunch hour with global equity sell off. We don't see much client interest this </w:t>
      </w:r>
      <w:proofErr w:type="spellStart"/>
      <w:r>
        <w:t>mng</w:t>
      </w:r>
      <w:proofErr w:type="spellEnd"/>
      <w:r>
        <w:t xml:space="preserve"> and spot range 6.7867-6.7967. </w:t>
      </w:r>
      <w:r>
        <w:br/>
        <w:t>FX swap see buying interest across all tenors with ON TN stayed at about -5/-4.5lvl. Back end 1y traded slightly higher reckon some outright buying interest coming in.</w:t>
      </w:r>
      <w:r>
        <w:br/>
      </w:r>
      <w:r>
        <w:br/>
        <w:t>USDCNH</w:t>
      </w:r>
      <w:r>
        <w:br/>
        <w:t xml:space="preserve">* Fixing lower than mkt expectation and spot opened in heavy tone following onshore and tested 6.79 </w:t>
      </w:r>
      <w:proofErr w:type="spellStart"/>
      <w:r>
        <w:t>lvl</w:t>
      </w:r>
      <w:proofErr w:type="spellEnd"/>
      <w:r>
        <w:t xml:space="preserve">. </w:t>
      </w:r>
      <w:proofErr w:type="gramStart"/>
      <w:r>
        <w:t>However</w:t>
      </w:r>
      <w:proofErr w:type="gramEnd"/>
      <w:r>
        <w:t xml:space="preserve"> this pair soon rebounded back as </w:t>
      </w:r>
      <w:proofErr w:type="spellStart"/>
      <w:r>
        <w:t>dxy</w:t>
      </w:r>
      <w:proofErr w:type="spellEnd"/>
      <w:r>
        <w:t xml:space="preserve"> overall not weak and China equity performance faded in both HSI and A shares. Buyers steadily picked up around 6.79 </w:t>
      </w:r>
      <w:proofErr w:type="spellStart"/>
      <w:r>
        <w:t>lvl</w:t>
      </w:r>
      <w:proofErr w:type="spellEnd"/>
      <w:r>
        <w:t xml:space="preserve"> again with </w:t>
      </w:r>
      <w:proofErr w:type="spellStart"/>
      <w:r>
        <w:t>corp</w:t>
      </w:r>
      <w:proofErr w:type="spellEnd"/>
      <w:r>
        <w:t xml:space="preserve"> names buying dip though size not large. Spot </w:t>
      </w:r>
      <w:proofErr w:type="spellStart"/>
      <w:r>
        <w:t>mng</w:t>
      </w:r>
      <w:proofErr w:type="spellEnd"/>
      <w:r>
        <w:t xml:space="preserve"> range 6.7894-6.7957. </w:t>
      </w:r>
      <w:r>
        <w:br/>
        <w:t xml:space="preserve">* Swap wise, CNH funding still flush with o/n and t/n still trading below -4.5 </w:t>
      </w:r>
      <w:proofErr w:type="spellStart"/>
      <w:r>
        <w:t>ppd</w:t>
      </w:r>
      <w:proofErr w:type="spellEnd"/>
      <w:r>
        <w:t xml:space="preserve"> and lower than onshore </w:t>
      </w:r>
      <w:proofErr w:type="spellStart"/>
      <w:r>
        <w:t>lvl</w:t>
      </w:r>
      <w:proofErr w:type="spellEnd"/>
      <w:r>
        <w:t xml:space="preserve"> again. Front ends opened low accordingly and equity names </w:t>
      </w:r>
      <w:r>
        <w:lastRenderedPageBreak/>
        <w:t xml:space="preserve">were seen buying in light mode when spot rebounded above 6.7940 </w:t>
      </w:r>
      <w:proofErr w:type="spellStart"/>
      <w:r>
        <w:t>lvl</w:t>
      </w:r>
      <w:proofErr w:type="spellEnd"/>
      <w:r>
        <w:t>. Back ends 1y trades in quiet mode around -1785/-1783. Curve steepened.</w:t>
      </w:r>
    </w:p>
    <w:p w14:paraId="68F6F9A8" w14:textId="65D48E87" w:rsidR="00B57C24" w:rsidRDefault="00B57C24"/>
    <w:p w14:paraId="266CAB7C" w14:textId="31FB70BD" w:rsidR="00B57C24" w:rsidRDefault="00B57C24"/>
    <w:p w14:paraId="1620E173" w14:textId="0675A3A4" w:rsidR="00B57C24" w:rsidRDefault="00B57C24"/>
    <w:p w14:paraId="6A137A28" w14:textId="0842377D" w:rsidR="00B57C24" w:rsidRDefault="00B57C24"/>
    <w:p w14:paraId="6F57598D" w14:textId="05135755" w:rsidR="00B57C24" w:rsidRDefault="00B57C24"/>
    <w:p w14:paraId="520A1AF0" w14:textId="32446658" w:rsidR="00B57C24" w:rsidRDefault="00B57C24">
      <w:r>
        <w:t>{</w:t>
      </w:r>
      <w:proofErr w:type="spellStart"/>
      <w:r>
        <w:t>hk</w:t>
      </w:r>
      <w:proofErr w:type="spellEnd"/>
      <w:r>
        <w:t xml:space="preserve">} CNH </w:t>
      </w:r>
      <w:proofErr w:type="spellStart"/>
      <w:r>
        <w:t>OFfshore</w:t>
      </w:r>
      <w:proofErr w:type="spellEnd"/>
      <w:r>
        <w:br/>
      </w:r>
      <w:r>
        <w:br/>
        <w:t xml:space="preserve">Similar to the onshore 7d repo. a regular tender to provide 7d offshore </w:t>
      </w:r>
      <w:proofErr w:type="spellStart"/>
      <w:r>
        <w:t>rmb</w:t>
      </w:r>
      <w:proofErr w:type="spellEnd"/>
      <w:r>
        <w:t xml:space="preserve"> liquidity. however, no details so far. it could be a big development for the offshore </w:t>
      </w:r>
      <w:proofErr w:type="spellStart"/>
      <w:r>
        <w:t>rmb</w:t>
      </w:r>
      <w:proofErr w:type="spellEnd"/>
      <w:r>
        <w:t xml:space="preserve"> market development as there isn't any developed floating rate benchmark for the offshore </w:t>
      </w:r>
      <w:proofErr w:type="spellStart"/>
      <w:r>
        <w:t>rmb</w:t>
      </w:r>
      <w:proofErr w:type="spellEnd"/>
      <w:r>
        <w:t xml:space="preserve"> market yet.</w:t>
      </w:r>
      <w:r>
        <w:br/>
      </w:r>
      <w:r>
        <w:br/>
      </w:r>
      <w:hyperlink r:id="rId4" w:tgtFrame="_blank" w:history="1">
        <w:r>
          <w:rPr>
            <w:rStyle w:val="a3"/>
          </w:rPr>
          <w:t>https://www.hkma.gov.hk/chi/key-functions/money/liquidity-facility-framework/us-dollar-liquidity-facility/</w:t>
        </w:r>
      </w:hyperlink>
      <w:r>
        <w:br/>
      </w:r>
      <w:r>
        <w:br/>
        <w:t>this is the USD liquidity facility from HKMA for ref.</w:t>
      </w:r>
      <w:r>
        <w:br/>
        <w:t>NEWS *HKMA'S YUE: STUDY 7-DAY OFFSHORE YUAN TENDER MECHANISM</w:t>
      </w:r>
    </w:p>
    <w:p w14:paraId="0517078D" w14:textId="5F896DEF" w:rsidR="00B57C24" w:rsidRDefault="00B57C24"/>
    <w:p w14:paraId="364B4F21" w14:textId="02276EA6" w:rsidR="00B57C24" w:rsidRDefault="00B57C24"/>
    <w:p w14:paraId="3DCC789F" w14:textId="683C4CF2" w:rsidR="00B57C24" w:rsidRDefault="00B57C24"/>
    <w:p w14:paraId="6C60C0F2" w14:textId="56D6E65E" w:rsidR="00B57C24" w:rsidRDefault="00B57C24"/>
    <w:p w14:paraId="0D509811" w14:textId="67E67793" w:rsidR="00B57C24" w:rsidRDefault="00B57C24"/>
    <w:p w14:paraId="0F863379" w14:textId="2D431CBF" w:rsidR="00B57C24" w:rsidRDefault="00B57C24">
      <w:r>
        <w:t>{</w:t>
      </w:r>
      <w:proofErr w:type="spellStart"/>
      <w:r>
        <w:t>ch</w:t>
      </w:r>
      <w:proofErr w:type="spellEnd"/>
      <w:r>
        <w:t>} RMB</w:t>
      </w:r>
      <w:r>
        <w:br/>
        <w:t>RESEARCH PBOC Raises Bond Outflow Limit to Counter Yuan Rise Pressure</w:t>
      </w:r>
    </w:p>
    <w:p w14:paraId="02B28A68" w14:textId="1674620B" w:rsidR="00B57C24" w:rsidRDefault="00B57C24"/>
    <w:p w14:paraId="276CD33F" w14:textId="158B14FA" w:rsidR="00B57C24" w:rsidRDefault="00B57C24"/>
    <w:p w14:paraId="13B07EA2" w14:textId="74F6CF16" w:rsidR="00B57C24" w:rsidRDefault="00B57C24"/>
    <w:p w14:paraId="3B736EB6" w14:textId="566B0F5D" w:rsidR="00B57C24" w:rsidRDefault="00B57C24"/>
    <w:p w14:paraId="6439350E" w14:textId="01B544DD" w:rsidR="00B57C24" w:rsidRDefault="00B57C24"/>
    <w:p w14:paraId="792F2965" w14:textId="77777777" w:rsidR="00B57C24" w:rsidRPr="00B57C24" w:rsidRDefault="00B57C24" w:rsidP="00B57C24">
      <w:pPr>
        <w:widowControl/>
        <w:spacing w:after="240"/>
        <w:rPr>
          <w:rFonts w:ascii="新細明體" w:eastAsia="新細明體" w:hAnsi="新細明體" w:cs="新細明體"/>
          <w:kern w:val="0"/>
          <w:szCs w:val="24"/>
        </w:rPr>
      </w:pPr>
      <w:r w:rsidRPr="00B57C24">
        <w:rPr>
          <w:rFonts w:ascii="新細明體" w:eastAsia="新細明體" w:hAnsi="新細明體" w:cs="新細明體"/>
          <w:kern w:val="0"/>
          <w:szCs w:val="24"/>
        </w:rPr>
        <w:t>{</w:t>
      </w:r>
      <w:proofErr w:type="spellStart"/>
      <w:r w:rsidRPr="00B57C24">
        <w:rPr>
          <w:rFonts w:ascii="新細明體" w:eastAsia="新細明體" w:hAnsi="新細明體" w:cs="新細明體"/>
          <w:kern w:val="0"/>
          <w:szCs w:val="24"/>
        </w:rPr>
        <w:t>ch</w:t>
      </w:r>
      <w:proofErr w:type="spellEnd"/>
      <w:r w:rsidRPr="00B57C24">
        <w:rPr>
          <w:rFonts w:ascii="新細明體" w:eastAsia="新細明體" w:hAnsi="新細明體" w:cs="新細明體"/>
          <w:kern w:val="0"/>
          <w:szCs w:val="24"/>
        </w:rPr>
        <w:t>} From Becky Liu - China: Significant expansion on the SBC, RBF, and supporting HK as a global gold hub</w:t>
      </w:r>
      <w:r w:rsidRPr="00B57C24">
        <w:rPr>
          <w:rFonts w:ascii="新細明體" w:eastAsia="新細明體" w:hAnsi="新細明體" w:cs="新細明體"/>
          <w:kern w:val="0"/>
          <w:szCs w:val="24"/>
        </w:rPr>
        <w:br/>
      </w:r>
      <w:r w:rsidRPr="00B57C24">
        <w:rPr>
          <w:rFonts w:ascii="新細明體" w:eastAsia="新細明體" w:hAnsi="新細明體" w:cs="新細明體"/>
          <w:kern w:val="0"/>
          <w:szCs w:val="24"/>
        </w:rPr>
        <w:br/>
        <w:t>Event:</w:t>
      </w:r>
      <w:r w:rsidRPr="00B57C24">
        <w:rPr>
          <w:rFonts w:ascii="新細明體" w:eastAsia="新細明體" w:hAnsi="新細明體" w:cs="新細明體"/>
          <w:kern w:val="0"/>
          <w:szCs w:val="24"/>
        </w:rPr>
        <w:br/>
      </w:r>
      <w:r w:rsidRPr="00B57C24">
        <w:rPr>
          <w:rFonts w:ascii="新細明體" w:eastAsia="新細明體" w:hAnsi="新細明體" w:cs="新細明體"/>
          <w:kern w:val="0"/>
          <w:szCs w:val="24"/>
        </w:rPr>
        <w:br/>
        <w:t>Several new initiatives &amp; expansions were announced at today</w:t>
      </w:r>
      <w:proofErr w:type="gramStart"/>
      <w:r w:rsidRPr="00B57C24">
        <w:rPr>
          <w:rFonts w:ascii="新細明體" w:eastAsia="新細明體" w:hAnsi="新細明體" w:cs="新細明體"/>
          <w:kern w:val="0"/>
          <w:szCs w:val="24"/>
        </w:rPr>
        <w:t>’</w:t>
      </w:r>
      <w:proofErr w:type="gramEnd"/>
      <w:r w:rsidRPr="00B57C24">
        <w:rPr>
          <w:rFonts w:ascii="新細明體" w:eastAsia="新細明體" w:hAnsi="新細明體" w:cs="新細明體"/>
          <w:kern w:val="0"/>
          <w:szCs w:val="24"/>
        </w:rPr>
        <w:t xml:space="preserve">s Hong Kong FIC </w:t>
      </w:r>
      <w:r w:rsidRPr="00B57C24">
        <w:rPr>
          <w:rFonts w:ascii="新細明體" w:eastAsia="新細明體" w:hAnsi="新細明體" w:cs="新細明體"/>
          <w:kern w:val="0"/>
          <w:szCs w:val="24"/>
        </w:rPr>
        <w:lastRenderedPageBreak/>
        <w:t xml:space="preserve">Summit &amp; Bond Connect Forum (Hong Kong FIC &amp; Bond Connect Summit 香港固定收益及貨幣峰會暨債券通論壇).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16D9A994" w14:textId="77777777" w:rsidTr="00B57C24">
        <w:trPr>
          <w:tblCellSpacing w:w="15" w:type="dxa"/>
        </w:trPr>
        <w:tc>
          <w:tcPr>
            <w:tcW w:w="0" w:type="auto"/>
            <w:vAlign w:val="center"/>
            <w:hideMark/>
          </w:tcPr>
          <w:p w14:paraId="2154047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2F3B73E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Annual quota for Southbound Bond Connect (SBC) will be raised to CNY 800bn/annum from CNY 500bn</w:t>
            </w:r>
          </w:p>
        </w:tc>
      </w:tr>
      <w:tr w:rsidR="00B57C24" w:rsidRPr="00B57C24" w14:paraId="74DA41AE" w14:textId="77777777" w:rsidTr="00B57C24">
        <w:trPr>
          <w:tblCellSpacing w:w="15" w:type="dxa"/>
        </w:trPr>
        <w:tc>
          <w:tcPr>
            <w:tcW w:w="0" w:type="auto"/>
            <w:vAlign w:val="center"/>
            <w:hideMark/>
          </w:tcPr>
          <w:p w14:paraId="374B4BA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5EA180E2"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Bonds held under SBC will become eligible collaterals for repo transactions (including bonds denominated in RMB and HKD, also support bonds issued in Macau)</w:t>
            </w:r>
          </w:p>
        </w:tc>
      </w:tr>
      <w:tr w:rsidR="00B57C24" w:rsidRPr="00B57C24" w14:paraId="2E8855BE" w14:textId="77777777" w:rsidTr="00B57C24">
        <w:trPr>
          <w:tblCellSpacing w:w="15" w:type="dxa"/>
        </w:trPr>
        <w:tc>
          <w:tcPr>
            <w:tcW w:w="0" w:type="auto"/>
            <w:vAlign w:val="center"/>
            <w:hideMark/>
          </w:tcPr>
          <w:p w14:paraId="74169968"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2082BE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Previously, SBC’s annual quota stood at CNY 500bn/annum, with a daily cap of CNY 20bn</w:t>
            </w:r>
          </w:p>
        </w:tc>
      </w:tr>
      <w:tr w:rsidR="00B57C24" w:rsidRPr="00B57C24" w14:paraId="02A13311" w14:textId="77777777" w:rsidTr="00B57C24">
        <w:trPr>
          <w:tblCellSpacing w:w="15" w:type="dxa"/>
        </w:trPr>
        <w:tc>
          <w:tcPr>
            <w:tcW w:w="0" w:type="auto"/>
            <w:vAlign w:val="center"/>
            <w:hideMark/>
          </w:tcPr>
          <w:p w14:paraId="3F4E2F4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35791ED9"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Previous announcement: 中国人民银行关于开展内地与香港债券市场互联互通南向合作的通知_国务院部门文件_中国政府网</w:t>
            </w:r>
          </w:p>
        </w:tc>
      </w:tr>
    </w:tbl>
    <w:p w14:paraId="7D30CA8B"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21EE3793" w14:textId="77777777" w:rsidTr="00B57C24">
        <w:trPr>
          <w:tblCellSpacing w:w="15" w:type="dxa"/>
        </w:trPr>
        <w:tc>
          <w:tcPr>
            <w:tcW w:w="0" w:type="auto"/>
            <w:vAlign w:val="center"/>
            <w:hideMark/>
          </w:tcPr>
          <w:p w14:paraId="53D73F9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03B06A6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Hong Kong’s Renminbi Business Facility (RBF) will be expanded to RMB 500bn from RMB 200bn, with max tenor extended to 3 years from 1 year</w:t>
            </w:r>
          </w:p>
        </w:tc>
      </w:tr>
      <w:tr w:rsidR="00B57C24" w:rsidRPr="00B57C24" w14:paraId="497B443D" w14:textId="77777777" w:rsidTr="00B57C24">
        <w:trPr>
          <w:tblCellSpacing w:w="15" w:type="dxa"/>
        </w:trPr>
        <w:tc>
          <w:tcPr>
            <w:tcW w:w="0" w:type="auto"/>
            <w:vAlign w:val="center"/>
            <w:hideMark/>
          </w:tcPr>
          <w:p w14:paraId="4AD6D38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E7E973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The RBF was launched in September 2025 with an initial quota of RMB 100bn, with initial tenor up to 1Y (RMB Business Facility)</w:t>
            </w:r>
          </w:p>
        </w:tc>
      </w:tr>
      <w:tr w:rsidR="00B57C24" w:rsidRPr="00B57C24" w14:paraId="11D11142" w14:textId="77777777" w:rsidTr="00B57C24">
        <w:trPr>
          <w:tblCellSpacing w:w="15" w:type="dxa"/>
        </w:trPr>
        <w:tc>
          <w:tcPr>
            <w:tcW w:w="0" w:type="auto"/>
            <w:vAlign w:val="center"/>
            <w:hideMark/>
          </w:tcPr>
          <w:p w14:paraId="18F5A14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239788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The quota was rapidly depleted, and this scheme was announced to expand to RMB 200bn in Jan 2026</w:t>
            </w:r>
          </w:p>
        </w:tc>
      </w:tr>
    </w:tbl>
    <w:p w14:paraId="1C8FD863"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7F5E07CC" w14:textId="77777777" w:rsidTr="00B57C24">
        <w:trPr>
          <w:tblCellSpacing w:w="15" w:type="dxa"/>
        </w:trPr>
        <w:tc>
          <w:tcPr>
            <w:tcW w:w="0" w:type="auto"/>
            <w:vAlign w:val="center"/>
            <w:hideMark/>
          </w:tcPr>
          <w:p w14:paraId="556D0569"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527576D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Building HK as an international gold trading, clearing and reserve hub</w:t>
            </w:r>
          </w:p>
        </w:tc>
      </w:tr>
      <w:tr w:rsidR="00B57C24" w:rsidRPr="00B57C24" w14:paraId="29520088" w14:textId="77777777" w:rsidTr="00B57C24">
        <w:trPr>
          <w:tblCellSpacing w:w="15" w:type="dxa"/>
        </w:trPr>
        <w:tc>
          <w:tcPr>
            <w:tcW w:w="0" w:type="auto"/>
            <w:vAlign w:val="center"/>
            <w:hideMark/>
          </w:tcPr>
          <w:p w14:paraId="555E258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7D3899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Hong Kong’s new Gold Central Clearing and Settlement System has started trial operation, with first deposits, trades and settlements already completed</w:t>
            </w:r>
          </w:p>
        </w:tc>
      </w:tr>
      <w:tr w:rsidR="00B57C24" w:rsidRPr="00B57C24" w14:paraId="61F56F25" w14:textId="77777777" w:rsidTr="00B57C24">
        <w:trPr>
          <w:tblCellSpacing w:w="15" w:type="dxa"/>
        </w:trPr>
        <w:tc>
          <w:tcPr>
            <w:tcW w:w="0" w:type="auto"/>
            <w:vAlign w:val="center"/>
            <w:hideMark/>
          </w:tcPr>
          <w:p w14:paraId="49EB2E5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5E5E47C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HK–Shanghai gold-market connectivity has begun via the first phase of physical “Delivery Connect”, allowing two-way transfer between the HK and Shanghai</w:t>
            </w:r>
          </w:p>
        </w:tc>
      </w:tr>
      <w:tr w:rsidR="00B57C24" w:rsidRPr="00B57C24" w14:paraId="2AC11E6C" w14:textId="77777777" w:rsidTr="00B57C24">
        <w:trPr>
          <w:tblCellSpacing w:w="15" w:type="dxa"/>
        </w:trPr>
        <w:tc>
          <w:tcPr>
            <w:tcW w:w="0" w:type="auto"/>
            <w:vAlign w:val="center"/>
            <w:hideMark/>
          </w:tcPr>
          <w:p w14:paraId="1FB5B8F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98552A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A new HAU price ticker was launched today to provide a Hong Kong-specific reference rate for gold; The ticker is now accessible on Bloomberg (HAU </w:t>
            </w:r>
            <w:proofErr w:type="spellStart"/>
            <w:r w:rsidRPr="00B57C24">
              <w:rPr>
                <w:rFonts w:ascii="新細明體" w:eastAsia="新細明體" w:hAnsi="新細明體" w:cs="新細明體"/>
                <w:kern w:val="0"/>
                <w:szCs w:val="24"/>
              </w:rPr>
              <w:t>Curncy</w:t>
            </w:r>
            <w:proofErr w:type="spellEnd"/>
            <w:r w:rsidRPr="00B57C24">
              <w:rPr>
                <w:rFonts w:ascii="新細明體" w:eastAsia="新細明體" w:hAnsi="新細明體" w:cs="新細明體"/>
                <w:kern w:val="0"/>
                <w:szCs w:val="24"/>
              </w:rPr>
              <w:t>) and London Stock Exchange Group platforms for market reference</w:t>
            </w:r>
          </w:p>
        </w:tc>
      </w:tr>
      <w:tr w:rsidR="00B57C24" w:rsidRPr="00B57C24" w14:paraId="4074C9D2" w14:textId="77777777" w:rsidTr="00B57C24">
        <w:trPr>
          <w:tblCellSpacing w:w="15" w:type="dxa"/>
        </w:trPr>
        <w:tc>
          <w:tcPr>
            <w:tcW w:w="0" w:type="auto"/>
            <w:vAlign w:val="center"/>
            <w:hideMark/>
          </w:tcPr>
          <w:p w14:paraId="4DB8E6D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497C4BC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Started to build Hong Kong’s gold storage capacity, targeting over 2000 </w:t>
            </w:r>
            <w:proofErr w:type="spellStart"/>
            <w:r w:rsidRPr="00B57C24">
              <w:rPr>
                <w:rFonts w:ascii="新細明體" w:eastAsia="新細明體" w:hAnsi="新細明體" w:cs="新細明體"/>
                <w:kern w:val="0"/>
                <w:szCs w:val="24"/>
              </w:rPr>
              <w:t>tonnes</w:t>
            </w:r>
            <w:proofErr w:type="spellEnd"/>
            <w:r w:rsidRPr="00B57C24">
              <w:rPr>
                <w:rFonts w:ascii="新細明體" w:eastAsia="新細明體" w:hAnsi="新細明體" w:cs="新細明體"/>
                <w:kern w:val="0"/>
                <w:szCs w:val="24"/>
              </w:rPr>
              <w:t xml:space="preserve"> within 3-years (as noted in the 2025 Policy Address)</w:t>
            </w:r>
          </w:p>
        </w:tc>
      </w:tr>
      <w:tr w:rsidR="00B57C24" w:rsidRPr="00B57C24" w14:paraId="571C7DE3" w14:textId="77777777" w:rsidTr="00B57C24">
        <w:trPr>
          <w:tblCellSpacing w:w="15" w:type="dxa"/>
        </w:trPr>
        <w:tc>
          <w:tcPr>
            <w:tcW w:w="0" w:type="auto"/>
            <w:vAlign w:val="center"/>
            <w:hideMark/>
          </w:tcPr>
          <w:p w14:paraId="5B6F48AA"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5743979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Studying potential tax benefit to trade precious metals in Hong Kong for eligible institutions</w:t>
            </w:r>
          </w:p>
        </w:tc>
      </w:tr>
      <w:tr w:rsidR="00B57C24" w:rsidRPr="00B57C24" w14:paraId="4BC169C3" w14:textId="77777777" w:rsidTr="00B57C24">
        <w:trPr>
          <w:tblCellSpacing w:w="15" w:type="dxa"/>
        </w:trPr>
        <w:tc>
          <w:tcPr>
            <w:tcW w:w="0" w:type="auto"/>
            <w:vAlign w:val="center"/>
            <w:hideMark/>
          </w:tcPr>
          <w:p w14:paraId="7B16401C"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FA6596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Link to announcement: Hong Kong's gold central clearing and settlement system commences trial operation today supported by full package of targeted initiatives (with photos)</w:t>
            </w:r>
          </w:p>
        </w:tc>
      </w:tr>
      <w:tr w:rsidR="00B57C24" w:rsidRPr="00B57C24" w14:paraId="529CC99A" w14:textId="77777777" w:rsidTr="00B57C24">
        <w:trPr>
          <w:tblCellSpacing w:w="15" w:type="dxa"/>
        </w:trPr>
        <w:tc>
          <w:tcPr>
            <w:tcW w:w="0" w:type="auto"/>
            <w:vAlign w:val="center"/>
            <w:hideMark/>
          </w:tcPr>
          <w:p w14:paraId="56033C6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5530F7BC"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Potential new offshore 7-day liquidity facility provided by HKMA</w:t>
            </w:r>
          </w:p>
        </w:tc>
      </w:tr>
      <w:tr w:rsidR="00B57C24" w:rsidRPr="00B57C24" w14:paraId="32A8C033" w14:textId="77777777" w:rsidTr="00B57C24">
        <w:trPr>
          <w:tblCellSpacing w:w="15" w:type="dxa"/>
        </w:trPr>
        <w:tc>
          <w:tcPr>
            <w:tcW w:w="0" w:type="auto"/>
            <w:vAlign w:val="center"/>
            <w:hideMark/>
          </w:tcPr>
          <w:p w14:paraId="63EEFEC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lastRenderedPageBreak/>
              <w:t>o</w:t>
            </w:r>
          </w:p>
        </w:tc>
        <w:tc>
          <w:tcPr>
            <w:tcW w:w="0" w:type="auto"/>
            <w:vAlign w:val="center"/>
            <w:hideMark/>
          </w:tcPr>
          <w:p w14:paraId="62B0C5FF"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HKMA is studying a new bidding mechanism to providing offshore RMB of 7-day in tenor, according to HKMA’s chief executive Eddie Yue</w:t>
            </w:r>
          </w:p>
        </w:tc>
      </w:tr>
      <w:tr w:rsidR="00B57C24" w:rsidRPr="00B57C24" w14:paraId="2966261E" w14:textId="77777777" w:rsidTr="00B57C24">
        <w:trPr>
          <w:tblCellSpacing w:w="15" w:type="dxa"/>
        </w:trPr>
        <w:tc>
          <w:tcPr>
            <w:tcW w:w="0" w:type="auto"/>
            <w:vAlign w:val="center"/>
            <w:hideMark/>
          </w:tcPr>
          <w:p w14:paraId="0EE221F9"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43DFED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The aim is to add a channel to meet short-term offshore RMB demand</w:t>
            </w:r>
          </w:p>
        </w:tc>
      </w:tr>
      <w:tr w:rsidR="00B57C24" w:rsidRPr="00B57C24" w14:paraId="5D1BAC7C" w14:textId="77777777" w:rsidTr="00B57C24">
        <w:trPr>
          <w:tblCellSpacing w:w="15" w:type="dxa"/>
        </w:trPr>
        <w:tc>
          <w:tcPr>
            <w:tcW w:w="0" w:type="auto"/>
            <w:vAlign w:val="center"/>
            <w:hideMark/>
          </w:tcPr>
          <w:p w14:paraId="4ED1269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48C23297"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HKMA is also studying potential issuance of short-term RMB debt instruments to improve the CNH’s interest rate curve and provide more high-quality liquidity management products</w:t>
            </w:r>
          </w:p>
        </w:tc>
      </w:tr>
    </w:tbl>
    <w:p w14:paraId="09B504E4"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192"/>
      </w:tblGrid>
      <w:tr w:rsidR="00B57C24" w:rsidRPr="00B57C24" w14:paraId="13C0E066" w14:textId="77777777" w:rsidTr="00B57C24">
        <w:trPr>
          <w:tblCellSpacing w:w="15" w:type="dxa"/>
        </w:trPr>
        <w:tc>
          <w:tcPr>
            <w:tcW w:w="0" w:type="auto"/>
            <w:vAlign w:val="center"/>
            <w:hideMark/>
          </w:tcPr>
          <w:p w14:paraId="00894B4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2E19182A"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development of offshore RMB bond market</w:t>
            </w:r>
          </w:p>
        </w:tc>
      </w:tr>
      <w:tr w:rsidR="00B57C24" w:rsidRPr="00B57C24" w14:paraId="7D9E5C43" w14:textId="77777777" w:rsidTr="00B57C24">
        <w:trPr>
          <w:tblCellSpacing w:w="15" w:type="dxa"/>
        </w:trPr>
        <w:tc>
          <w:tcPr>
            <w:tcW w:w="0" w:type="auto"/>
            <w:vAlign w:val="center"/>
            <w:hideMark/>
          </w:tcPr>
          <w:p w14:paraId="696D5F90"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3F809D8"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Support regular issuance of </w:t>
            </w:r>
            <w:proofErr w:type="spellStart"/>
            <w:r w:rsidRPr="00B57C24">
              <w:rPr>
                <w:rFonts w:ascii="新細明體" w:eastAsia="新細明體" w:hAnsi="新細明體" w:cs="新細明體"/>
                <w:kern w:val="0"/>
                <w:szCs w:val="24"/>
              </w:rPr>
              <w:t>PBoC</w:t>
            </w:r>
            <w:proofErr w:type="spellEnd"/>
            <w:r w:rsidRPr="00B57C24">
              <w:rPr>
                <w:rFonts w:ascii="新細明體" w:eastAsia="新細明體" w:hAnsi="新細明體" w:cs="新細明體"/>
                <w:kern w:val="0"/>
                <w:szCs w:val="24"/>
              </w:rPr>
              <w:t xml:space="preserve"> bills (支持在香港常態化發行央行票據)</w:t>
            </w:r>
          </w:p>
        </w:tc>
      </w:tr>
      <w:tr w:rsidR="00B57C24" w:rsidRPr="00B57C24" w14:paraId="69D51C97" w14:textId="77777777" w:rsidTr="00B57C24">
        <w:trPr>
          <w:tblCellSpacing w:w="15" w:type="dxa"/>
        </w:trPr>
        <w:tc>
          <w:tcPr>
            <w:tcW w:w="0" w:type="auto"/>
            <w:vAlign w:val="center"/>
            <w:hideMark/>
          </w:tcPr>
          <w:p w14:paraId="3F466A67"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0B6CD932"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Expanding the scope of offshore RMB bonds as eligible collateral</w:t>
            </w:r>
          </w:p>
        </w:tc>
      </w:tr>
    </w:tbl>
    <w:p w14:paraId="2FB6CD5C"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598135B4" w14:textId="77777777" w:rsidTr="00B57C24">
        <w:trPr>
          <w:tblCellSpacing w:w="15" w:type="dxa"/>
        </w:trPr>
        <w:tc>
          <w:tcPr>
            <w:tcW w:w="0" w:type="auto"/>
            <w:vAlign w:val="center"/>
            <w:hideMark/>
          </w:tcPr>
          <w:p w14:paraId="12F1099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440A4837"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diversified financial market developments in Hong Kong</w:t>
            </w:r>
          </w:p>
        </w:tc>
      </w:tr>
      <w:tr w:rsidR="00B57C24" w:rsidRPr="00B57C24" w14:paraId="44673F54" w14:textId="77777777" w:rsidTr="00B57C24">
        <w:trPr>
          <w:tblCellSpacing w:w="15" w:type="dxa"/>
        </w:trPr>
        <w:tc>
          <w:tcPr>
            <w:tcW w:w="0" w:type="auto"/>
            <w:vAlign w:val="center"/>
            <w:hideMark/>
          </w:tcPr>
          <w:p w14:paraId="4CF61E6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8F9DB8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Continue to raise China’s FX reserves allocation in Hong Kong</w:t>
            </w:r>
          </w:p>
        </w:tc>
      </w:tr>
      <w:tr w:rsidR="00B57C24" w:rsidRPr="00B57C24" w14:paraId="05758EE8" w14:textId="77777777" w:rsidTr="00B57C24">
        <w:trPr>
          <w:tblCellSpacing w:w="15" w:type="dxa"/>
        </w:trPr>
        <w:tc>
          <w:tcPr>
            <w:tcW w:w="0" w:type="auto"/>
            <w:vAlign w:val="center"/>
            <w:hideMark/>
          </w:tcPr>
          <w:p w14:paraId="47F5545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9B0FA0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more commodities settlements in RMB</w:t>
            </w:r>
          </w:p>
        </w:tc>
      </w:tr>
      <w:tr w:rsidR="00B57C24" w:rsidRPr="00B57C24" w14:paraId="14BC5A0A" w14:textId="77777777" w:rsidTr="00B57C24">
        <w:trPr>
          <w:tblCellSpacing w:w="15" w:type="dxa"/>
        </w:trPr>
        <w:tc>
          <w:tcPr>
            <w:tcW w:w="0" w:type="auto"/>
            <w:vAlign w:val="center"/>
            <w:hideMark/>
          </w:tcPr>
          <w:p w14:paraId="09F8070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0B31E8C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more high-quality corporates to be listed and to issue bonds in Hong Kong</w:t>
            </w:r>
          </w:p>
        </w:tc>
      </w:tr>
      <w:tr w:rsidR="00B57C24" w:rsidRPr="00B57C24" w14:paraId="6A03A406" w14:textId="77777777" w:rsidTr="00B57C24">
        <w:trPr>
          <w:tblCellSpacing w:w="15" w:type="dxa"/>
        </w:trPr>
        <w:tc>
          <w:tcPr>
            <w:tcW w:w="0" w:type="auto"/>
            <w:vAlign w:val="center"/>
            <w:hideMark/>
          </w:tcPr>
          <w:p w14:paraId="18D6DE2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0614E0E0"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Support the launch of CGB futures market in Hong Kong – previously reported, see details attached. </w:t>
            </w:r>
          </w:p>
        </w:tc>
      </w:tr>
    </w:tbl>
    <w:p w14:paraId="221F7F8B" w14:textId="28B8724B" w:rsidR="00B57C24" w:rsidRDefault="00B57C24"/>
    <w:p w14:paraId="4705613E" w14:textId="347051A1" w:rsidR="00B57C24" w:rsidRDefault="00B57C24"/>
    <w:p w14:paraId="53F8599D" w14:textId="7992CADA" w:rsidR="00B57C24" w:rsidRDefault="00B57C24"/>
    <w:p w14:paraId="0F7CFFD7" w14:textId="496F8B49" w:rsidR="00B57C24" w:rsidRDefault="00B57C24"/>
    <w:p w14:paraId="573F417D" w14:textId="30C04DAD" w:rsidR="00B57C24" w:rsidRDefault="00B57C24"/>
    <w:p w14:paraId="5C70A396" w14:textId="6840A51B" w:rsidR="00B57C24" w:rsidRDefault="00B57C24"/>
    <w:p w14:paraId="130AE111" w14:textId="76CB33EC" w:rsidR="00B57C24" w:rsidRPr="00B57C24" w:rsidRDefault="00B57C24">
      <w:pPr>
        <w:rPr>
          <w:rFonts w:hint="eastAsia"/>
        </w:rPr>
      </w:pPr>
      <w:r>
        <w:rPr>
          <w:rStyle w:val="a4"/>
        </w:rPr>
        <w:t xml:space="preserve">To </w:t>
      </w:r>
      <w:proofErr w:type="spellStart"/>
      <w:r>
        <w:rPr>
          <w:rStyle w:val="a4"/>
        </w:rPr>
        <w:t>summarise</w:t>
      </w:r>
      <w:proofErr w:type="spellEnd"/>
      <w:r>
        <w:rPr>
          <w:rStyle w:val="a4"/>
        </w:rPr>
        <w:t xml:space="preserve">, these are important step-forward to promote the RMB’s global usage. We </w:t>
      </w:r>
      <w:proofErr w:type="spellStart"/>
      <w:r>
        <w:rPr>
          <w:rStyle w:val="a4"/>
        </w:rPr>
        <w:t>exepct</w:t>
      </w:r>
      <w:proofErr w:type="spellEnd"/>
      <w:r>
        <w:rPr>
          <w:rStyle w:val="a4"/>
        </w:rPr>
        <w:t xml:space="preserve"> more details to be released in recent days, and more measures to be announced in H2. Such measures will likely lead to less volatile CNH liquidity conditions, lower CNH rates towards onshore rates, a sharp rise of offshore RMB financing activities including both bonds and loans, and a </w:t>
      </w:r>
      <w:proofErr w:type="spellStart"/>
      <w:r>
        <w:rPr>
          <w:rStyle w:val="a4"/>
        </w:rPr>
        <w:t>substnatial</w:t>
      </w:r>
      <w:proofErr w:type="spellEnd"/>
      <w:r>
        <w:rPr>
          <w:rStyle w:val="a4"/>
        </w:rPr>
        <w:t xml:space="preserve"> rise of onshore bids to the offshore Dim Sum bond and HKD bond markets. The likely </w:t>
      </w:r>
      <w:proofErr w:type="spellStart"/>
      <w:r>
        <w:rPr>
          <w:rStyle w:val="a4"/>
        </w:rPr>
        <w:t>regualr</w:t>
      </w:r>
      <w:proofErr w:type="spellEnd"/>
      <w:r>
        <w:rPr>
          <w:rStyle w:val="a4"/>
        </w:rPr>
        <w:t xml:space="preserve"> and more </w:t>
      </w:r>
      <w:proofErr w:type="spellStart"/>
      <w:r>
        <w:rPr>
          <w:rStyle w:val="a4"/>
        </w:rPr>
        <w:t>frquent</w:t>
      </w:r>
      <w:proofErr w:type="spellEnd"/>
      <w:r>
        <w:rPr>
          <w:rStyle w:val="a4"/>
        </w:rPr>
        <w:t xml:space="preserve"> issuance of </w:t>
      </w:r>
      <w:proofErr w:type="spellStart"/>
      <w:r>
        <w:rPr>
          <w:rStyle w:val="a4"/>
        </w:rPr>
        <w:t>PBoC</w:t>
      </w:r>
      <w:proofErr w:type="spellEnd"/>
      <w:r>
        <w:rPr>
          <w:rStyle w:val="a4"/>
        </w:rPr>
        <w:t xml:space="preserve"> bills, and other short-term HKMA instruments, may lay the ground for more CNH financial product launches including the likes of MMFs. The rise of financial activities will also likely lead to more active trading and </w:t>
      </w:r>
      <w:proofErr w:type="spellStart"/>
      <w:r>
        <w:rPr>
          <w:rStyle w:val="a4"/>
        </w:rPr>
        <w:t>utilisation</w:t>
      </w:r>
      <w:proofErr w:type="spellEnd"/>
      <w:r>
        <w:rPr>
          <w:rStyle w:val="a4"/>
        </w:rPr>
        <w:t xml:space="preserve"> of various CNH derivatives such as CCS and IRS. We see CNH rates falling further at pace likely faster than onshore rates, while limited implication to the CNY.</w:t>
      </w:r>
    </w:p>
    <w:sectPr w:rsidR="00B57C24" w:rsidRPr="00B57C2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24"/>
    <w:rsid w:val="00B57C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7DE9"/>
  <w15:chartTrackingRefBased/>
  <w15:docId w15:val="{59E97BD8-ACA0-429B-8348-BF678DC4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57C24"/>
    <w:rPr>
      <w:color w:val="0000FF"/>
      <w:u w:val="single"/>
    </w:rPr>
  </w:style>
  <w:style w:type="character" w:styleId="a4">
    <w:name w:val="Strong"/>
    <w:basedOn w:val="a0"/>
    <w:uiPriority w:val="22"/>
    <w:qFormat/>
    <w:rsid w:val="00B57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41458">
      <w:bodyDiv w:val="1"/>
      <w:marLeft w:val="0"/>
      <w:marRight w:val="0"/>
      <w:marTop w:val="0"/>
      <w:marBottom w:val="0"/>
      <w:divBdr>
        <w:top w:val="none" w:sz="0" w:space="0" w:color="auto"/>
        <w:left w:val="none" w:sz="0" w:space="0" w:color="auto"/>
        <w:bottom w:val="none" w:sz="0" w:space="0" w:color="auto"/>
        <w:right w:val="none" w:sz="0" w:space="0" w:color="auto"/>
      </w:divBdr>
      <w:divsChild>
        <w:div w:id="1975018105">
          <w:marLeft w:val="0"/>
          <w:marRight w:val="0"/>
          <w:marTop w:val="0"/>
          <w:marBottom w:val="0"/>
          <w:divBdr>
            <w:top w:val="none" w:sz="0" w:space="0" w:color="auto"/>
            <w:left w:val="none" w:sz="0" w:space="0" w:color="auto"/>
            <w:bottom w:val="none" w:sz="0" w:space="0" w:color="auto"/>
            <w:right w:val="none" w:sz="0" w:space="0" w:color="auto"/>
          </w:divBdr>
          <w:divsChild>
            <w:div w:id="1746948502">
              <w:marLeft w:val="0"/>
              <w:marRight w:val="0"/>
              <w:marTop w:val="0"/>
              <w:marBottom w:val="0"/>
              <w:divBdr>
                <w:top w:val="none" w:sz="0" w:space="0" w:color="auto"/>
                <w:left w:val="none" w:sz="0" w:space="0" w:color="auto"/>
                <w:bottom w:val="none" w:sz="0" w:space="0" w:color="auto"/>
                <w:right w:val="none" w:sz="0" w:space="0" w:color="auto"/>
              </w:divBdr>
            </w:div>
          </w:divsChild>
        </w:div>
        <w:div w:id="1602374147">
          <w:marLeft w:val="0"/>
          <w:marRight w:val="0"/>
          <w:marTop w:val="0"/>
          <w:marBottom w:val="0"/>
          <w:divBdr>
            <w:top w:val="none" w:sz="0" w:space="0" w:color="auto"/>
            <w:left w:val="none" w:sz="0" w:space="0" w:color="auto"/>
            <w:bottom w:val="none" w:sz="0" w:space="0" w:color="auto"/>
            <w:right w:val="none" w:sz="0" w:space="0" w:color="auto"/>
          </w:divBdr>
          <w:divsChild>
            <w:div w:id="390617984">
              <w:marLeft w:val="0"/>
              <w:marRight w:val="0"/>
              <w:marTop w:val="0"/>
              <w:marBottom w:val="0"/>
              <w:divBdr>
                <w:top w:val="none" w:sz="0" w:space="0" w:color="auto"/>
                <w:left w:val="none" w:sz="0" w:space="0" w:color="auto"/>
                <w:bottom w:val="none" w:sz="0" w:space="0" w:color="auto"/>
                <w:right w:val="none" w:sz="0" w:space="0" w:color="auto"/>
              </w:divBdr>
            </w:div>
          </w:divsChild>
        </w:div>
        <w:div w:id="1719090099">
          <w:marLeft w:val="0"/>
          <w:marRight w:val="0"/>
          <w:marTop w:val="0"/>
          <w:marBottom w:val="0"/>
          <w:divBdr>
            <w:top w:val="none" w:sz="0" w:space="0" w:color="auto"/>
            <w:left w:val="none" w:sz="0" w:space="0" w:color="auto"/>
            <w:bottom w:val="none" w:sz="0" w:space="0" w:color="auto"/>
            <w:right w:val="none" w:sz="0" w:space="0" w:color="auto"/>
          </w:divBdr>
          <w:divsChild>
            <w:div w:id="893202982">
              <w:marLeft w:val="0"/>
              <w:marRight w:val="0"/>
              <w:marTop w:val="0"/>
              <w:marBottom w:val="0"/>
              <w:divBdr>
                <w:top w:val="none" w:sz="0" w:space="0" w:color="auto"/>
                <w:left w:val="none" w:sz="0" w:space="0" w:color="auto"/>
                <w:bottom w:val="none" w:sz="0" w:space="0" w:color="auto"/>
                <w:right w:val="none" w:sz="0" w:space="0" w:color="auto"/>
              </w:divBdr>
            </w:div>
          </w:divsChild>
        </w:div>
        <w:div w:id="1902904237">
          <w:marLeft w:val="0"/>
          <w:marRight w:val="0"/>
          <w:marTop w:val="0"/>
          <w:marBottom w:val="0"/>
          <w:divBdr>
            <w:top w:val="none" w:sz="0" w:space="0" w:color="auto"/>
            <w:left w:val="none" w:sz="0" w:space="0" w:color="auto"/>
            <w:bottom w:val="none" w:sz="0" w:space="0" w:color="auto"/>
            <w:right w:val="none" w:sz="0" w:space="0" w:color="auto"/>
          </w:divBdr>
          <w:divsChild>
            <w:div w:id="2007896905">
              <w:marLeft w:val="0"/>
              <w:marRight w:val="0"/>
              <w:marTop w:val="0"/>
              <w:marBottom w:val="0"/>
              <w:divBdr>
                <w:top w:val="none" w:sz="0" w:space="0" w:color="auto"/>
                <w:left w:val="none" w:sz="0" w:space="0" w:color="auto"/>
                <w:bottom w:val="none" w:sz="0" w:space="0" w:color="auto"/>
                <w:right w:val="none" w:sz="0" w:space="0" w:color="auto"/>
              </w:divBdr>
            </w:div>
          </w:divsChild>
        </w:div>
        <w:div w:id="854151784">
          <w:marLeft w:val="0"/>
          <w:marRight w:val="0"/>
          <w:marTop w:val="0"/>
          <w:marBottom w:val="0"/>
          <w:divBdr>
            <w:top w:val="none" w:sz="0" w:space="0" w:color="auto"/>
            <w:left w:val="none" w:sz="0" w:space="0" w:color="auto"/>
            <w:bottom w:val="none" w:sz="0" w:space="0" w:color="auto"/>
            <w:right w:val="none" w:sz="0" w:space="0" w:color="auto"/>
          </w:divBdr>
          <w:divsChild>
            <w:div w:id="16973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kma.gov.hk/chi/key-functions/money/liquidity-facility-framework/us-dollar-liquidity-facility/"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983</Words>
  <Characters>5607</Characters>
  <Application>Microsoft Office Word</Application>
  <DocSecurity>0</DocSecurity>
  <Lines>46</Lines>
  <Paragraphs>13</Paragraphs>
  <ScaleCrop>false</ScaleCrop>
  <Company>Taishin International Bank</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王信閎</dc:creator>
  <cp:keywords/>
  <dc:description/>
  <cp:lastModifiedBy>王信閎</cp:lastModifiedBy>
  <cp:revision>1</cp:revision>
  <dcterms:created xsi:type="dcterms:W3CDTF">2026-07-20T01:56:00Z</dcterms:created>
  <dcterms:modified xsi:type="dcterms:W3CDTF">2026-07-20T02:00:00Z</dcterms:modified>
</cp:coreProperties>
</file>