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/>
          <w:lang w:eastAsia="zh-TW"/>
        </w:rPr>
      </w:pPr>
      <w:bookmarkStart w:id="0" w:name="_GoBack"/>
      <w:bookmarkEnd w:id="0"/>
      <w:r>
        <w:rPr>
          <w:rFonts w:hint="eastAsia"/>
        </w:rPr>
        <w:t>政策意圖是提升銀行做市與附買回中介能力、改善流動性並在發債激增背景下吸收供給</w:t>
      </w:r>
      <w:r>
        <w:rPr>
          <w:rFonts w:hint="eastAsia"/>
          <w:lang w:eastAsia="zh-TW"/>
        </w:rPr>
        <w:t>，但多數官方分析(含 Fed 內部研究)認為效果預計為漸進累積而非立即顯現。</w:t>
      </w:r>
    </w:p>
    <w:p>
      <w:pPr>
        <w:rPr>
          <w:rFonts w:hint="eastAsia"/>
          <w:lang w:eastAsia="zh-TW"/>
        </w:rPr>
      </w:pPr>
    </w:p>
    <w:p>
      <w:pPr>
        <w:rPr>
          <w:rFonts w:hint="eastAsia"/>
          <w:lang w:eastAsia="zh-TW"/>
        </w:rPr>
      </w:pP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⽽根據 2020 年放寬 SLR 規則的歷史經驗以及波士頓聯準銀行的研究，當時的 MOVE 指數 也確實在規則修改後明顯被壓抑在低檔，預計本次改⾰也有望能夠增加銀⾏於債市的參與程度，達到改善流動性、 壓低債市波動度的⽬標。</w:t>
      </w:r>
    </w:p>
    <w:p>
      <w:pPr>
        <w:rPr>
          <w:rFonts w:hint="eastAsia"/>
          <w:lang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JPM：SLR鬆綁整體上應有助於長期美國公債市場流動性，並能降低資金環境大幅收緊的可能性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603A8A"/>
    <w:rsid w:val="0B872FB3"/>
    <w:rsid w:val="44603A8A"/>
    <w:rsid w:val="47F4362E"/>
    <w:rsid w:val="6A8C5349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2026-06-28T14:36:00Z</dcterms:created>
  <dc:creator>user</dc:creator>
  <cp:lastModifiedBy>user</cp:lastModifiedBy>
  <dcterms:modified xsi:type="dcterms:W3CDTF">2026-06-28T20:39:26Z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