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235" w:rsidRDefault="00942235">
      <w:pPr>
        <w:rPr>
          <w:rFonts w:ascii="新細明體" w:hAnsi="新細明體"/>
        </w:rPr>
      </w:pPr>
    </w:p>
    <w:p w:rsidR="00E23229" w:rsidRDefault="0007076A">
      <w:pPr>
        <w:rPr>
          <w:rFonts w:ascii="新細明體" w:hAnsi="新細明體"/>
        </w:rPr>
      </w:pPr>
      <w:r>
        <w:rPr>
          <w:rFonts w:ascii="新細明體" w:hAnsi="新細明體"/>
        </w:rPr>
        <w:t>金管會銀行局</w:t>
      </w:r>
      <w:r w:rsidR="00E23229">
        <w:rPr>
          <w:rFonts w:ascii="新細明體" w:hAnsi="新細明體"/>
        </w:rPr>
        <w:t>法規：</w:t>
      </w:r>
      <w:r w:rsidR="00E23229">
        <w:rPr>
          <w:rFonts w:ascii="新細明體" w:hAnsi="新細明體"/>
        </w:rPr>
        <w:tab/>
      </w:r>
      <w:r w:rsidR="00E23229" w:rsidRPr="00E23229">
        <w:rPr>
          <w:rFonts w:ascii="新細明體" w:hAnsi="新細明體" w:hint="eastAsia"/>
        </w:rPr>
        <w:t>銀行資本適足性及資本等級管理辦法</w:t>
      </w:r>
      <w:r w:rsidR="00E23229">
        <w:rPr>
          <w:rFonts w:ascii="新細明體" w:hAnsi="新細明體" w:hint="eastAsia"/>
        </w:rPr>
        <w:t>；</w:t>
      </w:r>
    </w:p>
    <w:p w:rsidR="00E23229" w:rsidRDefault="00E23229" w:rsidP="00E23229">
      <w:pPr>
        <w:ind w:left="1920" w:firstLine="480"/>
        <w:rPr>
          <w:rFonts w:ascii="新細明體" w:hAnsi="新細明體"/>
        </w:rPr>
      </w:pPr>
      <w:r w:rsidRPr="00E23229">
        <w:rPr>
          <w:rFonts w:ascii="新細明體" w:hAnsi="新細明體" w:hint="eastAsia"/>
        </w:rPr>
        <w:t>第二部分  信用風險標準法及內部評等法</w:t>
      </w:r>
      <w:r>
        <w:rPr>
          <w:rFonts w:ascii="新細明體" w:hAnsi="新細明體" w:hint="eastAsia"/>
        </w:rPr>
        <w:t>；</w:t>
      </w:r>
    </w:p>
    <w:p w:rsidR="003F1A2F" w:rsidRDefault="00E23229" w:rsidP="00E23229">
      <w:pPr>
        <w:ind w:left="1920" w:firstLine="480"/>
        <w:rPr>
          <w:rFonts w:ascii="新細明體" w:hAnsi="新細明體"/>
        </w:rPr>
      </w:pPr>
      <w:r w:rsidRPr="00E23229">
        <w:rPr>
          <w:rFonts w:ascii="新細明體" w:hAnsi="新細明體" w:hint="eastAsia"/>
        </w:rPr>
        <w:t>合格外部信用評等公司之評等對照</w:t>
      </w:r>
      <w:r>
        <w:rPr>
          <w:rFonts w:ascii="新細明體" w:hAnsi="新細明體" w:hint="eastAsia"/>
        </w:rPr>
        <w:t>；</w:t>
      </w:r>
    </w:p>
    <w:p w:rsidR="00F928A7" w:rsidRDefault="00F928A7" w:rsidP="00E23229">
      <w:pPr>
        <w:ind w:left="1920" w:firstLine="480"/>
        <w:rPr>
          <w:rFonts w:ascii="新細明體" w:hAnsi="新細明體"/>
        </w:rPr>
      </w:pPr>
      <w:r w:rsidRPr="00F928A7">
        <w:rPr>
          <w:rFonts w:ascii="新細明體" w:hAnsi="新細明體" w:hint="eastAsia"/>
        </w:rPr>
        <w:t>第五部分 市場風險</w:t>
      </w:r>
      <w:r>
        <w:rPr>
          <w:rFonts w:ascii="新細明體" w:hAnsi="新細明體" w:hint="eastAsia"/>
        </w:rPr>
        <w:t>(新版尚未公佈)；</w:t>
      </w:r>
    </w:p>
    <w:p w:rsidR="00F876CA" w:rsidRDefault="00F876CA">
      <w:pPr>
        <w:rPr>
          <w:rFonts w:ascii="新細明體" w:hAnsi="新細明體"/>
        </w:rPr>
      </w:pPr>
      <w:r>
        <w:rPr>
          <w:rFonts w:ascii="新細明體" w:hAnsi="新細明體"/>
        </w:rPr>
        <w:t>銀行內部相關規範：</w:t>
      </w:r>
    </w:p>
    <w:p w:rsidR="00CB1BA9" w:rsidRDefault="00F876CA" w:rsidP="00E23229">
      <w:pPr>
        <w:ind w:firstLine="480"/>
        <w:rPr>
          <w:rFonts w:ascii="新細明體" w:hAnsi="新細明體"/>
        </w:rPr>
      </w:pPr>
      <w:r>
        <w:rPr>
          <w:rFonts w:ascii="新細明體" w:hAnsi="新細明體" w:hint="eastAsia"/>
        </w:rPr>
        <w:t>綜合企劃處；</w:t>
      </w:r>
      <w:r w:rsidRPr="00F876CA">
        <w:rPr>
          <w:rFonts w:ascii="新細明體" w:hAnsi="新細明體" w:hint="eastAsia"/>
        </w:rPr>
        <w:t>台新銀行資本適足性管理準則</w:t>
      </w:r>
      <w:r w:rsidR="003B0BAB">
        <w:rPr>
          <w:rFonts w:ascii="新細明體" w:hAnsi="新細明體" w:hint="eastAsia"/>
        </w:rPr>
        <w:t>；</w:t>
      </w:r>
    </w:p>
    <w:p w:rsidR="00E23229" w:rsidRDefault="00F876CA" w:rsidP="00E23229">
      <w:pPr>
        <w:pStyle w:val="Default"/>
        <w:ind w:firstLine="480"/>
        <w:rPr>
          <w:rFonts w:ascii="新細明體" w:eastAsiaTheme="minorEastAsia" w:hAnsi="新細明體" w:cstheme="minorBidi"/>
          <w:color w:val="auto"/>
          <w:kern w:val="2"/>
          <w:szCs w:val="22"/>
        </w:rPr>
      </w:pPr>
      <w:r w:rsidRPr="00D3647C">
        <w:rPr>
          <w:rFonts w:ascii="新細明體" w:eastAsiaTheme="minorEastAsia" w:hAnsi="新細明體" w:cstheme="minorBidi"/>
          <w:color w:val="auto"/>
          <w:kern w:val="2"/>
          <w:szCs w:val="22"/>
        </w:rPr>
        <w:t>風險管理處：</w:t>
      </w:r>
      <w:r w:rsidR="00D3647C" w:rsidRPr="00D3647C">
        <w:rPr>
          <w:rFonts w:ascii="新細明體" w:eastAsiaTheme="minorEastAsia" w:hAnsi="新細明體" w:cstheme="minorBidi" w:hint="eastAsia"/>
          <w:color w:val="auto"/>
          <w:kern w:val="2"/>
          <w:szCs w:val="22"/>
        </w:rPr>
        <w:t>台新銀行風險管理政策</w:t>
      </w:r>
      <w:r w:rsidR="003B0BAB">
        <w:rPr>
          <w:rFonts w:ascii="新細明體" w:hAnsi="新細明體" w:hint="eastAsia"/>
        </w:rPr>
        <w:t>；</w:t>
      </w:r>
    </w:p>
    <w:p w:rsidR="00E23229" w:rsidRDefault="00D3647C" w:rsidP="003B0BAB">
      <w:pPr>
        <w:pStyle w:val="Default"/>
        <w:ind w:firstLineChars="200" w:firstLine="480"/>
        <w:rPr>
          <w:rFonts w:ascii="新細明體" w:eastAsiaTheme="minorEastAsia" w:hAnsi="新細明體" w:cstheme="minorBidi"/>
          <w:color w:val="auto"/>
          <w:kern w:val="2"/>
          <w:szCs w:val="22"/>
        </w:rPr>
      </w:pPr>
      <w:r w:rsidRPr="00D3647C">
        <w:rPr>
          <w:rFonts w:ascii="新細明體" w:eastAsiaTheme="minorEastAsia" w:hAnsi="新細明體" w:cstheme="minorBidi" w:hint="eastAsia"/>
          <w:color w:val="auto"/>
          <w:kern w:val="2"/>
          <w:szCs w:val="22"/>
        </w:rPr>
        <w:t>績效管理處</w:t>
      </w:r>
      <w:r>
        <w:rPr>
          <w:rFonts w:ascii="新細明體" w:eastAsiaTheme="minorEastAsia" w:hAnsi="新細明體" w:cstheme="minorBidi" w:hint="eastAsia"/>
          <w:color w:val="auto"/>
          <w:kern w:val="2"/>
          <w:szCs w:val="22"/>
        </w:rPr>
        <w:t>會計部</w:t>
      </w:r>
      <w:r w:rsidRPr="00D3647C">
        <w:rPr>
          <w:rFonts w:ascii="新細明體" w:eastAsiaTheme="minorEastAsia" w:hAnsi="新細明體" w:cstheme="minorBidi" w:hint="eastAsia"/>
          <w:color w:val="auto"/>
          <w:kern w:val="2"/>
          <w:szCs w:val="22"/>
        </w:rPr>
        <w:t>：6金融工具會計處理程序</w:t>
      </w:r>
      <w:r w:rsidR="003B0BAB">
        <w:rPr>
          <w:rFonts w:ascii="新細明體" w:hAnsi="新細明體" w:hint="eastAsia"/>
        </w:rPr>
        <w:t>；</w:t>
      </w:r>
    </w:p>
    <w:p w:rsidR="00A30566" w:rsidRDefault="00D3647C" w:rsidP="00E23229">
      <w:pPr>
        <w:pStyle w:val="Default"/>
        <w:ind w:left="2400" w:firstLineChars="100" w:firstLine="240"/>
        <w:rPr>
          <w:rFonts w:ascii="新細明體" w:eastAsiaTheme="minorEastAsia" w:hAnsi="新細明體" w:cstheme="minorBidi"/>
          <w:color w:val="auto"/>
          <w:kern w:val="2"/>
          <w:szCs w:val="22"/>
        </w:rPr>
      </w:pPr>
      <w:r w:rsidRPr="00D3647C">
        <w:rPr>
          <w:rFonts w:ascii="新細明體" w:eastAsiaTheme="minorEastAsia" w:hAnsi="新細明體" w:cstheme="minorBidi" w:hint="eastAsia"/>
          <w:color w:val="auto"/>
          <w:kern w:val="2"/>
          <w:szCs w:val="22"/>
        </w:rPr>
        <w:t>7混合合約會計處理程序</w:t>
      </w:r>
      <w:r w:rsidR="003B0BAB">
        <w:rPr>
          <w:rFonts w:ascii="新細明體" w:hAnsi="新細明體" w:hint="eastAsia"/>
        </w:rPr>
        <w:t>；</w:t>
      </w:r>
    </w:p>
    <w:p w:rsidR="00D3647C" w:rsidRPr="00D3647C" w:rsidRDefault="00D3647C" w:rsidP="00E23229">
      <w:pPr>
        <w:pStyle w:val="Default"/>
        <w:ind w:left="1920" w:firstLineChars="300" w:firstLine="720"/>
        <w:rPr>
          <w:rFonts w:ascii="新細明體" w:eastAsiaTheme="minorEastAsia" w:hAnsi="新細明體" w:cstheme="minorBidi"/>
          <w:color w:val="auto"/>
          <w:kern w:val="2"/>
          <w:szCs w:val="22"/>
        </w:rPr>
      </w:pPr>
      <w:r w:rsidRPr="00D3647C">
        <w:rPr>
          <w:rFonts w:ascii="新細明體" w:eastAsiaTheme="minorEastAsia" w:hAnsi="新細明體" w:cstheme="minorBidi" w:hint="eastAsia"/>
          <w:color w:val="auto"/>
          <w:kern w:val="2"/>
          <w:szCs w:val="22"/>
        </w:rPr>
        <w:t>8避險會計處理程序</w:t>
      </w:r>
      <w:r w:rsidR="003B0BAB">
        <w:rPr>
          <w:rFonts w:ascii="新細明體" w:hAnsi="新細明體" w:hint="eastAsia"/>
        </w:rPr>
        <w:t>；</w:t>
      </w:r>
    </w:p>
    <w:p w:rsidR="007F3C96" w:rsidRDefault="007F3C96" w:rsidP="007F3C96">
      <w:pPr>
        <w:rPr>
          <w:rFonts w:ascii="新細明體" w:hAnsi="新細明體"/>
        </w:rPr>
      </w:pPr>
    </w:p>
    <w:p w:rsidR="007F3C96" w:rsidRDefault="007F3C96" w:rsidP="007F3C96">
      <w:pPr>
        <w:rPr>
          <w:rFonts w:ascii="新細明體" w:hAnsi="新細明體"/>
        </w:rPr>
      </w:pPr>
      <w:r>
        <w:rPr>
          <w:rFonts w:ascii="新細明體" w:hAnsi="新細明體"/>
        </w:rPr>
        <w:t>“</w:t>
      </w:r>
      <w:r w:rsidRPr="007F3C96">
        <w:rPr>
          <w:rFonts w:ascii="新細明體" w:hAnsi="新細明體" w:hint="eastAsia"/>
        </w:rPr>
        <w:t>台新銀行風險管理政策</w:t>
      </w:r>
      <w:r>
        <w:rPr>
          <w:rFonts w:ascii="新細明體" w:hAnsi="新細明體"/>
        </w:rPr>
        <w:t>”修定</w:t>
      </w:r>
      <w:r w:rsidR="00382166">
        <w:rPr>
          <w:rFonts w:ascii="新細明體" w:hAnsi="新細明體"/>
        </w:rPr>
        <w:t>原則</w:t>
      </w:r>
      <w:r>
        <w:rPr>
          <w:rFonts w:ascii="新細明體" w:hAnsi="新細明體"/>
        </w:rPr>
        <w:t>已確定。如附檔。差異</w:t>
      </w:r>
      <w:r w:rsidR="004E2AC8">
        <w:rPr>
          <w:rFonts w:ascii="新細明體" w:hAnsi="新細明體"/>
        </w:rPr>
        <w:t>如下</w:t>
      </w:r>
      <w:r>
        <w:rPr>
          <w:rFonts w:ascii="新細明體" w:hAnsi="新細明體"/>
        </w:rPr>
        <w:t>：</w:t>
      </w:r>
    </w:p>
    <w:tbl>
      <w:tblPr>
        <w:tblStyle w:val="a5"/>
        <w:tblW w:w="0" w:type="auto"/>
        <w:tblLook w:val="04A0" w:firstRow="1" w:lastRow="0" w:firstColumn="1" w:lastColumn="0" w:noHBand="0" w:noVBand="1"/>
      </w:tblPr>
      <w:tblGrid>
        <w:gridCol w:w="704"/>
        <w:gridCol w:w="4111"/>
        <w:gridCol w:w="3470"/>
      </w:tblGrid>
      <w:tr w:rsidR="004C25B1" w:rsidTr="004C25B1">
        <w:tc>
          <w:tcPr>
            <w:tcW w:w="704" w:type="dxa"/>
          </w:tcPr>
          <w:p w:rsidR="004C25B1" w:rsidRPr="000F0C47" w:rsidRDefault="004C25B1" w:rsidP="000F0C47">
            <w:pPr>
              <w:rPr>
                <w:rFonts w:ascii="新細明體" w:hAnsi="新細明體"/>
              </w:rPr>
            </w:pPr>
            <w:r>
              <w:rPr>
                <w:rFonts w:ascii="新細明體" w:hAnsi="新細明體"/>
              </w:rPr>
              <w:t>Page</w:t>
            </w:r>
          </w:p>
        </w:tc>
        <w:tc>
          <w:tcPr>
            <w:tcW w:w="4111" w:type="dxa"/>
          </w:tcPr>
          <w:p w:rsidR="004C25B1" w:rsidRPr="000F0C47" w:rsidRDefault="004C25B1" w:rsidP="000F0C47">
            <w:pPr>
              <w:rPr>
                <w:rFonts w:ascii="新細明體" w:hAnsi="新細明體"/>
              </w:rPr>
            </w:pPr>
            <w:r>
              <w:rPr>
                <w:rFonts w:ascii="新細明體" w:hAnsi="新細明體"/>
              </w:rPr>
              <w:t>原條文</w:t>
            </w:r>
          </w:p>
        </w:tc>
        <w:tc>
          <w:tcPr>
            <w:tcW w:w="3470" w:type="dxa"/>
          </w:tcPr>
          <w:p w:rsidR="004C25B1" w:rsidRPr="000F0C47" w:rsidRDefault="004C25B1" w:rsidP="00382166">
            <w:pPr>
              <w:rPr>
                <w:rFonts w:ascii="新細明體" w:hAnsi="新細明體"/>
              </w:rPr>
            </w:pPr>
            <w:r>
              <w:rPr>
                <w:rFonts w:ascii="新細明體" w:hAnsi="新細明體" w:hint="eastAsia"/>
              </w:rPr>
              <w:t>修正</w:t>
            </w:r>
            <w:r w:rsidR="00382166">
              <w:rPr>
                <w:rFonts w:ascii="新細明體" w:hAnsi="新細明體" w:hint="eastAsia"/>
              </w:rPr>
              <w:t>方向</w:t>
            </w:r>
          </w:p>
        </w:tc>
      </w:tr>
      <w:tr w:rsidR="000F0C47" w:rsidTr="004C25B1">
        <w:tc>
          <w:tcPr>
            <w:tcW w:w="704" w:type="dxa"/>
          </w:tcPr>
          <w:p w:rsidR="000F0C47" w:rsidRPr="000F0C47" w:rsidRDefault="000F0C47" w:rsidP="000F0C47">
            <w:pPr>
              <w:rPr>
                <w:rFonts w:ascii="新細明體" w:hAnsi="新細明體"/>
              </w:rPr>
            </w:pPr>
            <w:r w:rsidRPr="000F0C47">
              <w:rPr>
                <w:rFonts w:ascii="新細明體" w:hAnsi="新細明體"/>
              </w:rPr>
              <w:t>6</w:t>
            </w:r>
          </w:p>
          <w:p w:rsidR="000F0C47" w:rsidRDefault="000F0C47" w:rsidP="007F3C96">
            <w:pPr>
              <w:rPr>
                <w:rFonts w:ascii="新細明體" w:hAnsi="新細明體"/>
              </w:rPr>
            </w:pPr>
          </w:p>
        </w:tc>
        <w:tc>
          <w:tcPr>
            <w:tcW w:w="4111" w:type="dxa"/>
          </w:tcPr>
          <w:p w:rsidR="000F0C47" w:rsidRDefault="000F0C47" w:rsidP="000F0C47">
            <w:pPr>
              <w:rPr>
                <w:rFonts w:ascii="新細明體" w:hAnsi="新細明體"/>
              </w:rPr>
            </w:pPr>
            <w:r w:rsidRPr="000F0C47">
              <w:rPr>
                <w:rFonts w:ascii="新細明體" w:hAnsi="新細明體" w:hint="eastAsia"/>
              </w:rPr>
              <w:t>4.1 市場風險</w:t>
            </w:r>
          </w:p>
          <w:p w:rsidR="004C25B1" w:rsidRPr="000F0C47" w:rsidRDefault="000F0C47" w:rsidP="000F0C47">
            <w:pPr>
              <w:ind w:leftChars="100" w:left="240"/>
              <w:rPr>
                <w:rFonts w:ascii="新細明體" w:hAnsi="新細明體"/>
              </w:rPr>
            </w:pPr>
            <w:r w:rsidRPr="000F0C47">
              <w:rPr>
                <w:rFonts w:ascii="新細明體" w:hAnsi="新細明體" w:hint="eastAsia"/>
              </w:rPr>
              <w:t>市場風險係指因市場價格變動造成資產負債表內及表外部位可能之損益波動主要發生於金融交易，不論是</w:t>
            </w:r>
            <w:r w:rsidRPr="000F0C47">
              <w:rPr>
                <w:rFonts w:ascii="新細明體" w:hAnsi="新細明體" w:hint="eastAsia"/>
                <w:color w:val="FF0000"/>
              </w:rPr>
              <w:t>交易簿</w:t>
            </w:r>
            <w:r w:rsidRPr="000F0C47">
              <w:rPr>
                <w:rFonts w:ascii="新細明體" w:hAnsi="新細明體" w:hint="eastAsia"/>
              </w:rPr>
              <w:t>或</w:t>
            </w:r>
            <w:r w:rsidRPr="000F0C47">
              <w:rPr>
                <w:rFonts w:ascii="新細明體" w:hAnsi="新細明體" w:hint="eastAsia"/>
                <w:color w:val="FF0000"/>
              </w:rPr>
              <w:t>銀行簿</w:t>
            </w:r>
            <w:r w:rsidRPr="000F0C47">
              <w:rPr>
                <w:rFonts w:ascii="新細明體" w:hAnsi="新細明體" w:hint="eastAsia"/>
              </w:rPr>
              <w:t>部位，均受市場風險之影響 。</w:t>
            </w:r>
          </w:p>
          <w:p w:rsidR="000F0C47" w:rsidRPr="00382166" w:rsidRDefault="000F0C47" w:rsidP="000F0C47">
            <w:pPr>
              <w:ind w:leftChars="100" w:left="240"/>
              <w:rPr>
                <w:rFonts w:ascii="新細明體" w:hAnsi="新細明體"/>
                <w:strike/>
              </w:rPr>
            </w:pPr>
            <w:r w:rsidRPr="00382166">
              <w:rPr>
                <w:rFonts w:ascii="新細明體" w:hAnsi="新細明體" w:hint="eastAsia"/>
                <w:strike/>
              </w:rPr>
              <w:t>市場風險部位依據持有目的與策略分為交易簿部位與銀行簿部位。交易簿之認定應依據巴塞爾監理委員會資本協定之定義，銀行簿主要為財務管理單位所管理的利率風險部位。各部位間若須相互移轉應另訂相關規範並經有權層級核准，而移轉後之損益認定等，應受會計公報規範 。</w:t>
            </w:r>
          </w:p>
        </w:tc>
        <w:tc>
          <w:tcPr>
            <w:tcW w:w="3470" w:type="dxa"/>
          </w:tcPr>
          <w:p w:rsidR="000F0C47" w:rsidRDefault="000F0C47" w:rsidP="000F0C47">
            <w:pPr>
              <w:rPr>
                <w:rFonts w:ascii="新細明體" w:hAnsi="新細明體"/>
              </w:rPr>
            </w:pPr>
            <w:r w:rsidRPr="000F0C47">
              <w:rPr>
                <w:rFonts w:ascii="新細明體" w:hAnsi="新細明體" w:hint="eastAsia"/>
              </w:rPr>
              <w:t>4.1 市場風險</w:t>
            </w:r>
          </w:p>
          <w:p w:rsidR="000F0C47" w:rsidRPr="000F0C47" w:rsidRDefault="000F0C47" w:rsidP="000F0C47">
            <w:pPr>
              <w:ind w:leftChars="100" w:left="240"/>
              <w:rPr>
                <w:rFonts w:ascii="新細明體" w:hAnsi="新細明體"/>
              </w:rPr>
            </w:pPr>
            <w:r w:rsidRPr="000F0C47">
              <w:rPr>
                <w:rFonts w:ascii="新細明體" w:hAnsi="新細明體" w:hint="eastAsia"/>
              </w:rPr>
              <w:t>市場風險係指因市場價格變動造成資產負債表內及表外部位可能之損益波動主要發生於金融交易，不論是</w:t>
            </w:r>
            <w:r w:rsidRPr="000F0C47">
              <w:rPr>
                <w:rFonts w:ascii="新細明體" w:hAnsi="新細明體" w:hint="eastAsia"/>
                <w:color w:val="FF0000"/>
              </w:rPr>
              <w:t>交易目的</w:t>
            </w:r>
            <w:r w:rsidRPr="000F0C47">
              <w:rPr>
                <w:rFonts w:ascii="新細明體" w:hAnsi="新細明體" w:hint="eastAsia"/>
              </w:rPr>
              <w:t>或</w:t>
            </w:r>
            <w:r w:rsidRPr="000F0C47">
              <w:rPr>
                <w:rFonts w:ascii="新細明體" w:hAnsi="新細明體" w:hint="eastAsia"/>
                <w:color w:val="FF0000"/>
              </w:rPr>
              <w:t>非交易目的</w:t>
            </w:r>
            <w:r w:rsidRPr="000F0C47">
              <w:rPr>
                <w:rFonts w:ascii="新細明體" w:hAnsi="新細明體" w:hint="eastAsia"/>
              </w:rPr>
              <w:t>部位，均受市場風險之影響 。</w:t>
            </w:r>
          </w:p>
          <w:p w:rsidR="000F0C47" w:rsidRPr="000F0C47" w:rsidRDefault="000F0C47" w:rsidP="007F3C96">
            <w:pPr>
              <w:rPr>
                <w:rFonts w:ascii="新細明體" w:hAnsi="新細明體"/>
              </w:rPr>
            </w:pPr>
          </w:p>
        </w:tc>
      </w:tr>
      <w:tr w:rsidR="004C25B1" w:rsidTr="004C25B1">
        <w:tc>
          <w:tcPr>
            <w:tcW w:w="704" w:type="dxa"/>
          </w:tcPr>
          <w:p w:rsidR="004C25B1" w:rsidRDefault="004C25B1" w:rsidP="004C25B1">
            <w:pPr>
              <w:rPr>
                <w:rFonts w:ascii="新細明體" w:hAnsi="新細明體"/>
              </w:rPr>
            </w:pPr>
            <w:r>
              <w:rPr>
                <w:rFonts w:ascii="新細明體" w:hAnsi="新細明體"/>
              </w:rPr>
              <w:t>6</w:t>
            </w:r>
          </w:p>
        </w:tc>
        <w:tc>
          <w:tcPr>
            <w:tcW w:w="4111" w:type="dxa"/>
          </w:tcPr>
          <w:p w:rsidR="004C25B1" w:rsidRDefault="004C25B1" w:rsidP="004C25B1">
            <w:pPr>
              <w:autoSpaceDE w:val="0"/>
              <w:autoSpaceDN w:val="0"/>
              <w:adjustRightInd w:val="0"/>
              <w:rPr>
                <w:rFonts w:ascii="標楷體" w:eastAsia="標楷體" w:hAnsi="Times New Roman" w:cs="標楷體"/>
                <w:color w:val="000000"/>
                <w:kern w:val="0"/>
                <w:sz w:val="22"/>
              </w:rPr>
            </w:pPr>
            <w:r w:rsidRPr="0059752C">
              <w:rPr>
                <w:rFonts w:ascii="Times New Roman" w:hAnsi="Times New Roman" w:cs="Times New Roman"/>
                <w:b/>
                <w:bCs/>
                <w:color w:val="000000"/>
                <w:kern w:val="0"/>
                <w:sz w:val="22"/>
              </w:rPr>
              <w:t xml:space="preserve">4.1.2.1 </w:t>
            </w:r>
            <w:r w:rsidRPr="0059752C">
              <w:rPr>
                <w:rFonts w:ascii="標楷體" w:eastAsia="標楷體" w:hAnsi="Times New Roman" w:cs="標楷體" w:hint="eastAsia"/>
                <w:color w:val="000000"/>
                <w:kern w:val="0"/>
                <w:sz w:val="22"/>
              </w:rPr>
              <w:t>交易簿</w:t>
            </w:r>
          </w:p>
          <w:p w:rsidR="00382166" w:rsidRPr="004C25B1" w:rsidRDefault="00382166" w:rsidP="00382166">
            <w:pPr>
              <w:autoSpaceDE w:val="0"/>
              <w:autoSpaceDN w:val="0"/>
              <w:adjustRightInd w:val="0"/>
              <w:ind w:leftChars="100" w:left="240"/>
              <w:rPr>
                <w:rFonts w:ascii="標楷體" w:eastAsia="標楷體" w:hAnsi="Times New Roman" w:cs="標楷體"/>
                <w:color w:val="000000"/>
                <w:kern w:val="0"/>
                <w:sz w:val="22"/>
              </w:rPr>
            </w:pPr>
            <w:r>
              <w:rPr>
                <w:rFonts w:ascii="標楷體" w:eastAsia="標楷體" w:hAnsi="Times New Roman" w:cs="標楷體"/>
                <w:color w:val="000000"/>
                <w:kern w:val="0"/>
                <w:sz w:val="22"/>
              </w:rPr>
              <w:t>…</w:t>
            </w:r>
          </w:p>
        </w:tc>
        <w:tc>
          <w:tcPr>
            <w:tcW w:w="3470" w:type="dxa"/>
          </w:tcPr>
          <w:p w:rsidR="00382166" w:rsidRDefault="004C25B1" w:rsidP="004C25B1">
            <w:pPr>
              <w:autoSpaceDE w:val="0"/>
              <w:autoSpaceDN w:val="0"/>
              <w:adjustRightInd w:val="0"/>
              <w:rPr>
                <w:rFonts w:ascii="標楷體" w:eastAsia="標楷體" w:hAnsi="Times New Roman" w:cs="標楷體"/>
                <w:color w:val="000000"/>
                <w:kern w:val="0"/>
                <w:sz w:val="22"/>
              </w:rPr>
            </w:pPr>
            <w:r>
              <w:rPr>
                <w:rFonts w:ascii="標楷體" w:eastAsia="標楷體" w:hAnsi="Times New Roman" w:cs="標楷體" w:hint="eastAsia"/>
                <w:color w:val="000000"/>
                <w:kern w:val="0"/>
                <w:sz w:val="22"/>
              </w:rPr>
              <w:t>刪除</w:t>
            </w:r>
            <w:r>
              <w:rPr>
                <w:rFonts w:ascii="標楷體" w:eastAsia="標楷體" w:hAnsi="Times New Roman" w:cs="標楷體"/>
                <w:color w:val="000000"/>
                <w:kern w:val="0"/>
                <w:sz w:val="22"/>
              </w:rPr>
              <w:t>”</w:t>
            </w:r>
            <w:r w:rsidRPr="00382166">
              <w:rPr>
                <w:rFonts w:ascii="標楷體" w:eastAsia="標楷體" w:hAnsi="Times New Roman" w:cs="標楷體"/>
                <w:color w:val="FF0000"/>
                <w:kern w:val="0"/>
                <w:sz w:val="22"/>
              </w:rPr>
              <w:t>交易簿</w:t>
            </w:r>
            <w:r>
              <w:rPr>
                <w:rFonts w:ascii="標楷體" w:eastAsia="標楷體" w:hAnsi="Times New Roman" w:cs="標楷體"/>
                <w:color w:val="000000"/>
                <w:kern w:val="0"/>
                <w:sz w:val="22"/>
              </w:rPr>
              <w:t>”</w:t>
            </w:r>
            <w:r>
              <w:rPr>
                <w:rFonts w:ascii="標楷體" w:eastAsia="標楷體" w:hAnsi="Times New Roman" w:cs="標楷體"/>
                <w:color w:val="000000"/>
                <w:kern w:val="0"/>
                <w:sz w:val="22"/>
              </w:rPr>
              <w:t>文字</w:t>
            </w:r>
            <w:r w:rsidR="00382166">
              <w:rPr>
                <w:rFonts w:ascii="標楷體" w:eastAsia="標楷體" w:hAnsi="Times New Roman" w:cs="標楷體"/>
                <w:color w:val="000000"/>
                <w:kern w:val="0"/>
                <w:sz w:val="22"/>
              </w:rPr>
              <w:t>，</w:t>
            </w:r>
          </w:p>
          <w:p w:rsidR="004C25B1" w:rsidRPr="004C25B1" w:rsidRDefault="00382166" w:rsidP="004C25B1">
            <w:pPr>
              <w:autoSpaceDE w:val="0"/>
              <w:autoSpaceDN w:val="0"/>
              <w:adjustRightInd w:val="0"/>
              <w:rPr>
                <w:rFonts w:ascii="標楷體" w:eastAsia="標楷體" w:hAnsi="Times New Roman" w:cs="標楷體"/>
                <w:color w:val="000000"/>
                <w:kern w:val="0"/>
                <w:sz w:val="22"/>
              </w:rPr>
            </w:pPr>
            <w:r>
              <w:rPr>
                <w:rFonts w:ascii="標楷體" w:eastAsia="標楷體" w:hAnsi="Times New Roman" w:cs="標楷體"/>
                <w:color w:val="000000"/>
                <w:kern w:val="0"/>
                <w:sz w:val="22"/>
              </w:rPr>
              <w:t>詳細陳述待修訂</w:t>
            </w:r>
          </w:p>
        </w:tc>
      </w:tr>
      <w:tr w:rsidR="004C25B1" w:rsidTr="004C25B1">
        <w:tc>
          <w:tcPr>
            <w:tcW w:w="704" w:type="dxa"/>
          </w:tcPr>
          <w:p w:rsidR="004C25B1" w:rsidRDefault="004C25B1" w:rsidP="004C25B1">
            <w:pPr>
              <w:rPr>
                <w:rFonts w:ascii="新細明體" w:hAnsi="新細明體"/>
              </w:rPr>
            </w:pPr>
            <w:r>
              <w:rPr>
                <w:rFonts w:ascii="新細明體" w:hAnsi="新細明體"/>
              </w:rPr>
              <w:t>7</w:t>
            </w:r>
          </w:p>
        </w:tc>
        <w:tc>
          <w:tcPr>
            <w:tcW w:w="4111" w:type="dxa"/>
          </w:tcPr>
          <w:p w:rsidR="004C25B1" w:rsidRDefault="004C25B1" w:rsidP="00382166">
            <w:pPr>
              <w:pStyle w:val="Default"/>
              <w:rPr>
                <w:rFonts w:hAnsi="Times New Roman"/>
                <w:sz w:val="22"/>
                <w:szCs w:val="22"/>
              </w:rPr>
            </w:pPr>
            <w:r>
              <w:rPr>
                <w:rFonts w:ascii="Times New Roman" w:hAnsi="Times New Roman" w:cs="Times New Roman"/>
                <w:b/>
                <w:bCs/>
                <w:sz w:val="22"/>
                <w:szCs w:val="22"/>
              </w:rPr>
              <w:t xml:space="preserve">4.1.2.2 </w:t>
            </w:r>
            <w:r>
              <w:rPr>
                <w:rFonts w:hAnsi="Times New Roman" w:hint="eastAsia"/>
                <w:sz w:val="22"/>
                <w:szCs w:val="22"/>
              </w:rPr>
              <w:t>銀行簿</w:t>
            </w:r>
          </w:p>
          <w:p w:rsidR="00382166" w:rsidRDefault="00382166" w:rsidP="00382166">
            <w:pPr>
              <w:pStyle w:val="Default"/>
              <w:ind w:leftChars="100" w:left="240"/>
              <w:rPr>
                <w:rFonts w:ascii="新細明體" w:hAnsi="新細明體"/>
              </w:rPr>
            </w:pPr>
            <w:r>
              <w:rPr>
                <w:rFonts w:hAnsi="Times New Roman"/>
                <w:sz w:val="22"/>
                <w:szCs w:val="22"/>
              </w:rPr>
              <w:t>…</w:t>
            </w:r>
          </w:p>
        </w:tc>
        <w:tc>
          <w:tcPr>
            <w:tcW w:w="3470" w:type="dxa"/>
          </w:tcPr>
          <w:p w:rsidR="00382166" w:rsidRDefault="004C25B1" w:rsidP="004C25B1">
            <w:pPr>
              <w:rPr>
                <w:rFonts w:ascii="標楷體" w:eastAsia="標楷體" w:hAnsi="Times New Roman" w:cs="標楷體"/>
                <w:color w:val="000000"/>
                <w:kern w:val="0"/>
                <w:sz w:val="22"/>
              </w:rPr>
            </w:pPr>
            <w:r>
              <w:rPr>
                <w:rFonts w:ascii="標楷體" w:eastAsia="標楷體" w:hAnsi="Times New Roman" w:cs="標楷體" w:hint="eastAsia"/>
                <w:color w:val="000000"/>
                <w:kern w:val="0"/>
                <w:sz w:val="22"/>
              </w:rPr>
              <w:t>刪除</w:t>
            </w:r>
            <w:r>
              <w:rPr>
                <w:rFonts w:ascii="標楷體" w:eastAsia="標楷體" w:hAnsi="Times New Roman" w:cs="標楷體"/>
                <w:color w:val="000000"/>
                <w:kern w:val="0"/>
                <w:sz w:val="22"/>
              </w:rPr>
              <w:t>”</w:t>
            </w:r>
            <w:r w:rsidRPr="00382166">
              <w:rPr>
                <w:rFonts w:ascii="標楷體" w:eastAsia="標楷體" w:hAnsi="Times New Roman" w:cs="標楷體"/>
                <w:color w:val="FF0000"/>
                <w:kern w:val="0"/>
                <w:sz w:val="22"/>
              </w:rPr>
              <w:t>銀行簿</w:t>
            </w:r>
            <w:r>
              <w:rPr>
                <w:rFonts w:ascii="標楷體" w:eastAsia="標楷體" w:hAnsi="Times New Roman" w:cs="標楷體"/>
                <w:color w:val="000000"/>
                <w:kern w:val="0"/>
                <w:sz w:val="22"/>
              </w:rPr>
              <w:t>”</w:t>
            </w:r>
            <w:r>
              <w:rPr>
                <w:rFonts w:ascii="標楷體" w:eastAsia="標楷體" w:hAnsi="Times New Roman" w:cs="標楷體"/>
                <w:color w:val="000000"/>
                <w:kern w:val="0"/>
                <w:sz w:val="22"/>
              </w:rPr>
              <w:t>文字</w:t>
            </w:r>
            <w:r w:rsidR="00382166">
              <w:rPr>
                <w:rFonts w:ascii="標楷體" w:eastAsia="標楷體" w:hAnsi="Times New Roman" w:cs="標楷體"/>
                <w:color w:val="000000"/>
                <w:kern w:val="0"/>
                <w:sz w:val="22"/>
              </w:rPr>
              <w:t>，</w:t>
            </w:r>
          </w:p>
          <w:p w:rsidR="004C25B1" w:rsidRDefault="00382166" w:rsidP="00382166">
            <w:pPr>
              <w:rPr>
                <w:rFonts w:ascii="新細明體" w:hAnsi="新細明體"/>
              </w:rPr>
            </w:pPr>
            <w:r>
              <w:rPr>
                <w:rFonts w:ascii="標楷體" w:eastAsia="標楷體" w:hAnsi="Times New Roman" w:cs="標楷體"/>
                <w:color w:val="000000"/>
                <w:kern w:val="0"/>
                <w:sz w:val="22"/>
              </w:rPr>
              <w:t>詳細陳述待修訂</w:t>
            </w:r>
          </w:p>
        </w:tc>
      </w:tr>
    </w:tbl>
    <w:p w:rsidR="000F0C47" w:rsidRDefault="000F0C47" w:rsidP="007F3C96">
      <w:pPr>
        <w:rPr>
          <w:rFonts w:ascii="新細明體" w:hAnsi="新細明體"/>
        </w:rPr>
      </w:pPr>
    </w:p>
    <w:p w:rsidR="007F3C96" w:rsidRPr="007F3C96" w:rsidRDefault="007F3C96" w:rsidP="007F3C96">
      <w:pPr>
        <w:pStyle w:val="a3"/>
        <w:numPr>
          <w:ilvl w:val="0"/>
          <w:numId w:val="3"/>
        </w:numPr>
        <w:ind w:leftChars="0"/>
      </w:pPr>
      <w:r w:rsidRPr="007F3C96">
        <w:rPr>
          <w:rFonts w:ascii="新細明體" w:hAnsi="新細明體" w:hint="eastAsia"/>
        </w:rPr>
        <w:t>風險政策部分有關市場風險部分</w:t>
      </w:r>
      <w:r>
        <w:t>—</w:t>
      </w:r>
      <w:r w:rsidRPr="007F3C96">
        <w:rPr>
          <w:rFonts w:ascii="新細明體" w:hAnsi="新細明體" w:hint="eastAsia"/>
        </w:rPr>
        <w:t>目前風險胃納管理是採</w:t>
      </w:r>
      <w:r w:rsidRPr="007F3C96">
        <w:rPr>
          <w:rFonts w:ascii="新細明體" w:hAnsi="新細明體" w:hint="eastAsia"/>
          <w:color w:val="FF0000"/>
        </w:rPr>
        <w:t>交易目的</w:t>
      </w:r>
      <w:r w:rsidRPr="007F3C96">
        <w:rPr>
          <w:rFonts w:ascii="新細明體" w:hAnsi="新細明體" w:hint="eastAsia"/>
        </w:rPr>
        <w:t>、</w:t>
      </w:r>
      <w:r w:rsidRPr="007F3C96">
        <w:rPr>
          <w:rFonts w:ascii="新細明體" w:hAnsi="新細明體" w:hint="eastAsia"/>
          <w:color w:val="FF0000"/>
        </w:rPr>
        <w:t>非交易目的</w:t>
      </w:r>
      <w:r w:rsidRPr="007F3C96">
        <w:rPr>
          <w:rFonts w:ascii="新細明體" w:hAnsi="新細明體" w:hint="eastAsia"/>
        </w:rPr>
        <w:t>。</w:t>
      </w:r>
    </w:p>
    <w:p w:rsidR="007F3C96" w:rsidRPr="00AF17CE" w:rsidRDefault="007F3C96" w:rsidP="007F3C96">
      <w:pPr>
        <w:pStyle w:val="a3"/>
        <w:numPr>
          <w:ilvl w:val="0"/>
          <w:numId w:val="3"/>
        </w:numPr>
        <w:ind w:leftChars="0"/>
      </w:pPr>
      <w:r w:rsidRPr="007F3C96">
        <w:rPr>
          <w:rFonts w:ascii="新細明體" w:hAnsi="新細明體" w:hint="eastAsia"/>
        </w:rPr>
        <w:t>另原本政策內容即朝簡化方向，故政策修訂時會刪除原本的</w:t>
      </w:r>
      <w:r>
        <w:t>4.1.2.1~2</w:t>
      </w:r>
      <w:r w:rsidRPr="007F3C96">
        <w:rPr>
          <w:rFonts w:ascii="新細明體" w:hAnsi="新細明體" w:hint="eastAsia"/>
        </w:rPr>
        <w:t>交易簿、銀行簿</w:t>
      </w:r>
      <w:r>
        <w:t>(</w:t>
      </w:r>
      <w:r w:rsidRPr="007F3C96">
        <w:rPr>
          <w:rFonts w:ascii="新細明體" w:hAnsi="新細明體" w:hint="eastAsia"/>
        </w:rPr>
        <w:t>利率風險</w:t>
      </w:r>
      <w:r>
        <w:t>)</w:t>
      </w:r>
      <w:r w:rsidRPr="007F3C96">
        <w:rPr>
          <w:rFonts w:ascii="新細明體" w:hAnsi="新細明體" w:hint="eastAsia"/>
        </w:rPr>
        <w:t>等文字。市場風險的管理就會依據市場風險管理相關準則。</w:t>
      </w:r>
    </w:p>
    <w:p w:rsidR="00AF17CE" w:rsidRDefault="00AF17CE" w:rsidP="00B632C1">
      <w:pPr>
        <w:widowControl/>
        <w:rPr>
          <w:rFonts w:ascii="新細明體" w:hAnsi="新細明體"/>
          <w:b/>
        </w:rPr>
      </w:pPr>
      <w:r>
        <w:br w:type="page"/>
      </w:r>
      <w:r w:rsidRPr="000A4CA2">
        <w:rPr>
          <w:rFonts w:ascii="新細明體" w:hAnsi="新細明體"/>
          <w:b/>
        </w:rPr>
        <w:lastRenderedPageBreak/>
        <w:t>台新銀行巴塞爾資本協定</w:t>
      </w:r>
      <w:r w:rsidR="003B6620">
        <w:rPr>
          <w:rFonts w:ascii="新細明體" w:hAnsi="新細明體"/>
          <w:b/>
        </w:rPr>
        <w:t>簿別管理準則</w:t>
      </w:r>
    </w:p>
    <w:p w:rsidR="00AF17CE" w:rsidRPr="00325F21" w:rsidRDefault="00AF17CE" w:rsidP="00AF17CE">
      <w:pPr>
        <w:rPr>
          <w:rFonts w:ascii="新細明體" w:hAnsi="新細明體"/>
          <w:b/>
        </w:rPr>
      </w:pPr>
    </w:p>
    <w:p w:rsidR="00AF17CE" w:rsidRDefault="00AF17CE" w:rsidP="00AF17CE">
      <w:pPr>
        <w:pStyle w:val="a3"/>
        <w:numPr>
          <w:ilvl w:val="0"/>
          <w:numId w:val="5"/>
        </w:numPr>
        <w:ind w:leftChars="0"/>
        <w:rPr>
          <w:rFonts w:ascii="新細明體" w:hAnsi="新細明體"/>
        </w:rPr>
      </w:pPr>
      <w:r>
        <w:rPr>
          <w:rFonts w:ascii="新細明體" w:hAnsi="新細明體" w:hint="eastAsia"/>
        </w:rPr>
        <w:t>目的與適用範圍</w:t>
      </w:r>
    </w:p>
    <w:p w:rsidR="00AF17CE" w:rsidRDefault="00AF17CE" w:rsidP="00AF17CE">
      <w:pPr>
        <w:pStyle w:val="a3"/>
        <w:numPr>
          <w:ilvl w:val="0"/>
          <w:numId w:val="5"/>
        </w:numPr>
        <w:ind w:leftChars="0"/>
        <w:rPr>
          <w:rFonts w:ascii="新細明體" w:hAnsi="新細明體"/>
        </w:rPr>
      </w:pPr>
      <w:r>
        <w:rPr>
          <w:rFonts w:ascii="新細明體" w:hAnsi="新細明體"/>
        </w:rPr>
        <w:t>用詞定義</w:t>
      </w:r>
    </w:p>
    <w:p w:rsidR="00AF17CE" w:rsidRPr="00942235" w:rsidRDefault="00AF17CE" w:rsidP="00AF17CE">
      <w:pPr>
        <w:pStyle w:val="a3"/>
        <w:numPr>
          <w:ilvl w:val="0"/>
          <w:numId w:val="5"/>
        </w:numPr>
        <w:ind w:leftChars="0"/>
        <w:rPr>
          <w:rFonts w:ascii="新細明體" w:hAnsi="新細明體"/>
        </w:rPr>
      </w:pPr>
      <w:r>
        <w:rPr>
          <w:rFonts w:ascii="新細明體" w:hAnsi="新細明體"/>
        </w:rPr>
        <w:t>交易簿的範圍及認列標準</w:t>
      </w:r>
    </w:p>
    <w:p w:rsidR="00AF17CE" w:rsidRDefault="00AF17CE" w:rsidP="00AF17CE">
      <w:pPr>
        <w:pStyle w:val="a3"/>
        <w:numPr>
          <w:ilvl w:val="0"/>
          <w:numId w:val="5"/>
        </w:numPr>
        <w:ind w:leftChars="0"/>
        <w:rPr>
          <w:rFonts w:ascii="新細明體" w:hAnsi="新細明體"/>
        </w:rPr>
      </w:pPr>
      <w:r>
        <w:rPr>
          <w:rFonts w:ascii="新細明體" w:hAnsi="新細明體"/>
        </w:rPr>
        <w:t>銀行簿的範圍及認列標準</w:t>
      </w:r>
    </w:p>
    <w:p w:rsidR="00AF17CE" w:rsidRDefault="00AF17CE" w:rsidP="00AF17CE">
      <w:pPr>
        <w:pStyle w:val="a3"/>
        <w:numPr>
          <w:ilvl w:val="0"/>
          <w:numId w:val="5"/>
        </w:numPr>
        <w:ind w:leftChars="0"/>
        <w:rPr>
          <w:rFonts w:ascii="新細明體" w:hAnsi="新細明體"/>
        </w:rPr>
      </w:pPr>
      <w:r>
        <w:rPr>
          <w:rFonts w:ascii="新細明體" w:hAnsi="新細明體"/>
        </w:rPr>
        <w:t>簿別間重新認列</w:t>
      </w:r>
      <w:r w:rsidR="00826945">
        <w:rPr>
          <w:rFonts w:ascii="新細明體" w:hAnsi="新細明體" w:hint="eastAsia"/>
          <w:lang w:eastAsia="zh-HK"/>
        </w:rPr>
        <w:t>標準</w:t>
      </w:r>
    </w:p>
    <w:p w:rsidR="009937AB" w:rsidRPr="008C4758" w:rsidRDefault="009937AB" w:rsidP="009937AB">
      <w:pPr>
        <w:pStyle w:val="a3"/>
        <w:numPr>
          <w:ilvl w:val="0"/>
          <w:numId w:val="5"/>
        </w:numPr>
        <w:ind w:leftChars="0"/>
        <w:rPr>
          <w:rFonts w:ascii="新細明體" w:hAnsi="新細明體"/>
        </w:rPr>
      </w:pPr>
      <w:r w:rsidRPr="008C4758">
        <w:rPr>
          <w:rFonts w:ascii="新細明體" w:hAnsi="新細明體" w:hint="eastAsia"/>
        </w:rPr>
        <w:t>其他管理事項</w:t>
      </w:r>
    </w:p>
    <w:p w:rsidR="00AF17CE" w:rsidRDefault="00AF17CE" w:rsidP="00AF17CE">
      <w:pPr>
        <w:pStyle w:val="a3"/>
        <w:numPr>
          <w:ilvl w:val="0"/>
          <w:numId w:val="5"/>
        </w:numPr>
        <w:ind w:leftChars="0"/>
        <w:rPr>
          <w:rFonts w:ascii="新細明體" w:hAnsi="新細明體"/>
        </w:rPr>
      </w:pPr>
      <w:r>
        <w:rPr>
          <w:rFonts w:ascii="新細明體" w:hAnsi="新細明體"/>
        </w:rPr>
        <w:t>…</w:t>
      </w:r>
    </w:p>
    <w:p w:rsidR="00AF17CE" w:rsidRPr="00942235" w:rsidRDefault="00AF17CE" w:rsidP="00AF17CE">
      <w:pPr>
        <w:pStyle w:val="a3"/>
        <w:numPr>
          <w:ilvl w:val="0"/>
          <w:numId w:val="5"/>
        </w:numPr>
        <w:ind w:leftChars="0"/>
        <w:rPr>
          <w:rFonts w:ascii="新細明體" w:hAnsi="新細明體"/>
        </w:rPr>
      </w:pPr>
      <w:r>
        <w:rPr>
          <w:rFonts w:ascii="新細明體" w:hAnsi="新細明體"/>
        </w:rPr>
        <w:t>準則之制訂及修訂</w:t>
      </w:r>
    </w:p>
    <w:p w:rsidR="006D72F3" w:rsidRPr="006D72F3" w:rsidRDefault="006D72F3" w:rsidP="00AF17CE">
      <w:pPr>
        <w:rPr>
          <w:rFonts w:ascii="新細明體" w:hAnsi="新細明體"/>
          <w:b/>
        </w:rPr>
      </w:pPr>
    </w:p>
    <w:p w:rsidR="00AF17CE" w:rsidRDefault="00AF17CE" w:rsidP="00AF17CE"/>
    <w:p w:rsidR="00A924FE" w:rsidRDefault="00A924FE">
      <w:pPr>
        <w:widowControl/>
      </w:pPr>
      <w:r>
        <w:br w:type="page"/>
      </w:r>
    </w:p>
    <w:p w:rsidR="00CF1B64" w:rsidRDefault="00CF1B64" w:rsidP="00CF1B64">
      <w:pPr>
        <w:pStyle w:val="a3"/>
        <w:numPr>
          <w:ilvl w:val="0"/>
          <w:numId w:val="24"/>
        </w:numPr>
        <w:ind w:leftChars="0"/>
        <w:rPr>
          <w:rFonts w:ascii="新細明體" w:hAnsi="新細明體"/>
        </w:rPr>
      </w:pPr>
      <w:r>
        <w:rPr>
          <w:rFonts w:ascii="新細明體" w:hAnsi="新細明體" w:hint="eastAsia"/>
        </w:rPr>
        <w:lastRenderedPageBreak/>
        <w:t>目的與適用範圍</w:t>
      </w:r>
    </w:p>
    <w:p w:rsidR="006B0B19" w:rsidRDefault="006B0B19" w:rsidP="006B0B19">
      <w:pPr>
        <w:pStyle w:val="a3"/>
        <w:ind w:leftChars="0" w:left="425"/>
        <w:rPr>
          <w:rFonts w:ascii="新細明體" w:hAnsi="新細明體"/>
        </w:rPr>
      </w:pPr>
    </w:p>
    <w:p w:rsidR="00CF1B64" w:rsidRDefault="00CF1B64" w:rsidP="00CF1B64">
      <w:pPr>
        <w:pStyle w:val="a3"/>
        <w:numPr>
          <w:ilvl w:val="0"/>
          <w:numId w:val="24"/>
        </w:numPr>
        <w:ind w:leftChars="0"/>
        <w:rPr>
          <w:rFonts w:ascii="新細明體" w:hAnsi="新細明體"/>
        </w:rPr>
      </w:pPr>
      <w:r>
        <w:rPr>
          <w:rFonts w:ascii="新細明體" w:hAnsi="新細明體"/>
        </w:rPr>
        <w:t>用詞定義</w:t>
      </w:r>
    </w:p>
    <w:p w:rsidR="00CF1B64" w:rsidRDefault="00CF1B64" w:rsidP="00CF1B64">
      <w:pPr>
        <w:pStyle w:val="a3"/>
        <w:numPr>
          <w:ilvl w:val="1"/>
          <w:numId w:val="25"/>
        </w:numPr>
        <w:ind w:leftChars="0"/>
        <w:rPr>
          <w:rFonts w:ascii="新細明體" w:hAnsi="新細明體"/>
        </w:rPr>
      </w:pPr>
      <w:r w:rsidRPr="007222A0">
        <w:rPr>
          <w:rFonts w:ascii="新細明體" w:hAnsi="新細明體"/>
        </w:rPr>
        <w:t>會計帳上屬交易性資產或負債科目之工具：在IFRS9下，工具納入交易經營模式且帳列為透過損益按公允價值衡量會計科目</w:t>
      </w:r>
      <w:r>
        <w:rPr>
          <w:rFonts w:ascii="新細明體" w:hAnsi="新細明體"/>
        </w:rPr>
        <w:t>；</w:t>
      </w:r>
    </w:p>
    <w:p w:rsidR="00F97555" w:rsidRPr="007222A0" w:rsidRDefault="00F97555" w:rsidP="00CF1B64">
      <w:pPr>
        <w:pStyle w:val="a3"/>
        <w:numPr>
          <w:ilvl w:val="1"/>
          <w:numId w:val="25"/>
        </w:numPr>
        <w:ind w:leftChars="0"/>
        <w:rPr>
          <w:rFonts w:ascii="新細明體" w:hAnsi="新細明體"/>
        </w:rPr>
      </w:pPr>
    </w:p>
    <w:p w:rsidR="00A924FE" w:rsidRPr="00363E61" w:rsidRDefault="00A924FE" w:rsidP="003B6620">
      <w:pPr>
        <w:pStyle w:val="a3"/>
        <w:numPr>
          <w:ilvl w:val="0"/>
          <w:numId w:val="8"/>
        </w:numPr>
        <w:ind w:leftChars="0"/>
        <w:rPr>
          <w:rFonts w:asciiTheme="minorEastAsia" w:eastAsiaTheme="minorEastAsia" w:hAnsiTheme="minorEastAsia"/>
        </w:rPr>
      </w:pPr>
      <w:r w:rsidRPr="00363E61">
        <w:rPr>
          <w:rFonts w:asciiTheme="minorEastAsia" w:eastAsiaTheme="minorEastAsia" w:hAnsiTheme="minorEastAsia"/>
        </w:rPr>
        <w:t>交易簿的範圍及認列標準</w:t>
      </w:r>
    </w:p>
    <w:p w:rsidR="00413CEC" w:rsidRPr="00363E61" w:rsidRDefault="00413CEC" w:rsidP="00413CEC">
      <w:pPr>
        <w:pStyle w:val="a3"/>
        <w:widowControl w:val="0"/>
        <w:numPr>
          <w:ilvl w:val="0"/>
          <w:numId w:val="9"/>
        </w:numPr>
        <w:spacing w:beforeLines="50" w:before="180"/>
        <w:ind w:leftChars="0" w:left="964" w:hanging="482"/>
        <w:jc w:val="both"/>
        <w:rPr>
          <w:rFonts w:asciiTheme="minorEastAsia" w:eastAsiaTheme="minorEastAsia" w:hAnsiTheme="minorEastAsia"/>
        </w:rPr>
      </w:pPr>
      <w:r w:rsidRPr="00363E61">
        <w:rPr>
          <w:rFonts w:asciiTheme="minorEastAsia" w:eastAsiaTheme="minorEastAsia" w:hAnsiTheme="minorEastAsia"/>
        </w:rPr>
        <w:t>交易簿的範圍</w:t>
      </w:r>
    </w:p>
    <w:p w:rsidR="00413CEC" w:rsidRPr="00363E61" w:rsidRDefault="00C7594C" w:rsidP="00413CEC">
      <w:pPr>
        <w:pStyle w:val="a3"/>
        <w:widowControl w:val="0"/>
        <w:spacing w:beforeLines="50" w:before="180"/>
        <w:ind w:leftChars="0" w:left="964"/>
        <w:jc w:val="both"/>
        <w:rPr>
          <w:rFonts w:asciiTheme="minorEastAsia" w:eastAsiaTheme="minorEastAsia" w:hAnsiTheme="minorEastAsia"/>
        </w:rPr>
      </w:pPr>
      <w:r w:rsidRPr="00363E61">
        <w:rPr>
          <w:rFonts w:asciiTheme="minorEastAsia" w:eastAsiaTheme="minorEastAsia" w:hAnsiTheme="minorEastAsia"/>
        </w:rPr>
        <w:t>依市場風險資本要求規範</w:t>
      </w:r>
    </w:p>
    <w:p w:rsidR="00F6425F" w:rsidRPr="00363E61" w:rsidRDefault="00F6425F" w:rsidP="00413CEC">
      <w:pPr>
        <w:pStyle w:val="a3"/>
        <w:widowControl w:val="0"/>
        <w:numPr>
          <w:ilvl w:val="0"/>
          <w:numId w:val="9"/>
        </w:numPr>
        <w:spacing w:beforeLines="50" w:before="180"/>
        <w:ind w:leftChars="0" w:left="964" w:hanging="482"/>
        <w:jc w:val="both"/>
        <w:rPr>
          <w:rFonts w:asciiTheme="minorEastAsia" w:eastAsiaTheme="minorEastAsia" w:hAnsiTheme="minorEastAsia"/>
        </w:rPr>
      </w:pPr>
      <w:r w:rsidRPr="00363E61">
        <w:rPr>
          <w:rFonts w:asciiTheme="minorEastAsia" w:eastAsiaTheme="minorEastAsia" w:hAnsiTheme="minorEastAsia"/>
        </w:rPr>
        <w:t>交易簿的認列標準</w:t>
      </w:r>
    </w:p>
    <w:p w:rsidR="00F6425F" w:rsidRPr="00363E61" w:rsidRDefault="00F6425F" w:rsidP="00F6425F">
      <w:pPr>
        <w:pStyle w:val="a3"/>
        <w:spacing w:beforeLines="50" w:before="180"/>
        <w:ind w:leftChars="0" w:left="964"/>
        <w:jc w:val="both"/>
        <w:rPr>
          <w:rFonts w:asciiTheme="minorEastAsia" w:eastAsiaTheme="minorEastAsia" w:hAnsiTheme="minorEastAsia"/>
        </w:rPr>
      </w:pPr>
      <w:r w:rsidRPr="00363E61">
        <w:rPr>
          <w:rFonts w:asciiTheme="minorEastAsia" w:eastAsiaTheme="minorEastAsia" w:hAnsiTheme="minorEastAsia"/>
        </w:rPr>
        <w:t>工具之持有目的符合下列任一者，應認列為交易簿工具</w:t>
      </w:r>
      <w:r w:rsidRPr="00363E61">
        <w:rPr>
          <w:rFonts w:asciiTheme="minorEastAsia" w:eastAsiaTheme="minorEastAsia" w:hAnsiTheme="minorEastAsia" w:hint="eastAsia"/>
        </w:rPr>
        <w:t>，但不以下列認列標準為限</w:t>
      </w:r>
      <w:r w:rsidRPr="00363E61">
        <w:rPr>
          <w:rFonts w:asciiTheme="minorEastAsia" w:eastAsiaTheme="minorEastAsia" w:hAnsiTheme="minorEastAsia"/>
        </w:rPr>
        <w:t>。</w:t>
      </w:r>
    </w:p>
    <w:p w:rsidR="00F6425F" w:rsidRPr="00363E61" w:rsidRDefault="00F6425F" w:rsidP="00F6425F">
      <w:pPr>
        <w:pStyle w:val="a3"/>
        <w:widowControl w:val="0"/>
        <w:numPr>
          <w:ilvl w:val="0"/>
          <w:numId w:val="11"/>
        </w:numPr>
        <w:spacing w:beforeLines="50" w:before="180"/>
        <w:ind w:leftChars="0" w:left="1446" w:hanging="482"/>
        <w:jc w:val="both"/>
        <w:rPr>
          <w:rFonts w:asciiTheme="minorEastAsia" w:eastAsiaTheme="minorEastAsia" w:hAnsiTheme="minorEastAsia"/>
        </w:rPr>
      </w:pPr>
      <w:r w:rsidRPr="00363E61">
        <w:rPr>
          <w:rFonts w:asciiTheme="minorEastAsia" w:eastAsiaTheme="minorEastAsia" w:hAnsiTheme="minorEastAsia"/>
        </w:rPr>
        <w:t>短期持有以供出售。</w:t>
      </w:r>
    </w:p>
    <w:p w:rsidR="00F6425F" w:rsidRPr="00363E61" w:rsidRDefault="00F6425F" w:rsidP="00F6425F">
      <w:pPr>
        <w:pStyle w:val="a3"/>
        <w:widowControl w:val="0"/>
        <w:numPr>
          <w:ilvl w:val="0"/>
          <w:numId w:val="11"/>
        </w:numPr>
        <w:spacing w:beforeLines="50" w:before="180"/>
        <w:ind w:leftChars="0" w:left="1446" w:hanging="482"/>
        <w:jc w:val="both"/>
        <w:rPr>
          <w:rFonts w:asciiTheme="minorEastAsia" w:eastAsiaTheme="minorEastAsia" w:hAnsiTheme="minorEastAsia"/>
        </w:rPr>
      </w:pPr>
      <w:r w:rsidRPr="00363E61">
        <w:rPr>
          <w:rFonts w:asciiTheme="minorEastAsia" w:eastAsiaTheme="minorEastAsia" w:hAnsiTheme="minorEastAsia"/>
        </w:rPr>
        <w:t>從短期價格波動中獲取利潤。</w:t>
      </w:r>
    </w:p>
    <w:p w:rsidR="00F6425F" w:rsidRPr="00363E61" w:rsidRDefault="00F6425F" w:rsidP="00F6425F">
      <w:pPr>
        <w:pStyle w:val="a3"/>
        <w:widowControl w:val="0"/>
        <w:numPr>
          <w:ilvl w:val="0"/>
          <w:numId w:val="11"/>
        </w:numPr>
        <w:spacing w:beforeLines="50" w:before="180"/>
        <w:ind w:leftChars="0" w:left="1446" w:hanging="482"/>
        <w:jc w:val="both"/>
        <w:rPr>
          <w:rFonts w:asciiTheme="minorEastAsia" w:eastAsiaTheme="minorEastAsia" w:hAnsiTheme="minorEastAsia"/>
        </w:rPr>
      </w:pPr>
      <w:r w:rsidRPr="00363E61">
        <w:rPr>
          <w:rFonts w:asciiTheme="minorEastAsia" w:eastAsiaTheme="minorEastAsia" w:hAnsiTheme="minorEastAsia"/>
        </w:rPr>
        <w:t>鎖住套利利潤。</w:t>
      </w:r>
    </w:p>
    <w:p w:rsidR="00F6425F" w:rsidRPr="00363E61" w:rsidRDefault="00F6425F" w:rsidP="00F6425F">
      <w:pPr>
        <w:pStyle w:val="a3"/>
        <w:widowControl w:val="0"/>
        <w:numPr>
          <w:ilvl w:val="0"/>
          <w:numId w:val="11"/>
        </w:numPr>
        <w:spacing w:beforeLines="50" w:before="180"/>
        <w:ind w:leftChars="0" w:left="1446" w:hanging="482"/>
        <w:jc w:val="both"/>
        <w:rPr>
          <w:rFonts w:asciiTheme="minorEastAsia" w:eastAsiaTheme="minorEastAsia" w:hAnsiTheme="minorEastAsia"/>
        </w:rPr>
      </w:pPr>
      <w:r w:rsidRPr="00363E61">
        <w:rPr>
          <w:rFonts w:asciiTheme="minorEastAsia" w:eastAsiaTheme="minorEastAsia" w:hAnsiTheme="minorEastAsia"/>
        </w:rPr>
        <w:t>符合上述(1)、(2)或(3)範疇工具的避險。</w:t>
      </w:r>
    </w:p>
    <w:p w:rsidR="00F6425F" w:rsidRPr="00363E61" w:rsidRDefault="00F6425F" w:rsidP="00F6425F">
      <w:pPr>
        <w:pStyle w:val="a3"/>
        <w:widowControl w:val="0"/>
        <w:numPr>
          <w:ilvl w:val="0"/>
          <w:numId w:val="9"/>
        </w:numPr>
        <w:spacing w:beforeLines="50" w:before="180"/>
        <w:ind w:leftChars="0" w:left="964" w:hanging="482"/>
        <w:jc w:val="both"/>
        <w:rPr>
          <w:rFonts w:asciiTheme="minorEastAsia" w:eastAsiaTheme="minorEastAsia" w:hAnsiTheme="minorEastAsia"/>
        </w:rPr>
      </w:pPr>
      <w:r w:rsidRPr="00363E61">
        <w:rPr>
          <w:rFonts w:asciiTheme="minorEastAsia" w:eastAsiaTheme="minorEastAsia" w:hAnsiTheme="minorEastAsia"/>
        </w:rPr>
        <w:t>持有下列工具將被視為至少符合一項上述所列之持有目的，因此須列入交易簿。</w:t>
      </w:r>
    </w:p>
    <w:p w:rsidR="00F6425F" w:rsidRPr="00363E61" w:rsidRDefault="00F6425F" w:rsidP="00F6425F">
      <w:pPr>
        <w:pStyle w:val="a3"/>
        <w:widowControl w:val="0"/>
        <w:numPr>
          <w:ilvl w:val="0"/>
          <w:numId w:val="14"/>
        </w:numPr>
        <w:spacing w:beforeLines="50" w:before="180"/>
        <w:ind w:leftChars="0"/>
        <w:jc w:val="both"/>
        <w:rPr>
          <w:rFonts w:asciiTheme="minorEastAsia" w:eastAsiaTheme="minorEastAsia" w:hAnsiTheme="minorEastAsia"/>
        </w:rPr>
      </w:pPr>
      <w:r w:rsidRPr="00363E61">
        <w:rPr>
          <w:rFonts w:asciiTheme="minorEastAsia" w:eastAsiaTheme="minorEastAsia" w:hAnsiTheme="minorEastAsia"/>
        </w:rPr>
        <w:t>具相關性交易組合之工具。</w:t>
      </w:r>
    </w:p>
    <w:p w:rsidR="00F6425F" w:rsidRPr="00363E61" w:rsidRDefault="00F6425F" w:rsidP="00F6425F">
      <w:pPr>
        <w:pStyle w:val="a3"/>
        <w:widowControl w:val="0"/>
        <w:numPr>
          <w:ilvl w:val="0"/>
          <w:numId w:val="14"/>
        </w:numPr>
        <w:spacing w:beforeLines="50" w:before="180"/>
        <w:ind w:leftChars="0" w:left="1446" w:hanging="482"/>
        <w:jc w:val="both"/>
        <w:rPr>
          <w:rFonts w:asciiTheme="minorEastAsia" w:eastAsiaTheme="minorEastAsia" w:hAnsiTheme="minorEastAsia"/>
        </w:rPr>
      </w:pPr>
      <w:r w:rsidRPr="00363E61">
        <w:rPr>
          <w:rFonts w:asciiTheme="minorEastAsia" w:eastAsiaTheme="minorEastAsia" w:hAnsiTheme="minorEastAsia"/>
        </w:rPr>
        <w:t>銀行簿信用或權益證券淨短部位所引起的工具。</w:t>
      </w:r>
    </w:p>
    <w:p w:rsidR="00F6425F" w:rsidRPr="00363E61" w:rsidRDefault="00F6425F" w:rsidP="00F6425F">
      <w:pPr>
        <w:pStyle w:val="a3"/>
        <w:widowControl w:val="0"/>
        <w:numPr>
          <w:ilvl w:val="0"/>
          <w:numId w:val="14"/>
        </w:numPr>
        <w:spacing w:beforeLines="50" w:before="180"/>
        <w:ind w:leftChars="0" w:left="1446" w:hanging="482"/>
        <w:jc w:val="both"/>
        <w:rPr>
          <w:rFonts w:asciiTheme="minorEastAsia" w:eastAsiaTheme="minorEastAsia" w:hAnsiTheme="minorEastAsia"/>
        </w:rPr>
      </w:pPr>
      <w:r w:rsidRPr="00363E61">
        <w:rPr>
          <w:rFonts w:asciiTheme="minorEastAsia" w:eastAsiaTheme="minorEastAsia" w:hAnsiTheme="minorEastAsia"/>
        </w:rPr>
        <w:t>透過承銷業務所持有之工具，此承銷業務僅指證券承銷，且涉及銀行預期在交割日會實際購買的證券。</w:t>
      </w:r>
    </w:p>
    <w:p w:rsidR="00635D1B" w:rsidRPr="00363E61" w:rsidRDefault="00F6425F" w:rsidP="00635D1B">
      <w:pPr>
        <w:pStyle w:val="a3"/>
        <w:widowControl w:val="0"/>
        <w:numPr>
          <w:ilvl w:val="0"/>
          <w:numId w:val="9"/>
        </w:numPr>
        <w:spacing w:beforeLines="50" w:before="180"/>
        <w:ind w:leftChars="0" w:left="964" w:hanging="482"/>
        <w:jc w:val="both"/>
        <w:rPr>
          <w:rFonts w:asciiTheme="minorEastAsia" w:eastAsiaTheme="minorEastAsia" w:hAnsiTheme="minorEastAsia"/>
        </w:rPr>
      </w:pPr>
      <w:r w:rsidRPr="00363E61">
        <w:rPr>
          <w:rFonts w:asciiTheme="minorEastAsia" w:eastAsiaTheme="minorEastAsia" w:hAnsiTheme="minorEastAsia"/>
        </w:rPr>
        <w:t>持有下列工具一般推定為至少符合一項上述所列之持有目的，因此須列入交易簿。</w:t>
      </w:r>
    </w:p>
    <w:p w:rsidR="00635D1B" w:rsidRPr="00363E61" w:rsidRDefault="00F6425F" w:rsidP="00635D1B">
      <w:pPr>
        <w:pStyle w:val="a3"/>
        <w:widowControl w:val="0"/>
        <w:numPr>
          <w:ilvl w:val="0"/>
          <w:numId w:val="15"/>
        </w:numPr>
        <w:spacing w:beforeLines="50" w:before="180"/>
        <w:ind w:leftChars="0"/>
        <w:jc w:val="both"/>
        <w:rPr>
          <w:rFonts w:asciiTheme="minorEastAsia" w:eastAsiaTheme="minorEastAsia" w:hAnsiTheme="minorEastAsia"/>
        </w:rPr>
      </w:pPr>
      <w:r w:rsidRPr="00363E61">
        <w:rPr>
          <w:rFonts w:asciiTheme="minorEastAsia" w:eastAsiaTheme="minorEastAsia" w:hAnsiTheme="minorEastAsia"/>
        </w:rPr>
        <w:t>會計帳上屬交易性資產或負債科目之工具。</w:t>
      </w:r>
    </w:p>
    <w:p w:rsidR="00635D1B" w:rsidRPr="00363E61" w:rsidRDefault="00F6425F" w:rsidP="00635D1B">
      <w:pPr>
        <w:pStyle w:val="a3"/>
        <w:widowControl w:val="0"/>
        <w:numPr>
          <w:ilvl w:val="0"/>
          <w:numId w:val="15"/>
        </w:numPr>
        <w:spacing w:beforeLines="50" w:before="180"/>
        <w:ind w:leftChars="0"/>
        <w:jc w:val="both"/>
        <w:rPr>
          <w:rFonts w:asciiTheme="minorEastAsia" w:eastAsiaTheme="minorEastAsia" w:hAnsiTheme="minorEastAsia"/>
        </w:rPr>
      </w:pPr>
      <w:r w:rsidRPr="00363E61">
        <w:rPr>
          <w:rFonts w:asciiTheme="minorEastAsia" w:eastAsiaTheme="minorEastAsia" w:hAnsiTheme="minorEastAsia"/>
        </w:rPr>
        <w:t>自造市活動產生的工具。</w:t>
      </w:r>
    </w:p>
    <w:p w:rsidR="00635D1B" w:rsidRPr="00363E61" w:rsidRDefault="00F6425F" w:rsidP="00635D1B">
      <w:pPr>
        <w:pStyle w:val="a3"/>
        <w:widowControl w:val="0"/>
        <w:numPr>
          <w:ilvl w:val="0"/>
          <w:numId w:val="15"/>
        </w:numPr>
        <w:spacing w:beforeLines="50" w:before="180"/>
        <w:ind w:leftChars="0"/>
        <w:jc w:val="both"/>
        <w:rPr>
          <w:rFonts w:asciiTheme="minorEastAsia" w:eastAsiaTheme="minorEastAsia" w:hAnsiTheme="minorEastAsia"/>
        </w:rPr>
      </w:pPr>
      <w:r w:rsidRPr="00363E61">
        <w:rPr>
          <w:rFonts w:asciiTheme="minorEastAsia" w:eastAsiaTheme="minorEastAsia" w:hAnsiTheme="minorEastAsia"/>
        </w:rPr>
        <w:t>非歸屬於銀行簿規範的基金股權投資。</w:t>
      </w:r>
    </w:p>
    <w:p w:rsidR="00635D1B" w:rsidRPr="00363E61" w:rsidRDefault="00F6425F" w:rsidP="00635D1B">
      <w:pPr>
        <w:pStyle w:val="a3"/>
        <w:widowControl w:val="0"/>
        <w:numPr>
          <w:ilvl w:val="0"/>
          <w:numId w:val="15"/>
        </w:numPr>
        <w:spacing w:beforeLines="50" w:before="180"/>
        <w:ind w:leftChars="0"/>
        <w:jc w:val="both"/>
        <w:rPr>
          <w:rFonts w:asciiTheme="minorEastAsia" w:eastAsiaTheme="minorEastAsia" w:hAnsiTheme="minorEastAsia"/>
        </w:rPr>
      </w:pPr>
      <w:r w:rsidRPr="00363E61">
        <w:rPr>
          <w:rFonts w:asciiTheme="minorEastAsia" w:eastAsiaTheme="minorEastAsia" w:hAnsiTheme="minorEastAsia"/>
        </w:rPr>
        <w:t>帳列透過損益按公允價值衡量(FVTPL)之上市櫃權益證券。</w:t>
      </w:r>
    </w:p>
    <w:p w:rsidR="00635D1B" w:rsidRPr="00363E61" w:rsidRDefault="00F6425F" w:rsidP="00635D1B">
      <w:pPr>
        <w:pStyle w:val="a3"/>
        <w:widowControl w:val="0"/>
        <w:numPr>
          <w:ilvl w:val="0"/>
          <w:numId w:val="15"/>
        </w:numPr>
        <w:spacing w:beforeLines="50" w:before="180"/>
        <w:ind w:leftChars="0"/>
        <w:jc w:val="both"/>
        <w:rPr>
          <w:rFonts w:asciiTheme="minorEastAsia" w:eastAsiaTheme="minorEastAsia" w:hAnsiTheme="minorEastAsia"/>
        </w:rPr>
      </w:pPr>
      <w:r w:rsidRPr="00363E61">
        <w:rPr>
          <w:rFonts w:asciiTheme="minorEastAsia" w:eastAsiaTheme="minorEastAsia" w:hAnsiTheme="minorEastAsia"/>
        </w:rPr>
        <w:t>交易相關之附買回型交易。</w:t>
      </w:r>
    </w:p>
    <w:p w:rsidR="00F6425F" w:rsidRPr="00363E61" w:rsidRDefault="00F6425F" w:rsidP="00635D1B">
      <w:pPr>
        <w:pStyle w:val="a3"/>
        <w:widowControl w:val="0"/>
        <w:numPr>
          <w:ilvl w:val="0"/>
          <w:numId w:val="15"/>
        </w:numPr>
        <w:spacing w:beforeLines="50" w:before="180"/>
        <w:ind w:leftChars="0"/>
        <w:jc w:val="both"/>
        <w:rPr>
          <w:rFonts w:asciiTheme="minorEastAsia" w:eastAsiaTheme="minorEastAsia" w:hAnsiTheme="minorEastAsia"/>
        </w:rPr>
      </w:pPr>
      <w:r w:rsidRPr="00363E61">
        <w:rPr>
          <w:rFonts w:asciiTheme="minorEastAsia" w:eastAsiaTheme="minorEastAsia" w:hAnsiTheme="minorEastAsia"/>
        </w:rPr>
        <w:lastRenderedPageBreak/>
        <w:t>源於銀行簿信用或權益證券風險相關所發行的選擇權，包括嵌入式衍生性商品。</w:t>
      </w:r>
    </w:p>
    <w:p w:rsidR="00A924FE" w:rsidRPr="00363E61" w:rsidRDefault="00A924FE" w:rsidP="00A924FE">
      <w:pPr>
        <w:pStyle w:val="a3"/>
        <w:ind w:leftChars="0" w:left="425"/>
        <w:rPr>
          <w:rFonts w:asciiTheme="minorEastAsia" w:eastAsiaTheme="minorEastAsia" w:hAnsiTheme="minorEastAsia"/>
        </w:rPr>
      </w:pPr>
    </w:p>
    <w:p w:rsidR="00A924FE" w:rsidRPr="00363E61" w:rsidRDefault="00A924FE" w:rsidP="00A924FE">
      <w:pPr>
        <w:pStyle w:val="a3"/>
        <w:numPr>
          <w:ilvl w:val="0"/>
          <w:numId w:val="8"/>
        </w:numPr>
        <w:ind w:leftChars="0"/>
        <w:rPr>
          <w:rFonts w:asciiTheme="minorEastAsia" w:eastAsiaTheme="minorEastAsia" w:hAnsiTheme="minorEastAsia"/>
        </w:rPr>
      </w:pPr>
      <w:r w:rsidRPr="00363E61">
        <w:rPr>
          <w:rFonts w:asciiTheme="minorEastAsia" w:eastAsiaTheme="minorEastAsia" w:hAnsiTheme="minorEastAsia"/>
        </w:rPr>
        <w:t>銀行簿的範圍及認列標準</w:t>
      </w:r>
    </w:p>
    <w:p w:rsidR="00413CEC" w:rsidRPr="00363E61" w:rsidRDefault="00413CEC" w:rsidP="00A924FE">
      <w:pPr>
        <w:pStyle w:val="a3"/>
        <w:widowControl w:val="0"/>
        <w:numPr>
          <w:ilvl w:val="0"/>
          <w:numId w:val="7"/>
        </w:numPr>
        <w:spacing w:beforeLines="50" w:before="180"/>
        <w:ind w:leftChars="0" w:left="964" w:hanging="482"/>
        <w:jc w:val="both"/>
        <w:rPr>
          <w:rFonts w:asciiTheme="minorEastAsia" w:eastAsiaTheme="minorEastAsia" w:hAnsiTheme="minorEastAsia"/>
        </w:rPr>
      </w:pPr>
      <w:r w:rsidRPr="00363E61">
        <w:rPr>
          <w:rFonts w:asciiTheme="minorEastAsia" w:eastAsiaTheme="minorEastAsia" w:hAnsiTheme="minorEastAsia"/>
        </w:rPr>
        <w:t>銀行簿的範圍</w:t>
      </w:r>
    </w:p>
    <w:p w:rsidR="00413CEC" w:rsidRPr="00363E61" w:rsidRDefault="009A0231" w:rsidP="00413CEC">
      <w:pPr>
        <w:spacing w:beforeLines="50" w:before="180"/>
        <w:ind w:leftChars="400" w:left="960"/>
        <w:jc w:val="both"/>
        <w:rPr>
          <w:rFonts w:asciiTheme="minorEastAsia" w:hAnsiTheme="minorEastAsia" w:cs="Calibri"/>
          <w:kern w:val="0"/>
          <w:szCs w:val="24"/>
        </w:rPr>
      </w:pPr>
      <w:r w:rsidRPr="00363E61">
        <w:rPr>
          <w:rFonts w:asciiTheme="minorEastAsia" w:hAnsiTheme="minorEastAsia" w:cs="Calibri"/>
        </w:rPr>
        <w:t>依</w:t>
      </w:r>
      <w:r w:rsidRPr="00363E61">
        <w:rPr>
          <w:rFonts w:asciiTheme="minorEastAsia" w:hAnsiTheme="minorEastAsia" w:cs="Calibri"/>
          <w:kern w:val="0"/>
          <w:szCs w:val="24"/>
        </w:rPr>
        <w:t>信用風險</w:t>
      </w:r>
      <w:r w:rsidRPr="00363E61">
        <w:rPr>
          <w:rFonts w:asciiTheme="minorEastAsia" w:hAnsiTheme="minorEastAsia" w:cs="Calibri"/>
        </w:rPr>
        <w:t>資本要求規範</w:t>
      </w:r>
      <w:r w:rsidRPr="00363E61">
        <w:rPr>
          <w:rFonts w:asciiTheme="minorEastAsia" w:hAnsiTheme="minorEastAsia" w:cs="Calibri"/>
          <w:kern w:val="0"/>
          <w:szCs w:val="24"/>
        </w:rPr>
        <w:t>。</w:t>
      </w:r>
      <w:r w:rsidR="00413CEC" w:rsidRPr="00363E61">
        <w:rPr>
          <w:rFonts w:asciiTheme="minorEastAsia" w:hAnsiTheme="minorEastAsia" w:cs="Calibri"/>
          <w:kern w:val="0"/>
          <w:szCs w:val="24"/>
        </w:rPr>
        <w:t>任何非屬交易簿之工具，皆須認列為銀行簿。</w:t>
      </w:r>
    </w:p>
    <w:p w:rsidR="00A924FE" w:rsidRPr="00363E61" w:rsidRDefault="00A924FE" w:rsidP="00A924FE">
      <w:pPr>
        <w:pStyle w:val="a3"/>
        <w:widowControl w:val="0"/>
        <w:numPr>
          <w:ilvl w:val="0"/>
          <w:numId w:val="7"/>
        </w:numPr>
        <w:spacing w:beforeLines="50" w:before="180"/>
        <w:ind w:leftChars="0" w:left="964" w:hanging="482"/>
        <w:jc w:val="both"/>
        <w:rPr>
          <w:rFonts w:asciiTheme="minorEastAsia" w:eastAsiaTheme="minorEastAsia" w:hAnsiTheme="minorEastAsia"/>
        </w:rPr>
      </w:pPr>
      <w:r w:rsidRPr="00363E61">
        <w:rPr>
          <w:rFonts w:asciiTheme="minorEastAsia" w:eastAsiaTheme="minorEastAsia" w:hAnsiTheme="minorEastAsia"/>
        </w:rPr>
        <w:t>符合下列條件之工具必須認列為銀行簿：</w:t>
      </w:r>
    </w:p>
    <w:p w:rsidR="00A924FE" w:rsidRPr="00363E61"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363E61">
        <w:rPr>
          <w:rFonts w:asciiTheme="minorEastAsia" w:eastAsiaTheme="minorEastAsia" w:hAnsiTheme="minorEastAsia"/>
        </w:rPr>
        <w:t>非屬帳列透過損益按公允價值衡量(FVTPL)之上市櫃權益證券。</w:t>
      </w:r>
    </w:p>
    <w:p w:rsidR="00A924FE" w:rsidRPr="00363E61"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363E61">
        <w:rPr>
          <w:rFonts w:asciiTheme="minorEastAsia" w:eastAsiaTheme="minorEastAsia" w:hAnsiTheme="minorEastAsia"/>
        </w:rPr>
        <w:t>未上市櫃權益證券。</w:t>
      </w:r>
    </w:p>
    <w:p w:rsidR="00A924FE" w:rsidRPr="00363E61"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363E61">
        <w:rPr>
          <w:rFonts w:asciiTheme="minorEastAsia" w:eastAsiaTheme="minorEastAsia" w:hAnsiTheme="minorEastAsia"/>
        </w:rPr>
        <w:t>認定為證券化零售資產之工具。</w:t>
      </w:r>
    </w:p>
    <w:p w:rsidR="00A924FE" w:rsidRPr="00363E61"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363E61">
        <w:rPr>
          <w:rFonts w:asciiTheme="minorEastAsia" w:eastAsiaTheme="minorEastAsia" w:hAnsiTheme="minorEastAsia"/>
        </w:rPr>
        <w:t>直接持有之不動產及以不動產為基礎之衍生性商品。</w:t>
      </w:r>
    </w:p>
    <w:p w:rsidR="00A924FE" w:rsidRPr="00363E61"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363E61">
        <w:rPr>
          <w:rFonts w:asciiTheme="minorEastAsia" w:eastAsiaTheme="minorEastAsia" w:hAnsiTheme="minorEastAsia"/>
        </w:rPr>
        <w:t>零售及中小企業信用。</w:t>
      </w:r>
    </w:p>
    <w:p w:rsidR="00A924FE" w:rsidRPr="00363E61"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363E61">
        <w:rPr>
          <w:rFonts w:asciiTheme="minorEastAsia" w:eastAsiaTheme="minorEastAsia" w:hAnsiTheme="minorEastAsia"/>
        </w:rPr>
        <w:t>基金股權投資，惟符合下列至少一項條件時，可排除於銀行簿之範圍：</w:t>
      </w:r>
    </w:p>
    <w:p w:rsidR="00A924FE" w:rsidRPr="00363E61" w:rsidRDefault="00A924FE" w:rsidP="00A924FE">
      <w:pPr>
        <w:spacing w:beforeLines="50" w:before="180"/>
        <w:ind w:left="1758" w:hanging="312"/>
        <w:jc w:val="both"/>
        <w:rPr>
          <w:rFonts w:asciiTheme="minorEastAsia" w:hAnsiTheme="minorEastAsia" w:cs="Calibri"/>
          <w:kern w:val="0"/>
          <w:szCs w:val="24"/>
        </w:rPr>
      </w:pPr>
      <w:r w:rsidRPr="00363E61">
        <w:rPr>
          <w:rFonts w:asciiTheme="minorEastAsia" w:hAnsiTheme="minorEastAsia" w:cs="Calibri"/>
          <w:kern w:val="0"/>
          <w:szCs w:val="24"/>
        </w:rPr>
        <w:t>a. 可拆解基金之個別組成，提供的基金組成有充足且頻繁的訊息，並經獨立第三方驗證；或</w:t>
      </w:r>
    </w:p>
    <w:p w:rsidR="00A924FE" w:rsidRPr="00363E61" w:rsidRDefault="00A924FE" w:rsidP="00A924FE">
      <w:pPr>
        <w:spacing w:beforeLines="50" w:before="180"/>
        <w:ind w:left="1758" w:hanging="312"/>
        <w:jc w:val="both"/>
        <w:rPr>
          <w:rFonts w:asciiTheme="minorEastAsia" w:hAnsiTheme="minorEastAsia" w:cs="Calibri"/>
          <w:kern w:val="0"/>
          <w:szCs w:val="24"/>
        </w:rPr>
      </w:pPr>
      <w:r w:rsidRPr="00363E61">
        <w:rPr>
          <w:rFonts w:asciiTheme="minorEastAsia" w:hAnsiTheme="minorEastAsia" w:cs="Calibri"/>
          <w:kern w:val="0"/>
          <w:szCs w:val="24"/>
        </w:rPr>
        <w:t>b. 可獲得基金的每日報價，並且可以獲得基金授權或法令規定管理此類投資基金的訊息。</w:t>
      </w:r>
    </w:p>
    <w:p w:rsidR="00A924FE" w:rsidRPr="00363E61"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363E61">
        <w:rPr>
          <w:rFonts w:asciiTheme="minorEastAsia" w:eastAsiaTheme="minorEastAsia" w:hAnsiTheme="minorEastAsia"/>
        </w:rPr>
        <w:t>避險基金。</w:t>
      </w:r>
    </w:p>
    <w:p w:rsidR="00A924FE" w:rsidRPr="00363E61"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363E61">
        <w:rPr>
          <w:rFonts w:asciiTheme="minorEastAsia" w:eastAsiaTheme="minorEastAsia" w:hAnsiTheme="minorEastAsia"/>
        </w:rPr>
        <w:t>以上述工具類型為標的資產的衍生性工具及基金。</w:t>
      </w:r>
    </w:p>
    <w:p w:rsidR="00832EA7" w:rsidRPr="00176346" w:rsidRDefault="00A924FE" w:rsidP="00176346">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363E61">
        <w:rPr>
          <w:rFonts w:asciiTheme="minorEastAsia" w:eastAsiaTheme="minorEastAsia" w:hAnsiTheme="minorEastAsia"/>
        </w:rPr>
        <w:t>為規避上述工具類型特定風險部位所持有之工具。</w:t>
      </w:r>
    </w:p>
    <w:p w:rsidR="00832EA7" w:rsidRPr="00363E61" w:rsidRDefault="00832EA7" w:rsidP="00E445CF">
      <w:pPr>
        <w:pStyle w:val="a3"/>
        <w:ind w:leftChars="0" w:left="425"/>
        <w:rPr>
          <w:rFonts w:asciiTheme="minorEastAsia" w:eastAsiaTheme="minorEastAsia" w:hAnsiTheme="minorEastAsia"/>
        </w:rPr>
      </w:pPr>
    </w:p>
    <w:p w:rsidR="00E445CF" w:rsidRPr="00B93188" w:rsidRDefault="00B93188" w:rsidP="00B93188">
      <w:pPr>
        <w:pStyle w:val="a3"/>
        <w:numPr>
          <w:ilvl w:val="0"/>
          <w:numId w:val="8"/>
        </w:numPr>
        <w:ind w:leftChars="0"/>
        <w:rPr>
          <w:rFonts w:asciiTheme="minorEastAsia" w:eastAsiaTheme="minorEastAsia" w:hAnsiTheme="minorEastAsia"/>
        </w:rPr>
      </w:pPr>
      <w:r>
        <w:rPr>
          <w:rFonts w:ascii="新細明體" w:hAnsi="新細明體"/>
        </w:rPr>
        <w:t>簿別間重新認列</w:t>
      </w:r>
      <w:r w:rsidR="00826945">
        <w:rPr>
          <w:rFonts w:ascii="新細明體" w:hAnsi="新細明體" w:hint="eastAsia"/>
          <w:lang w:eastAsia="zh-HK"/>
        </w:rPr>
        <w:t>標準</w:t>
      </w:r>
    </w:p>
    <w:p w:rsidR="00826945" w:rsidRPr="00826945" w:rsidRDefault="00826945" w:rsidP="00E445CF">
      <w:pPr>
        <w:pStyle w:val="a3"/>
        <w:widowControl w:val="0"/>
        <w:numPr>
          <w:ilvl w:val="0"/>
          <w:numId w:val="17"/>
        </w:numPr>
        <w:spacing w:beforeLines="50" w:before="180"/>
        <w:ind w:leftChars="0" w:left="964" w:hanging="482"/>
        <w:jc w:val="both"/>
        <w:rPr>
          <w:rFonts w:asciiTheme="minorEastAsia" w:eastAsiaTheme="minorEastAsia" w:hAnsiTheme="minorEastAsia"/>
        </w:rPr>
      </w:pPr>
      <w:r w:rsidRPr="004E1819">
        <w:rPr>
          <w:rFonts w:ascii="新細明體" w:hAnsi="新細明體"/>
        </w:rPr>
        <w:t>工具因市場事件、</w:t>
      </w:r>
      <w:r w:rsidRPr="004E1819">
        <w:rPr>
          <w:rFonts w:ascii="新細明體" w:hAnsi="新細明體" w:hint="eastAsia"/>
        </w:rPr>
        <w:t>金融</w:t>
      </w:r>
      <w:r w:rsidRPr="004E1819">
        <w:rPr>
          <w:rFonts w:ascii="新細明體" w:hAnsi="新細明體"/>
        </w:rPr>
        <w:t>工具的流動性變化或交易目的改變等理由而進行交易簿與銀行簿間之移轉，並非是重新指定工具到不同簿別。必須確保移轉部位嚴格遵守工具簿別認列規定</w:t>
      </w:r>
      <w:r w:rsidRPr="004E1819">
        <w:rPr>
          <w:rFonts w:ascii="新細明體" w:hAnsi="新細明體" w:hint="eastAsia"/>
          <w:lang w:eastAsia="zh-HK"/>
        </w:rPr>
        <w:t>，並</w:t>
      </w:r>
      <w:r w:rsidRPr="004E1819">
        <w:rPr>
          <w:rFonts w:ascii="新細明體" w:hAnsi="新細明體"/>
        </w:rPr>
        <w:t>須</w:t>
      </w:r>
      <w:r>
        <w:rPr>
          <w:rFonts w:ascii="新細明體" w:hAnsi="新細明體" w:hint="eastAsia"/>
          <w:lang w:eastAsia="zh-HK"/>
        </w:rPr>
        <w:t>符合下列要求：</w:t>
      </w:r>
    </w:p>
    <w:p w:rsidR="00826945" w:rsidRPr="00826945" w:rsidRDefault="00826945" w:rsidP="00826945">
      <w:pPr>
        <w:pStyle w:val="a3"/>
        <w:widowControl w:val="0"/>
        <w:spacing w:beforeLines="50" w:before="180"/>
        <w:ind w:leftChars="0" w:left="964"/>
        <w:jc w:val="both"/>
        <w:rPr>
          <w:rFonts w:asciiTheme="minorEastAsia" w:eastAsiaTheme="minorEastAsia" w:hAnsiTheme="minorEastAsia"/>
        </w:rPr>
      </w:pPr>
      <w:r w:rsidRPr="004E1819">
        <w:rPr>
          <w:rFonts w:ascii="新細明體" w:hAnsi="新細明體"/>
        </w:rPr>
        <w:t>計算工具簿別移轉前及移轉當下其總資本要求(跨銀行簿和交易簿)，若該資本要求因移轉而減少，應依據</w:t>
      </w:r>
      <w:r w:rsidRPr="004E1819">
        <w:rPr>
          <w:rFonts w:ascii="新細明體" w:hAnsi="新細明體" w:hint="eastAsia"/>
        </w:rPr>
        <w:t>金管</w:t>
      </w:r>
      <w:r w:rsidRPr="004E1819">
        <w:rPr>
          <w:rFonts w:ascii="新細明體" w:hAnsi="新細明體"/>
        </w:rPr>
        <w:t>會同意之方式將移轉時計算的差額附註揭露於第一支柱資本要求，且該差額註記須持續至部位到。因該</w:t>
      </w:r>
      <w:r w:rsidRPr="004E1819">
        <w:rPr>
          <w:rFonts w:ascii="新細明體" w:hAnsi="新細明體"/>
        </w:rPr>
        <w:lastRenderedPageBreak/>
        <w:t>部位須持續遵循於移轉後簿別的資本要求，該差額僅須於簿別移轉時計算一次，無須持續計算。</w:t>
      </w:r>
    </w:p>
    <w:p w:rsidR="00826945" w:rsidRDefault="00AD61C5" w:rsidP="00E445CF">
      <w:pPr>
        <w:pStyle w:val="a3"/>
        <w:widowControl w:val="0"/>
        <w:numPr>
          <w:ilvl w:val="0"/>
          <w:numId w:val="17"/>
        </w:numPr>
        <w:spacing w:beforeLines="50" w:before="180"/>
        <w:ind w:leftChars="0" w:left="964" w:hanging="482"/>
        <w:jc w:val="both"/>
        <w:rPr>
          <w:rFonts w:asciiTheme="minorEastAsia" w:eastAsiaTheme="minorEastAsia" w:hAnsiTheme="minorEastAsia"/>
        </w:rPr>
      </w:pPr>
      <w:r>
        <w:rPr>
          <w:rFonts w:ascii="新細明體" w:hAnsi="新細明體" w:hint="eastAsia"/>
          <w:lang w:eastAsia="zh-HK"/>
        </w:rPr>
        <w:t>任何</w:t>
      </w:r>
      <w:r w:rsidR="00826945">
        <w:rPr>
          <w:rFonts w:ascii="新細明體" w:hAnsi="新細明體"/>
        </w:rPr>
        <w:t>簿別間重新認列</w:t>
      </w:r>
      <w:r w:rsidR="00826945">
        <w:rPr>
          <w:rFonts w:asciiTheme="minorEastAsia" w:eastAsiaTheme="minorEastAsia" w:hAnsiTheme="minorEastAsia" w:hint="eastAsia"/>
          <w:lang w:eastAsia="zh-HK"/>
        </w:rPr>
        <w:t>，均應符合下列要求</w:t>
      </w:r>
      <w:r>
        <w:rPr>
          <w:rFonts w:asciiTheme="minorEastAsia" w:eastAsiaTheme="minorEastAsia" w:hAnsiTheme="minorEastAsia" w:hint="eastAsia"/>
          <w:lang w:eastAsia="zh-HK"/>
        </w:rPr>
        <w:t>。</w:t>
      </w:r>
    </w:p>
    <w:p w:rsidR="00E445CF" w:rsidRPr="00B93188" w:rsidRDefault="00E445CF" w:rsidP="00826945">
      <w:pPr>
        <w:pStyle w:val="a3"/>
        <w:widowControl w:val="0"/>
        <w:numPr>
          <w:ilvl w:val="2"/>
          <w:numId w:val="26"/>
        </w:numPr>
        <w:spacing w:beforeLines="50" w:before="180"/>
        <w:ind w:leftChars="0"/>
        <w:jc w:val="both"/>
        <w:rPr>
          <w:rFonts w:asciiTheme="minorEastAsia" w:eastAsiaTheme="minorEastAsia" w:hAnsiTheme="minorEastAsia"/>
        </w:rPr>
      </w:pPr>
      <w:r w:rsidRPr="00B93188">
        <w:rPr>
          <w:rFonts w:asciiTheme="minorEastAsia" w:eastAsiaTheme="minorEastAsia" w:hAnsiTheme="minorEastAsia"/>
        </w:rPr>
        <w:t>任何簿別間的重新認列須由高階管理階層核准並詳細記錄，經內部審查確定與銀行政策相符，並由</w:t>
      </w:r>
      <w:r w:rsidR="00A57421">
        <w:rPr>
          <w:rFonts w:asciiTheme="minorEastAsia" w:eastAsiaTheme="minorEastAsia" w:hAnsiTheme="minorEastAsia" w:hint="eastAsia"/>
          <w:lang w:eastAsia="zh-HK"/>
        </w:rPr>
        <w:t>本</w:t>
      </w:r>
      <w:r w:rsidRPr="00B93188">
        <w:rPr>
          <w:rFonts w:asciiTheme="minorEastAsia" w:eastAsiaTheme="minorEastAsia" w:hAnsiTheme="minorEastAsia"/>
        </w:rPr>
        <w:t>行提供說明文件，以取得</w:t>
      </w:r>
      <w:r w:rsidR="00041C25">
        <w:rPr>
          <w:rFonts w:asciiTheme="minorEastAsia" w:eastAsiaTheme="minorEastAsia" w:hAnsiTheme="minorEastAsia"/>
        </w:rPr>
        <w:t>金管</w:t>
      </w:r>
      <w:r w:rsidRPr="00B93188">
        <w:rPr>
          <w:rFonts w:asciiTheme="minorEastAsia" w:eastAsiaTheme="minorEastAsia" w:hAnsiTheme="minorEastAsia"/>
        </w:rPr>
        <w:t>會的事先核准，並且需進行公開揭露。</w:t>
      </w:r>
    </w:p>
    <w:p w:rsidR="00E445CF" w:rsidRPr="00B93188" w:rsidRDefault="00E445CF" w:rsidP="00826945">
      <w:pPr>
        <w:pStyle w:val="a3"/>
        <w:widowControl w:val="0"/>
        <w:numPr>
          <w:ilvl w:val="2"/>
          <w:numId w:val="26"/>
        </w:numPr>
        <w:spacing w:beforeLines="50" w:before="180"/>
        <w:ind w:leftChars="0"/>
        <w:jc w:val="both"/>
        <w:rPr>
          <w:rFonts w:asciiTheme="minorEastAsia" w:eastAsiaTheme="minorEastAsia" w:hAnsiTheme="minorEastAsia"/>
        </w:rPr>
      </w:pPr>
      <w:r w:rsidRPr="00B93188">
        <w:rPr>
          <w:rFonts w:asciiTheme="minorEastAsia" w:eastAsiaTheme="minorEastAsia" w:hAnsiTheme="minorEastAsia"/>
        </w:rPr>
        <w:t>除非簿別轉換工具之部位性質被要求改變，不然任何重新認列皆不可撤銷。</w:t>
      </w:r>
    </w:p>
    <w:p w:rsidR="00F0052F" w:rsidRPr="00E51641" w:rsidRDefault="00E445CF" w:rsidP="00826945">
      <w:pPr>
        <w:pStyle w:val="a3"/>
        <w:widowControl w:val="0"/>
        <w:numPr>
          <w:ilvl w:val="2"/>
          <w:numId w:val="26"/>
        </w:numPr>
        <w:spacing w:beforeLines="50" w:before="180"/>
        <w:ind w:leftChars="0"/>
        <w:jc w:val="both"/>
        <w:rPr>
          <w:rFonts w:asciiTheme="minorEastAsia" w:eastAsiaTheme="minorEastAsia" w:hAnsiTheme="minorEastAsia"/>
        </w:rPr>
      </w:pPr>
      <w:r w:rsidRPr="00B93188">
        <w:rPr>
          <w:rFonts w:asciiTheme="minorEastAsia" w:eastAsiaTheme="minorEastAsia" w:hAnsiTheme="minorEastAsia"/>
        </w:rPr>
        <w:t>若重分類為會計帳上屬交易性資產或負債之工具，則假定該工具為交易簿。在這種情況下自動移轉可以毋須本會的核准。</w:t>
      </w:r>
    </w:p>
    <w:p w:rsidR="00AD61C5" w:rsidRPr="00EB3F78" w:rsidRDefault="00AD61C5" w:rsidP="004C7489">
      <w:pPr>
        <w:pStyle w:val="a3"/>
        <w:widowControl w:val="0"/>
        <w:numPr>
          <w:ilvl w:val="0"/>
          <w:numId w:val="17"/>
        </w:numPr>
        <w:spacing w:beforeLines="50" w:before="180"/>
        <w:ind w:leftChars="0" w:left="964" w:hanging="482"/>
        <w:jc w:val="both"/>
        <w:rPr>
          <w:rFonts w:ascii="新細明體" w:hAnsi="新細明體"/>
          <w:lang w:eastAsia="zh-HK"/>
        </w:rPr>
      </w:pPr>
      <w:r>
        <w:rPr>
          <w:rFonts w:ascii="新細明體" w:hAnsi="新細明體" w:hint="eastAsia"/>
          <w:lang w:eastAsia="zh-HK"/>
        </w:rPr>
        <w:t>交易單位</w:t>
      </w:r>
      <w:r w:rsidRPr="00145B44">
        <w:rPr>
          <w:rFonts w:ascii="新細明體" w:hAnsi="新細明體"/>
          <w:lang w:eastAsia="zh-HK"/>
        </w:rPr>
        <w:t>須至少每年根據前一年度所有被辨識的異常事件分析更新</w:t>
      </w:r>
      <w:r w:rsidRPr="00145B44">
        <w:rPr>
          <w:rFonts w:ascii="新細明體" w:hAnsi="新細明體" w:hint="eastAsia"/>
          <w:lang w:eastAsia="zh-HK"/>
        </w:rPr>
        <w:t>本</w:t>
      </w:r>
      <w:r w:rsidRPr="00145B44">
        <w:rPr>
          <w:rFonts w:ascii="新細明體" w:hAnsi="新細明體"/>
          <w:lang w:eastAsia="zh-HK"/>
        </w:rPr>
        <w:t>政策，如有顯著變更的更新必須陳報</w:t>
      </w:r>
      <w:r w:rsidRPr="00145B44">
        <w:rPr>
          <w:rFonts w:ascii="新細明體" w:hAnsi="新細明體" w:hint="eastAsia"/>
          <w:lang w:eastAsia="zh-HK"/>
        </w:rPr>
        <w:t>金管</w:t>
      </w:r>
      <w:r w:rsidRPr="00145B44">
        <w:rPr>
          <w:rFonts w:ascii="新細明體" w:hAnsi="新細明體"/>
          <w:lang w:eastAsia="zh-HK"/>
        </w:rPr>
        <w:t>會，</w:t>
      </w:r>
      <w:r w:rsidR="00477116">
        <w:rPr>
          <w:rFonts w:ascii="新細明體" w:hAnsi="新細明體" w:hint="eastAsia"/>
          <w:lang w:eastAsia="zh-HK"/>
        </w:rPr>
        <w:t>其內容</w:t>
      </w:r>
      <w:r w:rsidRPr="00145B44">
        <w:rPr>
          <w:rFonts w:ascii="新細明體" w:hAnsi="新細明體"/>
          <w:lang w:eastAsia="zh-HK"/>
        </w:rPr>
        <w:t>必須包括下列事項：</w:t>
      </w:r>
    </w:p>
    <w:p w:rsidR="00AD61C5" w:rsidRPr="00145B44" w:rsidRDefault="00AD61C5" w:rsidP="00AD61C5">
      <w:pPr>
        <w:pStyle w:val="a3"/>
        <w:widowControl w:val="0"/>
        <w:numPr>
          <w:ilvl w:val="2"/>
          <w:numId w:val="21"/>
        </w:numPr>
        <w:spacing w:beforeLines="50" w:before="180"/>
        <w:ind w:leftChars="0"/>
        <w:jc w:val="both"/>
        <w:rPr>
          <w:rFonts w:ascii="新細明體" w:hAnsi="新細明體"/>
        </w:rPr>
      </w:pPr>
      <w:r w:rsidRPr="00145B44">
        <w:rPr>
          <w:rFonts w:ascii="新細明體" w:hAnsi="新細明體"/>
        </w:rPr>
        <w:t>工具簿別重新認列之限制要求；簿別移轉之情況、條件及標準。</w:t>
      </w:r>
    </w:p>
    <w:p w:rsidR="00AD61C5" w:rsidRPr="00145B44" w:rsidRDefault="00593B3F" w:rsidP="00AD61C5">
      <w:pPr>
        <w:pStyle w:val="a3"/>
        <w:widowControl w:val="0"/>
        <w:numPr>
          <w:ilvl w:val="2"/>
          <w:numId w:val="21"/>
        </w:numPr>
        <w:spacing w:beforeLines="50" w:before="180"/>
        <w:ind w:leftChars="0"/>
        <w:jc w:val="both"/>
        <w:rPr>
          <w:rFonts w:ascii="新細明體" w:hAnsi="新細明體"/>
        </w:rPr>
      </w:pPr>
      <w:r>
        <w:rPr>
          <w:rFonts w:ascii="新細明體" w:hAnsi="新細明體"/>
        </w:rPr>
        <w:t>移轉過程應得到高階管理階層及</w:t>
      </w:r>
      <w:r>
        <w:rPr>
          <w:rFonts w:ascii="新細明體" w:hAnsi="新細明體" w:hint="eastAsia"/>
          <w:lang w:eastAsia="zh-HK"/>
        </w:rPr>
        <w:t>金管</w:t>
      </w:r>
      <w:r w:rsidR="00AD61C5" w:rsidRPr="00145B44">
        <w:rPr>
          <w:rFonts w:ascii="新細明體" w:hAnsi="新細明體"/>
        </w:rPr>
        <w:t>會核准。</w:t>
      </w:r>
    </w:p>
    <w:p w:rsidR="00AD61C5" w:rsidRPr="00145B44" w:rsidRDefault="00AD61C5" w:rsidP="00AD61C5">
      <w:pPr>
        <w:pStyle w:val="a3"/>
        <w:widowControl w:val="0"/>
        <w:numPr>
          <w:ilvl w:val="2"/>
          <w:numId w:val="21"/>
        </w:numPr>
        <w:spacing w:beforeLines="50" w:before="180"/>
        <w:ind w:leftChars="0"/>
        <w:jc w:val="both"/>
        <w:rPr>
          <w:rFonts w:ascii="新細明體" w:hAnsi="新細明體"/>
        </w:rPr>
      </w:pPr>
      <w:r w:rsidRPr="00145B44">
        <w:rPr>
          <w:rFonts w:ascii="新細明體" w:hAnsi="新細明體"/>
        </w:rPr>
        <w:t>異常事件之辨識。</w:t>
      </w:r>
    </w:p>
    <w:p w:rsidR="00AD61C5" w:rsidRPr="00145B44" w:rsidRDefault="00AD61C5" w:rsidP="00AD61C5">
      <w:pPr>
        <w:pStyle w:val="a3"/>
        <w:widowControl w:val="0"/>
        <w:numPr>
          <w:ilvl w:val="2"/>
          <w:numId w:val="21"/>
        </w:numPr>
        <w:spacing w:beforeLines="50" w:before="180"/>
        <w:ind w:leftChars="0"/>
        <w:jc w:val="both"/>
        <w:rPr>
          <w:rFonts w:ascii="新細明體" w:hAnsi="新細明體"/>
        </w:rPr>
      </w:pPr>
      <w:r w:rsidRPr="00145B44">
        <w:rPr>
          <w:rFonts w:ascii="新細明體" w:hAnsi="新細明體"/>
        </w:rPr>
        <w:t>應在最近的報告日公開揭露重新分類而納入或排除於交易簿之部位</w:t>
      </w:r>
      <w:r>
        <w:rPr>
          <w:rFonts w:ascii="新細明體" w:hAnsi="新細明體" w:hint="eastAsia"/>
          <w:lang w:eastAsia="zh-HK"/>
        </w:rPr>
        <w:t>。</w:t>
      </w:r>
    </w:p>
    <w:p w:rsidR="008C4758" w:rsidRDefault="004C7489" w:rsidP="004C7489">
      <w:pPr>
        <w:pStyle w:val="a3"/>
        <w:widowControl w:val="0"/>
        <w:numPr>
          <w:ilvl w:val="0"/>
          <w:numId w:val="17"/>
        </w:numPr>
        <w:spacing w:beforeLines="50" w:before="180"/>
        <w:ind w:leftChars="0" w:left="964" w:hanging="482"/>
        <w:jc w:val="both"/>
        <w:rPr>
          <w:rFonts w:asciiTheme="minorEastAsia" w:eastAsiaTheme="minorEastAsia" w:hAnsiTheme="minorEastAsia"/>
          <w:lang w:eastAsia="zh-HK"/>
        </w:rPr>
      </w:pPr>
      <w:r w:rsidRPr="004C7489">
        <w:rPr>
          <w:rFonts w:asciiTheme="minorEastAsia" w:eastAsiaTheme="minorEastAsia" w:hAnsiTheme="minorEastAsia"/>
          <w:lang w:eastAsia="zh-HK"/>
        </w:rPr>
        <w:t>除經金管會核准外(例如重大的公開宣布事件，如銀行重組導致交易台永久關閉、適用於工具或投資組合之營業活動的需求終止、會計準則改變而允許該工具透過損益按公允價值衡量)，工具在交易簿、銀行簿之間進行移轉皆須依據</w:t>
      </w:r>
      <w:r w:rsidR="00A60C0A">
        <w:rPr>
          <w:rFonts w:asciiTheme="minorEastAsia" w:eastAsiaTheme="minorEastAsia" w:hAnsiTheme="minorEastAsia" w:hint="eastAsia"/>
          <w:lang w:eastAsia="zh-HK"/>
        </w:rPr>
        <w:t>本準則</w:t>
      </w:r>
      <w:r w:rsidRPr="004C7489">
        <w:rPr>
          <w:rFonts w:asciiTheme="minorEastAsia" w:eastAsiaTheme="minorEastAsia" w:hAnsiTheme="minorEastAsia"/>
          <w:lang w:eastAsia="zh-HK"/>
        </w:rPr>
        <w:t>之規範，嚴禁因資本套利而進行簿別移轉。</w:t>
      </w:r>
    </w:p>
    <w:p w:rsidR="004C7489" w:rsidRPr="004C7489" w:rsidRDefault="004C7489" w:rsidP="004C7489">
      <w:pPr>
        <w:pStyle w:val="a3"/>
        <w:widowControl w:val="0"/>
        <w:spacing w:beforeLines="50" w:before="180"/>
        <w:ind w:leftChars="0" w:left="964"/>
        <w:jc w:val="both"/>
        <w:rPr>
          <w:rFonts w:asciiTheme="minorEastAsia" w:eastAsiaTheme="minorEastAsia" w:hAnsiTheme="minorEastAsia"/>
          <w:lang w:eastAsia="zh-HK"/>
        </w:rPr>
      </w:pPr>
    </w:p>
    <w:p w:rsidR="00EB3F78" w:rsidRPr="008C4758" w:rsidRDefault="00EB3F78" w:rsidP="00EB3F78">
      <w:pPr>
        <w:pStyle w:val="a3"/>
        <w:numPr>
          <w:ilvl w:val="0"/>
          <w:numId w:val="8"/>
        </w:numPr>
        <w:ind w:leftChars="0"/>
        <w:rPr>
          <w:rFonts w:ascii="新細明體" w:hAnsi="新細明體"/>
        </w:rPr>
      </w:pPr>
      <w:r w:rsidRPr="008C4758">
        <w:rPr>
          <w:rFonts w:ascii="新細明體" w:hAnsi="新細明體" w:hint="eastAsia"/>
        </w:rPr>
        <w:t>其他管理事項</w:t>
      </w:r>
    </w:p>
    <w:p w:rsidR="003911F2" w:rsidRPr="00AD61C5" w:rsidRDefault="003C60CB" w:rsidP="00AD61C5">
      <w:pPr>
        <w:pStyle w:val="a3"/>
        <w:widowControl w:val="0"/>
        <w:numPr>
          <w:ilvl w:val="0"/>
          <w:numId w:val="27"/>
        </w:numPr>
        <w:spacing w:beforeLines="50" w:before="180"/>
        <w:ind w:leftChars="0" w:left="964" w:hanging="482"/>
        <w:jc w:val="both"/>
        <w:rPr>
          <w:rFonts w:asciiTheme="minorEastAsia" w:eastAsiaTheme="minorEastAsia" w:hAnsiTheme="minorEastAsia"/>
        </w:rPr>
      </w:pPr>
      <w:r>
        <w:rPr>
          <w:rFonts w:asciiTheme="minorEastAsia" w:eastAsiaTheme="minorEastAsia" w:hAnsiTheme="minorEastAsia" w:hint="eastAsia"/>
        </w:rPr>
        <w:t>交易單</w:t>
      </w:r>
      <w:r w:rsidR="007C3621">
        <w:rPr>
          <w:rFonts w:asciiTheme="minorEastAsia" w:eastAsiaTheme="minorEastAsia" w:hAnsiTheme="minorEastAsia" w:hint="eastAsia"/>
        </w:rPr>
        <w:t>位</w:t>
      </w:r>
      <w:r w:rsidR="00565955">
        <w:rPr>
          <w:rFonts w:asciiTheme="minorEastAsia" w:eastAsiaTheme="minorEastAsia" w:hAnsiTheme="minorEastAsia" w:hint="eastAsia"/>
        </w:rPr>
        <w:t>管理</w:t>
      </w:r>
      <w:r w:rsidR="0010507B">
        <w:rPr>
          <w:rFonts w:asciiTheme="minorEastAsia" w:eastAsiaTheme="minorEastAsia" w:hAnsiTheme="minorEastAsia" w:hint="eastAsia"/>
        </w:rPr>
        <w:t>工具</w:t>
      </w:r>
      <w:r w:rsidR="007C3621">
        <w:rPr>
          <w:rFonts w:asciiTheme="minorEastAsia" w:eastAsiaTheme="minorEastAsia" w:hAnsiTheme="minorEastAsia" w:hint="eastAsia"/>
        </w:rPr>
        <w:t>風險</w:t>
      </w:r>
      <w:r w:rsidR="0010507B">
        <w:rPr>
          <w:rFonts w:asciiTheme="minorEastAsia" w:eastAsiaTheme="minorEastAsia" w:hAnsiTheme="minorEastAsia" w:hint="eastAsia"/>
        </w:rPr>
        <w:t>胃納</w:t>
      </w:r>
      <w:r w:rsidR="007C3621">
        <w:rPr>
          <w:rFonts w:asciiTheme="minorEastAsia" w:eastAsiaTheme="minorEastAsia" w:hAnsiTheme="minorEastAsia" w:hint="eastAsia"/>
        </w:rPr>
        <w:t>須</w:t>
      </w:r>
      <w:r w:rsidR="003911F2" w:rsidRPr="00AD61C5">
        <w:rPr>
          <w:rFonts w:asciiTheme="minorEastAsia" w:eastAsiaTheme="minorEastAsia" w:hAnsiTheme="minorEastAsia"/>
        </w:rPr>
        <w:t>必須包括下列事項：</w:t>
      </w:r>
    </w:p>
    <w:p w:rsidR="003911F2" w:rsidRPr="00AD61C5" w:rsidRDefault="0072708F" w:rsidP="00AD61C5">
      <w:pPr>
        <w:pStyle w:val="a3"/>
        <w:widowControl w:val="0"/>
        <w:numPr>
          <w:ilvl w:val="0"/>
          <w:numId w:val="28"/>
        </w:numPr>
        <w:spacing w:beforeLines="50" w:before="180"/>
        <w:ind w:leftChars="0"/>
        <w:jc w:val="both"/>
        <w:rPr>
          <w:rFonts w:ascii="新細明體" w:hAnsi="新細明體"/>
        </w:rPr>
      </w:pPr>
      <w:r w:rsidRPr="00AD61C5">
        <w:rPr>
          <w:rFonts w:ascii="新細明體" w:hAnsi="新細明體" w:hint="eastAsia"/>
        </w:rPr>
        <w:t>交易</w:t>
      </w:r>
      <w:r w:rsidR="0010507B" w:rsidRPr="00AD61C5">
        <w:rPr>
          <w:rFonts w:ascii="新細明體" w:hAnsi="新細明體" w:hint="eastAsia"/>
        </w:rPr>
        <w:t>標的，含承作</w:t>
      </w:r>
      <w:r w:rsidRPr="00AD61C5">
        <w:rPr>
          <w:rFonts w:ascii="新細明體" w:hAnsi="新細明體" w:hint="eastAsia"/>
        </w:rPr>
        <w:t>工具及其避險工具</w:t>
      </w:r>
    </w:p>
    <w:p w:rsidR="0010507B" w:rsidRPr="00AD61C5" w:rsidRDefault="005F1BAB" w:rsidP="00AD61C5">
      <w:pPr>
        <w:pStyle w:val="a3"/>
        <w:widowControl w:val="0"/>
        <w:numPr>
          <w:ilvl w:val="0"/>
          <w:numId w:val="28"/>
        </w:numPr>
        <w:spacing w:beforeLines="50" w:before="180"/>
        <w:ind w:leftChars="0"/>
        <w:jc w:val="both"/>
        <w:rPr>
          <w:rFonts w:ascii="新細明體" w:hAnsi="新細明體"/>
        </w:rPr>
      </w:pPr>
      <w:r w:rsidRPr="00AD61C5">
        <w:rPr>
          <w:rFonts w:ascii="新細明體" w:hAnsi="新細明體" w:hint="eastAsia"/>
        </w:rPr>
        <w:t>會計金融資產分類</w:t>
      </w:r>
    </w:p>
    <w:p w:rsidR="0072708F" w:rsidRPr="00AD61C5" w:rsidRDefault="0010507B" w:rsidP="00AD61C5">
      <w:pPr>
        <w:pStyle w:val="a3"/>
        <w:widowControl w:val="0"/>
        <w:numPr>
          <w:ilvl w:val="0"/>
          <w:numId w:val="28"/>
        </w:numPr>
        <w:spacing w:beforeLines="50" w:before="180"/>
        <w:ind w:leftChars="0"/>
        <w:jc w:val="both"/>
        <w:rPr>
          <w:rFonts w:ascii="新細明體" w:hAnsi="新細明體"/>
        </w:rPr>
      </w:pPr>
      <w:r w:rsidRPr="00AD61C5">
        <w:rPr>
          <w:rFonts w:ascii="新細明體" w:hAnsi="新細明體" w:hint="eastAsia"/>
        </w:rPr>
        <w:t>法定資本計提簿別</w:t>
      </w:r>
    </w:p>
    <w:p w:rsidR="00565955" w:rsidRDefault="00565955" w:rsidP="00AD61C5">
      <w:pPr>
        <w:pStyle w:val="a3"/>
        <w:widowControl w:val="0"/>
        <w:numPr>
          <w:ilvl w:val="0"/>
          <w:numId w:val="27"/>
        </w:numPr>
        <w:spacing w:beforeLines="50" w:before="180"/>
        <w:ind w:leftChars="0" w:left="964" w:hanging="482"/>
        <w:jc w:val="both"/>
        <w:rPr>
          <w:rFonts w:asciiTheme="minorEastAsia" w:eastAsiaTheme="minorEastAsia" w:hAnsiTheme="minorEastAsia"/>
        </w:rPr>
      </w:pPr>
      <w:r>
        <w:rPr>
          <w:rFonts w:asciiTheme="minorEastAsia" w:eastAsiaTheme="minorEastAsia" w:hAnsiTheme="minorEastAsia"/>
        </w:rPr>
        <w:t>從</w:t>
      </w:r>
      <w:r w:rsidRPr="00363E61">
        <w:rPr>
          <w:rFonts w:asciiTheme="minorEastAsia" w:eastAsiaTheme="minorEastAsia" w:hAnsiTheme="minorEastAsia"/>
        </w:rPr>
        <w:t>銀行簿發行的負債包含嵌入式衍生性商品並且符合第</w:t>
      </w:r>
      <w:r>
        <w:rPr>
          <w:rFonts w:asciiTheme="minorEastAsia" w:eastAsiaTheme="minorEastAsia" w:hAnsiTheme="minorEastAsia" w:hint="eastAsia"/>
          <w:lang w:eastAsia="zh-HK"/>
        </w:rPr>
        <w:t>三</w:t>
      </w:r>
      <w:r w:rsidRPr="00363E61">
        <w:rPr>
          <w:rFonts w:asciiTheme="minorEastAsia" w:eastAsiaTheme="minorEastAsia" w:hAnsiTheme="minorEastAsia"/>
        </w:rPr>
        <w:t>大點第</w:t>
      </w:r>
      <w:r>
        <w:rPr>
          <w:rFonts w:asciiTheme="minorEastAsia" w:eastAsiaTheme="minorEastAsia" w:hAnsiTheme="minorEastAsia"/>
        </w:rPr>
        <w:t>4</w:t>
      </w:r>
      <w:r w:rsidRPr="00363E61">
        <w:rPr>
          <w:rFonts w:asciiTheme="minorEastAsia" w:eastAsiaTheme="minorEastAsia" w:hAnsiTheme="minorEastAsia"/>
        </w:rPr>
        <w:t>點第</w:t>
      </w:r>
      <w:r>
        <w:rPr>
          <w:rFonts w:asciiTheme="minorEastAsia" w:eastAsiaTheme="minorEastAsia" w:hAnsiTheme="minorEastAsia" w:hint="eastAsia"/>
        </w:rPr>
        <w:t>(</w:t>
      </w:r>
      <w:r w:rsidRPr="00363E61">
        <w:rPr>
          <w:rFonts w:asciiTheme="minorEastAsia" w:eastAsiaTheme="minorEastAsia" w:hAnsiTheme="minorEastAsia"/>
        </w:rPr>
        <w:t>6</w:t>
      </w:r>
      <w:r>
        <w:rPr>
          <w:rFonts w:asciiTheme="minorEastAsia" w:eastAsiaTheme="minorEastAsia" w:hAnsiTheme="minorEastAsia"/>
        </w:rPr>
        <w:t>)</w:t>
      </w:r>
      <w:r w:rsidRPr="00363E61">
        <w:rPr>
          <w:rFonts w:asciiTheme="minorEastAsia" w:eastAsiaTheme="minorEastAsia" w:hAnsiTheme="minorEastAsia"/>
        </w:rPr>
        <w:t>項標準的應該要被分群。這代表要將負債分成兩部分：(i)分配到交</w:t>
      </w:r>
      <w:r w:rsidRPr="00363E61">
        <w:rPr>
          <w:rFonts w:asciiTheme="minorEastAsia" w:eastAsiaTheme="minorEastAsia" w:hAnsiTheme="minorEastAsia"/>
        </w:rPr>
        <w:lastRenderedPageBreak/>
        <w:t>易簿的嵌入式衍生性商品和(ii)剩餘負債仍維持銀行簿。這種分群不需要內部風險轉移。當這類負債被解約或嵌入式選擇權被執行時，概念上交易簿和銀行簿組成部位之解約與執行將同時發生；故交易簿和銀行簿之間不需要移轉。</w:t>
      </w:r>
    </w:p>
    <w:p w:rsidR="00897487" w:rsidRPr="00897487" w:rsidRDefault="00897487" w:rsidP="00AD61C5">
      <w:pPr>
        <w:pStyle w:val="a3"/>
        <w:widowControl w:val="0"/>
        <w:numPr>
          <w:ilvl w:val="0"/>
          <w:numId w:val="27"/>
        </w:numPr>
        <w:spacing w:beforeLines="50" w:before="180"/>
        <w:ind w:leftChars="0" w:left="964" w:hanging="482"/>
        <w:jc w:val="both"/>
        <w:rPr>
          <w:rFonts w:asciiTheme="minorEastAsia" w:eastAsiaTheme="minorEastAsia" w:hAnsiTheme="minorEastAsia"/>
        </w:rPr>
      </w:pPr>
      <w:r>
        <w:rPr>
          <w:rFonts w:asciiTheme="minorEastAsia" w:eastAsiaTheme="minorEastAsia" w:hAnsiTheme="minorEastAsia" w:hint="eastAsia"/>
          <w:lang w:eastAsia="zh-HK"/>
        </w:rPr>
        <w:t>交易單位</w:t>
      </w:r>
      <w:r w:rsidRPr="00897487">
        <w:rPr>
          <w:rFonts w:asciiTheme="minorEastAsia" w:eastAsiaTheme="minorEastAsia" w:hAnsiTheme="minorEastAsia"/>
        </w:rPr>
        <w:t>應依據</w:t>
      </w:r>
      <w:r>
        <w:rPr>
          <w:rFonts w:asciiTheme="minorEastAsia" w:eastAsiaTheme="minorEastAsia" w:hAnsiTheme="minorEastAsia" w:hint="eastAsia"/>
          <w:lang w:eastAsia="zh-HK"/>
        </w:rPr>
        <w:t>金管</w:t>
      </w:r>
      <w:r w:rsidRPr="00897487">
        <w:rPr>
          <w:rFonts w:asciiTheme="minorEastAsia" w:eastAsiaTheme="minorEastAsia" w:hAnsiTheme="minorEastAsia"/>
        </w:rPr>
        <w:t>會之要求提供交易簿工具之持有目的符合交易簿所列規範之證明文件。假如</w:t>
      </w:r>
      <w:r>
        <w:rPr>
          <w:rFonts w:asciiTheme="minorEastAsia" w:eastAsiaTheme="minorEastAsia" w:hAnsiTheme="minorEastAsia" w:hint="eastAsia"/>
          <w:lang w:eastAsia="zh-HK"/>
        </w:rPr>
        <w:t>金管會</w:t>
      </w:r>
      <w:r w:rsidRPr="00897487">
        <w:rPr>
          <w:rFonts w:asciiTheme="minorEastAsia" w:eastAsiaTheme="minorEastAsia" w:hAnsiTheme="minorEastAsia"/>
        </w:rPr>
        <w:t>認為</w:t>
      </w:r>
      <w:r>
        <w:rPr>
          <w:rFonts w:asciiTheme="minorEastAsia" w:eastAsiaTheme="minorEastAsia" w:hAnsiTheme="minorEastAsia" w:hint="eastAsia"/>
          <w:lang w:eastAsia="zh-HK"/>
        </w:rPr>
        <w:t>本</w:t>
      </w:r>
      <w:r w:rsidRPr="00897487">
        <w:rPr>
          <w:rFonts w:asciiTheme="minorEastAsia" w:eastAsiaTheme="minorEastAsia" w:hAnsiTheme="minorEastAsia"/>
        </w:rPr>
        <w:t>行未提供足夠的證明或認為該工具慣例上屬銀行簿，則</w:t>
      </w:r>
      <w:r>
        <w:rPr>
          <w:rFonts w:asciiTheme="minorEastAsia" w:eastAsiaTheme="minorEastAsia" w:hAnsiTheme="minorEastAsia" w:hint="eastAsia"/>
          <w:lang w:eastAsia="zh-HK"/>
        </w:rPr>
        <w:t>金管</w:t>
      </w:r>
      <w:r w:rsidRPr="00897487">
        <w:rPr>
          <w:rFonts w:asciiTheme="minorEastAsia" w:eastAsiaTheme="minorEastAsia" w:hAnsiTheme="minorEastAsia"/>
        </w:rPr>
        <w:t>會可要求</w:t>
      </w:r>
      <w:r>
        <w:rPr>
          <w:rFonts w:asciiTheme="minorEastAsia" w:eastAsiaTheme="minorEastAsia" w:hAnsiTheme="minorEastAsia" w:hint="eastAsia"/>
          <w:lang w:eastAsia="zh-HK"/>
        </w:rPr>
        <w:t>本</w:t>
      </w:r>
      <w:r w:rsidRPr="00897487">
        <w:rPr>
          <w:rFonts w:asciiTheme="minorEastAsia" w:eastAsiaTheme="minorEastAsia" w:hAnsiTheme="minorEastAsia"/>
        </w:rPr>
        <w:t>銀行將該工具列為銀行簿，除非該工具為交易簿</w:t>
      </w:r>
      <w:r>
        <w:rPr>
          <w:rFonts w:asciiTheme="minorEastAsia" w:eastAsiaTheme="minorEastAsia" w:hAnsiTheme="minorEastAsia" w:hint="eastAsia"/>
          <w:lang w:eastAsia="zh-HK"/>
        </w:rPr>
        <w:t>範圍</w:t>
      </w:r>
      <w:r w:rsidRPr="00897487">
        <w:rPr>
          <w:rFonts w:asciiTheme="minorEastAsia" w:eastAsiaTheme="minorEastAsia" w:hAnsiTheme="minorEastAsia"/>
        </w:rPr>
        <w:t>規範</w:t>
      </w:r>
      <w:r>
        <w:rPr>
          <w:rFonts w:asciiTheme="minorEastAsia" w:eastAsiaTheme="minorEastAsia" w:hAnsiTheme="minorEastAsia"/>
        </w:rPr>
        <w:t>3</w:t>
      </w:r>
      <w:r w:rsidRPr="00897487">
        <w:rPr>
          <w:rFonts w:asciiTheme="minorEastAsia" w:eastAsiaTheme="minorEastAsia" w:hAnsiTheme="minorEastAsia"/>
        </w:rPr>
        <w:t>所列的工具。</w:t>
      </w:r>
      <w:r>
        <w:rPr>
          <w:rFonts w:asciiTheme="minorEastAsia" w:eastAsiaTheme="minorEastAsia" w:hAnsiTheme="minorEastAsia"/>
        </w:rPr>
        <w:br/>
      </w:r>
      <w:r w:rsidR="00644F05">
        <w:rPr>
          <w:rFonts w:asciiTheme="minorEastAsia" w:eastAsiaTheme="minorEastAsia" w:hAnsiTheme="minorEastAsia" w:hint="eastAsia"/>
          <w:lang w:eastAsia="zh-HK"/>
        </w:rPr>
        <w:t>交易單位</w:t>
      </w:r>
      <w:r w:rsidRPr="00897487">
        <w:rPr>
          <w:rFonts w:asciiTheme="minorEastAsia" w:eastAsiaTheme="minorEastAsia" w:hAnsiTheme="minorEastAsia"/>
        </w:rPr>
        <w:t>應依據</w:t>
      </w:r>
      <w:r w:rsidR="00644F05">
        <w:rPr>
          <w:rFonts w:asciiTheme="minorEastAsia" w:eastAsiaTheme="minorEastAsia" w:hAnsiTheme="minorEastAsia" w:hint="eastAsia"/>
          <w:lang w:eastAsia="zh-HK"/>
        </w:rPr>
        <w:t>金管</w:t>
      </w:r>
      <w:r w:rsidRPr="00897487">
        <w:rPr>
          <w:rFonts w:asciiTheme="minorEastAsia" w:eastAsiaTheme="minorEastAsia" w:hAnsiTheme="minorEastAsia"/>
        </w:rPr>
        <w:t>會之要求提供銀行簿工具</w:t>
      </w:r>
      <w:r w:rsidR="00644F05">
        <w:rPr>
          <w:rFonts w:asciiTheme="minorEastAsia" w:eastAsiaTheme="minorEastAsia" w:hAnsiTheme="minorEastAsia"/>
        </w:rPr>
        <w:t>之持有目的不符合交易簿所列規範之證明文件。假如本會認為</w:t>
      </w:r>
      <w:r w:rsidR="00644F05">
        <w:rPr>
          <w:rFonts w:asciiTheme="minorEastAsia" w:eastAsiaTheme="minorEastAsia" w:hAnsiTheme="minorEastAsia" w:hint="eastAsia"/>
          <w:lang w:eastAsia="zh-HK"/>
        </w:rPr>
        <w:t>本</w:t>
      </w:r>
      <w:r w:rsidRPr="00897487">
        <w:rPr>
          <w:rFonts w:asciiTheme="minorEastAsia" w:eastAsiaTheme="minorEastAsia" w:hAnsiTheme="minorEastAsia"/>
        </w:rPr>
        <w:t>行未提供足夠的證明，或認為該工具慣例上屬交易簿，則可要求銀行將該工具列為交易簿，除非該工具為銀行簿</w:t>
      </w:r>
      <w:r w:rsidR="00644F05">
        <w:rPr>
          <w:rFonts w:asciiTheme="minorEastAsia" w:eastAsiaTheme="minorEastAsia" w:hAnsiTheme="minorEastAsia" w:hint="eastAsia"/>
          <w:lang w:eastAsia="zh-HK"/>
        </w:rPr>
        <w:t>範圍</w:t>
      </w:r>
      <w:r w:rsidRPr="00897487">
        <w:rPr>
          <w:rFonts w:asciiTheme="minorEastAsia" w:eastAsiaTheme="minorEastAsia" w:hAnsiTheme="minorEastAsia"/>
        </w:rPr>
        <w:t>規範</w:t>
      </w:r>
      <w:r w:rsidR="00644F05">
        <w:rPr>
          <w:rFonts w:asciiTheme="minorEastAsia" w:eastAsiaTheme="minorEastAsia" w:hAnsiTheme="minorEastAsia"/>
        </w:rPr>
        <w:t>2</w:t>
      </w:r>
      <w:r w:rsidRPr="00897487">
        <w:rPr>
          <w:rFonts w:asciiTheme="minorEastAsia" w:eastAsiaTheme="minorEastAsia" w:hAnsiTheme="minorEastAsia"/>
        </w:rPr>
        <w:t>所列之工具。</w:t>
      </w:r>
    </w:p>
    <w:p w:rsidR="00E51641" w:rsidRPr="000550B0" w:rsidRDefault="00E51641" w:rsidP="00AD61C5">
      <w:pPr>
        <w:pStyle w:val="a3"/>
        <w:widowControl w:val="0"/>
        <w:numPr>
          <w:ilvl w:val="0"/>
          <w:numId w:val="27"/>
        </w:numPr>
        <w:spacing w:beforeLines="50" w:before="180"/>
        <w:ind w:leftChars="0" w:left="964" w:hanging="482"/>
        <w:jc w:val="both"/>
        <w:rPr>
          <w:rFonts w:ascii="新細明體" w:hAnsi="新細明體"/>
          <w:highlight w:val="yellow"/>
        </w:rPr>
      </w:pPr>
      <w:r w:rsidRPr="000550B0">
        <w:rPr>
          <w:rFonts w:ascii="新細明體" w:hAnsi="新細明體"/>
          <w:highlight w:val="yellow"/>
        </w:rPr>
        <w:t>對於遵循</w:t>
      </w:r>
      <w:r w:rsidRPr="000550B0">
        <w:rPr>
          <w:rFonts w:ascii="新細明體" w:hAnsi="新細明體" w:hint="eastAsia"/>
          <w:highlight w:val="yellow"/>
          <w:lang w:eastAsia="zh-HK"/>
        </w:rPr>
        <w:t>本</w:t>
      </w:r>
      <w:r w:rsidR="00F34EBD" w:rsidRPr="000550B0">
        <w:rPr>
          <w:rFonts w:ascii="新細明體" w:hAnsi="新細明體" w:hint="eastAsia"/>
          <w:highlight w:val="yellow"/>
          <w:lang w:eastAsia="zh-HK"/>
        </w:rPr>
        <w:t>準則</w:t>
      </w:r>
      <w:r w:rsidRPr="000550B0">
        <w:rPr>
          <w:rFonts w:ascii="新細明體" w:hAnsi="新細明體"/>
          <w:highlight w:val="yellow"/>
        </w:rPr>
        <w:t>之執行情形，應保有完善書面紀錄，並應每年至少一次受到內部稽核之查核。</w:t>
      </w:r>
    </w:p>
    <w:p w:rsidR="000550B0" w:rsidRDefault="000550B0" w:rsidP="000550B0">
      <w:pPr>
        <w:spacing w:beforeLines="50" w:before="180"/>
        <w:jc w:val="both"/>
        <w:rPr>
          <w:rFonts w:ascii="新細明體" w:hAnsi="新細明體"/>
        </w:rPr>
      </w:pPr>
    </w:p>
    <w:p w:rsidR="000550B0" w:rsidRDefault="000550B0" w:rsidP="000550B0">
      <w:pPr>
        <w:spacing w:beforeLines="50" w:before="180"/>
        <w:jc w:val="both"/>
        <w:rPr>
          <w:rFonts w:ascii="新細明體" w:hAnsi="新細明體"/>
        </w:rPr>
      </w:pPr>
    </w:p>
    <w:p w:rsidR="00794252" w:rsidRDefault="00794252" w:rsidP="000550B0">
      <w:pPr>
        <w:spacing w:beforeLines="50" w:before="180"/>
        <w:jc w:val="both"/>
        <w:rPr>
          <w:rFonts w:ascii="新細明體" w:hAnsi="新細明體" w:hint="eastAsia"/>
        </w:rPr>
      </w:pPr>
    </w:p>
    <w:p w:rsidR="000550B0" w:rsidRDefault="000550B0" w:rsidP="000550B0">
      <w:pPr>
        <w:spacing w:beforeLines="50" w:before="180"/>
        <w:jc w:val="both"/>
        <w:rPr>
          <w:rFonts w:ascii="新細明體" w:hAnsi="新細明體"/>
        </w:rPr>
      </w:pPr>
    </w:p>
    <w:p w:rsidR="000550B0" w:rsidRPr="004207BB" w:rsidRDefault="000550B0" w:rsidP="000550B0">
      <w:pPr>
        <w:spacing w:beforeLines="50" w:before="180"/>
        <w:jc w:val="both"/>
        <w:rPr>
          <w:rFonts w:ascii="新細明體" w:hAnsi="新細明體"/>
          <w:u w:val="single"/>
        </w:rPr>
      </w:pPr>
      <w:r w:rsidRPr="004207BB">
        <w:rPr>
          <w:rFonts w:ascii="新細明體" w:hAnsi="新細明體" w:hint="eastAsia"/>
          <w:u w:val="single"/>
        </w:rPr>
        <w:t>0809會前會討論議題</w:t>
      </w:r>
    </w:p>
    <w:p w:rsidR="000550B0" w:rsidRDefault="000550B0" w:rsidP="000550B0">
      <w:pPr>
        <w:spacing w:beforeLines="50" w:before="180"/>
        <w:jc w:val="both"/>
        <w:rPr>
          <w:rFonts w:ascii="新細明體" w:hAnsi="新細明體"/>
        </w:rPr>
      </w:pPr>
    </w:p>
    <w:p w:rsidR="000550B0" w:rsidRDefault="000550B0" w:rsidP="000550B0">
      <w:pPr>
        <w:spacing w:beforeLines="50" w:before="180"/>
        <w:jc w:val="both"/>
        <w:rPr>
          <w:rFonts w:ascii="新細明體" w:hAnsi="新細明體"/>
        </w:rPr>
      </w:pPr>
      <w:r w:rsidRPr="003A01DC">
        <w:rPr>
          <w:rFonts w:ascii="新細明體" w:hAnsi="新細明體" w:hint="eastAsia"/>
        </w:rPr>
        <w:t xml:space="preserve">訂定 </w:t>
      </w:r>
      <w:r w:rsidRPr="006C32B3">
        <w:rPr>
          <w:rFonts w:ascii="新細明體" w:hAnsi="新細明體" w:hint="eastAsia"/>
          <w:u w:val="single"/>
        </w:rPr>
        <w:t>台新銀行巴塞爾資本協定簿別管理準則</w:t>
      </w:r>
      <w:r w:rsidRPr="003A01DC">
        <w:rPr>
          <w:rFonts w:ascii="新細明體" w:hAnsi="新細明體" w:hint="eastAsia"/>
        </w:rPr>
        <w:t xml:space="preserve">  (是否要到準則那麼高</w:t>
      </w:r>
      <w:r>
        <w:rPr>
          <w:rFonts w:ascii="新細明體" w:hAnsi="新細明體" w:hint="eastAsia"/>
        </w:rPr>
        <w:t>?)</w:t>
      </w:r>
    </w:p>
    <w:p w:rsidR="000550B0" w:rsidRPr="007E3784" w:rsidRDefault="000550B0" w:rsidP="000550B0">
      <w:pPr>
        <w:spacing w:beforeLines="50" w:before="180"/>
        <w:jc w:val="both"/>
        <w:rPr>
          <w:rFonts w:ascii="新細明體" w:hAnsi="新細明體" w:hint="eastAsia"/>
        </w:rPr>
      </w:pPr>
    </w:p>
    <w:p w:rsidR="000550B0" w:rsidRDefault="000550B0" w:rsidP="000550B0">
      <w:pPr>
        <w:spacing w:beforeLines="50" w:before="180"/>
        <w:jc w:val="both"/>
        <w:rPr>
          <w:rFonts w:ascii="新細明體" w:hAnsi="新細明體"/>
        </w:rPr>
      </w:pPr>
      <w:r>
        <w:rPr>
          <w:rFonts w:ascii="新細明體" w:hAnsi="新細明體" w:hint="eastAsia"/>
        </w:rPr>
        <w:t>1. 文件名稱需要到準則那麼高嗎? (政策/準則/辦法)</w:t>
      </w:r>
    </w:p>
    <w:p w:rsidR="000550B0" w:rsidRDefault="000550B0" w:rsidP="000550B0">
      <w:pPr>
        <w:spacing w:beforeLines="50" w:before="180"/>
        <w:jc w:val="both"/>
        <w:rPr>
          <w:rFonts w:ascii="新細明體" w:hAnsi="新細明體"/>
        </w:rPr>
      </w:pPr>
      <w:r>
        <w:rPr>
          <w:rFonts w:ascii="新細明體" w:hAnsi="新細明體" w:hint="eastAsia"/>
        </w:rPr>
        <w:t>2. 這份文件是哪個單位需要處理? (管理部or交易處) 負責送風管會</w:t>
      </w:r>
    </w:p>
    <w:p w:rsidR="000550B0" w:rsidRDefault="000550B0" w:rsidP="000550B0">
      <w:pPr>
        <w:spacing w:beforeLines="50" w:before="180"/>
        <w:jc w:val="both"/>
        <w:rPr>
          <w:rFonts w:ascii="新細明體" w:hAnsi="新細明體"/>
        </w:rPr>
      </w:pPr>
      <w:r>
        <w:rPr>
          <w:rFonts w:ascii="新細明體" w:hAnsi="新細明體"/>
        </w:rPr>
        <w:t xml:space="preserve">3. </w:t>
      </w:r>
      <w:r>
        <w:rPr>
          <w:rFonts w:ascii="新細明體" w:hAnsi="新細明體" w:hint="eastAsia"/>
        </w:rPr>
        <w:t>金管會要求說明簿別劃分執行程序  我們要如何說明?</w:t>
      </w:r>
    </w:p>
    <w:p w:rsidR="000550B0" w:rsidRDefault="000550B0" w:rsidP="000550B0">
      <w:pPr>
        <w:spacing w:beforeLines="50" w:before="180"/>
        <w:jc w:val="both"/>
        <w:rPr>
          <w:rFonts w:ascii="新細明體" w:hAnsi="新細明體"/>
        </w:rPr>
      </w:pPr>
      <w:r>
        <w:rPr>
          <w:rFonts w:ascii="新細明體" w:hAnsi="新細明體" w:hint="eastAsia"/>
        </w:rPr>
        <w:t>是否需要特別擬定一個辦法來說明? 例如簿別劃分執行</w:t>
      </w:r>
      <w:r w:rsidRPr="003A01DC">
        <w:rPr>
          <w:rFonts w:ascii="新細明體" w:hAnsi="新細明體" w:hint="eastAsia"/>
        </w:rPr>
        <w:t>辦法</w:t>
      </w:r>
    </w:p>
    <w:p w:rsidR="000550B0" w:rsidRDefault="000550B0" w:rsidP="000550B0">
      <w:pPr>
        <w:spacing w:beforeLines="50" w:before="180"/>
        <w:jc w:val="both"/>
        <w:rPr>
          <w:rFonts w:ascii="新細明體" w:hAnsi="新細明體"/>
        </w:rPr>
      </w:pPr>
      <w:r>
        <w:rPr>
          <w:rFonts w:ascii="新細明體" w:hAnsi="新細明體" w:hint="eastAsia"/>
        </w:rPr>
        <w:t>或是在準則內指出有份文件「</w:t>
      </w:r>
      <w:r w:rsidRPr="00E4794A">
        <w:rPr>
          <w:rFonts w:ascii="新細明體" w:hAnsi="新細明體" w:hint="eastAsia"/>
        </w:rPr>
        <w:t>111年度市場風險限額</w:t>
      </w:r>
      <w:r>
        <w:rPr>
          <w:rFonts w:ascii="新細明體" w:hAnsi="新細明體" w:hint="eastAsia"/>
        </w:rPr>
        <w:t>」每年會開會核定即可?</w:t>
      </w:r>
    </w:p>
    <w:p w:rsidR="000550B0" w:rsidRDefault="000550B0" w:rsidP="000550B0">
      <w:pPr>
        <w:spacing w:beforeLines="50" w:before="180"/>
        <w:jc w:val="both"/>
        <w:rPr>
          <w:rFonts w:ascii="新細明體" w:hAnsi="新細明體"/>
        </w:rPr>
      </w:pPr>
    </w:p>
    <w:p w:rsidR="000550B0" w:rsidRPr="00794252" w:rsidRDefault="000550B0" w:rsidP="00794252">
      <w:pPr>
        <w:autoSpaceDE w:val="0"/>
        <w:autoSpaceDN w:val="0"/>
        <w:spacing w:before="40" w:after="40"/>
        <w:rPr>
          <w:rFonts w:hint="eastAsia"/>
        </w:rPr>
      </w:pPr>
      <w:r>
        <w:rPr>
          <w:rFonts w:ascii="Microsoft JhengHei UI" w:eastAsia="Microsoft JhengHei UI" w:hAnsi="Microsoft JhengHei UI" w:hint="eastAsia"/>
          <w:color w:val="000000"/>
          <w:sz w:val="20"/>
          <w:szCs w:val="20"/>
        </w:rPr>
        <w:t>1) 準則</w:t>
      </w:r>
      <w:r>
        <w:rPr>
          <w:color w:val="000000"/>
          <w:sz w:val="20"/>
          <w:szCs w:val="20"/>
        </w:rPr>
        <w:t xml:space="preserve"> + </w:t>
      </w:r>
      <w:r>
        <w:rPr>
          <w:rFonts w:ascii="Microsoft JhengHei UI" w:eastAsia="Microsoft JhengHei UI" w:hAnsi="Microsoft JhengHei UI" w:hint="eastAsia"/>
          <w:color w:val="000000"/>
          <w:sz w:val="20"/>
          <w:szCs w:val="20"/>
        </w:rPr>
        <w:t>內文提到有這份文件當作台新簿別劃分執行程序</w:t>
      </w:r>
      <w:r>
        <w:rPr>
          <w:rFonts w:ascii="Microsoft JhengHei UI" w:eastAsia="Microsoft JhengHei UI" w:hAnsi="Microsoft JhengHei UI" w:hint="eastAsia"/>
          <w:color w:val="000000"/>
          <w:sz w:val="20"/>
          <w:szCs w:val="20"/>
        </w:rPr>
        <w:br/>
        <w:t>2) 準則</w:t>
      </w:r>
      <w:r>
        <w:rPr>
          <w:color w:val="000000"/>
          <w:sz w:val="20"/>
          <w:szCs w:val="20"/>
        </w:rPr>
        <w:t xml:space="preserve"> + </w:t>
      </w:r>
      <w:r>
        <w:rPr>
          <w:rFonts w:ascii="Microsoft JhengHei UI" w:eastAsia="Microsoft JhengHei UI" w:hAnsi="Microsoft JhengHei UI" w:hint="eastAsia"/>
          <w:color w:val="000000"/>
          <w:sz w:val="20"/>
          <w:szCs w:val="20"/>
        </w:rPr>
        <w:t>簿別劃分執行辦法</w:t>
      </w:r>
      <w:bookmarkStart w:id="0" w:name="_GoBack"/>
      <w:bookmarkEnd w:id="0"/>
    </w:p>
    <w:sectPr w:rsidR="000550B0" w:rsidRPr="0079425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EE6" w:rsidRDefault="00637EE6" w:rsidP="00AF17CE">
      <w:r>
        <w:separator/>
      </w:r>
    </w:p>
  </w:endnote>
  <w:endnote w:type="continuationSeparator" w:id="0">
    <w:p w:rsidR="00637EE6" w:rsidRDefault="00637EE6" w:rsidP="00AF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EE6" w:rsidRDefault="00637EE6" w:rsidP="00AF17CE">
      <w:r>
        <w:separator/>
      </w:r>
    </w:p>
  </w:footnote>
  <w:footnote w:type="continuationSeparator" w:id="0">
    <w:p w:rsidR="00637EE6" w:rsidRDefault="00637EE6" w:rsidP="00AF1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E3524"/>
    <w:multiLevelType w:val="hybridMultilevel"/>
    <w:tmpl w:val="C292D90E"/>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
    <w:nsid w:val="07F45CCA"/>
    <w:multiLevelType w:val="hybridMultilevel"/>
    <w:tmpl w:val="1846A002"/>
    <w:lvl w:ilvl="0" w:tplc="0F848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9900F15"/>
    <w:multiLevelType w:val="hybridMultilevel"/>
    <w:tmpl w:val="EAD44A9E"/>
    <w:lvl w:ilvl="0" w:tplc="39246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A44026F"/>
    <w:multiLevelType w:val="hybridMultilevel"/>
    <w:tmpl w:val="D65AC56E"/>
    <w:lvl w:ilvl="0" w:tplc="542C95B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C8905E2"/>
    <w:multiLevelType w:val="hybridMultilevel"/>
    <w:tmpl w:val="B7945682"/>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40A4319E">
      <w:start w:val="1"/>
      <w:numFmt w:val="decimal"/>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FE6100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34B6303"/>
    <w:multiLevelType w:val="hybridMultilevel"/>
    <w:tmpl w:val="65DE8426"/>
    <w:lvl w:ilvl="0" w:tplc="40A4319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nsid w:val="14D4382D"/>
    <w:multiLevelType w:val="hybridMultilevel"/>
    <w:tmpl w:val="1846A002"/>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D4C20A3"/>
    <w:multiLevelType w:val="hybridMultilevel"/>
    <w:tmpl w:val="D65AC56E"/>
    <w:lvl w:ilvl="0" w:tplc="542C95BC">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nsid w:val="20D36C39"/>
    <w:multiLevelType w:val="hybridMultilevel"/>
    <w:tmpl w:val="1846A002"/>
    <w:lvl w:ilvl="0" w:tplc="0F848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8FE5E7B"/>
    <w:multiLevelType w:val="hybridMultilevel"/>
    <w:tmpl w:val="73B2F596"/>
    <w:lvl w:ilvl="0" w:tplc="0F8482A2">
      <w:start w:val="1"/>
      <w:numFmt w:val="decimal"/>
      <w:lvlText w:val="%1."/>
      <w:lvlJc w:val="left"/>
      <w:pPr>
        <w:ind w:left="785" w:hanging="360"/>
      </w:pPr>
      <w:rPr>
        <w:rFonts w:hint="default"/>
      </w:rPr>
    </w:lvl>
    <w:lvl w:ilvl="1" w:tplc="04090019">
      <w:start w:val="1"/>
      <w:numFmt w:val="ideographTraditional"/>
      <w:lvlText w:val="%2、"/>
      <w:lvlJc w:val="left"/>
      <w:pPr>
        <w:ind w:left="1385" w:hanging="480"/>
      </w:pPr>
    </w:lvl>
    <w:lvl w:ilvl="2" w:tplc="40A4319E">
      <w:start w:val="1"/>
      <w:numFmt w:val="decimal"/>
      <w:lvlText w:val="(%3)"/>
      <w:lvlJc w:val="left"/>
      <w:pPr>
        <w:ind w:left="1865" w:hanging="480"/>
      </w:pPr>
      <w:rPr>
        <w:rFonts w:hint="eastAsia"/>
      </w:r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1">
    <w:nsid w:val="2B2D1D94"/>
    <w:multiLevelType w:val="hybridMultilevel"/>
    <w:tmpl w:val="00FAC964"/>
    <w:lvl w:ilvl="0" w:tplc="FC8C470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2">
    <w:nsid w:val="38597F59"/>
    <w:multiLevelType w:val="hybridMultilevel"/>
    <w:tmpl w:val="1846A002"/>
    <w:lvl w:ilvl="0" w:tplc="0F848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A85529E"/>
    <w:multiLevelType w:val="hybridMultilevel"/>
    <w:tmpl w:val="ED92C378"/>
    <w:lvl w:ilvl="0" w:tplc="6ABE7AF6">
      <w:start w:val="1"/>
      <w:numFmt w:val="taiwaneseCountingThousand"/>
      <w:lvlText w:val="(%1)"/>
      <w:lvlJc w:val="left"/>
      <w:pPr>
        <w:ind w:left="960" w:hanging="480"/>
      </w:pPr>
      <w:rPr>
        <w:rFonts w:asciiTheme="minorHAnsi" w:eastAsia="標楷體" w:hAnsiTheme="minorHAnsi" w:cstheme="minorHAnsi"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3D5222D8"/>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2062D37"/>
    <w:multiLevelType w:val="hybridMultilevel"/>
    <w:tmpl w:val="73B2F596"/>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40A4319E">
      <w:start w:val="1"/>
      <w:numFmt w:val="decimal"/>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5935CA8"/>
    <w:multiLevelType w:val="multilevel"/>
    <w:tmpl w:val="6A98A140"/>
    <w:lvl w:ilvl="0">
      <w:start w:val="1"/>
      <w:numFmt w:val="taiwaneseCountingThousand"/>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60F7978"/>
    <w:multiLevelType w:val="hybridMultilevel"/>
    <w:tmpl w:val="1846A002"/>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8F05CAF"/>
    <w:multiLevelType w:val="hybridMultilevel"/>
    <w:tmpl w:val="1846A002"/>
    <w:lvl w:ilvl="0" w:tplc="0F8482A2">
      <w:start w:val="1"/>
      <w:numFmt w:val="decimal"/>
      <w:lvlText w:val="%1."/>
      <w:lvlJc w:val="left"/>
      <w:pPr>
        <w:ind w:left="3228" w:hanging="360"/>
      </w:pPr>
      <w:rPr>
        <w:rFonts w:hint="default"/>
      </w:rPr>
    </w:lvl>
    <w:lvl w:ilvl="1" w:tplc="04090019" w:tentative="1">
      <w:start w:val="1"/>
      <w:numFmt w:val="ideographTraditional"/>
      <w:lvlText w:val="%2、"/>
      <w:lvlJc w:val="left"/>
      <w:pPr>
        <w:ind w:left="3828" w:hanging="480"/>
      </w:pPr>
    </w:lvl>
    <w:lvl w:ilvl="2" w:tplc="0409001B" w:tentative="1">
      <w:start w:val="1"/>
      <w:numFmt w:val="lowerRoman"/>
      <w:lvlText w:val="%3."/>
      <w:lvlJc w:val="right"/>
      <w:pPr>
        <w:ind w:left="4308" w:hanging="480"/>
      </w:pPr>
    </w:lvl>
    <w:lvl w:ilvl="3" w:tplc="0409000F" w:tentative="1">
      <w:start w:val="1"/>
      <w:numFmt w:val="decimal"/>
      <w:lvlText w:val="%4."/>
      <w:lvlJc w:val="left"/>
      <w:pPr>
        <w:ind w:left="4788" w:hanging="480"/>
      </w:pPr>
    </w:lvl>
    <w:lvl w:ilvl="4" w:tplc="04090019" w:tentative="1">
      <w:start w:val="1"/>
      <w:numFmt w:val="ideographTraditional"/>
      <w:lvlText w:val="%5、"/>
      <w:lvlJc w:val="left"/>
      <w:pPr>
        <w:ind w:left="5268" w:hanging="480"/>
      </w:pPr>
    </w:lvl>
    <w:lvl w:ilvl="5" w:tplc="0409001B" w:tentative="1">
      <w:start w:val="1"/>
      <w:numFmt w:val="lowerRoman"/>
      <w:lvlText w:val="%6."/>
      <w:lvlJc w:val="right"/>
      <w:pPr>
        <w:ind w:left="5748" w:hanging="480"/>
      </w:pPr>
    </w:lvl>
    <w:lvl w:ilvl="6" w:tplc="0409000F" w:tentative="1">
      <w:start w:val="1"/>
      <w:numFmt w:val="decimal"/>
      <w:lvlText w:val="%7."/>
      <w:lvlJc w:val="left"/>
      <w:pPr>
        <w:ind w:left="6228" w:hanging="480"/>
      </w:pPr>
    </w:lvl>
    <w:lvl w:ilvl="7" w:tplc="04090019" w:tentative="1">
      <w:start w:val="1"/>
      <w:numFmt w:val="ideographTraditional"/>
      <w:lvlText w:val="%8、"/>
      <w:lvlJc w:val="left"/>
      <w:pPr>
        <w:ind w:left="6708" w:hanging="480"/>
      </w:pPr>
    </w:lvl>
    <w:lvl w:ilvl="8" w:tplc="0409001B" w:tentative="1">
      <w:start w:val="1"/>
      <w:numFmt w:val="lowerRoman"/>
      <w:lvlText w:val="%9."/>
      <w:lvlJc w:val="right"/>
      <w:pPr>
        <w:ind w:left="7188" w:hanging="480"/>
      </w:pPr>
    </w:lvl>
  </w:abstractNum>
  <w:abstractNum w:abstractNumId="19">
    <w:nsid w:val="51852564"/>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4A74775"/>
    <w:multiLevelType w:val="hybridMultilevel"/>
    <w:tmpl w:val="263C3566"/>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40A4319E">
      <w:start w:val="1"/>
      <w:numFmt w:val="decimal"/>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8916CC6"/>
    <w:multiLevelType w:val="hybridMultilevel"/>
    <w:tmpl w:val="C6541188"/>
    <w:lvl w:ilvl="0" w:tplc="1564FAA2">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ADB5DBB"/>
    <w:multiLevelType w:val="hybridMultilevel"/>
    <w:tmpl w:val="D65AC56E"/>
    <w:lvl w:ilvl="0" w:tplc="542C95BC">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3">
    <w:nsid w:val="5DDE5A81"/>
    <w:multiLevelType w:val="multilevel"/>
    <w:tmpl w:val="5CC6B244"/>
    <w:lvl w:ilvl="0">
      <w:start w:val="3"/>
      <w:numFmt w:val="taiwaneseCountingThousand"/>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5F3415F9"/>
    <w:multiLevelType w:val="hybridMultilevel"/>
    <w:tmpl w:val="1846A002"/>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06307C0"/>
    <w:multiLevelType w:val="hybridMultilevel"/>
    <w:tmpl w:val="3AD46A9E"/>
    <w:lvl w:ilvl="0" w:tplc="30988FAC">
      <w:start w:val="1"/>
      <w:numFmt w:val="decimal"/>
      <w:lvlText w:val="%1."/>
      <w:lvlJc w:val="left"/>
      <w:pPr>
        <w:ind w:left="360" w:hanging="360"/>
      </w:pPr>
      <w:rPr>
        <w:rFonts w:ascii="新細明體" w:hAnsi="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2C3246A"/>
    <w:multiLevelType w:val="hybridMultilevel"/>
    <w:tmpl w:val="D65AC56E"/>
    <w:lvl w:ilvl="0" w:tplc="542C95B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FF444A6"/>
    <w:multiLevelType w:val="multilevel"/>
    <w:tmpl w:val="6A98A140"/>
    <w:lvl w:ilvl="0">
      <w:start w:val="1"/>
      <w:numFmt w:val="taiwaneseCountingThousand"/>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5"/>
  </w:num>
  <w:num w:numId="4">
    <w:abstractNumId w:val="5"/>
  </w:num>
  <w:num w:numId="5">
    <w:abstractNumId w:val="16"/>
  </w:num>
  <w:num w:numId="6">
    <w:abstractNumId w:val="26"/>
  </w:num>
  <w:num w:numId="7">
    <w:abstractNumId w:val="7"/>
  </w:num>
  <w:num w:numId="8">
    <w:abstractNumId w:val="23"/>
  </w:num>
  <w:num w:numId="9">
    <w:abstractNumId w:val="17"/>
  </w:num>
  <w:num w:numId="10">
    <w:abstractNumId w:val="13"/>
  </w:num>
  <w:num w:numId="11">
    <w:abstractNumId w:val="3"/>
  </w:num>
  <w:num w:numId="12">
    <w:abstractNumId w:val="1"/>
  </w:num>
  <w:num w:numId="13">
    <w:abstractNumId w:val="18"/>
  </w:num>
  <w:num w:numId="14">
    <w:abstractNumId w:val="22"/>
  </w:num>
  <w:num w:numId="15">
    <w:abstractNumId w:val="8"/>
  </w:num>
  <w:num w:numId="16">
    <w:abstractNumId w:val="12"/>
  </w:num>
  <w:num w:numId="17">
    <w:abstractNumId w:val="24"/>
  </w:num>
  <w:num w:numId="18">
    <w:abstractNumId w:val="14"/>
  </w:num>
  <w:num w:numId="19">
    <w:abstractNumId w:val="21"/>
  </w:num>
  <w:num w:numId="20">
    <w:abstractNumId w:val="15"/>
  </w:num>
  <w:num w:numId="21">
    <w:abstractNumId w:val="4"/>
  </w:num>
  <w:num w:numId="22">
    <w:abstractNumId w:val="0"/>
  </w:num>
  <w:num w:numId="23">
    <w:abstractNumId w:val="9"/>
  </w:num>
  <w:num w:numId="24">
    <w:abstractNumId w:val="27"/>
  </w:num>
  <w:num w:numId="25">
    <w:abstractNumId w:val="19"/>
  </w:num>
  <w:num w:numId="26">
    <w:abstractNumId w:val="20"/>
  </w:num>
  <w:num w:numId="27">
    <w:abstractNumId w:val="10"/>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C96"/>
    <w:rsid w:val="00041C25"/>
    <w:rsid w:val="000550B0"/>
    <w:rsid w:val="0007076A"/>
    <w:rsid w:val="000A4CA2"/>
    <w:rsid w:val="000D50C2"/>
    <w:rsid w:val="000F0C47"/>
    <w:rsid w:val="0010507B"/>
    <w:rsid w:val="00123880"/>
    <w:rsid w:val="00145B44"/>
    <w:rsid w:val="00175363"/>
    <w:rsid w:val="00176346"/>
    <w:rsid w:val="001D6632"/>
    <w:rsid w:val="001E2F07"/>
    <w:rsid w:val="002343C8"/>
    <w:rsid w:val="002E4CD9"/>
    <w:rsid w:val="002E519D"/>
    <w:rsid w:val="003118BC"/>
    <w:rsid w:val="00314658"/>
    <w:rsid w:val="00320768"/>
    <w:rsid w:val="00325F21"/>
    <w:rsid w:val="00351AF7"/>
    <w:rsid w:val="00363E61"/>
    <w:rsid w:val="00382166"/>
    <w:rsid w:val="00390D03"/>
    <w:rsid w:val="003911F2"/>
    <w:rsid w:val="003B0BAB"/>
    <w:rsid w:val="003B6620"/>
    <w:rsid w:val="003C3922"/>
    <w:rsid w:val="003C60CB"/>
    <w:rsid w:val="003D15B7"/>
    <w:rsid w:val="003E407F"/>
    <w:rsid w:val="003F1A2F"/>
    <w:rsid w:val="00413CEC"/>
    <w:rsid w:val="004310BD"/>
    <w:rsid w:val="00437AFA"/>
    <w:rsid w:val="00461AEB"/>
    <w:rsid w:val="004672D0"/>
    <w:rsid w:val="00477116"/>
    <w:rsid w:val="004B3036"/>
    <w:rsid w:val="004C25B1"/>
    <w:rsid w:val="004C7489"/>
    <w:rsid w:val="004E1819"/>
    <w:rsid w:val="004E2AC8"/>
    <w:rsid w:val="0050521C"/>
    <w:rsid w:val="00565955"/>
    <w:rsid w:val="00593B3F"/>
    <w:rsid w:val="0059752C"/>
    <w:rsid w:val="005F1BAB"/>
    <w:rsid w:val="00635D1B"/>
    <w:rsid w:val="00637EE6"/>
    <w:rsid w:val="00644F05"/>
    <w:rsid w:val="00694BC7"/>
    <w:rsid w:val="006B0B19"/>
    <w:rsid w:val="006C1F98"/>
    <w:rsid w:val="006D72F3"/>
    <w:rsid w:val="006F0448"/>
    <w:rsid w:val="006F41AF"/>
    <w:rsid w:val="007222A0"/>
    <w:rsid w:val="0072708F"/>
    <w:rsid w:val="00786378"/>
    <w:rsid w:val="00794252"/>
    <w:rsid w:val="007C3621"/>
    <w:rsid w:val="007D2B69"/>
    <w:rsid w:val="007D69C6"/>
    <w:rsid w:val="007F0EE5"/>
    <w:rsid w:val="007F3C96"/>
    <w:rsid w:val="00826945"/>
    <w:rsid w:val="00832EA7"/>
    <w:rsid w:val="00897487"/>
    <w:rsid w:val="008C4758"/>
    <w:rsid w:val="009357F3"/>
    <w:rsid w:val="00942235"/>
    <w:rsid w:val="009519AB"/>
    <w:rsid w:val="00987C8E"/>
    <w:rsid w:val="009937AB"/>
    <w:rsid w:val="009A0231"/>
    <w:rsid w:val="00A11EDB"/>
    <w:rsid w:val="00A30566"/>
    <w:rsid w:val="00A57421"/>
    <w:rsid w:val="00A60C0A"/>
    <w:rsid w:val="00A924FE"/>
    <w:rsid w:val="00AA16A5"/>
    <w:rsid w:val="00AD61C5"/>
    <w:rsid w:val="00AF17CE"/>
    <w:rsid w:val="00B27A3A"/>
    <w:rsid w:val="00B51656"/>
    <w:rsid w:val="00B632C1"/>
    <w:rsid w:val="00B8619D"/>
    <w:rsid w:val="00B93188"/>
    <w:rsid w:val="00B9390E"/>
    <w:rsid w:val="00C147BC"/>
    <w:rsid w:val="00C50357"/>
    <w:rsid w:val="00C7594C"/>
    <w:rsid w:val="00CB1BA9"/>
    <w:rsid w:val="00CC25A6"/>
    <w:rsid w:val="00CF0AF3"/>
    <w:rsid w:val="00CF1B64"/>
    <w:rsid w:val="00D3647C"/>
    <w:rsid w:val="00D4497F"/>
    <w:rsid w:val="00D54C49"/>
    <w:rsid w:val="00D63690"/>
    <w:rsid w:val="00D7614A"/>
    <w:rsid w:val="00DF24ED"/>
    <w:rsid w:val="00E23229"/>
    <w:rsid w:val="00E445CF"/>
    <w:rsid w:val="00E51641"/>
    <w:rsid w:val="00E80BA4"/>
    <w:rsid w:val="00E84D90"/>
    <w:rsid w:val="00EB3F78"/>
    <w:rsid w:val="00F0052F"/>
    <w:rsid w:val="00F132EF"/>
    <w:rsid w:val="00F34EBD"/>
    <w:rsid w:val="00F4627D"/>
    <w:rsid w:val="00F6425F"/>
    <w:rsid w:val="00F876CA"/>
    <w:rsid w:val="00F928A7"/>
    <w:rsid w:val="00F97555"/>
    <w:rsid w:val="00FB59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FC2F64-26F8-4D20-92FC-30FE9E4F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F3C96"/>
    <w:pPr>
      <w:widowControl/>
      <w:ind w:leftChars="200" w:left="480"/>
    </w:pPr>
    <w:rPr>
      <w:rFonts w:ascii="Calibri" w:eastAsia="新細明體" w:hAnsi="Calibri" w:cs="Calibri"/>
      <w:kern w:val="0"/>
      <w:szCs w:val="24"/>
    </w:rPr>
  </w:style>
  <w:style w:type="paragraph" w:customStyle="1" w:styleId="Default">
    <w:name w:val="Default"/>
    <w:rsid w:val="007F3C96"/>
    <w:pPr>
      <w:widowControl w:val="0"/>
      <w:autoSpaceDE w:val="0"/>
      <w:autoSpaceDN w:val="0"/>
      <w:adjustRightInd w:val="0"/>
    </w:pPr>
    <w:rPr>
      <w:rFonts w:ascii="標楷體" w:eastAsia="標楷體" w:cs="標楷體"/>
      <w:color w:val="000000"/>
      <w:kern w:val="0"/>
      <w:szCs w:val="24"/>
    </w:rPr>
  </w:style>
  <w:style w:type="table" w:styleId="a5">
    <w:name w:val="Table Grid"/>
    <w:basedOn w:val="a1"/>
    <w:uiPriority w:val="39"/>
    <w:rsid w:val="000F0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semiHidden/>
    <w:unhideWhenUsed/>
    <w:rsid w:val="00D3647C"/>
    <w:pPr>
      <w:widowControl/>
      <w:spacing w:before="100" w:beforeAutospacing="1" w:after="100" w:afterAutospacing="1"/>
    </w:pPr>
    <w:rPr>
      <w:rFonts w:ascii="新細明體" w:eastAsia="新細明體" w:hAnsi="新細明體" w:cs="新細明體"/>
      <w:kern w:val="0"/>
      <w:szCs w:val="24"/>
    </w:rPr>
  </w:style>
  <w:style w:type="paragraph" w:styleId="a6">
    <w:name w:val="header"/>
    <w:basedOn w:val="a"/>
    <w:link w:val="a7"/>
    <w:uiPriority w:val="99"/>
    <w:unhideWhenUsed/>
    <w:rsid w:val="00AF17CE"/>
    <w:pPr>
      <w:tabs>
        <w:tab w:val="center" w:pos="4153"/>
        <w:tab w:val="right" w:pos="8306"/>
      </w:tabs>
      <w:snapToGrid w:val="0"/>
    </w:pPr>
    <w:rPr>
      <w:sz w:val="20"/>
      <w:szCs w:val="20"/>
    </w:rPr>
  </w:style>
  <w:style w:type="character" w:customStyle="1" w:styleId="a7">
    <w:name w:val="頁首 字元"/>
    <w:basedOn w:val="a0"/>
    <w:link w:val="a6"/>
    <w:uiPriority w:val="99"/>
    <w:rsid w:val="00AF17CE"/>
    <w:rPr>
      <w:sz w:val="20"/>
      <w:szCs w:val="20"/>
    </w:rPr>
  </w:style>
  <w:style w:type="paragraph" w:styleId="a8">
    <w:name w:val="footer"/>
    <w:basedOn w:val="a"/>
    <w:link w:val="a9"/>
    <w:uiPriority w:val="99"/>
    <w:unhideWhenUsed/>
    <w:rsid w:val="00AF17CE"/>
    <w:pPr>
      <w:tabs>
        <w:tab w:val="center" w:pos="4153"/>
        <w:tab w:val="right" w:pos="8306"/>
      </w:tabs>
      <w:snapToGrid w:val="0"/>
    </w:pPr>
    <w:rPr>
      <w:sz w:val="20"/>
      <w:szCs w:val="20"/>
    </w:rPr>
  </w:style>
  <w:style w:type="character" w:customStyle="1" w:styleId="a9">
    <w:name w:val="頁尾 字元"/>
    <w:basedOn w:val="a0"/>
    <w:link w:val="a8"/>
    <w:uiPriority w:val="99"/>
    <w:rsid w:val="00AF17CE"/>
    <w:rPr>
      <w:sz w:val="20"/>
      <w:szCs w:val="20"/>
    </w:rPr>
  </w:style>
  <w:style w:type="character" w:customStyle="1" w:styleId="a4">
    <w:name w:val="清單段落 字元"/>
    <w:basedOn w:val="a0"/>
    <w:link w:val="a3"/>
    <w:uiPriority w:val="34"/>
    <w:rsid w:val="00A924FE"/>
    <w:rPr>
      <w:rFonts w:ascii="Calibri" w:eastAsia="新細明體" w:hAnsi="Calibri" w:cs="Calibri"/>
      <w:kern w:val="0"/>
      <w:szCs w:val="24"/>
    </w:rPr>
  </w:style>
  <w:style w:type="paragraph" w:styleId="aa">
    <w:name w:val="footnote text"/>
    <w:basedOn w:val="a"/>
    <w:link w:val="ab"/>
    <w:uiPriority w:val="99"/>
    <w:unhideWhenUsed/>
    <w:rsid w:val="00F6425F"/>
    <w:pPr>
      <w:snapToGrid w:val="0"/>
    </w:pPr>
    <w:rPr>
      <w:sz w:val="20"/>
      <w:szCs w:val="20"/>
    </w:rPr>
  </w:style>
  <w:style w:type="character" w:customStyle="1" w:styleId="ab">
    <w:name w:val="註腳文字 字元"/>
    <w:basedOn w:val="a0"/>
    <w:link w:val="aa"/>
    <w:uiPriority w:val="99"/>
    <w:rsid w:val="00F6425F"/>
    <w:rPr>
      <w:sz w:val="20"/>
      <w:szCs w:val="20"/>
    </w:rPr>
  </w:style>
  <w:style w:type="character" w:styleId="ac">
    <w:name w:val="footnote reference"/>
    <w:basedOn w:val="a0"/>
    <w:unhideWhenUsed/>
    <w:rsid w:val="00F6425F"/>
    <w:rPr>
      <w:vertAlign w:val="superscript"/>
    </w:rPr>
  </w:style>
  <w:style w:type="character" w:styleId="ad">
    <w:name w:val="Hyperlink"/>
    <w:basedOn w:val="a0"/>
    <w:uiPriority w:val="99"/>
    <w:semiHidden/>
    <w:unhideWhenUsed/>
    <w:rsid w:val="00B27A3A"/>
    <w:rPr>
      <w:rFonts w:ascii="Times New Roman" w:hAnsi="Times New Roman" w:cs="Times New Roman"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8">
      <w:bodyDiv w:val="1"/>
      <w:marLeft w:val="0"/>
      <w:marRight w:val="0"/>
      <w:marTop w:val="0"/>
      <w:marBottom w:val="0"/>
      <w:divBdr>
        <w:top w:val="none" w:sz="0" w:space="0" w:color="auto"/>
        <w:left w:val="none" w:sz="0" w:space="0" w:color="auto"/>
        <w:bottom w:val="none" w:sz="0" w:space="0" w:color="auto"/>
        <w:right w:val="none" w:sz="0" w:space="0" w:color="auto"/>
      </w:divBdr>
    </w:div>
    <w:div w:id="836337149">
      <w:bodyDiv w:val="1"/>
      <w:marLeft w:val="0"/>
      <w:marRight w:val="0"/>
      <w:marTop w:val="0"/>
      <w:marBottom w:val="0"/>
      <w:divBdr>
        <w:top w:val="none" w:sz="0" w:space="0" w:color="auto"/>
        <w:left w:val="none" w:sz="0" w:space="0" w:color="auto"/>
        <w:bottom w:val="none" w:sz="0" w:space="0" w:color="auto"/>
        <w:right w:val="none" w:sz="0" w:space="0" w:color="auto"/>
      </w:divBdr>
    </w:div>
    <w:div w:id="1147432261">
      <w:bodyDiv w:val="1"/>
      <w:marLeft w:val="0"/>
      <w:marRight w:val="0"/>
      <w:marTop w:val="0"/>
      <w:marBottom w:val="0"/>
      <w:divBdr>
        <w:top w:val="none" w:sz="0" w:space="0" w:color="auto"/>
        <w:left w:val="none" w:sz="0" w:space="0" w:color="auto"/>
        <w:bottom w:val="none" w:sz="0" w:space="0" w:color="auto"/>
        <w:right w:val="none" w:sz="0" w:space="0" w:color="auto"/>
      </w:divBdr>
    </w:div>
    <w:div w:id="158506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8B9CA-48CA-4C6A-A3F7-39B39425E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6</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藍仁志</dc:creator>
  <cp:keywords/>
  <dc:description/>
  <cp:lastModifiedBy>王信閎</cp:lastModifiedBy>
  <cp:revision>104</cp:revision>
  <dcterms:created xsi:type="dcterms:W3CDTF">2022-08-03T01:01:00Z</dcterms:created>
  <dcterms:modified xsi:type="dcterms:W3CDTF">2022-08-10T09:13:00Z</dcterms:modified>
</cp:coreProperties>
</file>