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D8D87" w14:textId="77777777" w:rsidR="007547DF" w:rsidRPr="00CA1A43" w:rsidRDefault="007547DF" w:rsidP="00145DCF">
      <w:pPr>
        <w:pStyle w:val="Default"/>
        <w:spacing w:beforeLines="50" w:before="180" w:after="100"/>
        <w:jc w:val="both"/>
        <w:rPr>
          <w:rFonts w:asciiTheme="minorHAnsi" w:cstheme="minorHAnsi"/>
          <w:color w:val="auto"/>
          <w:sz w:val="44"/>
          <w:szCs w:val="44"/>
        </w:rPr>
      </w:pPr>
      <w:bookmarkStart w:id="0" w:name="_GoBack"/>
      <w:bookmarkEnd w:id="0"/>
      <w:r w:rsidRPr="00CA1A43">
        <w:rPr>
          <w:rFonts w:asciiTheme="minorHAnsi" w:cstheme="minorHAnsi"/>
          <w:color w:val="auto"/>
          <w:sz w:val="44"/>
          <w:szCs w:val="44"/>
        </w:rPr>
        <w:t>巴塞爾銀行監督管理委員會</w:t>
      </w:r>
    </w:p>
    <w:p w14:paraId="57CB30E2" w14:textId="77777777" w:rsidR="007547DF" w:rsidRPr="00CA1A43" w:rsidRDefault="007547DF" w:rsidP="0067643C">
      <w:pPr>
        <w:pStyle w:val="Default"/>
        <w:spacing w:beforeLines="50" w:before="180" w:after="100"/>
        <w:jc w:val="both"/>
        <w:rPr>
          <w:rFonts w:asciiTheme="minorHAnsi" w:cstheme="minorHAnsi"/>
          <w:color w:val="auto"/>
          <w:sz w:val="28"/>
          <w:szCs w:val="28"/>
        </w:rPr>
      </w:pPr>
    </w:p>
    <w:p w14:paraId="291F3AD3" w14:textId="77777777" w:rsidR="007547DF" w:rsidRPr="00CA1A43" w:rsidRDefault="007547DF" w:rsidP="00145DCF">
      <w:pPr>
        <w:widowControl/>
        <w:spacing w:beforeLines="50" w:before="180"/>
        <w:jc w:val="both"/>
        <w:rPr>
          <w:rFonts w:eastAsia="標楷體" w:cstheme="minorHAnsi"/>
          <w:kern w:val="0"/>
          <w:sz w:val="28"/>
          <w:szCs w:val="24"/>
        </w:rPr>
      </w:pPr>
    </w:p>
    <w:p w14:paraId="2E2079A2" w14:textId="77777777" w:rsidR="007547DF" w:rsidRPr="00CA1A43" w:rsidRDefault="007547DF" w:rsidP="00145DCF">
      <w:pPr>
        <w:spacing w:beforeLines="50" w:before="180"/>
        <w:jc w:val="both"/>
        <w:rPr>
          <w:rFonts w:eastAsia="標楷體" w:cstheme="minorHAnsi"/>
          <w:sz w:val="28"/>
          <w:szCs w:val="24"/>
        </w:rPr>
      </w:pPr>
    </w:p>
    <w:p w14:paraId="2EE7128C" w14:textId="77777777" w:rsidR="00D40D41" w:rsidRPr="00CA1A43" w:rsidRDefault="00D40D41" w:rsidP="00145DCF">
      <w:pPr>
        <w:spacing w:beforeLines="50" w:before="180"/>
        <w:jc w:val="both"/>
        <w:rPr>
          <w:rFonts w:eastAsia="標楷體" w:cstheme="minorHAnsi"/>
          <w:sz w:val="28"/>
          <w:szCs w:val="24"/>
        </w:rPr>
      </w:pPr>
    </w:p>
    <w:p w14:paraId="71BF3E67" w14:textId="77777777" w:rsidR="00D40D41" w:rsidRPr="00CA1A43" w:rsidRDefault="00D40D41" w:rsidP="00145DCF">
      <w:pPr>
        <w:spacing w:beforeLines="50" w:before="180"/>
        <w:jc w:val="both"/>
        <w:rPr>
          <w:rFonts w:eastAsia="標楷體" w:cstheme="minorHAnsi"/>
          <w:sz w:val="28"/>
          <w:szCs w:val="24"/>
        </w:rPr>
      </w:pPr>
    </w:p>
    <w:p w14:paraId="50C9E270" w14:textId="77777777" w:rsidR="007547DF" w:rsidRPr="00CA1A43" w:rsidRDefault="00136953" w:rsidP="00145DCF">
      <w:pPr>
        <w:spacing w:beforeLines="50" w:before="180"/>
        <w:jc w:val="both"/>
        <w:rPr>
          <w:rFonts w:eastAsia="標楷體" w:cstheme="minorHAnsi"/>
          <w:sz w:val="28"/>
          <w:szCs w:val="24"/>
        </w:rPr>
      </w:pPr>
      <w:r w:rsidRPr="00CA1A43">
        <w:rPr>
          <w:rFonts w:eastAsia="標楷體" w:cstheme="minorHAnsi"/>
          <w:noProof/>
          <w:sz w:val="28"/>
          <w:szCs w:val="24"/>
        </w:rPr>
        <mc:AlternateContent>
          <mc:Choice Requires="wps">
            <w:drawing>
              <wp:anchor distT="0" distB="0" distL="114300" distR="114300" simplePos="0" relativeHeight="251658240" behindDoc="0" locked="0" layoutInCell="1" allowOverlap="1" wp14:anchorId="3D67F187" wp14:editId="57A99D63">
                <wp:simplePos x="0" y="0"/>
                <wp:positionH relativeFrom="column">
                  <wp:posOffset>2360930</wp:posOffset>
                </wp:positionH>
                <wp:positionV relativeFrom="paragraph">
                  <wp:posOffset>158750</wp:posOffset>
                </wp:positionV>
                <wp:extent cx="2908935" cy="1948815"/>
                <wp:effectExtent l="0" t="0" r="0" b="381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1948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2D148" w14:textId="77777777" w:rsidR="00BD20A5" w:rsidRPr="007547DF" w:rsidRDefault="00BD20A5" w:rsidP="007547DF">
                            <w:pPr>
                              <w:rPr>
                                <w:rFonts w:ascii="Calibri" w:eastAsia="標楷體" w:hAnsi="Calibri" w:cs="Calibri"/>
                                <w:b/>
                                <w:color w:val="000000"/>
                                <w:sz w:val="40"/>
                                <w:szCs w:val="40"/>
                              </w:rPr>
                            </w:pPr>
                            <w:r w:rsidRPr="00BB33F6">
                              <w:rPr>
                                <w:rFonts w:ascii="Times New Roman" w:eastAsia="標楷體" w:hAnsi="標楷體" w:cs="Times New Roman"/>
                                <w:b/>
                                <w:sz w:val="40"/>
                                <w:szCs w:val="40"/>
                              </w:rPr>
                              <w:t>市場風險最低資本要求</w:t>
                            </w:r>
                          </w:p>
                          <w:p w14:paraId="4BA382FC" w14:textId="77777777" w:rsidR="00BD20A5" w:rsidRDefault="00BD20A5" w:rsidP="007547DF">
                            <w:pPr>
                              <w:rPr>
                                <w:rFonts w:ascii="Calibri" w:eastAsia="標楷體" w:hAnsi="Calibri" w:cs="Calibri"/>
                                <w:b/>
                                <w:i/>
                                <w:color w:val="000000"/>
                                <w:szCs w:val="24"/>
                              </w:rPr>
                            </w:pPr>
                          </w:p>
                          <w:p w14:paraId="5AE4D07E" w14:textId="77777777" w:rsidR="00BD20A5" w:rsidRPr="004E0BEA" w:rsidRDefault="00BD20A5" w:rsidP="007547DF">
                            <w:pPr>
                              <w:jc w:val="both"/>
                            </w:pP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1</w:t>
                            </w:r>
                            <w:r w:rsidRPr="00AA4E62">
                              <w:rPr>
                                <w:rFonts w:ascii="Calibri" w:eastAsia="標楷體" w:hAnsi="Calibri" w:cs="Calibri" w:hint="eastAsia"/>
                                <w:b/>
                                <w:i/>
                                <w:color w:val="000000"/>
                                <w:szCs w:val="24"/>
                              </w:rPr>
                              <w:t>月（</w:t>
                            </w: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2</w:t>
                            </w:r>
                            <w:r>
                              <w:rPr>
                                <w:rFonts w:ascii="Calibri" w:eastAsia="標楷體" w:hAnsi="Calibri" w:cs="Calibri" w:hint="eastAsia"/>
                                <w:b/>
                                <w:i/>
                                <w:color w:val="000000"/>
                                <w:szCs w:val="24"/>
                              </w:rPr>
                              <w:t>月修訂）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7F187" id="_x0000_t202" coordsize="21600,21600" o:spt="202" path="m,l,21600r21600,l21600,xe">
                <v:stroke joinstyle="miter"/>
                <v:path gradientshapeok="t" o:connecttype="rect"/>
              </v:shapetype>
              <v:shape id="Text Box 2" o:spid="_x0000_s1026" type="#_x0000_t202" style="position:absolute;left:0;text-align:left;margin-left:185.9pt;margin-top:12.5pt;width:229.05pt;height:15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UhAIAABEFAAAOAAAAZHJzL2Uyb0RvYy54bWysVFtv2yAUfp+0/4B4T32Z3dpWnKpJl2lS&#10;d5Ha/QBicIyGgQGJ3U377zvgJE13kaZpfsBcDt+5fN9hfj32Au2ZsVzJGicXMUZMNopyua3xp4f1&#10;rMDIOiIpEUqyGj8yi68XL1/MB12xVHVKUGYQgEhbDbrGnXO6iiLbdKwn9kJpJuGwVaYnDpZmG1FD&#10;BkDvRZTG8WU0KEO1UQ2zFnZvp0O8CPhtyxr3oW0tc0jUGGJzYTRh3PgxWsxJtTVEd7w5hEH+IYqe&#10;cAlOT1C3xBG0M/wXqJ43RlnVuotG9ZFqW96wkANkk8Q/ZXPfEc1CLlAcq09lsv8Ptnm//2gQpzXO&#10;U4wk6YGjBzY6tFQjSn15Bm0rsLrXYOdG2AaaQ6pW36nms0VSrToit+zGGDV0jFAIL/E3o7OrE471&#10;IJvhnaLghuycCkBja3pfO6gGAnSg6fFEjQ+lgc20jIvyVY5RA2dJmRVFkgcfpDpe18a6N0z1yE9q&#10;bID7AE/2d9b5cEh1NPHerBKcrrkQYWG2m5UwaE9AJ+vwHdCfmQnpjaXy1ybEaQeiBB/+zMcbeP9W&#10;JmkWL9Nytr4srmbZOstn5VVczOKkXJaXcVZmt+vvPsAkqzpOKZN3XLKjBpPs7zg+dMOknqBCNNS4&#10;zNN84uiPScbh+12SPXfQkoL3NS5ORqTyzL6WFNImlSNcTPPoefihylCD4z9UJejAUz+JwI2bEVC8&#10;ODaKPoIijAK+gHZ4R2DSKfMVowF6ssb2y44YhpF4K0FVZZJlvonDIsuvUliY85PN+QmRDUDV2GE0&#10;TVduavydNnzbgadJx1LdgBJbHjTyFNVBv9B3IZnDG+Eb+3wdrJ5essUPAAAA//8DAFBLAwQUAAYA&#10;CAAAACEAZAxXAd8AAAAKAQAADwAAAGRycy9kb3ducmV2LnhtbEyPQU+DQBSE7yb+h80z8WLsArWl&#10;UJZGTTReW/sDHuwrkLK7hN0W+u99nvQ4mcnMN8VuNr240ug7ZxXEiwgE2drpzjYKjt8fzxsQPqDV&#10;2DtLCm7kYVfe3xWYazfZPV0PoRFcYn2OCtoQhlxKX7dk0C/cQJa9kxsNBpZjI/WIE5ebXiZRtJYG&#10;O8sLLQ703lJ9PlyMgtPX9LTKpuozHNP9y/oNu7RyN6UeH+bXLYhAc/gLwy8+o0PJTJW7WO1Fr2CZ&#10;xoweFCQr/sSBTZJlICp2lnEGsizk/wvlDwAAAP//AwBQSwECLQAUAAYACAAAACEAtoM4kv4AAADh&#10;AQAAEwAAAAAAAAAAAAAAAAAAAAAAW0NvbnRlbnRfVHlwZXNdLnhtbFBLAQItABQABgAIAAAAIQA4&#10;/SH/1gAAAJQBAAALAAAAAAAAAAAAAAAAAC8BAABfcmVscy8ucmVsc1BLAQItABQABgAIAAAAIQC+&#10;oFkUhAIAABEFAAAOAAAAAAAAAAAAAAAAAC4CAABkcnMvZTJvRG9jLnhtbFBLAQItABQABgAIAAAA&#10;IQBkDFcB3wAAAAoBAAAPAAAAAAAAAAAAAAAAAN4EAABkcnMvZG93bnJldi54bWxQSwUGAAAAAAQA&#10;BADzAAAA6gUAAAAA&#10;" stroked="f">
                <v:textbox>
                  <w:txbxContent>
                    <w:p w14:paraId="0E82D148" w14:textId="77777777" w:rsidR="00BD20A5" w:rsidRPr="007547DF" w:rsidRDefault="00BD20A5" w:rsidP="007547DF">
                      <w:pPr>
                        <w:rPr>
                          <w:rFonts w:ascii="Calibri" w:eastAsia="標楷體" w:hAnsi="Calibri" w:cs="Calibri"/>
                          <w:b/>
                          <w:color w:val="000000"/>
                          <w:sz w:val="40"/>
                          <w:szCs w:val="40"/>
                        </w:rPr>
                      </w:pPr>
                      <w:r w:rsidRPr="00BB33F6">
                        <w:rPr>
                          <w:rFonts w:ascii="Times New Roman" w:eastAsia="標楷體" w:hAnsi="標楷體" w:cs="Times New Roman"/>
                          <w:b/>
                          <w:sz w:val="40"/>
                          <w:szCs w:val="40"/>
                        </w:rPr>
                        <w:t>市場風險最低資本要求</w:t>
                      </w:r>
                    </w:p>
                    <w:p w14:paraId="4BA382FC" w14:textId="77777777" w:rsidR="00BD20A5" w:rsidRDefault="00BD20A5" w:rsidP="007547DF">
                      <w:pPr>
                        <w:rPr>
                          <w:rFonts w:ascii="Calibri" w:eastAsia="標楷體" w:hAnsi="Calibri" w:cs="Calibri"/>
                          <w:b/>
                          <w:i/>
                          <w:color w:val="000000"/>
                          <w:szCs w:val="24"/>
                        </w:rPr>
                      </w:pPr>
                    </w:p>
                    <w:p w14:paraId="5AE4D07E" w14:textId="77777777" w:rsidR="00BD20A5" w:rsidRPr="004E0BEA" w:rsidRDefault="00BD20A5" w:rsidP="007547DF">
                      <w:pPr>
                        <w:jc w:val="both"/>
                      </w:pP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1</w:t>
                      </w:r>
                      <w:r w:rsidRPr="00AA4E62">
                        <w:rPr>
                          <w:rFonts w:ascii="Calibri" w:eastAsia="標楷體" w:hAnsi="Calibri" w:cs="Calibri" w:hint="eastAsia"/>
                          <w:b/>
                          <w:i/>
                          <w:color w:val="000000"/>
                          <w:szCs w:val="24"/>
                        </w:rPr>
                        <w:t>月（</w:t>
                      </w:r>
                      <w:r w:rsidRPr="00AA4E62">
                        <w:rPr>
                          <w:rFonts w:ascii="Calibri" w:eastAsia="標楷體" w:hAnsi="Calibri" w:cs="Calibri" w:hint="eastAsia"/>
                          <w:b/>
                          <w:i/>
                          <w:color w:val="000000"/>
                          <w:szCs w:val="24"/>
                        </w:rPr>
                        <w:t>2019</w:t>
                      </w:r>
                      <w:r w:rsidRPr="00AA4E62">
                        <w:rPr>
                          <w:rFonts w:ascii="Calibri" w:eastAsia="標楷體" w:hAnsi="Calibri" w:cs="Calibri" w:hint="eastAsia"/>
                          <w:b/>
                          <w:i/>
                          <w:color w:val="000000"/>
                          <w:szCs w:val="24"/>
                        </w:rPr>
                        <w:t>年</w:t>
                      </w:r>
                      <w:r w:rsidRPr="00AA4E62">
                        <w:rPr>
                          <w:rFonts w:ascii="Calibri" w:eastAsia="標楷體" w:hAnsi="Calibri" w:cs="Calibri" w:hint="eastAsia"/>
                          <w:b/>
                          <w:i/>
                          <w:color w:val="000000"/>
                          <w:szCs w:val="24"/>
                        </w:rPr>
                        <w:t>2</w:t>
                      </w:r>
                      <w:r>
                        <w:rPr>
                          <w:rFonts w:ascii="Calibri" w:eastAsia="標楷體" w:hAnsi="Calibri" w:cs="Calibri" w:hint="eastAsia"/>
                          <w:b/>
                          <w:i/>
                          <w:color w:val="000000"/>
                          <w:szCs w:val="24"/>
                        </w:rPr>
                        <w:t>月修訂）</w:t>
                      </w:r>
                    </w:p>
                  </w:txbxContent>
                </v:textbox>
              </v:shape>
            </w:pict>
          </mc:Fallback>
        </mc:AlternateContent>
      </w:r>
      <w:r w:rsidR="007547DF" w:rsidRPr="00CA1A43">
        <w:rPr>
          <w:rFonts w:eastAsia="標楷體" w:cstheme="minorHAnsi"/>
          <w:noProof/>
          <w:sz w:val="28"/>
          <w:szCs w:val="24"/>
        </w:rPr>
        <w:drawing>
          <wp:inline distT="0" distB="0" distL="0" distR="0" wp14:anchorId="2107B489" wp14:editId="3FA5AFE1">
            <wp:extent cx="2106930" cy="2106930"/>
            <wp:effectExtent l="19050" t="0" r="762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06930" cy="2106930"/>
                    </a:xfrm>
                    <a:prstGeom prst="rect">
                      <a:avLst/>
                    </a:prstGeom>
                    <a:noFill/>
                    <a:ln w="9525">
                      <a:noFill/>
                      <a:miter lim="800000"/>
                      <a:headEnd/>
                      <a:tailEnd/>
                    </a:ln>
                  </pic:spPr>
                </pic:pic>
              </a:graphicData>
            </a:graphic>
          </wp:inline>
        </w:drawing>
      </w:r>
    </w:p>
    <w:p w14:paraId="6C00C79D" w14:textId="77777777" w:rsidR="003A40D9" w:rsidRPr="00CA1A43" w:rsidRDefault="003A40D9" w:rsidP="00145DCF">
      <w:pPr>
        <w:spacing w:beforeLines="50" w:before="180"/>
        <w:jc w:val="both"/>
        <w:rPr>
          <w:rFonts w:eastAsia="標楷體" w:cstheme="minorHAnsi"/>
          <w:sz w:val="28"/>
          <w:szCs w:val="28"/>
        </w:rPr>
      </w:pPr>
    </w:p>
    <w:p w14:paraId="74F6C592" w14:textId="77777777" w:rsidR="003A40D9" w:rsidRPr="00CA1A43" w:rsidRDefault="003A40D9" w:rsidP="00145DCF">
      <w:pPr>
        <w:spacing w:beforeLines="50" w:before="180"/>
        <w:jc w:val="both"/>
        <w:rPr>
          <w:rFonts w:eastAsia="標楷體" w:cstheme="minorHAnsi"/>
          <w:sz w:val="28"/>
          <w:szCs w:val="28"/>
        </w:rPr>
      </w:pPr>
    </w:p>
    <w:p w14:paraId="3A0675D7" w14:textId="77777777" w:rsidR="003A40D9" w:rsidRPr="00CA1A43" w:rsidRDefault="003A40D9" w:rsidP="00145DCF">
      <w:pPr>
        <w:spacing w:beforeLines="50" w:before="180"/>
        <w:jc w:val="both"/>
        <w:rPr>
          <w:rFonts w:eastAsia="標楷體" w:cstheme="minorHAnsi"/>
          <w:sz w:val="28"/>
          <w:szCs w:val="28"/>
        </w:rPr>
      </w:pPr>
    </w:p>
    <w:p w14:paraId="24E38011" w14:textId="77777777" w:rsidR="00D40D41" w:rsidRPr="00CA1A43" w:rsidRDefault="00D40D41" w:rsidP="00145DCF">
      <w:pPr>
        <w:spacing w:beforeLines="50" w:before="180"/>
        <w:jc w:val="both"/>
        <w:rPr>
          <w:rFonts w:eastAsia="標楷體" w:cstheme="minorHAnsi"/>
          <w:sz w:val="28"/>
          <w:szCs w:val="28"/>
        </w:rPr>
      </w:pPr>
    </w:p>
    <w:p w14:paraId="46B4C02D" w14:textId="77777777" w:rsidR="003A40D9" w:rsidRPr="00CA1A43" w:rsidRDefault="003A40D9" w:rsidP="00145DCF">
      <w:pPr>
        <w:spacing w:beforeLines="50" w:before="180"/>
        <w:jc w:val="both"/>
        <w:rPr>
          <w:rFonts w:eastAsia="標楷體" w:cstheme="minorHAnsi"/>
          <w:sz w:val="28"/>
          <w:szCs w:val="28"/>
        </w:rPr>
      </w:pPr>
    </w:p>
    <w:p w14:paraId="1F3D5A70" w14:textId="77777777" w:rsidR="006C0D0F" w:rsidRPr="00CA1A43" w:rsidRDefault="006C0D0F" w:rsidP="00145DCF">
      <w:pPr>
        <w:spacing w:beforeLines="50" w:before="180"/>
        <w:jc w:val="both"/>
        <w:rPr>
          <w:rFonts w:eastAsia="標楷體" w:cstheme="minorHAnsi"/>
          <w:sz w:val="28"/>
          <w:szCs w:val="28"/>
        </w:rPr>
      </w:pPr>
    </w:p>
    <w:p w14:paraId="0FC3373C" w14:textId="77777777" w:rsidR="006C0D0F" w:rsidRPr="00CA1A43" w:rsidRDefault="006C0D0F" w:rsidP="00145DCF">
      <w:pPr>
        <w:spacing w:beforeLines="50" w:before="180"/>
        <w:jc w:val="both"/>
        <w:rPr>
          <w:rFonts w:eastAsia="標楷體" w:cstheme="minorHAnsi"/>
          <w:sz w:val="28"/>
          <w:szCs w:val="28"/>
        </w:rPr>
      </w:pPr>
    </w:p>
    <w:p w14:paraId="4F2AA348" w14:textId="77777777" w:rsidR="006C0D0F" w:rsidRPr="00CA1A43" w:rsidRDefault="006C0D0F" w:rsidP="00145DCF">
      <w:pPr>
        <w:spacing w:beforeLines="50" w:before="180"/>
        <w:jc w:val="both"/>
        <w:rPr>
          <w:rFonts w:eastAsia="標楷體" w:cstheme="minorHAnsi"/>
          <w:sz w:val="28"/>
          <w:szCs w:val="28"/>
        </w:rPr>
      </w:pPr>
    </w:p>
    <w:p w14:paraId="31C6DA9F" w14:textId="77777777" w:rsidR="003A40D9" w:rsidRPr="00CA1A43" w:rsidRDefault="003A40D9" w:rsidP="00145DCF">
      <w:pPr>
        <w:spacing w:beforeLines="50" w:before="180"/>
        <w:jc w:val="both"/>
        <w:rPr>
          <w:rFonts w:eastAsia="標楷體" w:cstheme="minorHAnsi"/>
          <w:noProof/>
          <w:sz w:val="28"/>
          <w:szCs w:val="28"/>
        </w:rPr>
      </w:pPr>
      <w:r w:rsidRPr="00CA1A43">
        <w:rPr>
          <w:rFonts w:eastAsia="標楷體" w:cstheme="minorHAnsi"/>
          <w:sz w:val="28"/>
          <w:szCs w:val="28"/>
        </w:rPr>
        <w:t xml:space="preserve">      </w:t>
      </w:r>
      <w:r w:rsidRPr="00CA1A43">
        <w:rPr>
          <w:rFonts w:eastAsia="標楷體" w:cstheme="minorHAnsi"/>
          <w:noProof/>
          <w:sz w:val="28"/>
          <w:szCs w:val="28"/>
        </w:rPr>
        <w:t xml:space="preserve">          </w:t>
      </w:r>
      <w:r w:rsidRPr="00CA1A43">
        <w:rPr>
          <w:rFonts w:eastAsia="標楷體" w:cstheme="minorHAnsi"/>
          <w:noProof/>
          <w:sz w:val="28"/>
          <w:szCs w:val="28"/>
        </w:rPr>
        <w:drawing>
          <wp:inline distT="0" distB="0" distL="0" distR="0" wp14:anchorId="525928D9" wp14:editId="4180EC11">
            <wp:extent cx="3674409" cy="764301"/>
            <wp:effectExtent l="19050" t="0" r="2241"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678393" cy="765130"/>
                    </a:xfrm>
                    <a:prstGeom prst="rect">
                      <a:avLst/>
                    </a:prstGeom>
                    <a:noFill/>
                    <a:ln w="9525">
                      <a:noFill/>
                      <a:miter lim="800000"/>
                      <a:headEnd/>
                      <a:tailEnd/>
                    </a:ln>
                  </pic:spPr>
                </pic:pic>
              </a:graphicData>
            </a:graphic>
          </wp:inline>
        </w:drawing>
      </w:r>
    </w:p>
    <w:p w14:paraId="34BDDAF5" w14:textId="77777777" w:rsidR="00494B9A" w:rsidRPr="00CA1A43" w:rsidRDefault="00494B9A" w:rsidP="00145DCF">
      <w:pPr>
        <w:spacing w:beforeLines="50" w:before="180"/>
        <w:jc w:val="both"/>
        <w:rPr>
          <w:rFonts w:eastAsia="標楷體" w:cstheme="minorHAnsi"/>
          <w:noProof/>
          <w:sz w:val="28"/>
          <w:szCs w:val="28"/>
        </w:rPr>
      </w:pPr>
    </w:p>
    <w:p w14:paraId="7285B0A2" w14:textId="77777777" w:rsidR="00B41971" w:rsidRPr="00CA1A43" w:rsidRDefault="0008358F" w:rsidP="00145DCF">
      <w:pPr>
        <w:spacing w:beforeLines="50" w:before="180"/>
        <w:jc w:val="both"/>
        <w:rPr>
          <w:rFonts w:eastAsia="標楷體" w:cstheme="minorHAnsi"/>
          <w:sz w:val="36"/>
          <w:szCs w:val="36"/>
        </w:rPr>
      </w:pPr>
      <w:r w:rsidRPr="00CA1A43">
        <w:rPr>
          <w:rFonts w:eastAsia="標楷體" w:cstheme="minorHAnsi"/>
          <w:sz w:val="36"/>
          <w:szCs w:val="36"/>
        </w:rPr>
        <w:lastRenderedPageBreak/>
        <w:t>市場風險最低資本要求</w:t>
      </w:r>
    </w:p>
    <w:p w14:paraId="0DD62992" w14:textId="77777777" w:rsidR="00B41971" w:rsidRPr="00CA1A43" w:rsidRDefault="00BC1EE3" w:rsidP="00145DCF">
      <w:pPr>
        <w:spacing w:beforeLines="50" w:before="180"/>
        <w:jc w:val="both"/>
        <w:rPr>
          <w:rFonts w:eastAsia="標楷體" w:cstheme="minorHAnsi"/>
          <w:szCs w:val="24"/>
        </w:rPr>
      </w:pPr>
      <w:r w:rsidRPr="00CA1A43">
        <w:rPr>
          <w:rFonts w:eastAsia="標楷體" w:cstheme="minorHAnsi"/>
          <w:szCs w:val="24"/>
        </w:rPr>
        <w:t>目錄</w:t>
      </w:r>
    </w:p>
    <w:p w14:paraId="75F7992B" w14:textId="0843767E" w:rsidR="00A83168" w:rsidRPr="00A83168" w:rsidRDefault="00565ABF" w:rsidP="00A83168">
      <w:pPr>
        <w:pStyle w:val="11"/>
        <w:tabs>
          <w:tab w:val="right" w:leader="dot" w:pos="8296"/>
        </w:tabs>
        <w:rPr>
          <w:rFonts w:eastAsia="標楷體" w:cstheme="minorHAnsi"/>
          <w:noProof/>
        </w:rPr>
      </w:pPr>
      <w:r w:rsidRPr="00A83168">
        <w:rPr>
          <w:rFonts w:eastAsia="標楷體" w:cstheme="minorHAnsi"/>
          <w:szCs w:val="24"/>
        </w:rPr>
        <w:fldChar w:fldCharType="begin"/>
      </w:r>
      <w:r w:rsidR="0047529A" w:rsidRPr="00A83168">
        <w:rPr>
          <w:rFonts w:eastAsia="標楷體" w:cstheme="minorHAnsi"/>
          <w:szCs w:val="24"/>
        </w:rPr>
        <w:instrText xml:space="preserve"> TOC \o "1-3" \u </w:instrText>
      </w:r>
      <w:r w:rsidRPr="00A83168">
        <w:rPr>
          <w:rFonts w:eastAsia="標楷體" w:cstheme="minorHAnsi"/>
          <w:szCs w:val="24"/>
        </w:rPr>
        <w:fldChar w:fldCharType="separate"/>
      </w:r>
      <w:r w:rsidR="00A83168" w:rsidRPr="00A83168">
        <w:rPr>
          <w:rFonts w:eastAsia="標楷體" w:cstheme="minorHAnsi"/>
          <w:noProof/>
        </w:rPr>
        <w:t>壹、前言</w:t>
      </w:r>
      <w:r w:rsidR="00A83168" w:rsidRPr="00A83168">
        <w:rPr>
          <w:rFonts w:eastAsia="標楷體" w:cstheme="minorHAnsi"/>
          <w:noProof/>
        </w:rPr>
        <w:tab/>
      </w:r>
      <w:r w:rsidR="00A83168" w:rsidRPr="00A83168">
        <w:rPr>
          <w:rFonts w:eastAsia="標楷體" w:cstheme="minorHAnsi"/>
          <w:noProof/>
        </w:rPr>
        <w:fldChar w:fldCharType="begin"/>
      </w:r>
      <w:r w:rsidR="00A83168" w:rsidRPr="00A83168">
        <w:rPr>
          <w:rFonts w:eastAsia="標楷體" w:cstheme="minorHAnsi"/>
          <w:noProof/>
        </w:rPr>
        <w:instrText xml:space="preserve"> PAGEREF _Toc67992441 \h </w:instrText>
      </w:r>
      <w:r w:rsidR="00A83168" w:rsidRPr="00A83168">
        <w:rPr>
          <w:rFonts w:eastAsia="標楷體" w:cstheme="minorHAnsi"/>
          <w:noProof/>
        </w:rPr>
      </w:r>
      <w:r w:rsidR="00A83168" w:rsidRPr="00A83168">
        <w:rPr>
          <w:rFonts w:eastAsia="標楷體" w:cstheme="minorHAnsi"/>
          <w:noProof/>
        </w:rPr>
        <w:fldChar w:fldCharType="separate"/>
      </w:r>
      <w:r w:rsidR="00882983">
        <w:rPr>
          <w:rFonts w:eastAsia="標楷體" w:cstheme="minorHAnsi"/>
          <w:noProof/>
        </w:rPr>
        <w:t>1</w:t>
      </w:r>
      <w:r w:rsidR="00A83168" w:rsidRPr="00A83168">
        <w:rPr>
          <w:rFonts w:eastAsia="標楷體" w:cstheme="minorHAnsi"/>
          <w:noProof/>
        </w:rPr>
        <w:fldChar w:fldCharType="end"/>
      </w:r>
    </w:p>
    <w:p w14:paraId="36BBEB67" w14:textId="78A3E85C"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一、</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市場風險的定義</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_Toc67992442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w:t>
      </w:r>
      <w:r w:rsidRPr="00A83168">
        <w:rPr>
          <w:rFonts w:eastAsia="標楷體" w:cstheme="minorHAnsi"/>
          <w:noProof/>
        </w:rPr>
        <w:fldChar w:fldCharType="end"/>
      </w:r>
    </w:p>
    <w:p w14:paraId="62428DBB" w14:textId="425B4587"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二、</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市場風險的適用範圍</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_Toc67992443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w:t>
      </w:r>
      <w:r w:rsidRPr="00A83168">
        <w:rPr>
          <w:rFonts w:eastAsia="標楷體" w:cstheme="minorHAnsi"/>
          <w:noProof/>
        </w:rPr>
        <w:fldChar w:fldCharType="end"/>
      </w:r>
    </w:p>
    <w:p w14:paraId="2E442B6E" w14:textId="55AB41F0"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三、</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市場風險的衡量方式</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_Toc67992444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w:t>
      </w:r>
      <w:r w:rsidRPr="00A83168">
        <w:rPr>
          <w:rFonts w:eastAsia="標楷體" w:cstheme="minorHAnsi"/>
          <w:noProof/>
        </w:rPr>
        <w:fldChar w:fldCharType="end"/>
      </w:r>
    </w:p>
    <w:p w14:paraId="0842F567" w14:textId="6C00B730"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四、</w:t>
      </w:r>
      <w:r>
        <w:rPr>
          <w:rFonts w:eastAsia="標楷體" w:cstheme="minorHAnsi" w:hint="eastAsia"/>
          <w:noProof/>
        </w:rPr>
        <w:t xml:space="preserve">  </w:t>
      </w:r>
      <w:r w:rsidRPr="00A83168">
        <w:rPr>
          <w:rFonts w:eastAsia="標楷體" w:cstheme="minorHAnsi"/>
          <w:noProof/>
        </w:rPr>
        <w:t>交易簿的認定與相關規定</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_Toc67992445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3</w:t>
      </w:r>
      <w:r w:rsidRPr="00A83168">
        <w:rPr>
          <w:rFonts w:eastAsia="標楷體" w:cstheme="minorHAnsi"/>
          <w:noProof/>
        </w:rPr>
        <w:fldChar w:fldCharType="end"/>
      </w:r>
    </w:p>
    <w:p w14:paraId="0BCD2D1D" w14:textId="4A4FA539"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五、</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交易台的認定與相關規定</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_Toc67992446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7</w:t>
      </w:r>
      <w:r w:rsidRPr="00A83168">
        <w:rPr>
          <w:rFonts w:eastAsia="標楷體" w:cstheme="minorHAnsi"/>
          <w:noProof/>
        </w:rPr>
        <w:fldChar w:fldCharType="end"/>
      </w:r>
    </w:p>
    <w:p w14:paraId="594869F4" w14:textId="5FB9A64A"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六、</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內部風險移轉處理之相關規定</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_Toc67992447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9</w:t>
      </w:r>
      <w:r w:rsidRPr="00A83168">
        <w:rPr>
          <w:rFonts w:eastAsia="標楷體" w:cstheme="minorHAnsi"/>
          <w:noProof/>
        </w:rPr>
        <w:fldChar w:fldCharType="end"/>
      </w:r>
    </w:p>
    <w:p w14:paraId="4A15AD3A" w14:textId="12A9926F" w:rsidR="00A83168" w:rsidRPr="00A83168" w:rsidRDefault="00A83168" w:rsidP="00A83168">
      <w:pPr>
        <w:pStyle w:val="11"/>
        <w:tabs>
          <w:tab w:val="right" w:leader="dot" w:pos="8296"/>
        </w:tabs>
        <w:rPr>
          <w:rFonts w:eastAsia="標楷體" w:cstheme="minorHAnsi"/>
          <w:noProof/>
        </w:rPr>
      </w:pPr>
      <w:r w:rsidRPr="00A83168">
        <w:rPr>
          <w:rFonts w:eastAsia="標楷體" w:cstheme="minorHAnsi"/>
          <w:noProof/>
        </w:rPr>
        <w:t>貳、標準法</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_Toc67992448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13</w:t>
      </w:r>
      <w:r w:rsidRPr="00A83168">
        <w:rPr>
          <w:rFonts w:eastAsia="標楷體" w:cstheme="minorHAnsi"/>
          <w:noProof/>
        </w:rPr>
        <w:fldChar w:fldCharType="end"/>
      </w:r>
    </w:p>
    <w:p w14:paraId="3CA36003" w14:textId="16FCFA86"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一、</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標準法的架構</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_Toc67992449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13</w:t>
      </w:r>
      <w:r w:rsidRPr="00A83168">
        <w:rPr>
          <w:rFonts w:eastAsia="標楷體" w:cstheme="minorHAnsi"/>
          <w:noProof/>
        </w:rPr>
        <w:fldChar w:fldCharType="end"/>
      </w:r>
    </w:p>
    <w:p w14:paraId="62A73A0A" w14:textId="2DDA5FCE"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二、</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敏感性基礎法</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_Toc67992450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14</w:t>
      </w:r>
      <w:r w:rsidRPr="00A83168">
        <w:rPr>
          <w:rFonts w:eastAsia="標楷體" w:cstheme="minorHAnsi"/>
          <w:noProof/>
        </w:rPr>
        <w:fldChar w:fldCharType="end"/>
      </w:r>
    </w:p>
    <w:p w14:paraId="446A8180" w14:textId="0D91EB53"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三、</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rPr>
        <w:t>違約風險資本要求</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_Toc67992451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46</w:t>
      </w:r>
      <w:r w:rsidRPr="00A83168">
        <w:rPr>
          <w:rFonts w:eastAsia="標楷體" w:cstheme="minorHAnsi"/>
          <w:noProof/>
        </w:rPr>
        <w:fldChar w:fldCharType="end"/>
      </w:r>
    </w:p>
    <w:p w14:paraId="44F6EC9B" w14:textId="65698D95"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四、</w:t>
      </w:r>
      <w:r>
        <w:rPr>
          <w:rFonts w:eastAsia="標楷體" w:cstheme="minorHAnsi"/>
          <w:noProof/>
        </w:rPr>
        <w:t xml:space="preserve">  </w:t>
      </w:r>
      <w:r w:rsidRPr="00A83168">
        <w:rPr>
          <w:rFonts w:eastAsia="標楷體" w:cstheme="minorHAnsi"/>
          <w:noProof/>
        </w:rPr>
        <w:t>殘餘風險附加金額</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_Toc67992452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56</w:t>
      </w:r>
      <w:r w:rsidRPr="00A83168">
        <w:rPr>
          <w:rFonts w:eastAsia="標楷體" w:cstheme="minorHAnsi"/>
          <w:noProof/>
        </w:rPr>
        <w:fldChar w:fldCharType="end"/>
      </w:r>
    </w:p>
    <w:p w14:paraId="4FDFDFBB" w14:textId="709A1E83" w:rsidR="00A83168" w:rsidRPr="00A83168" w:rsidRDefault="00A83168" w:rsidP="00A83168">
      <w:pPr>
        <w:pStyle w:val="11"/>
        <w:tabs>
          <w:tab w:val="right" w:leader="dot" w:pos="8296"/>
        </w:tabs>
        <w:rPr>
          <w:rFonts w:eastAsia="標楷體" w:cstheme="minorHAnsi"/>
          <w:noProof/>
        </w:rPr>
      </w:pPr>
      <w:r w:rsidRPr="00A83168">
        <w:rPr>
          <w:rFonts w:eastAsia="標楷體" w:cstheme="minorHAnsi"/>
          <w:noProof/>
        </w:rPr>
        <w:t>參、簡易標準法</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_Toc67992453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59</w:t>
      </w:r>
      <w:r w:rsidRPr="00A83168">
        <w:rPr>
          <w:rFonts w:eastAsia="標楷體" w:cstheme="minorHAnsi"/>
          <w:noProof/>
        </w:rPr>
        <w:fldChar w:fldCharType="end"/>
      </w:r>
    </w:p>
    <w:p w14:paraId="5A96F893" w14:textId="5F054015"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一、</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color w:val="FF0000"/>
        </w:rPr>
        <w:t>簡易標準法資本要求計算</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_Toc67992454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59</w:t>
      </w:r>
      <w:r w:rsidRPr="00A83168">
        <w:rPr>
          <w:rFonts w:eastAsia="標楷體" w:cstheme="minorHAnsi"/>
          <w:noProof/>
        </w:rPr>
        <w:fldChar w:fldCharType="end"/>
      </w:r>
    </w:p>
    <w:p w14:paraId="6CCB11F7" w14:textId="0EDF2576"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二、</w:t>
      </w:r>
      <w:r>
        <w:rPr>
          <w:rFonts w:eastAsia="標楷體" w:cstheme="minorHAnsi" w:hint="eastAsia"/>
          <w:noProof/>
        </w:rPr>
        <w:t xml:space="preserve"> </w:t>
      </w:r>
      <w:r>
        <w:rPr>
          <w:rFonts w:eastAsia="標楷體" w:cstheme="minorHAnsi"/>
          <w:noProof/>
        </w:rPr>
        <w:t xml:space="preserve"> </w:t>
      </w:r>
      <w:r w:rsidRPr="00A83168">
        <w:rPr>
          <w:rFonts w:eastAsia="標楷體" w:cstheme="minorHAnsi"/>
          <w:noProof/>
          <w:color w:val="FF0000"/>
        </w:rPr>
        <w:t>簡易標準法</w:t>
      </w:r>
      <w:r w:rsidR="005C7D7D">
        <w:rPr>
          <w:rFonts w:eastAsia="標楷體" w:cstheme="minorHAnsi" w:hint="eastAsia"/>
          <w:noProof/>
          <w:color w:val="FF0000"/>
        </w:rPr>
        <w:t>之架構</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_Toc67992455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59</w:t>
      </w:r>
      <w:r w:rsidRPr="00A83168">
        <w:rPr>
          <w:rFonts w:eastAsia="標楷體" w:cstheme="minorHAnsi"/>
          <w:noProof/>
        </w:rPr>
        <w:fldChar w:fldCharType="end"/>
      </w:r>
    </w:p>
    <w:p w14:paraId="457D2685" w14:textId="00AFEC10"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三、</w:t>
      </w:r>
      <w:r>
        <w:rPr>
          <w:rFonts w:eastAsia="標楷體" w:cstheme="minorHAnsi" w:hint="eastAsia"/>
          <w:noProof/>
        </w:rPr>
        <w:t xml:space="preserve">  </w:t>
      </w:r>
      <w:r w:rsidRPr="00A83168">
        <w:rPr>
          <w:rFonts w:eastAsia="標楷體" w:cstheme="minorHAnsi"/>
          <w:noProof/>
        </w:rPr>
        <w:t>利率風險</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_Toc67992456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59</w:t>
      </w:r>
      <w:r w:rsidRPr="00A83168">
        <w:rPr>
          <w:rFonts w:eastAsia="標楷體" w:cstheme="minorHAnsi"/>
          <w:noProof/>
        </w:rPr>
        <w:fldChar w:fldCharType="end"/>
      </w:r>
    </w:p>
    <w:p w14:paraId="6D3B8478" w14:textId="2E135922"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四、</w:t>
      </w:r>
      <w:r>
        <w:rPr>
          <w:rFonts w:eastAsia="標楷體" w:cstheme="minorHAnsi"/>
          <w:noProof/>
        </w:rPr>
        <w:t xml:space="preserve">  </w:t>
      </w:r>
      <w:r w:rsidRPr="00A83168">
        <w:rPr>
          <w:rFonts w:eastAsia="標楷體" w:cstheme="minorHAnsi"/>
          <w:noProof/>
        </w:rPr>
        <w:t>權益證券風險</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_Toc67992457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72</w:t>
      </w:r>
      <w:r w:rsidRPr="00A83168">
        <w:rPr>
          <w:rFonts w:eastAsia="標楷體" w:cstheme="minorHAnsi"/>
          <w:noProof/>
        </w:rPr>
        <w:fldChar w:fldCharType="end"/>
      </w:r>
    </w:p>
    <w:p w14:paraId="1F55ECBA" w14:textId="75658BC0"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五、</w:t>
      </w:r>
      <w:r>
        <w:rPr>
          <w:rFonts w:eastAsia="標楷體" w:cstheme="minorHAnsi"/>
          <w:noProof/>
        </w:rPr>
        <w:t xml:space="preserve">  </w:t>
      </w:r>
      <w:r w:rsidRPr="00A83168">
        <w:rPr>
          <w:rFonts w:eastAsia="標楷體" w:cstheme="minorHAnsi"/>
          <w:noProof/>
        </w:rPr>
        <w:t>外匯風險</w:t>
      </w:r>
      <w:r w:rsidRPr="00A83168">
        <w:rPr>
          <w:rFonts w:eastAsia="標楷體" w:cstheme="minorHAnsi"/>
          <w:noProof/>
        </w:rPr>
        <w:t>(</w:t>
      </w:r>
      <w:r w:rsidRPr="00A83168">
        <w:rPr>
          <w:rFonts w:eastAsia="標楷體" w:cstheme="minorHAnsi"/>
          <w:noProof/>
        </w:rPr>
        <w:t>含黃金</w:t>
      </w:r>
      <w:r w:rsidRPr="00A83168">
        <w:rPr>
          <w:rFonts w:eastAsia="標楷體" w:cstheme="minorHAnsi"/>
          <w:noProof/>
        </w:rPr>
        <w:t>)</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_Toc67992458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74</w:t>
      </w:r>
      <w:r w:rsidRPr="00A83168">
        <w:rPr>
          <w:rFonts w:eastAsia="標楷體" w:cstheme="minorHAnsi"/>
          <w:noProof/>
        </w:rPr>
        <w:fldChar w:fldCharType="end"/>
      </w:r>
    </w:p>
    <w:p w14:paraId="3E675C3C" w14:textId="02128323"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六、</w:t>
      </w:r>
      <w:r>
        <w:rPr>
          <w:rFonts w:eastAsia="標楷體" w:cstheme="minorHAnsi"/>
          <w:noProof/>
        </w:rPr>
        <w:t xml:space="preserve">  </w:t>
      </w:r>
      <w:r w:rsidRPr="00A83168">
        <w:rPr>
          <w:rFonts w:eastAsia="標楷體" w:cstheme="minorHAnsi"/>
          <w:noProof/>
        </w:rPr>
        <w:t>商品風險</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_Toc67992459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76</w:t>
      </w:r>
      <w:r w:rsidRPr="00A83168">
        <w:rPr>
          <w:rFonts w:eastAsia="標楷體" w:cstheme="minorHAnsi"/>
          <w:noProof/>
        </w:rPr>
        <w:fldChar w:fldCharType="end"/>
      </w:r>
    </w:p>
    <w:p w14:paraId="1E4A3A46" w14:textId="24B6381B"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七、</w:t>
      </w:r>
      <w:r>
        <w:rPr>
          <w:rFonts w:eastAsia="標楷體" w:cstheme="minorHAnsi"/>
          <w:noProof/>
        </w:rPr>
        <w:t xml:space="preserve">  </w:t>
      </w:r>
      <w:r w:rsidRPr="00A83168">
        <w:rPr>
          <w:rFonts w:eastAsia="標楷體" w:cstheme="minorHAnsi"/>
          <w:noProof/>
        </w:rPr>
        <w:t>選擇權之處理</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_Toc67992460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78</w:t>
      </w:r>
      <w:r w:rsidRPr="00A83168">
        <w:rPr>
          <w:rFonts w:eastAsia="標楷體" w:cstheme="minorHAnsi"/>
          <w:noProof/>
        </w:rPr>
        <w:fldChar w:fldCharType="end"/>
      </w:r>
    </w:p>
    <w:p w14:paraId="20AA460E" w14:textId="0EF6DCF0" w:rsidR="00A83168" w:rsidRPr="00A83168" w:rsidRDefault="00A83168" w:rsidP="00A83168">
      <w:pPr>
        <w:pStyle w:val="11"/>
        <w:tabs>
          <w:tab w:val="right" w:leader="dot" w:pos="8296"/>
        </w:tabs>
        <w:rPr>
          <w:rFonts w:eastAsia="標楷體" w:cstheme="minorHAnsi"/>
          <w:noProof/>
        </w:rPr>
      </w:pPr>
      <w:r w:rsidRPr="00A83168">
        <w:rPr>
          <w:rFonts w:eastAsia="標楷體" w:cstheme="minorHAnsi"/>
          <w:noProof/>
        </w:rPr>
        <w:t>肆、內部模型法</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_Toc67992461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84</w:t>
      </w:r>
      <w:r w:rsidRPr="00A83168">
        <w:rPr>
          <w:rFonts w:eastAsia="標楷體" w:cstheme="minorHAnsi"/>
          <w:noProof/>
        </w:rPr>
        <w:fldChar w:fldCharType="end"/>
      </w:r>
    </w:p>
    <w:p w14:paraId="3F4E4A86" w14:textId="5801586E"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一、</w:t>
      </w:r>
      <w:r>
        <w:rPr>
          <w:rFonts w:eastAsia="標楷體" w:cstheme="minorHAnsi" w:hint="eastAsia"/>
          <w:noProof/>
        </w:rPr>
        <w:t xml:space="preserve">  </w:t>
      </w:r>
      <w:r w:rsidRPr="00A83168">
        <w:rPr>
          <w:rFonts w:eastAsia="標楷體" w:cstheme="minorHAnsi"/>
          <w:noProof/>
        </w:rPr>
        <w:t>一般性標準</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_Toc67992462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84</w:t>
      </w:r>
      <w:r w:rsidRPr="00A83168">
        <w:rPr>
          <w:rFonts w:eastAsia="標楷體" w:cstheme="minorHAnsi"/>
          <w:noProof/>
        </w:rPr>
        <w:fldChar w:fldCharType="end"/>
      </w:r>
    </w:p>
    <w:p w14:paraId="398DBC70" w14:textId="110CA567"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二、</w:t>
      </w:r>
      <w:r>
        <w:rPr>
          <w:rFonts w:eastAsia="標楷體" w:cstheme="minorHAnsi" w:hint="eastAsia"/>
          <w:noProof/>
        </w:rPr>
        <w:t xml:space="preserve">  </w:t>
      </w:r>
      <w:r w:rsidRPr="00A83168">
        <w:rPr>
          <w:rFonts w:eastAsia="標楷體" w:cstheme="minorHAnsi"/>
          <w:noProof/>
        </w:rPr>
        <w:t>質化標準</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_Toc67992463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85</w:t>
      </w:r>
      <w:r w:rsidRPr="00A83168">
        <w:rPr>
          <w:rFonts w:eastAsia="標楷體" w:cstheme="minorHAnsi"/>
          <w:noProof/>
        </w:rPr>
        <w:fldChar w:fldCharType="end"/>
      </w:r>
    </w:p>
    <w:p w14:paraId="0D82F2A7" w14:textId="76CFF73D"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三、</w:t>
      </w:r>
      <w:r>
        <w:rPr>
          <w:rFonts w:eastAsia="標楷體" w:cstheme="minorHAnsi" w:hint="eastAsia"/>
          <w:noProof/>
        </w:rPr>
        <w:t xml:space="preserve">  </w:t>
      </w:r>
      <w:r w:rsidRPr="00A83168">
        <w:rPr>
          <w:rFonts w:eastAsia="標楷體" w:cstheme="minorHAnsi"/>
          <w:noProof/>
        </w:rPr>
        <w:t>模型驗證標準</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_Toc67992464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87</w:t>
      </w:r>
      <w:r w:rsidRPr="00A83168">
        <w:rPr>
          <w:rFonts w:eastAsia="標楷體" w:cstheme="minorHAnsi"/>
          <w:noProof/>
        </w:rPr>
        <w:fldChar w:fldCharType="end"/>
      </w:r>
    </w:p>
    <w:p w14:paraId="73A39B99" w14:textId="545EA458"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四、</w:t>
      </w:r>
      <w:r>
        <w:rPr>
          <w:rFonts w:eastAsia="標楷體" w:cstheme="minorHAnsi" w:hint="eastAsia"/>
          <w:noProof/>
        </w:rPr>
        <w:t xml:space="preserve">  </w:t>
      </w:r>
      <w:r w:rsidRPr="00A83168">
        <w:rPr>
          <w:rFonts w:eastAsia="標楷體" w:cstheme="minorHAnsi"/>
          <w:noProof/>
        </w:rPr>
        <w:t>外部驗證</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_Toc67992465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88</w:t>
      </w:r>
      <w:r w:rsidRPr="00A83168">
        <w:rPr>
          <w:rFonts w:eastAsia="標楷體" w:cstheme="minorHAnsi"/>
          <w:noProof/>
        </w:rPr>
        <w:fldChar w:fldCharType="end"/>
      </w:r>
    </w:p>
    <w:p w14:paraId="66953FDB" w14:textId="4DC6986D"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五、</w:t>
      </w:r>
      <w:r>
        <w:rPr>
          <w:rFonts w:eastAsia="標楷體" w:cstheme="minorHAnsi" w:hint="eastAsia"/>
          <w:noProof/>
        </w:rPr>
        <w:t xml:space="preserve">  </w:t>
      </w:r>
      <w:r w:rsidRPr="00A83168">
        <w:rPr>
          <w:rFonts w:eastAsia="標楷體" w:cstheme="minorHAnsi"/>
          <w:noProof/>
        </w:rPr>
        <w:t>壓力測試</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_Toc67992466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88</w:t>
      </w:r>
      <w:r w:rsidRPr="00A83168">
        <w:rPr>
          <w:rFonts w:eastAsia="標楷體" w:cstheme="minorHAnsi"/>
          <w:noProof/>
        </w:rPr>
        <w:fldChar w:fldCharType="end"/>
      </w:r>
    </w:p>
    <w:p w14:paraId="06BF9765" w14:textId="6221967C"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六、</w:t>
      </w:r>
      <w:r>
        <w:rPr>
          <w:rFonts w:eastAsia="標楷體" w:cstheme="minorHAnsi" w:hint="eastAsia"/>
          <w:noProof/>
        </w:rPr>
        <w:t xml:space="preserve">  </w:t>
      </w:r>
      <w:r w:rsidRPr="00A83168">
        <w:rPr>
          <w:rFonts w:eastAsia="標楷體" w:cstheme="minorHAnsi"/>
          <w:noProof/>
        </w:rPr>
        <w:t>市場風險因子之規範</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_Toc67992467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89</w:t>
      </w:r>
      <w:r w:rsidRPr="00A83168">
        <w:rPr>
          <w:rFonts w:eastAsia="標楷體" w:cstheme="minorHAnsi"/>
          <w:noProof/>
        </w:rPr>
        <w:fldChar w:fldCharType="end"/>
      </w:r>
    </w:p>
    <w:p w14:paraId="7F1FA134" w14:textId="65B0C81B"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七、</w:t>
      </w:r>
      <w:r>
        <w:rPr>
          <w:rFonts w:eastAsia="標楷體" w:cstheme="minorHAnsi" w:hint="eastAsia"/>
          <w:noProof/>
        </w:rPr>
        <w:t xml:space="preserve">  </w:t>
      </w:r>
      <w:r w:rsidRPr="00A83168">
        <w:rPr>
          <w:rFonts w:eastAsia="標楷體" w:cstheme="minorHAnsi"/>
          <w:noProof/>
        </w:rPr>
        <w:t>風險因子之模型合格性</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_Toc67992468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91</w:t>
      </w:r>
      <w:r w:rsidRPr="00A83168">
        <w:rPr>
          <w:rFonts w:eastAsia="標楷體" w:cstheme="minorHAnsi"/>
          <w:noProof/>
        </w:rPr>
        <w:fldChar w:fldCharType="end"/>
      </w:r>
    </w:p>
    <w:p w14:paraId="7B784BD6" w14:textId="062C05F0"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八、</w:t>
      </w:r>
      <w:r>
        <w:rPr>
          <w:rFonts w:eastAsia="標楷體" w:cstheme="minorHAnsi"/>
          <w:noProof/>
        </w:rPr>
        <w:t xml:space="preserve">  </w:t>
      </w:r>
      <w:r w:rsidRPr="00A83168">
        <w:rPr>
          <w:rFonts w:eastAsia="標楷體" w:cstheme="minorHAnsi"/>
          <w:noProof/>
        </w:rPr>
        <w:t>風險因子資格測試</w:t>
      </w:r>
      <w:r w:rsidRPr="00A83168">
        <w:rPr>
          <w:rFonts w:eastAsia="標楷體" w:cstheme="minorHAnsi"/>
          <w:noProof/>
        </w:rPr>
        <w:t>(RFET)</w:t>
      </w:r>
      <w:r w:rsidRPr="00A83168">
        <w:rPr>
          <w:rFonts w:eastAsia="標楷體" w:cstheme="minorHAnsi"/>
          <w:noProof/>
        </w:rPr>
        <w:t>的分組方法</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_Toc67992469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93</w:t>
      </w:r>
      <w:r w:rsidRPr="00A83168">
        <w:rPr>
          <w:rFonts w:eastAsia="標楷體" w:cstheme="minorHAnsi"/>
          <w:noProof/>
        </w:rPr>
        <w:fldChar w:fldCharType="end"/>
      </w:r>
    </w:p>
    <w:p w14:paraId="51024C00" w14:textId="4728E7C0"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九、</w:t>
      </w:r>
      <w:r>
        <w:rPr>
          <w:rFonts w:eastAsia="標楷體" w:cstheme="minorHAnsi"/>
          <w:noProof/>
        </w:rPr>
        <w:t xml:space="preserve">  </w:t>
      </w:r>
      <w:r w:rsidRPr="00A83168">
        <w:rPr>
          <w:rFonts w:eastAsia="標楷體" w:cstheme="minorHAnsi"/>
          <w:noProof/>
        </w:rPr>
        <w:t>通過風險因子資格測試</w:t>
      </w:r>
      <w:r w:rsidRPr="00A83168">
        <w:rPr>
          <w:rFonts w:eastAsia="標楷體" w:cstheme="minorHAnsi"/>
          <w:noProof/>
        </w:rPr>
        <w:t>(RFET)</w:t>
      </w:r>
      <w:r w:rsidRPr="00A83168">
        <w:rPr>
          <w:rFonts w:eastAsia="標楷體" w:cstheme="minorHAnsi"/>
          <w:noProof/>
        </w:rPr>
        <w:t>之風險因子可模型化的原則</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_Toc67992470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95</w:t>
      </w:r>
      <w:r w:rsidRPr="00A83168">
        <w:rPr>
          <w:rFonts w:eastAsia="標楷體" w:cstheme="minorHAnsi"/>
          <w:noProof/>
        </w:rPr>
        <w:fldChar w:fldCharType="end"/>
      </w:r>
    </w:p>
    <w:p w14:paraId="602A6E32" w14:textId="11D2310A" w:rsidR="00A83168" w:rsidRPr="00A83168" w:rsidRDefault="00A83168" w:rsidP="00A83168">
      <w:pPr>
        <w:pStyle w:val="11"/>
        <w:tabs>
          <w:tab w:val="left" w:pos="720"/>
          <w:tab w:val="right" w:leader="dot" w:pos="8296"/>
        </w:tabs>
        <w:ind w:firstLineChars="200" w:firstLine="480"/>
        <w:rPr>
          <w:rFonts w:eastAsia="標楷體" w:cstheme="minorHAnsi"/>
          <w:noProof/>
        </w:rPr>
      </w:pPr>
      <w:r w:rsidRPr="00A83168">
        <w:rPr>
          <w:rFonts w:eastAsia="標楷體" w:cstheme="minorHAnsi"/>
          <w:noProof/>
        </w:rPr>
        <w:t>十、</w:t>
      </w:r>
      <w:r>
        <w:rPr>
          <w:rFonts w:eastAsia="標楷體" w:cstheme="minorHAnsi"/>
          <w:noProof/>
        </w:rPr>
        <w:t xml:space="preserve">  </w:t>
      </w:r>
      <w:r w:rsidRPr="00A83168">
        <w:rPr>
          <w:rFonts w:eastAsia="標楷體" w:cstheme="minorHAnsi"/>
          <w:noProof/>
        </w:rPr>
        <w:t>損益歸因</w:t>
      </w:r>
      <w:r w:rsidRPr="00A83168">
        <w:rPr>
          <w:rFonts w:eastAsia="標楷體" w:cstheme="minorHAnsi"/>
          <w:noProof/>
        </w:rPr>
        <w:t>(PLA)</w:t>
      </w:r>
      <w:r w:rsidRPr="00A83168">
        <w:rPr>
          <w:rFonts w:eastAsia="標楷體" w:cstheme="minorHAnsi"/>
          <w:noProof/>
        </w:rPr>
        <w:t>測試及回溯測試損益定義</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_Toc67992471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98</w:t>
      </w:r>
      <w:r w:rsidRPr="00A83168">
        <w:rPr>
          <w:rFonts w:eastAsia="標楷體" w:cstheme="minorHAnsi"/>
          <w:noProof/>
        </w:rPr>
        <w:fldChar w:fldCharType="end"/>
      </w:r>
    </w:p>
    <w:p w14:paraId="56D257F8" w14:textId="46825E06" w:rsidR="00A83168" w:rsidRPr="00A83168" w:rsidRDefault="00A83168" w:rsidP="00A83168">
      <w:pPr>
        <w:pStyle w:val="11"/>
        <w:tabs>
          <w:tab w:val="left" w:pos="1920"/>
          <w:tab w:val="right" w:leader="dot" w:pos="8296"/>
        </w:tabs>
        <w:ind w:firstLineChars="200" w:firstLine="480"/>
        <w:rPr>
          <w:rFonts w:eastAsia="標楷體" w:cstheme="minorHAnsi"/>
          <w:noProof/>
        </w:rPr>
      </w:pPr>
      <w:r w:rsidRPr="00A83168">
        <w:rPr>
          <w:rFonts w:eastAsia="標楷體" w:cstheme="minorHAnsi"/>
          <w:noProof/>
        </w:rPr>
        <w:t>十一、回溯測試及損益歸因測試之要求</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_Toc67992472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99</w:t>
      </w:r>
      <w:r w:rsidRPr="00A83168">
        <w:rPr>
          <w:rFonts w:eastAsia="標楷體" w:cstheme="minorHAnsi"/>
          <w:noProof/>
        </w:rPr>
        <w:fldChar w:fldCharType="end"/>
      </w:r>
    </w:p>
    <w:p w14:paraId="5E859CD5" w14:textId="38313546" w:rsidR="00A83168" w:rsidRPr="00A83168" w:rsidRDefault="00A83168" w:rsidP="00A83168">
      <w:pPr>
        <w:pStyle w:val="11"/>
        <w:tabs>
          <w:tab w:val="left" w:pos="1920"/>
          <w:tab w:val="right" w:leader="dot" w:pos="8296"/>
        </w:tabs>
        <w:ind w:firstLineChars="200" w:firstLine="480"/>
        <w:rPr>
          <w:rFonts w:eastAsia="標楷體" w:cstheme="minorHAnsi"/>
          <w:noProof/>
        </w:rPr>
      </w:pPr>
      <w:r w:rsidRPr="00A83168">
        <w:rPr>
          <w:rFonts w:eastAsia="標楷體" w:cstheme="minorHAnsi"/>
          <w:noProof/>
        </w:rPr>
        <w:t>十二、量化標準</w:t>
      </w:r>
      <w:r w:rsidRPr="00A83168">
        <w:rPr>
          <w:rFonts w:eastAsia="標楷體" w:cstheme="minorHAnsi"/>
          <w:noProof/>
        </w:rPr>
        <w:t>(quantitative standards)</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_Toc67992473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105</w:t>
      </w:r>
      <w:r w:rsidRPr="00A83168">
        <w:rPr>
          <w:rFonts w:eastAsia="標楷體" w:cstheme="minorHAnsi"/>
          <w:noProof/>
        </w:rPr>
        <w:fldChar w:fldCharType="end"/>
      </w:r>
    </w:p>
    <w:p w14:paraId="46DE8C1E" w14:textId="646261B7" w:rsidR="00A83168" w:rsidRPr="00A83168" w:rsidRDefault="00A83168">
      <w:pPr>
        <w:pStyle w:val="11"/>
        <w:tabs>
          <w:tab w:val="right" w:leader="dot" w:pos="8296"/>
        </w:tabs>
        <w:rPr>
          <w:rFonts w:eastAsia="標楷體" w:cstheme="minorHAnsi"/>
          <w:noProof/>
        </w:rPr>
      </w:pPr>
      <w:r w:rsidRPr="00A83168">
        <w:rPr>
          <w:rFonts w:eastAsia="標楷體" w:cstheme="minorHAnsi"/>
          <w:noProof/>
        </w:rPr>
        <w:t>附錄一：市場風險與信用評價調整風險詞彙</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_Toc67992474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117</w:t>
      </w:r>
      <w:r w:rsidRPr="00A83168">
        <w:rPr>
          <w:rFonts w:eastAsia="標楷體" w:cstheme="minorHAnsi"/>
          <w:noProof/>
        </w:rPr>
        <w:fldChar w:fldCharType="end"/>
      </w:r>
    </w:p>
    <w:p w14:paraId="62B23496" w14:textId="472A393E" w:rsidR="00A83168" w:rsidRPr="00A83168" w:rsidRDefault="00A83168">
      <w:pPr>
        <w:pStyle w:val="11"/>
        <w:tabs>
          <w:tab w:val="right" w:leader="dot" w:pos="8296"/>
        </w:tabs>
        <w:rPr>
          <w:rFonts w:eastAsia="標楷體" w:cstheme="minorHAnsi"/>
          <w:noProof/>
        </w:rPr>
      </w:pPr>
      <w:r w:rsidRPr="00A83168">
        <w:rPr>
          <w:rFonts w:eastAsia="標楷體" w:cstheme="minorHAnsi"/>
          <w:noProof/>
        </w:rPr>
        <w:t>附錄二：審慎評價原則</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_Toc67992475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121</w:t>
      </w:r>
      <w:r w:rsidRPr="00A83168">
        <w:rPr>
          <w:rFonts w:eastAsia="標楷體" w:cstheme="minorHAnsi"/>
          <w:noProof/>
        </w:rPr>
        <w:fldChar w:fldCharType="end"/>
      </w:r>
    </w:p>
    <w:p w14:paraId="69984897" w14:textId="4EF5F3BE" w:rsidR="00A83168" w:rsidRPr="00A83168" w:rsidRDefault="00A83168" w:rsidP="00A83168">
      <w:pPr>
        <w:pStyle w:val="11"/>
        <w:tabs>
          <w:tab w:val="left" w:pos="960"/>
          <w:tab w:val="right" w:leader="dot" w:pos="8296"/>
        </w:tabs>
        <w:ind w:firstLineChars="200" w:firstLine="480"/>
        <w:rPr>
          <w:rFonts w:eastAsia="標楷體" w:cstheme="minorHAnsi"/>
          <w:noProof/>
        </w:rPr>
      </w:pPr>
      <w:r w:rsidRPr="00A83168">
        <w:rPr>
          <w:rFonts w:eastAsia="標楷體" w:cstheme="minorHAnsi"/>
          <w:noProof/>
        </w:rPr>
        <w:lastRenderedPageBreak/>
        <w:t>一、</w:t>
      </w:r>
      <w:r>
        <w:rPr>
          <w:rFonts w:eastAsia="標楷體" w:cstheme="minorHAnsi" w:hint="eastAsia"/>
          <w:noProof/>
        </w:rPr>
        <w:t xml:space="preserve">  </w:t>
      </w:r>
      <w:r w:rsidRPr="00A83168">
        <w:rPr>
          <w:rFonts w:eastAsia="標楷體" w:cstheme="minorHAnsi"/>
          <w:noProof/>
        </w:rPr>
        <w:t>評價及控管機制</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_Toc67992476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121</w:t>
      </w:r>
      <w:r w:rsidRPr="00A83168">
        <w:rPr>
          <w:rFonts w:eastAsia="標楷體" w:cstheme="minorHAnsi"/>
          <w:noProof/>
        </w:rPr>
        <w:fldChar w:fldCharType="end"/>
      </w:r>
    </w:p>
    <w:p w14:paraId="1225AA7D" w14:textId="7A55B6AC" w:rsidR="00A83168" w:rsidRPr="00A83168" w:rsidRDefault="00A83168" w:rsidP="00A83168">
      <w:pPr>
        <w:pStyle w:val="11"/>
        <w:tabs>
          <w:tab w:val="left" w:pos="960"/>
          <w:tab w:val="right" w:leader="dot" w:pos="8296"/>
        </w:tabs>
        <w:ind w:firstLineChars="200" w:firstLine="480"/>
        <w:rPr>
          <w:rFonts w:eastAsia="標楷體" w:cstheme="minorHAnsi"/>
          <w:noProof/>
        </w:rPr>
      </w:pPr>
      <w:r w:rsidRPr="00A83168">
        <w:rPr>
          <w:rFonts w:eastAsia="標楷體" w:cstheme="minorHAnsi"/>
          <w:noProof/>
        </w:rPr>
        <w:t>二、</w:t>
      </w:r>
      <w:r>
        <w:rPr>
          <w:rFonts w:eastAsia="標楷體" w:cstheme="minorHAnsi" w:hint="eastAsia"/>
          <w:noProof/>
        </w:rPr>
        <w:t xml:space="preserve">  </w:t>
      </w:r>
      <w:r w:rsidRPr="00A83168">
        <w:rPr>
          <w:rFonts w:eastAsia="標楷體" w:cstheme="minorHAnsi"/>
          <w:noProof/>
        </w:rPr>
        <w:t>評價方法</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_Toc67992477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121</w:t>
      </w:r>
      <w:r w:rsidRPr="00A83168">
        <w:rPr>
          <w:rFonts w:eastAsia="標楷體" w:cstheme="minorHAnsi"/>
          <w:noProof/>
        </w:rPr>
        <w:fldChar w:fldCharType="end"/>
      </w:r>
    </w:p>
    <w:p w14:paraId="4A0A4AE3" w14:textId="5698F923" w:rsidR="00A83168" w:rsidRPr="00A83168" w:rsidRDefault="00A83168" w:rsidP="00A83168">
      <w:pPr>
        <w:pStyle w:val="11"/>
        <w:tabs>
          <w:tab w:val="left" w:pos="960"/>
          <w:tab w:val="right" w:leader="dot" w:pos="8296"/>
        </w:tabs>
        <w:ind w:firstLineChars="200" w:firstLine="480"/>
        <w:rPr>
          <w:rFonts w:eastAsia="標楷體" w:cstheme="minorHAnsi"/>
          <w:noProof/>
        </w:rPr>
      </w:pPr>
      <w:r w:rsidRPr="00A83168">
        <w:rPr>
          <w:rFonts w:eastAsia="標楷體" w:cstheme="minorHAnsi"/>
          <w:noProof/>
        </w:rPr>
        <w:t>三、</w:t>
      </w:r>
      <w:r>
        <w:rPr>
          <w:rFonts w:eastAsia="標楷體" w:cstheme="minorHAnsi"/>
          <w:noProof/>
        </w:rPr>
        <w:t xml:space="preserve">  </w:t>
      </w:r>
      <w:r w:rsidRPr="00A83168">
        <w:rPr>
          <w:rFonts w:eastAsia="標楷體" w:cstheme="minorHAnsi"/>
          <w:noProof/>
        </w:rPr>
        <w:t>評價調整</w:t>
      </w:r>
      <w:r w:rsidRPr="00A83168">
        <w:rPr>
          <w:rFonts w:eastAsia="標楷體" w:cstheme="minorHAnsi"/>
          <w:noProof/>
        </w:rPr>
        <w:t>(Valuation adjustments)</w:t>
      </w:r>
      <w:r w:rsidRPr="00A83168">
        <w:rPr>
          <w:rFonts w:eastAsia="標楷體" w:cstheme="minorHAnsi"/>
          <w:noProof/>
        </w:rPr>
        <w:tab/>
      </w:r>
      <w:r w:rsidRPr="00A83168">
        <w:rPr>
          <w:rFonts w:eastAsia="標楷體" w:cstheme="minorHAnsi"/>
          <w:noProof/>
        </w:rPr>
        <w:fldChar w:fldCharType="begin"/>
      </w:r>
      <w:r w:rsidRPr="00A83168">
        <w:rPr>
          <w:rFonts w:eastAsia="標楷體" w:cstheme="minorHAnsi"/>
          <w:noProof/>
        </w:rPr>
        <w:instrText xml:space="preserve"> PAGEREF _Toc67992478 \h </w:instrText>
      </w:r>
      <w:r w:rsidRPr="00A83168">
        <w:rPr>
          <w:rFonts w:eastAsia="標楷體" w:cstheme="minorHAnsi"/>
          <w:noProof/>
        </w:rPr>
      </w:r>
      <w:r w:rsidRPr="00A83168">
        <w:rPr>
          <w:rFonts w:eastAsia="標楷體" w:cstheme="minorHAnsi"/>
          <w:noProof/>
        </w:rPr>
        <w:fldChar w:fldCharType="separate"/>
      </w:r>
      <w:r w:rsidR="00882983">
        <w:rPr>
          <w:rFonts w:eastAsia="標楷體" w:cstheme="minorHAnsi"/>
          <w:noProof/>
        </w:rPr>
        <w:t>123</w:t>
      </w:r>
      <w:r w:rsidRPr="00A83168">
        <w:rPr>
          <w:rFonts w:eastAsia="標楷體" w:cstheme="minorHAnsi"/>
          <w:noProof/>
        </w:rPr>
        <w:fldChar w:fldCharType="end"/>
      </w:r>
    </w:p>
    <w:p w14:paraId="53F32D91" w14:textId="156F9D70" w:rsidR="00553678" w:rsidRPr="00CA1A43" w:rsidRDefault="00565ABF" w:rsidP="005F3DD9">
      <w:pPr>
        <w:spacing w:beforeLines="50" w:before="180"/>
        <w:jc w:val="both"/>
        <w:rPr>
          <w:rFonts w:eastAsia="標楷體" w:cstheme="minorHAnsi"/>
          <w:szCs w:val="24"/>
          <w:shd w:val="pct15" w:color="auto" w:fill="FFFFFF"/>
        </w:rPr>
        <w:sectPr w:rsidR="00553678" w:rsidRPr="00CA1A43" w:rsidSect="00553678">
          <w:footerReference w:type="default" r:id="rId10"/>
          <w:footnotePr>
            <w:pos w:val="beneathText"/>
          </w:footnotePr>
          <w:endnotePr>
            <w:numFmt w:val="decimal"/>
          </w:endnotePr>
          <w:pgSz w:w="11906" w:h="16838"/>
          <w:pgMar w:top="1440" w:right="1800" w:bottom="1440" w:left="1800" w:header="851" w:footer="992" w:gutter="0"/>
          <w:pgNumType w:fmt="upperRoman" w:start="1"/>
          <w:cols w:space="425"/>
          <w:docGrid w:type="lines" w:linePitch="360"/>
        </w:sectPr>
      </w:pPr>
      <w:r w:rsidRPr="00A83168">
        <w:rPr>
          <w:rFonts w:eastAsia="標楷體" w:cstheme="minorHAnsi"/>
          <w:szCs w:val="24"/>
        </w:rPr>
        <w:fldChar w:fldCharType="end"/>
      </w:r>
    </w:p>
    <w:p w14:paraId="3327FD7A" w14:textId="77777777" w:rsidR="006C701C" w:rsidRPr="00CA1A43" w:rsidRDefault="00411AB8" w:rsidP="00605B1D">
      <w:pPr>
        <w:pStyle w:val="12"/>
        <w:numPr>
          <w:ilvl w:val="0"/>
          <w:numId w:val="42"/>
        </w:numPr>
        <w:spacing w:beforeLines="50" w:before="180"/>
        <w:jc w:val="both"/>
        <w:outlineLvl w:val="0"/>
        <w:rPr>
          <w:rFonts w:asciiTheme="minorHAnsi" w:hAnsiTheme="minorHAnsi" w:cstheme="minorHAnsi"/>
          <w:b/>
          <w:color w:val="auto"/>
          <w:szCs w:val="24"/>
        </w:rPr>
      </w:pPr>
      <w:bookmarkStart w:id="1" w:name="_Toc67992441"/>
      <w:r w:rsidRPr="00CA1A43">
        <w:rPr>
          <w:rFonts w:asciiTheme="minorHAnsi" w:hAnsiTheme="minorHAnsi" w:cstheme="minorHAnsi"/>
          <w:b/>
          <w:color w:val="auto"/>
          <w:szCs w:val="24"/>
        </w:rPr>
        <w:lastRenderedPageBreak/>
        <w:t>前言</w:t>
      </w:r>
      <w:bookmarkEnd w:id="1"/>
    </w:p>
    <w:p w14:paraId="2033F715" w14:textId="77777777" w:rsidR="00B41971" w:rsidRPr="00CA1A43" w:rsidRDefault="00411AB8" w:rsidP="00605B1D">
      <w:pPr>
        <w:pStyle w:val="a7"/>
        <w:numPr>
          <w:ilvl w:val="0"/>
          <w:numId w:val="4"/>
        </w:numPr>
        <w:spacing w:beforeLines="50" w:before="180"/>
        <w:ind w:leftChars="0" w:left="567" w:hanging="567"/>
        <w:jc w:val="both"/>
        <w:outlineLvl w:val="0"/>
        <w:rPr>
          <w:rFonts w:eastAsia="標楷體" w:cstheme="minorHAnsi"/>
          <w:b/>
          <w:sz w:val="28"/>
          <w:szCs w:val="28"/>
        </w:rPr>
      </w:pPr>
      <w:bookmarkStart w:id="2" w:name="_Toc67992442"/>
      <w:r w:rsidRPr="00CA1A43">
        <w:rPr>
          <w:rFonts w:eastAsia="標楷體" w:cstheme="minorHAnsi"/>
          <w:b/>
          <w:sz w:val="28"/>
          <w:szCs w:val="28"/>
        </w:rPr>
        <w:t>市場風險的定義</w:t>
      </w:r>
      <w:bookmarkEnd w:id="2"/>
    </w:p>
    <w:p w14:paraId="049A983B" w14:textId="77777777" w:rsidR="009C2AA7" w:rsidRPr="00CA1A43" w:rsidRDefault="00411AB8" w:rsidP="004006A2">
      <w:pPr>
        <w:spacing w:beforeLines="50" w:before="180"/>
        <w:jc w:val="both"/>
        <w:rPr>
          <w:rFonts w:eastAsia="標楷體" w:cstheme="minorHAnsi"/>
        </w:rPr>
      </w:pPr>
      <w:r w:rsidRPr="00CA1A43">
        <w:rPr>
          <w:rFonts w:eastAsia="標楷體" w:cstheme="minorHAnsi"/>
        </w:rPr>
        <w:t>市場風險是指因市場價格變動</w:t>
      </w:r>
      <w:r w:rsidR="005E3186" w:rsidRPr="00CA1A43">
        <w:rPr>
          <w:rFonts w:eastAsia="標楷體" w:cstheme="minorHAnsi"/>
        </w:rPr>
        <w:t>(</w:t>
      </w:r>
      <w:r w:rsidRPr="00CA1A43">
        <w:rPr>
          <w:rFonts w:eastAsia="標楷體" w:cstheme="minorHAnsi"/>
        </w:rPr>
        <w:t>如市場利率、匯率、股價及商品價格之變動</w:t>
      </w:r>
      <w:r w:rsidR="005E3186" w:rsidRPr="00CA1A43">
        <w:rPr>
          <w:rFonts w:eastAsia="標楷體" w:cstheme="minorHAnsi"/>
        </w:rPr>
        <w:t>)</w:t>
      </w:r>
      <w:r w:rsidRPr="00CA1A43">
        <w:rPr>
          <w:rFonts w:eastAsia="標楷體" w:cstheme="minorHAnsi"/>
        </w:rPr>
        <w:t>造成對銀行資產負債表內及表外部位可能產生之損失。市場風險衡量方法分為簡易標準法、標準法及內部模型法三種。</w:t>
      </w:r>
    </w:p>
    <w:p w14:paraId="39CEBA5E" w14:textId="77777777" w:rsidR="00411AB8" w:rsidRPr="00CA1A43" w:rsidRDefault="00411AB8" w:rsidP="00605B1D">
      <w:pPr>
        <w:pStyle w:val="a7"/>
        <w:numPr>
          <w:ilvl w:val="0"/>
          <w:numId w:val="4"/>
        </w:numPr>
        <w:spacing w:beforeLines="50" w:before="180"/>
        <w:ind w:leftChars="0" w:left="567" w:hanging="567"/>
        <w:jc w:val="both"/>
        <w:outlineLvl w:val="0"/>
        <w:rPr>
          <w:rFonts w:eastAsia="標楷體" w:cstheme="minorHAnsi"/>
          <w:b/>
          <w:sz w:val="28"/>
          <w:szCs w:val="28"/>
        </w:rPr>
      </w:pPr>
      <w:bookmarkStart w:id="3" w:name="_Toc67992443"/>
      <w:r w:rsidRPr="00CA1A43">
        <w:rPr>
          <w:rFonts w:eastAsia="標楷體" w:cstheme="minorHAnsi"/>
          <w:b/>
          <w:sz w:val="28"/>
          <w:szCs w:val="28"/>
        </w:rPr>
        <w:t>市場風險的適用範圍</w:t>
      </w:r>
      <w:bookmarkEnd w:id="3"/>
    </w:p>
    <w:p w14:paraId="4AD0850F" w14:textId="77777777" w:rsidR="00870881" w:rsidRPr="00CA1A43" w:rsidRDefault="00870881" w:rsidP="00870881">
      <w:pPr>
        <w:spacing w:beforeLines="50" w:before="180"/>
        <w:jc w:val="both"/>
        <w:rPr>
          <w:rFonts w:eastAsia="標楷體" w:cstheme="minorHAnsi"/>
        </w:rPr>
      </w:pPr>
      <w:r w:rsidRPr="00CA1A43">
        <w:rPr>
          <w:rFonts w:eastAsia="標楷體" w:cstheme="minorHAnsi"/>
        </w:rPr>
        <w:t>本計算說明之市場風險資本要求適用範圍，包括但不限於：</w:t>
      </w:r>
    </w:p>
    <w:p w14:paraId="3C8D7348" w14:textId="5EDB5DDE" w:rsidR="00870881" w:rsidRPr="00CA1A43" w:rsidRDefault="00870881" w:rsidP="00605B1D">
      <w:pPr>
        <w:pStyle w:val="a7"/>
        <w:numPr>
          <w:ilvl w:val="0"/>
          <w:numId w:val="5"/>
        </w:numPr>
        <w:spacing w:beforeLines="50" w:before="180"/>
        <w:ind w:leftChars="0" w:left="737" w:hanging="737"/>
        <w:jc w:val="both"/>
        <w:rPr>
          <w:rFonts w:eastAsia="標楷體" w:cstheme="minorHAnsi"/>
        </w:rPr>
      </w:pPr>
      <w:r w:rsidRPr="00CA1A43">
        <w:rPr>
          <w:rFonts w:eastAsia="標楷體" w:cstheme="minorHAnsi"/>
        </w:rPr>
        <w:t>屬交易簿之</w:t>
      </w:r>
      <w:r w:rsidR="009653EE" w:rsidRPr="00E06467">
        <w:rPr>
          <w:rFonts w:eastAsia="標楷體" w:cstheme="minorHAnsi"/>
        </w:rPr>
        <w:t>工具</w:t>
      </w:r>
      <w:r w:rsidRPr="00CA1A43">
        <w:rPr>
          <w:rFonts w:eastAsia="標楷體" w:cstheme="minorHAnsi"/>
        </w:rPr>
        <w:t>的違約風險、利率風險、信用價差風險</w:t>
      </w:r>
      <w:r w:rsidRPr="00CA1A43">
        <w:rPr>
          <w:rFonts w:eastAsia="標楷體" w:cstheme="minorHAnsi"/>
        </w:rPr>
        <w:t>(CSR)</w:t>
      </w:r>
      <w:r w:rsidRPr="00CA1A43">
        <w:rPr>
          <w:rFonts w:eastAsia="標楷體" w:cstheme="minorHAnsi"/>
        </w:rPr>
        <w:t>、權益證券風險、外匯風險及商品風險；及</w:t>
      </w:r>
    </w:p>
    <w:p w14:paraId="198C5B0A" w14:textId="33B67AC2" w:rsidR="004006A2" w:rsidRPr="00CA1A43" w:rsidRDefault="00870881" w:rsidP="00605B1D">
      <w:pPr>
        <w:pStyle w:val="a7"/>
        <w:numPr>
          <w:ilvl w:val="0"/>
          <w:numId w:val="5"/>
        </w:numPr>
        <w:spacing w:beforeLines="50" w:before="180"/>
        <w:ind w:leftChars="0" w:left="737" w:hanging="737"/>
        <w:jc w:val="both"/>
        <w:rPr>
          <w:rFonts w:eastAsia="標楷體" w:cstheme="minorHAnsi"/>
        </w:rPr>
      </w:pPr>
      <w:r w:rsidRPr="00CA1A43">
        <w:rPr>
          <w:rFonts w:eastAsia="標楷體" w:cstheme="minorHAnsi"/>
        </w:rPr>
        <w:t>屬銀行簿之</w:t>
      </w:r>
      <w:r w:rsidR="009653EE" w:rsidRPr="00E06467">
        <w:rPr>
          <w:rFonts w:eastAsia="標楷體" w:cstheme="minorHAnsi"/>
        </w:rPr>
        <w:t>工具</w:t>
      </w:r>
      <w:r w:rsidRPr="00CA1A43">
        <w:rPr>
          <w:rFonts w:eastAsia="標楷體" w:cstheme="minorHAnsi"/>
        </w:rPr>
        <w:t>的外匯風險和商品風險。</w:t>
      </w:r>
    </w:p>
    <w:p w14:paraId="388D45DB" w14:textId="77777777" w:rsidR="00411AB8" w:rsidRPr="00CA1A43" w:rsidRDefault="004006A2" w:rsidP="00605B1D">
      <w:pPr>
        <w:pStyle w:val="a7"/>
        <w:numPr>
          <w:ilvl w:val="0"/>
          <w:numId w:val="4"/>
        </w:numPr>
        <w:spacing w:beforeLines="50" w:before="180"/>
        <w:ind w:leftChars="0" w:left="567" w:hanging="567"/>
        <w:jc w:val="both"/>
        <w:outlineLvl w:val="0"/>
        <w:rPr>
          <w:rFonts w:eastAsia="標楷體" w:cstheme="minorHAnsi"/>
          <w:b/>
          <w:sz w:val="28"/>
          <w:szCs w:val="28"/>
        </w:rPr>
      </w:pPr>
      <w:bookmarkStart w:id="4" w:name="_Toc67992444"/>
      <w:r w:rsidRPr="00CA1A43">
        <w:rPr>
          <w:rFonts w:eastAsia="標楷體" w:cstheme="minorHAnsi"/>
          <w:b/>
          <w:sz w:val="28"/>
          <w:szCs w:val="28"/>
        </w:rPr>
        <w:t>市場風險的衡量方式</w:t>
      </w:r>
      <w:bookmarkEnd w:id="4"/>
    </w:p>
    <w:p w14:paraId="1EBDB761" w14:textId="77777777" w:rsidR="008F6653" w:rsidRPr="00CA1A43" w:rsidRDefault="008F6653" w:rsidP="00605B1D">
      <w:pPr>
        <w:pStyle w:val="a7"/>
        <w:numPr>
          <w:ilvl w:val="0"/>
          <w:numId w:val="6"/>
        </w:numPr>
        <w:spacing w:beforeLines="50" w:before="180"/>
        <w:ind w:leftChars="0" w:left="737" w:hanging="737"/>
        <w:jc w:val="both"/>
        <w:rPr>
          <w:rFonts w:eastAsia="標楷體" w:cstheme="minorHAnsi"/>
        </w:rPr>
      </w:pPr>
      <w:r w:rsidRPr="00CA1A43">
        <w:rPr>
          <w:rFonts w:eastAsia="標楷體" w:cstheme="minorHAnsi"/>
        </w:rPr>
        <w:t>所有納入市場風險資本計提的交易</w:t>
      </w:r>
      <w:r w:rsidRPr="00CA1A43">
        <w:rPr>
          <w:rFonts w:eastAsia="標楷體" w:cstheme="minorHAnsi"/>
        </w:rPr>
        <w:t>(</w:t>
      </w:r>
      <w:r w:rsidRPr="00CA1A43">
        <w:rPr>
          <w:rFonts w:eastAsia="標楷體" w:cstheme="minorHAnsi"/>
        </w:rPr>
        <w:t>包含遠期之預購和預售</w:t>
      </w:r>
      <w:r w:rsidRPr="00CA1A43">
        <w:rPr>
          <w:rFonts w:eastAsia="標楷體" w:cstheme="minorHAnsi"/>
        </w:rPr>
        <w:t>)</w:t>
      </w:r>
      <w:r w:rsidRPr="00CA1A43">
        <w:rPr>
          <w:rFonts w:eastAsia="標楷體" w:cstheme="minorHAnsi"/>
        </w:rPr>
        <w:t>，應在交易日即納入計算，並於每季將申報基準日之計算結果陳報本會。銀行應維持嚴謹的風險管理制度，不得在日中有過多</w:t>
      </w:r>
      <w:proofErr w:type="gramStart"/>
      <w:r w:rsidRPr="00CA1A43">
        <w:rPr>
          <w:rFonts w:eastAsia="標楷體" w:cstheme="minorHAnsi"/>
        </w:rPr>
        <w:t>的曝險</w:t>
      </w:r>
      <w:proofErr w:type="gramEnd"/>
      <w:r w:rsidRPr="00CA1A43">
        <w:rPr>
          <w:rFonts w:eastAsia="標楷體" w:cstheme="minorHAnsi"/>
        </w:rPr>
        <w:t>，且在申報基準日不得藉由明顯地降低其市場風險部位以達窗飾效果。若銀行無法滿足本會規定之資本要求時，本會將要求銀行立即採取改正措施。</w:t>
      </w:r>
    </w:p>
    <w:p w14:paraId="015F2883" w14:textId="77777777" w:rsidR="00883F6F" w:rsidRPr="00883F6F" w:rsidRDefault="00883F6F" w:rsidP="00605B1D">
      <w:pPr>
        <w:pStyle w:val="a7"/>
        <w:numPr>
          <w:ilvl w:val="0"/>
          <w:numId w:val="6"/>
        </w:numPr>
        <w:spacing w:beforeLines="50" w:before="180"/>
        <w:ind w:leftChars="0" w:left="737" w:hanging="737"/>
        <w:jc w:val="both"/>
        <w:rPr>
          <w:rFonts w:eastAsia="標楷體" w:cstheme="minorHAnsi"/>
        </w:rPr>
      </w:pPr>
      <w:r w:rsidRPr="00641199">
        <w:rPr>
          <w:rFonts w:eastAsia="標楷體" w:cstheme="minorHAnsi"/>
          <w:color w:val="FF0000"/>
        </w:rPr>
        <w:t>結構性部位之處理</w:t>
      </w:r>
    </w:p>
    <w:p w14:paraId="6F30CF64" w14:textId="49BD61D6" w:rsidR="008F6653" w:rsidRPr="00CA1A43" w:rsidRDefault="008F6653" w:rsidP="00883F6F">
      <w:pPr>
        <w:pStyle w:val="a7"/>
        <w:numPr>
          <w:ilvl w:val="0"/>
          <w:numId w:val="7"/>
        </w:numPr>
        <w:spacing w:beforeLines="50" w:before="180"/>
        <w:ind w:leftChars="0" w:left="964" w:hanging="482"/>
        <w:jc w:val="both"/>
        <w:rPr>
          <w:rFonts w:eastAsia="標楷體" w:cstheme="minorHAnsi"/>
        </w:rPr>
      </w:pPr>
      <w:r w:rsidRPr="00CA1A43">
        <w:rPr>
          <w:rFonts w:eastAsia="標楷體" w:cstheme="minorHAnsi"/>
        </w:rPr>
        <w:t>因已搭配的貨幣風險部位可避免匯率變動的損失，但</w:t>
      </w:r>
      <w:proofErr w:type="gramStart"/>
      <w:r w:rsidRPr="00CA1A43">
        <w:rPr>
          <w:rFonts w:eastAsia="標楷體" w:cstheme="minorHAnsi"/>
        </w:rPr>
        <w:t>不</w:t>
      </w:r>
      <w:proofErr w:type="gramEnd"/>
      <w:r w:rsidRPr="00CA1A43">
        <w:rPr>
          <w:rFonts w:eastAsia="標楷體" w:cstheme="minorHAnsi"/>
        </w:rPr>
        <w:t>必然可維持其資本適足率。若銀行資本以本位幣計價，且擁有已完全搭配的外幣資產和負債之投資組合，若當本位幣貶值時，該資本</w:t>
      </w:r>
      <w:r w:rsidRPr="00CA1A43">
        <w:rPr>
          <w:rFonts w:eastAsia="標楷體" w:cstheme="minorHAnsi"/>
        </w:rPr>
        <w:t>/</w:t>
      </w:r>
      <w:r w:rsidRPr="00CA1A43">
        <w:rPr>
          <w:rFonts w:eastAsia="標楷體" w:cstheme="minorHAnsi"/>
        </w:rPr>
        <w:t>資產比率將會降低。雖然本位幣升值時，銀行藉由持有本位幣的短風險部位會虧損，但卻能維持其資本適足率。因此本會准許銀行在滿足下列所有條件下，將特定貨幣風險部位自淨開放幣別的風險部位中排除計算：</w:t>
      </w:r>
    </w:p>
    <w:p w14:paraId="3E911049" w14:textId="77777777" w:rsidR="008F6653" w:rsidRPr="00CA1A43" w:rsidRDefault="008F6653" w:rsidP="00883F6F">
      <w:pPr>
        <w:pStyle w:val="a7"/>
        <w:numPr>
          <w:ilvl w:val="0"/>
          <w:numId w:val="8"/>
        </w:numPr>
        <w:spacing w:beforeLines="50" w:before="180"/>
        <w:ind w:leftChars="0" w:left="1446" w:hanging="482"/>
        <w:jc w:val="both"/>
        <w:rPr>
          <w:rFonts w:eastAsia="標楷體" w:cstheme="minorHAnsi"/>
        </w:rPr>
      </w:pPr>
      <w:r w:rsidRPr="00CA1A43">
        <w:rPr>
          <w:rFonts w:eastAsia="標楷體" w:cstheme="minorHAnsi"/>
        </w:rPr>
        <w:t>所持有或保留的風險部位其目的是為了部分或完全規避匯率變動對資本比率的潛在不利影響。</w:t>
      </w:r>
    </w:p>
    <w:p w14:paraId="5E2A9C28" w14:textId="76144FE9" w:rsidR="008F6653" w:rsidRPr="001A16FB" w:rsidRDefault="008F6653" w:rsidP="00883F6F">
      <w:pPr>
        <w:pStyle w:val="a7"/>
        <w:spacing w:beforeLines="50" w:before="180"/>
        <w:ind w:leftChars="0" w:left="964"/>
        <w:jc w:val="both"/>
        <w:rPr>
          <w:rFonts w:eastAsia="標楷體" w:cstheme="minorHAnsi"/>
          <w:strike/>
          <w:color w:val="FF0000"/>
        </w:rPr>
      </w:pPr>
      <w:r w:rsidRPr="001A16FB">
        <w:rPr>
          <w:rFonts w:eastAsia="標楷體" w:cstheme="minorHAnsi"/>
          <w:strike/>
          <w:color w:val="FF0000"/>
        </w:rPr>
        <w:t>風險部位源自下列項目且本質為結構性</w:t>
      </w:r>
      <w:r w:rsidRPr="001A16FB">
        <w:rPr>
          <w:rFonts w:eastAsia="標楷體" w:cstheme="minorHAnsi"/>
          <w:strike/>
          <w:color w:val="FF0000"/>
        </w:rPr>
        <w:t>(</w:t>
      </w:r>
      <w:r w:rsidRPr="001A16FB">
        <w:rPr>
          <w:rFonts w:eastAsia="標楷體" w:cstheme="minorHAnsi"/>
          <w:strike/>
          <w:color w:val="FF0000"/>
        </w:rPr>
        <w:t>即非交易性</w:t>
      </w:r>
      <w:r w:rsidRPr="001A16FB">
        <w:rPr>
          <w:rFonts w:eastAsia="標楷體" w:cstheme="minorHAnsi"/>
          <w:strike/>
          <w:color w:val="FF0000"/>
        </w:rPr>
        <w:t>)</w:t>
      </w:r>
      <w:r w:rsidRPr="001A16FB">
        <w:rPr>
          <w:rFonts w:eastAsia="標楷體" w:cstheme="minorHAnsi"/>
          <w:strike/>
          <w:color w:val="FF0000"/>
        </w:rPr>
        <w:t>，如風險部位源自於下列來源：</w:t>
      </w:r>
    </w:p>
    <w:p w14:paraId="23B589FE" w14:textId="77777777" w:rsidR="008F6653" w:rsidRPr="001A16FB" w:rsidRDefault="008F6653" w:rsidP="00883F6F">
      <w:pPr>
        <w:pStyle w:val="a7"/>
        <w:spacing w:beforeLines="50" w:before="180"/>
        <w:ind w:leftChars="0" w:left="1446"/>
        <w:jc w:val="both"/>
        <w:rPr>
          <w:rFonts w:eastAsia="標楷體" w:cstheme="minorHAnsi"/>
          <w:strike/>
          <w:color w:val="FF0000"/>
        </w:rPr>
      </w:pPr>
      <w:r w:rsidRPr="001A16FB">
        <w:rPr>
          <w:rFonts w:eastAsia="標楷體" w:cstheme="minorHAnsi"/>
          <w:strike/>
          <w:color w:val="FF0000"/>
        </w:rPr>
        <w:lastRenderedPageBreak/>
        <w:t>以外幣計價於非合併的關係企業的投資；</w:t>
      </w:r>
    </w:p>
    <w:p w14:paraId="067B987D" w14:textId="77777777" w:rsidR="008F6653" w:rsidRPr="00CA1A43" w:rsidRDefault="008F6653" w:rsidP="00883F6F">
      <w:pPr>
        <w:pStyle w:val="a7"/>
        <w:spacing w:beforeLines="50" w:before="180"/>
        <w:ind w:leftChars="0" w:left="1446"/>
        <w:jc w:val="both"/>
        <w:rPr>
          <w:rFonts w:eastAsia="標楷體" w:cstheme="minorHAnsi"/>
        </w:rPr>
      </w:pPr>
      <w:r w:rsidRPr="001A16FB">
        <w:rPr>
          <w:rFonts w:eastAsia="標楷體" w:cstheme="minorHAnsi"/>
          <w:strike/>
          <w:color w:val="FF0000"/>
        </w:rPr>
        <w:t>以外幣計價於合併子公司或分支機構的投資。</w:t>
      </w:r>
    </w:p>
    <w:p w14:paraId="4E95A443" w14:textId="77777777" w:rsidR="008F6653" w:rsidRPr="00CA1A43" w:rsidRDefault="008F6653" w:rsidP="00883F6F">
      <w:pPr>
        <w:pStyle w:val="a7"/>
        <w:numPr>
          <w:ilvl w:val="0"/>
          <w:numId w:val="8"/>
        </w:numPr>
        <w:spacing w:beforeLines="50" w:before="180"/>
        <w:ind w:leftChars="0" w:left="1446" w:hanging="482"/>
        <w:jc w:val="both"/>
        <w:rPr>
          <w:rFonts w:eastAsia="標楷體" w:cstheme="minorHAnsi"/>
        </w:rPr>
      </w:pPr>
      <w:r w:rsidRPr="00CA1A43">
        <w:rPr>
          <w:rFonts w:eastAsia="標楷體" w:cstheme="minorHAnsi"/>
        </w:rPr>
        <w:t>排除範圍限於可用於抵銷資本比率對匯率變動敏感性之風險部位金額。</w:t>
      </w:r>
    </w:p>
    <w:p w14:paraId="5DCB88A9" w14:textId="77777777" w:rsidR="008F6653" w:rsidRPr="00CA1A43" w:rsidRDefault="008F6653" w:rsidP="00883F6F">
      <w:pPr>
        <w:pStyle w:val="a7"/>
        <w:numPr>
          <w:ilvl w:val="0"/>
          <w:numId w:val="8"/>
        </w:numPr>
        <w:spacing w:beforeLines="50" w:before="180"/>
        <w:ind w:leftChars="0" w:left="1446" w:hanging="482"/>
        <w:jc w:val="both"/>
        <w:rPr>
          <w:rFonts w:eastAsia="標楷體" w:cstheme="minorHAnsi"/>
        </w:rPr>
      </w:pPr>
      <w:r w:rsidRPr="00CA1A43">
        <w:rPr>
          <w:rFonts w:eastAsia="標楷體" w:cstheme="minorHAnsi"/>
        </w:rPr>
        <w:t>風險部位之排除計算須持續六個月以上。</w:t>
      </w:r>
    </w:p>
    <w:p w14:paraId="6446B1EE" w14:textId="77777777" w:rsidR="008F6653" w:rsidRPr="00CA1A43" w:rsidRDefault="008F6653" w:rsidP="001A16FB">
      <w:pPr>
        <w:pStyle w:val="a7"/>
        <w:numPr>
          <w:ilvl w:val="0"/>
          <w:numId w:val="8"/>
        </w:numPr>
        <w:spacing w:beforeLines="50" w:before="180"/>
        <w:ind w:leftChars="0" w:left="1446" w:hanging="482"/>
        <w:jc w:val="both"/>
        <w:rPr>
          <w:rFonts w:eastAsia="標楷體" w:cstheme="minorHAnsi"/>
        </w:rPr>
      </w:pPr>
      <w:r w:rsidRPr="00CA1A43">
        <w:rPr>
          <w:rFonts w:eastAsia="標楷體" w:cstheme="minorHAnsi"/>
        </w:rPr>
        <w:t>結構性外匯部位的建立及其部位的任何變動必須遵循銀行對結構性外匯部位的風險管理政策。該政策應由本會預先核准。</w:t>
      </w:r>
    </w:p>
    <w:p w14:paraId="0724DEF1" w14:textId="77777777" w:rsidR="008F6653" w:rsidRPr="00CA1A43" w:rsidRDefault="008F6653" w:rsidP="001A16FB">
      <w:pPr>
        <w:pStyle w:val="a7"/>
        <w:numPr>
          <w:ilvl w:val="0"/>
          <w:numId w:val="8"/>
        </w:numPr>
        <w:spacing w:beforeLines="50" w:before="180"/>
        <w:ind w:leftChars="0" w:left="1446" w:hanging="482"/>
        <w:jc w:val="both"/>
        <w:rPr>
          <w:rFonts w:eastAsia="標楷體" w:cstheme="minorHAnsi"/>
        </w:rPr>
      </w:pPr>
      <w:r w:rsidRPr="00CA1A43">
        <w:rPr>
          <w:rFonts w:eastAsia="標楷體" w:cstheme="minorHAnsi"/>
        </w:rPr>
        <w:t>任何排除風險部位的適用規則應有一致性，而避險排除的處理方式應持續到資產或其他項目的剩餘期間。</w:t>
      </w:r>
    </w:p>
    <w:p w14:paraId="2C89711C" w14:textId="2EB8397E" w:rsidR="008F6653" w:rsidRDefault="008F6653" w:rsidP="001A16FB">
      <w:pPr>
        <w:pStyle w:val="a7"/>
        <w:numPr>
          <w:ilvl w:val="0"/>
          <w:numId w:val="8"/>
        </w:numPr>
        <w:spacing w:beforeLines="50" w:before="180"/>
        <w:ind w:leftChars="0" w:left="1446" w:hanging="482"/>
        <w:jc w:val="both"/>
        <w:rPr>
          <w:rFonts w:eastAsia="標楷體" w:cstheme="minorHAnsi"/>
        </w:rPr>
      </w:pPr>
      <w:r w:rsidRPr="00CA1A43">
        <w:rPr>
          <w:rFonts w:eastAsia="標楷體" w:cstheme="minorHAnsi"/>
        </w:rPr>
        <w:t>銀行應依據本會的要求，將排除市場風險資本要求的部位及金額文件化以供本會審查。</w:t>
      </w:r>
    </w:p>
    <w:p w14:paraId="6C82739B" w14:textId="60518EFF" w:rsidR="001A16FB" w:rsidRPr="00CA1A43" w:rsidRDefault="001A16FB" w:rsidP="001A16FB">
      <w:pPr>
        <w:pStyle w:val="a7"/>
        <w:numPr>
          <w:ilvl w:val="0"/>
          <w:numId w:val="7"/>
        </w:numPr>
        <w:spacing w:beforeLines="50" w:before="180"/>
        <w:ind w:leftChars="0" w:left="964" w:hanging="482"/>
        <w:jc w:val="both"/>
        <w:rPr>
          <w:rFonts w:eastAsia="標楷體" w:cstheme="minorHAnsi"/>
        </w:rPr>
      </w:pPr>
      <w:r w:rsidRPr="00641199">
        <w:rPr>
          <w:rFonts w:eastAsia="標楷體" w:cstheme="minorHAnsi"/>
          <w:color w:val="FF0000"/>
        </w:rPr>
        <w:t>銀行對國外營運機構淨投資之金額，包括非合併關係企業、國外子公司之外幣投資金額，及國外分支機構之外幣營運資金，亦得視為結構</w:t>
      </w:r>
      <w:r w:rsidRPr="001A16FB">
        <w:rPr>
          <w:rFonts w:eastAsia="標楷體" w:cstheme="minorHAnsi"/>
          <w:color w:val="FF0000"/>
        </w:rPr>
        <w:t>性</w:t>
      </w:r>
      <w:r w:rsidRPr="001A16FB">
        <w:rPr>
          <w:rStyle w:val="a5"/>
          <w:rFonts w:eastAsia="標楷體" w:cstheme="minorHAnsi"/>
          <w:color w:val="FF0000"/>
        </w:rPr>
        <w:footnoteReference w:id="1"/>
      </w:r>
      <w:r w:rsidRPr="001A16FB">
        <w:rPr>
          <w:rFonts w:eastAsia="標楷體" w:cstheme="minorHAnsi"/>
          <w:color w:val="FF0000"/>
        </w:rPr>
        <w:t>部位，而不計入外幣淨開放部位計提外匯風險所需資本。</w:t>
      </w:r>
    </w:p>
    <w:p w14:paraId="2FC5036F" w14:textId="77777777" w:rsidR="00B64725" w:rsidRPr="00CA1A43" w:rsidRDefault="00B64725" w:rsidP="00605B1D">
      <w:pPr>
        <w:pStyle w:val="a7"/>
        <w:numPr>
          <w:ilvl w:val="0"/>
          <w:numId w:val="6"/>
        </w:numPr>
        <w:spacing w:beforeLines="50" w:before="180"/>
        <w:ind w:leftChars="0" w:left="737" w:hanging="737"/>
        <w:jc w:val="both"/>
        <w:rPr>
          <w:rFonts w:eastAsia="標楷體" w:cstheme="minorHAnsi"/>
        </w:rPr>
      </w:pPr>
      <w:r w:rsidRPr="00CA1A43">
        <w:rPr>
          <w:rFonts w:eastAsia="標楷體" w:cstheme="minorHAnsi"/>
        </w:rPr>
        <w:t>當在計算資本基礎時，已自銀行資本扣除之項目，其部位不需再適用外匯風險資本要求。</w:t>
      </w:r>
    </w:p>
    <w:p w14:paraId="34217F02" w14:textId="290B1DCF" w:rsidR="00B64725" w:rsidRPr="00CA1A43" w:rsidRDefault="00B64725" w:rsidP="00605B1D">
      <w:pPr>
        <w:pStyle w:val="a7"/>
        <w:numPr>
          <w:ilvl w:val="0"/>
          <w:numId w:val="6"/>
        </w:numPr>
        <w:spacing w:beforeLines="50" w:before="180"/>
        <w:ind w:leftChars="0" w:left="737" w:hanging="737"/>
        <w:jc w:val="both"/>
        <w:rPr>
          <w:rFonts w:eastAsia="標楷體" w:cstheme="minorHAnsi"/>
        </w:rPr>
      </w:pPr>
      <w:r w:rsidRPr="00CA1A43">
        <w:rPr>
          <w:rFonts w:eastAsia="標楷體" w:cstheme="minorHAnsi"/>
        </w:rPr>
        <w:t>針對持有以下已從自有資本扣除或加權風險權數</w:t>
      </w:r>
      <w:r w:rsidRPr="00CA1A43">
        <w:rPr>
          <w:rFonts w:eastAsia="標楷體" w:cstheme="minorHAnsi"/>
        </w:rPr>
        <w:t>1250%</w:t>
      </w:r>
      <w:r w:rsidRPr="00CA1A43">
        <w:rPr>
          <w:rFonts w:eastAsia="標楷體" w:cstheme="minorHAnsi"/>
        </w:rPr>
        <w:t>之資本</w:t>
      </w:r>
      <w:r w:rsidR="009653EE" w:rsidRPr="003B0E1B">
        <w:rPr>
          <w:rFonts w:eastAsia="標楷體" w:cstheme="minorHAnsi"/>
        </w:rPr>
        <w:t>工具</w:t>
      </w:r>
      <w:r w:rsidRPr="00CA1A43">
        <w:rPr>
          <w:rFonts w:eastAsia="標楷體" w:cstheme="minorHAnsi"/>
        </w:rPr>
        <w:t>，不納入市場風險資本要求。</w:t>
      </w:r>
    </w:p>
    <w:p w14:paraId="041246B9" w14:textId="0E047BC4" w:rsidR="00B64725" w:rsidRPr="003B0E1B" w:rsidRDefault="00B64725" w:rsidP="00605B1D">
      <w:pPr>
        <w:pStyle w:val="a7"/>
        <w:numPr>
          <w:ilvl w:val="0"/>
          <w:numId w:val="9"/>
        </w:numPr>
        <w:spacing w:beforeLines="50" w:before="180"/>
        <w:ind w:leftChars="0" w:left="964" w:hanging="482"/>
        <w:jc w:val="both"/>
        <w:rPr>
          <w:rFonts w:eastAsia="標楷體" w:cstheme="minorHAnsi"/>
        </w:rPr>
      </w:pPr>
      <w:r w:rsidRPr="00CA1A43">
        <w:rPr>
          <w:rFonts w:eastAsia="標楷體" w:cstheme="minorHAnsi"/>
        </w:rPr>
        <w:t>持有銀行本身的合格法定</w:t>
      </w:r>
      <w:r w:rsidRPr="003B0E1B">
        <w:rPr>
          <w:rFonts w:eastAsia="標楷體" w:cstheme="minorHAnsi"/>
        </w:rPr>
        <w:t>資本</w:t>
      </w:r>
      <w:r w:rsidR="009653EE" w:rsidRPr="003B0E1B">
        <w:rPr>
          <w:rFonts w:eastAsia="標楷體" w:cstheme="minorHAnsi"/>
        </w:rPr>
        <w:t>工具</w:t>
      </w:r>
      <w:r w:rsidRPr="003B0E1B">
        <w:rPr>
          <w:rFonts w:eastAsia="標楷體" w:cstheme="minorHAnsi"/>
        </w:rPr>
        <w:t>。</w:t>
      </w:r>
    </w:p>
    <w:p w14:paraId="4C2FD643" w14:textId="4D9A1FF1" w:rsidR="00B64725" w:rsidRPr="003B0E1B" w:rsidRDefault="00B64725" w:rsidP="00605B1D">
      <w:pPr>
        <w:pStyle w:val="a7"/>
        <w:numPr>
          <w:ilvl w:val="0"/>
          <w:numId w:val="9"/>
        </w:numPr>
        <w:spacing w:beforeLines="50" w:before="180"/>
        <w:ind w:leftChars="0" w:left="964" w:hanging="482"/>
        <w:jc w:val="both"/>
        <w:rPr>
          <w:rFonts w:eastAsia="標楷體" w:cstheme="minorHAnsi"/>
        </w:rPr>
      </w:pPr>
      <w:r w:rsidRPr="003B0E1B">
        <w:rPr>
          <w:rFonts w:eastAsia="標楷體" w:cstheme="minorHAnsi"/>
        </w:rPr>
        <w:t>銀行持有須從資本中扣除之其他銀行、證券公司與其他金融機構的合格法定資本</w:t>
      </w:r>
      <w:r w:rsidR="009653EE" w:rsidRPr="003B0E1B">
        <w:rPr>
          <w:rFonts w:eastAsia="標楷體" w:cstheme="minorHAnsi"/>
        </w:rPr>
        <w:t>工具</w:t>
      </w:r>
      <w:r w:rsidRPr="003B0E1B">
        <w:rPr>
          <w:rFonts w:eastAsia="標楷體" w:cstheme="minorHAnsi"/>
        </w:rPr>
        <w:t>以及無形資產等資產類別。</w:t>
      </w:r>
    </w:p>
    <w:p w14:paraId="623BA4E0" w14:textId="70A8F6AF" w:rsidR="00B64725" w:rsidRPr="00CA1A43" w:rsidRDefault="00B64725" w:rsidP="00605B1D">
      <w:pPr>
        <w:pStyle w:val="a7"/>
        <w:numPr>
          <w:ilvl w:val="0"/>
          <w:numId w:val="6"/>
        </w:numPr>
        <w:spacing w:beforeLines="50" w:before="180"/>
        <w:ind w:leftChars="0" w:left="737" w:hanging="737"/>
        <w:jc w:val="both"/>
        <w:rPr>
          <w:rFonts w:eastAsia="標楷體" w:cstheme="minorHAnsi"/>
        </w:rPr>
      </w:pPr>
      <w:r w:rsidRPr="003B0E1B">
        <w:rPr>
          <w:rFonts w:eastAsia="標楷體" w:cstheme="minorHAnsi"/>
        </w:rPr>
        <w:t>銀行為積極的市場造市者且有適當的系統與控管措施來從事金融機構的合格法定資本</w:t>
      </w:r>
      <w:r w:rsidR="009653EE" w:rsidRPr="003B0E1B">
        <w:rPr>
          <w:rFonts w:eastAsia="標楷體" w:cstheme="minorHAnsi"/>
        </w:rPr>
        <w:t>工具</w:t>
      </w:r>
      <w:r w:rsidRPr="003B0E1B">
        <w:rPr>
          <w:rFonts w:eastAsia="標楷體" w:cstheme="minorHAnsi"/>
        </w:rPr>
        <w:t>交易時，可向本會申請並經核准後，得將其持有之其他銀行、證券公司及其他金融機構的合格法定資本</w:t>
      </w:r>
      <w:r w:rsidR="009653EE" w:rsidRPr="003B0E1B">
        <w:rPr>
          <w:rFonts w:eastAsia="標楷體" w:cstheme="minorHAnsi"/>
        </w:rPr>
        <w:t>工具</w:t>
      </w:r>
      <w:r w:rsidRPr="003B0E1B">
        <w:rPr>
          <w:rFonts w:eastAsia="標楷體" w:cstheme="minorHAnsi"/>
        </w:rPr>
        <w:t>放在交易</w:t>
      </w:r>
      <w:r w:rsidRPr="00CA1A43">
        <w:rPr>
          <w:rFonts w:eastAsia="標楷體" w:cstheme="minorHAnsi"/>
        </w:rPr>
        <w:t>簿。</w:t>
      </w:r>
    </w:p>
    <w:p w14:paraId="25310BBB" w14:textId="77777777" w:rsidR="00B64725" w:rsidRPr="00CA1A43" w:rsidRDefault="00B64725" w:rsidP="00605B1D">
      <w:pPr>
        <w:pStyle w:val="a7"/>
        <w:numPr>
          <w:ilvl w:val="0"/>
          <w:numId w:val="6"/>
        </w:numPr>
        <w:spacing w:beforeLines="50" w:before="180"/>
        <w:ind w:leftChars="0" w:left="737" w:hanging="737"/>
        <w:jc w:val="both"/>
        <w:rPr>
          <w:rFonts w:eastAsia="標楷體" w:cstheme="minorHAnsi"/>
        </w:rPr>
      </w:pPr>
      <w:r w:rsidRPr="00CA1A43">
        <w:rPr>
          <w:rFonts w:eastAsia="標楷體" w:cstheme="minorHAnsi"/>
        </w:rPr>
        <w:t>市場風險資本要求得以依下列條件適用於合併基礎。</w:t>
      </w:r>
    </w:p>
    <w:p w14:paraId="659BBD0E" w14:textId="77777777" w:rsidR="00B64725" w:rsidRPr="00CA1A43" w:rsidRDefault="00B64725" w:rsidP="00605B1D">
      <w:pPr>
        <w:pStyle w:val="a7"/>
        <w:numPr>
          <w:ilvl w:val="0"/>
          <w:numId w:val="10"/>
        </w:numPr>
        <w:spacing w:beforeLines="50" w:before="180"/>
        <w:ind w:leftChars="0" w:left="964" w:hanging="482"/>
        <w:jc w:val="both"/>
        <w:rPr>
          <w:rFonts w:eastAsia="標楷體" w:cstheme="minorHAnsi"/>
        </w:rPr>
      </w:pPr>
      <w:r w:rsidRPr="00CA1A43">
        <w:rPr>
          <w:rFonts w:eastAsia="標楷體" w:cstheme="minorHAnsi"/>
        </w:rPr>
        <w:t>銀行以本計算說明之市場風險</w:t>
      </w:r>
      <w:proofErr w:type="gramStart"/>
      <w:r w:rsidRPr="00CA1A43">
        <w:rPr>
          <w:rFonts w:eastAsia="標楷體" w:cstheme="minorHAnsi"/>
        </w:rPr>
        <w:t>標準法計提</w:t>
      </w:r>
      <w:proofErr w:type="gramEnd"/>
      <w:r w:rsidRPr="00CA1A43">
        <w:rPr>
          <w:rFonts w:eastAsia="標楷體" w:cstheme="minorHAnsi"/>
        </w:rPr>
        <w:t>資本時，可以在合併基礎下以合併交易簿之</w:t>
      </w:r>
      <w:proofErr w:type="gramStart"/>
      <w:r w:rsidRPr="00CA1A43">
        <w:rPr>
          <w:rFonts w:eastAsia="標楷體" w:cstheme="minorHAnsi"/>
        </w:rPr>
        <w:t>淨短和淨長</w:t>
      </w:r>
      <w:proofErr w:type="gramEnd"/>
      <w:r w:rsidRPr="00CA1A43">
        <w:rPr>
          <w:rFonts w:eastAsia="標楷體" w:cstheme="minorHAnsi"/>
        </w:rPr>
        <w:t>風險部位</w:t>
      </w:r>
      <w:r w:rsidRPr="00CA1A43">
        <w:rPr>
          <w:rFonts w:eastAsia="標楷體" w:cstheme="minorHAnsi"/>
        </w:rPr>
        <w:t>(</w:t>
      </w:r>
      <w:r w:rsidRPr="00CA1A43">
        <w:rPr>
          <w:rFonts w:eastAsia="標楷體" w:cstheme="minorHAnsi"/>
        </w:rPr>
        <w:t>允許風險部位的完全抵消，即相反的風險部位不需計提資本</w:t>
      </w:r>
      <w:r w:rsidRPr="00CA1A43">
        <w:rPr>
          <w:rFonts w:eastAsia="標楷體" w:cstheme="minorHAnsi"/>
        </w:rPr>
        <w:t>)</w:t>
      </w:r>
      <w:r w:rsidRPr="00CA1A43">
        <w:rPr>
          <w:rFonts w:eastAsia="標楷體" w:cstheme="minorHAnsi"/>
        </w:rPr>
        <w:t>進行資本要求計算。</w:t>
      </w:r>
      <w:r w:rsidR="00B87CCC" w:rsidRPr="00CA1A43">
        <w:rPr>
          <w:rStyle w:val="a5"/>
          <w:rFonts w:eastAsia="標楷體" w:cstheme="minorHAnsi"/>
        </w:rPr>
        <w:footnoteReference w:id="2"/>
      </w:r>
    </w:p>
    <w:p w14:paraId="22B09DCD" w14:textId="77777777" w:rsidR="00B64725" w:rsidRPr="00CA1A43" w:rsidRDefault="00B64725" w:rsidP="00605B1D">
      <w:pPr>
        <w:pStyle w:val="a7"/>
        <w:numPr>
          <w:ilvl w:val="0"/>
          <w:numId w:val="10"/>
        </w:numPr>
        <w:spacing w:beforeLines="50" w:before="180"/>
        <w:ind w:leftChars="0" w:left="964" w:hanging="482"/>
        <w:jc w:val="both"/>
        <w:rPr>
          <w:rFonts w:eastAsia="標楷體" w:cstheme="minorHAnsi"/>
        </w:rPr>
      </w:pPr>
      <w:r w:rsidRPr="00CA1A43">
        <w:rPr>
          <w:rFonts w:eastAsia="標楷體" w:cstheme="minorHAnsi"/>
        </w:rPr>
        <w:t>本會認為在合併基礎上執行風險監管有法律及程序上的困難時，可要求</w:t>
      </w:r>
      <w:r w:rsidRPr="00CA1A43">
        <w:rPr>
          <w:rFonts w:eastAsia="標楷體" w:cstheme="minorHAnsi"/>
        </w:rPr>
        <w:lastRenderedPageBreak/>
        <w:t>銀行不得將個體市場風險部位與該集團之其餘機構的市場風險部位</w:t>
      </w:r>
      <w:proofErr w:type="gramStart"/>
      <w:r w:rsidRPr="00CA1A43">
        <w:rPr>
          <w:rFonts w:eastAsia="標楷體" w:cstheme="minorHAnsi"/>
        </w:rPr>
        <w:t>抵銷或抵減</w:t>
      </w:r>
      <w:proofErr w:type="gramEnd"/>
      <w:r w:rsidRPr="00CA1A43">
        <w:rPr>
          <w:rFonts w:eastAsia="標楷體" w:cstheme="minorHAnsi"/>
        </w:rPr>
        <w:t>。舉例而言，當海外子公司盈餘快速</w:t>
      </w:r>
      <w:proofErr w:type="gramStart"/>
      <w:r w:rsidRPr="00CA1A43">
        <w:rPr>
          <w:rFonts w:eastAsia="標楷體" w:cstheme="minorHAnsi"/>
        </w:rPr>
        <w:t>匯</w:t>
      </w:r>
      <w:proofErr w:type="gramEnd"/>
      <w:r w:rsidRPr="00CA1A43">
        <w:rPr>
          <w:rFonts w:eastAsia="標楷體" w:cstheme="minorHAnsi"/>
        </w:rPr>
        <w:t>回國內有些困難時，或者在合併基礎上執行及時風險監管有法律及程序上的困難時，就必須有此需要。</w:t>
      </w:r>
    </w:p>
    <w:p w14:paraId="6CA28189" w14:textId="77777777" w:rsidR="00B64725" w:rsidRPr="00CA1A43" w:rsidRDefault="00B64725" w:rsidP="00605B1D">
      <w:pPr>
        <w:pStyle w:val="a7"/>
        <w:numPr>
          <w:ilvl w:val="0"/>
          <w:numId w:val="10"/>
        </w:numPr>
        <w:spacing w:beforeLines="50" w:before="180"/>
        <w:ind w:leftChars="0" w:left="964" w:hanging="482"/>
        <w:jc w:val="both"/>
        <w:rPr>
          <w:rFonts w:eastAsia="標楷體" w:cstheme="minorHAnsi"/>
        </w:rPr>
      </w:pPr>
      <w:r w:rsidRPr="00CA1A43">
        <w:rPr>
          <w:rFonts w:eastAsia="標楷體" w:cstheme="minorHAnsi"/>
        </w:rPr>
        <w:t>本會得要求銀行提供非合併基礎下個別機構之市場風險，以確保銀行集團內計算市場風險部位抵減之情形能正確被使用。</w:t>
      </w:r>
    </w:p>
    <w:p w14:paraId="31504A39" w14:textId="14E5284B" w:rsidR="00F23916" w:rsidRPr="00CA1A43" w:rsidRDefault="00F23916" w:rsidP="00605B1D">
      <w:pPr>
        <w:pStyle w:val="a7"/>
        <w:numPr>
          <w:ilvl w:val="0"/>
          <w:numId w:val="6"/>
        </w:numPr>
        <w:spacing w:beforeLines="50" w:before="180"/>
        <w:ind w:leftChars="0" w:left="737" w:hanging="737"/>
        <w:jc w:val="both"/>
        <w:rPr>
          <w:rFonts w:eastAsia="標楷體" w:cstheme="minorHAnsi"/>
        </w:rPr>
      </w:pPr>
      <w:r w:rsidRPr="00CA1A43">
        <w:rPr>
          <w:rFonts w:eastAsia="標楷體" w:cstheme="minorHAnsi"/>
        </w:rPr>
        <w:t>在決定市場風險的法定資本要求時，銀行可選擇本計算說明所規定之標準法、內部模型法、簡易標準法。</w:t>
      </w:r>
      <w:proofErr w:type="gramStart"/>
      <w:r w:rsidRPr="00CA1A43">
        <w:rPr>
          <w:rFonts w:eastAsia="標楷體" w:cstheme="minorHAnsi"/>
        </w:rPr>
        <w:t>惟</w:t>
      </w:r>
      <w:proofErr w:type="gramEnd"/>
      <w:r w:rsidRPr="00CA1A43">
        <w:rPr>
          <w:rFonts w:eastAsia="標楷體" w:cstheme="minorHAnsi"/>
        </w:rPr>
        <w:t>內部模型法及簡易標準法皆須經本會核准後始可適用。除了被允許使用簡易標準法的銀行外，所有銀行皆須使用標準法計算市場風險資本要求。故經本會核准使用內部</w:t>
      </w:r>
      <w:proofErr w:type="gramStart"/>
      <w:r w:rsidRPr="00CA1A43">
        <w:rPr>
          <w:rFonts w:eastAsia="標楷體" w:cstheme="minorHAnsi"/>
        </w:rPr>
        <w:t>模型法計提</w:t>
      </w:r>
      <w:proofErr w:type="gramEnd"/>
      <w:r w:rsidRPr="00CA1A43">
        <w:rPr>
          <w:rFonts w:eastAsia="標楷體" w:cstheme="minorHAnsi"/>
        </w:rPr>
        <w:t>市場風險資本要求的銀行也必須根據下列規範計算所有交易台的所有</w:t>
      </w:r>
      <w:r w:rsidR="009653EE" w:rsidRPr="00ED032A">
        <w:rPr>
          <w:rFonts w:eastAsia="標楷體" w:cstheme="minorHAnsi"/>
        </w:rPr>
        <w:t>工具</w:t>
      </w:r>
      <w:r w:rsidRPr="00CA1A43">
        <w:rPr>
          <w:rFonts w:eastAsia="標楷體" w:cstheme="minorHAnsi"/>
        </w:rPr>
        <w:t>於標準法下的資本要求，以作為銀行無法滿足內部模型法條件時的備用資本要求。</w:t>
      </w:r>
    </w:p>
    <w:p w14:paraId="703C4472" w14:textId="775A1730" w:rsidR="00F23916" w:rsidRPr="00CA1A43" w:rsidRDefault="00F23916" w:rsidP="00605B1D">
      <w:pPr>
        <w:pStyle w:val="a7"/>
        <w:numPr>
          <w:ilvl w:val="0"/>
          <w:numId w:val="11"/>
        </w:numPr>
        <w:spacing w:beforeLines="50" w:before="180"/>
        <w:ind w:leftChars="0" w:left="964" w:hanging="482"/>
        <w:jc w:val="both"/>
        <w:rPr>
          <w:rFonts w:eastAsia="標楷體" w:cstheme="minorHAnsi"/>
        </w:rPr>
      </w:pPr>
      <w:r w:rsidRPr="00CA1A43">
        <w:rPr>
          <w:rFonts w:eastAsia="標楷體" w:cstheme="minorHAnsi"/>
        </w:rPr>
        <w:t>對於有任一交易台使用內部模型法之銀行，需計算所有交易台的所有</w:t>
      </w:r>
      <w:r w:rsidR="009653EE" w:rsidRPr="0077515D">
        <w:rPr>
          <w:rFonts w:eastAsia="標楷體" w:cstheme="minorHAnsi"/>
        </w:rPr>
        <w:t>工具</w:t>
      </w:r>
      <w:r w:rsidRPr="00CA1A43">
        <w:rPr>
          <w:rFonts w:eastAsia="標楷體" w:cstheme="minorHAnsi"/>
        </w:rPr>
        <w:t>於標準法下的資本要求。</w:t>
      </w:r>
    </w:p>
    <w:p w14:paraId="531ABE27" w14:textId="77777777" w:rsidR="00F23916" w:rsidRPr="00CA1A43" w:rsidRDefault="00F23916" w:rsidP="00605B1D">
      <w:pPr>
        <w:pStyle w:val="a7"/>
        <w:numPr>
          <w:ilvl w:val="0"/>
          <w:numId w:val="11"/>
        </w:numPr>
        <w:spacing w:beforeLines="50" w:before="180"/>
        <w:ind w:leftChars="0" w:left="964" w:hanging="482"/>
        <w:jc w:val="both"/>
        <w:rPr>
          <w:rFonts w:eastAsia="標楷體" w:cstheme="minorHAnsi"/>
        </w:rPr>
      </w:pPr>
      <w:r w:rsidRPr="00CA1A43">
        <w:rPr>
          <w:rFonts w:eastAsia="標楷體" w:cstheme="minorHAnsi"/>
        </w:rPr>
        <w:t>任一交易台使用內部模型法的銀行，需使用標準法計算符合內部模型法資格的各個交易台之資本要求，亦即假設每</w:t>
      </w:r>
      <w:proofErr w:type="gramStart"/>
      <w:r w:rsidRPr="00CA1A43">
        <w:rPr>
          <w:rFonts w:eastAsia="標楷體" w:cstheme="minorHAnsi"/>
        </w:rPr>
        <w:t>個</w:t>
      </w:r>
      <w:proofErr w:type="gramEnd"/>
      <w:r w:rsidRPr="00CA1A43">
        <w:rPr>
          <w:rFonts w:eastAsia="標楷體" w:cstheme="minorHAnsi"/>
        </w:rPr>
        <w:t>交易台皆為各自獨立</w:t>
      </w:r>
      <w:r w:rsidRPr="00CA1A43">
        <w:rPr>
          <w:rFonts w:eastAsia="標楷體" w:cstheme="minorHAnsi"/>
        </w:rPr>
        <w:t>(</w:t>
      </w:r>
      <w:r w:rsidRPr="00CA1A43">
        <w:rPr>
          <w:rFonts w:eastAsia="標楷體" w:cstheme="minorHAnsi"/>
        </w:rPr>
        <w:t>即交易台之間沒有抵銷效果</w:t>
      </w:r>
      <w:r w:rsidRPr="00CA1A43">
        <w:rPr>
          <w:rFonts w:eastAsia="標楷體" w:cstheme="minorHAnsi"/>
        </w:rPr>
        <w:t>)</w:t>
      </w:r>
      <w:r w:rsidRPr="00CA1A43">
        <w:rPr>
          <w:rFonts w:eastAsia="標楷體" w:cstheme="minorHAnsi"/>
        </w:rPr>
        <w:t>。</w:t>
      </w:r>
    </w:p>
    <w:p w14:paraId="43FDB802" w14:textId="77777777" w:rsidR="00F23916" w:rsidRPr="00CA1A43" w:rsidRDefault="00F23916" w:rsidP="00605B1D">
      <w:pPr>
        <w:pStyle w:val="a7"/>
        <w:numPr>
          <w:ilvl w:val="0"/>
          <w:numId w:val="6"/>
        </w:numPr>
        <w:spacing w:beforeLines="50" w:before="180"/>
        <w:ind w:leftChars="0" w:left="737" w:hanging="737"/>
        <w:jc w:val="both"/>
        <w:rPr>
          <w:rFonts w:eastAsia="標楷體" w:cstheme="minorHAnsi"/>
        </w:rPr>
      </w:pPr>
      <w:r w:rsidRPr="00CA1A43">
        <w:rPr>
          <w:rFonts w:eastAsia="標楷體" w:cstheme="minorHAnsi"/>
        </w:rPr>
        <w:t>若銀行符合以下標準時可向本會申請並經核准後使用簡易標準法，惟本會仍會依申請銀行之狀況要求具有相對複雜或較大風險的銀行在特定風險類別中仍</w:t>
      </w:r>
      <w:proofErr w:type="gramStart"/>
      <w:r w:rsidRPr="00CA1A43">
        <w:rPr>
          <w:rFonts w:eastAsia="標楷體" w:cstheme="minorHAnsi"/>
        </w:rPr>
        <w:t>採</w:t>
      </w:r>
      <w:proofErr w:type="gramEnd"/>
      <w:r w:rsidRPr="00CA1A43">
        <w:rPr>
          <w:rFonts w:eastAsia="標楷體" w:cstheme="minorHAnsi"/>
        </w:rPr>
        <w:t>行標準法：</w:t>
      </w:r>
    </w:p>
    <w:p w14:paraId="7788F665" w14:textId="77777777" w:rsidR="00F23916" w:rsidRPr="00CA1A43" w:rsidRDefault="00F23916" w:rsidP="00605B1D">
      <w:pPr>
        <w:pStyle w:val="a7"/>
        <w:numPr>
          <w:ilvl w:val="0"/>
          <w:numId w:val="12"/>
        </w:numPr>
        <w:spacing w:beforeLines="50" w:before="180"/>
        <w:ind w:leftChars="0" w:left="964" w:hanging="482"/>
        <w:jc w:val="both"/>
        <w:rPr>
          <w:rFonts w:eastAsia="標楷體" w:cstheme="minorHAnsi"/>
        </w:rPr>
      </w:pPr>
      <w:r w:rsidRPr="00CA1A43">
        <w:rPr>
          <w:rFonts w:eastAsia="標楷體" w:cstheme="minorHAnsi"/>
        </w:rPr>
        <w:t>該銀行非為全球系統性重要銀行。</w:t>
      </w:r>
    </w:p>
    <w:p w14:paraId="5C618071" w14:textId="77777777" w:rsidR="00F23916" w:rsidRPr="00CA1A43" w:rsidRDefault="00F23916" w:rsidP="00605B1D">
      <w:pPr>
        <w:pStyle w:val="a7"/>
        <w:numPr>
          <w:ilvl w:val="0"/>
          <w:numId w:val="12"/>
        </w:numPr>
        <w:spacing w:beforeLines="50" w:before="180"/>
        <w:ind w:leftChars="0" w:left="964" w:hanging="482"/>
        <w:jc w:val="both"/>
        <w:rPr>
          <w:rFonts w:eastAsia="標楷體" w:cstheme="minorHAnsi"/>
        </w:rPr>
      </w:pPr>
      <w:r w:rsidRPr="00CA1A43">
        <w:rPr>
          <w:rFonts w:eastAsia="標楷體" w:cstheme="minorHAnsi"/>
        </w:rPr>
        <w:t>該銀行的交易台未使用內部模型法。</w:t>
      </w:r>
    </w:p>
    <w:p w14:paraId="238963B7" w14:textId="77777777" w:rsidR="00F23916" w:rsidRPr="00CA1A43" w:rsidRDefault="00F23916" w:rsidP="00605B1D">
      <w:pPr>
        <w:pStyle w:val="a7"/>
        <w:numPr>
          <w:ilvl w:val="0"/>
          <w:numId w:val="12"/>
        </w:numPr>
        <w:spacing w:beforeLines="50" w:before="180"/>
        <w:ind w:leftChars="0" w:left="964" w:hanging="482"/>
        <w:jc w:val="both"/>
        <w:rPr>
          <w:rFonts w:eastAsia="標楷體" w:cstheme="minorHAnsi"/>
        </w:rPr>
      </w:pPr>
      <w:r w:rsidRPr="00CA1A43">
        <w:rPr>
          <w:rFonts w:eastAsia="標楷體" w:cstheme="minorHAnsi"/>
        </w:rPr>
        <w:t>該銀行未握有任何相關性交易部位。</w:t>
      </w:r>
    </w:p>
    <w:p w14:paraId="68C33633" w14:textId="77777777" w:rsidR="00F23916" w:rsidRPr="00CA1A43" w:rsidRDefault="00F23916" w:rsidP="00605B1D">
      <w:pPr>
        <w:pStyle w:val="a7"/>
        <w:numPr>
          <w:ilvl w:val="0"/>
          <w:numId w:val="6"/>
        </w:numPr>
        <w:spacing w:beforeLines="50" w:before="180"/>
        <w:ind w:leftChars="0" w:left="737" w:hanging="737"/>
        <w:jc w:val="both"/>
        <w:rPr>
          <w:rFonts w:eastAsia="標楷體" w:cstheme="minorHAnsi"/>
        </w:rPr>
      </w:pPr>
      <w:r w:rsidRPr="00CA1A43">
        <w:rPr>
          <w:rFonts w:eastAsia="標楷體" w:cstheme="minorHAnsi"/>
        </w:rPr>
        <w:t>所有銀行針對</w:t>
      </w:r>
      <w:proofErr w:type="gramStart"/>
      <w:r w:rsidRPr="00CA1A43">
        <w:rPr>
          <w:rFonts w:eastAsia="標楷體" w:cstheme="minorHAnsi"/>
        </w:rPr>
        <w:t>證券化暴險</w:t>
      </w:r>
      <w:proofErr w:type="gramEnd"/>
      <w:r w:rsidRPr="00CA1A43">
        <w:rPr>
          <w:rFonts w:eastAsia="標楷體" w:cstheme="minorHAnsi"/>
        </w:rPr>
        <w:t>以及認列為</w:t>
      </w:r>
      <w:proofErr w:type="gramStart"/>
      <w:r w:rsidRPr="00CA1A43">
        <w:rPr>
          <w:rFonts w:eastAsia="標楷體" w:cstheme="minorHAnsi"/>
        </w:rPr>
        <w:t>交易簿但無法</w:t>
      </w:r>
      <w:proofErr w:type="gramEnd"/>
      <w:r w:rsidRPr="00CA1A43">
        <w:rPr>
          <w:rFonts w:eastAsia="標楷體" w:cstheme="minorHAnsi"/>
        </w:rPr>
        <w:t>拆解之基金股權投資部位，皆須使用標準法計算市場風險資本要求。</w:t>
      </w:r>
    </w:p>
    <w:p w14:paraId="240330C0" w14:textId="77777777" w:rsidR="008F6653" w:rsidRPr="00CA1A43" w:rsidRDefault="00DC4E7E" w:rsidP="00605B1D">
      <w:pPr>
        <w:pStyle w:val="a7"/>
        <w:numPr>
          <w:ilvl w:val="0"/>
          <w:numId w:val="4"/>
        </w:numPr>
        <w:spacing w:beforeLines="50" w:before="180"/>
        <w:ind w:leftChars="0" w:left="567" w:hanging="567"/>
        <w:jc w:val="both"/>
        <w:outlineLvl w:val="0"/>
        <w:rPr>
          <w:rFonts w:eastAsia="標楷體" w:cstheme="minorHAnsi"/>
          <w:b/>
          <w:sz w:val="28"/>
          <w:szCs w:val="28"/>
        </w:rPr>
      </w:pPr>
      <w:bookmarkStart w:id="5" w:name="_Toc67992445"/>
      <w:r w:rsidRPr="00CA1A43">
        <w:rPr>
          <w:rFonts w:eastAsia="標楷體" w:cstheme="minorHAnsi"/>
          <w:b/>
          <w:sz w:val="28"/>
          <w:szCs w:val="28"/>
        </w:rPr>
        <w:t>交易簿的認定與相關規定</w:t>
      </w:r>
      <w:bookmarkEnd w:id="5"/>
    </w:p>
    <w:p w14:paraId="2971F0A5" w14:textId="77777777" w:rsidR="00DC4E7E" w:rsidRPr="00CA1A43" w:rsidRDefault="00DC4E7E"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交易簿的範圍與認列標準</w:t>
      </w:r>
    </w:p>
    <w:p w14:paraId="1329BAF1" w14:textId="77777777" w:rsidR="00DC4E7E" w:rsidRPr="00CA1A43" w:rsidRDefault="00DC4E7E" w:rsidP="00605B1D">
      <w:pPr>
        <w:pStyle w:val="a7"/>
        <w:numPr>
          <w:ilvl w:val="0"/>
          <w:numId w:val="13"/>
        </w:numPr>
        <w:spacing w:beforeLines="50" w:before="180"/>
        <w:ind w:leftChars="0" w:left="964" w:hanging="482"/>
        <w:jc w:val="both"/>
        <w:rPr>
          <w:rFonts w:eastAsia="標楷體" w:cstheme="minorHAnsi"/>
        </w:rPr>
      </w:pPr>
      <w:r w:rsidRPr="00CA1A43">
        <w:rPr>
          <w:rFonts w:eastAsia="標楷體" w:cstheme="minorHAnsi"/>
        </w:rPr>
        <w:t>交易簿的範圍</w:t>
      </w:r>
    </w:p>
    <w:p w14:paraId="42F57097" w14:textId="6973F694" w:rsidR="00DC4E7E" w:rsidRPr="00CA1A43" w:rsidRDefault="00DC4E7E" w:rsidP="00DC4E7E">
      <w:pPr>
        <w:pStyle w:val="a7"/>
        <w:spacing w:beforeLines="50" w:before="180"/>
        <w:ind w:leftChars="0" w:left="964"/>
        <w:jc w:val="both"/>
        <w:rPr>
          <w:rFonts w:eastAsia="標楷體" w:cstheme="minorHAnsi"/>
        </w:rPr>
      </w:pPr>
      <w:r w:rsidRPr="00CA1A43">
        <w:rPr>
          <w:rFonts w:eastAsia="標楷體" w:cstheme="minorHAnsi"/>
        </w:rPr>
        <w:t>銀行應將持有之</w:t>
      </w:r>
      <w:r w:rsidR="009653EE" w:rsidRPr="00603EEA">
        <w:rPr>
          <w:rFonts w:eastAsia="標楷體" w:cstheme="minorHAnsi"/>
        </w:rPr>
        <w:t>工具</w:t>
      </w:r>
      <w:r w:rsidRPr="00CA1A43">
        <w:rPr>
          <w:rFonts w:eastAsia="標楷體" w:cstheme="minorHAnsi"/>
        </w:rPr>
        <w:t>依其目的區分為交易簿</w:t>
      </w:r>
      <w:r w:rsidRPr="00CA1A43">
        <w:rPr>
          <w:rFonts w:eastAsia="標楷體" w:cstheme="minorHAnsi"/>
        </w:rPr>
        <w:t>(</w:t>
      </w:r>
      <w:r w:rsidRPr="00CA1A43">
        <w:rPr>
          <w:rFonts w:eastAsia="標楷體" w:cstheme="minorHAnsi"/>
        </w:rPr>
        <w:t>依市場風險資本要求規範</w:t>
      </w:r>
      <w:r w:rsidRPr="00CA1A43">
        <w:rPr>
          <w:rFonts w:eastAsia="標楷體" w:cstheme="minorHAnsi"/>
        </w:rPr>
        <w:t>)</w:t>
      </w:r>
      <w:r w:rsidRPr="00CA1A43">
        <w:rPr>
          <w:rFonts w:eastAsia="標楷體" w:cstheme="minorHAnsi"/>
        </w:rPr>
        <w:t>及銀行簿</w:t>
      </w:r>
      <w:r w:rsidRPr="00CA1A43">
        <w:rPr>
          <w:rFonts w:eastAsia="標楷體" w:cstheme="minorHAnsi"/>
        </w:rPr>
        <w:t>(</w:t>
      </w:r>
      <w:r w:rsidRPr="00CA1A43">
        <w:rPr>
          <w:rFonts w:eastAsia="標楷體" w:cstheme="minorHAnsi"/>
        </w:rPr>
        <w:t>依信用風險資本要求規範</w:t>
      </w:r>
      <w:r w:rsidRPr="00CA1A43">
        <w:rPr>
          <w:rFonts w:eastAsia="標楷體" w:cstheme="minorHAnsi"/>
        </w:rPr>
        <w:t>)</w:t>
      </w:r>
      <w:r w:rsidRPr="00CA1A43">
        <w:rPr>
          <w:rFonts w:eastAsia="標楷體" w:cstheme="minorHAnsi"/>
        </w:rPr>
        <w:t>。銀行之交易</w:t>
      </w:r>
      <w:proofErr w:type="gramStart"/>
      <w:r w:rsidRPr="00CA1A43">
        <w:rPr>
          <w:rFonts w:eastAsia="標楷體" w:cstheme="minorHAnsi"/>
        </w:rPr>
        <w:t>簿</w:t>
      </w:r>
      <w:proofErr w:type="gramEnd"/>
      <w:r w:rsidRPr="00CA1A43">
        <w:rPr>
          <w:rFonts w:eastAsia="標楷體" w:cstheme="minorHAnsi"/>
        </w:rPr>
        <w:t>可以只包含單一</w:t>
      </w:r>
      <w:r w:rsidR="00427751" w:rsidRPr="00427751">
        <w:rPr>
          <w:rFonts w:eastAsia="標楷體" w:cstheme="minorHAnsi" w:hint="eastAsia"/>
        </w:rPr>
        <w:t>金</w:t>
      </w:r>
      <w:r w:rsidR="00427751" w:rsidRPr="00427751">
        <w:rPr>
          <w:rFonts w:eastAsia="標楷體" w:cstheme="minorHAnsi" w:hint="eastAsia"/>
        </w:rPr>
        <w:lastRenderedPageBreak/>
        <w:t>融</w:t>
      </w:r>
      <w:r w:rsidR="009653EE" w:rsidRPr="00427751">
        <w:rPr>
          <w:rFonts w:eastAsia="標楷體" w:cstheme="minorHAnsi"/>
        </w:rPr>
        <w:t>工具</w:t>
      </w:r>
      <w:r w:rsidRPr="00CA1A43">
        <w:rPr>
          <w:rFonts w:eastAsia="標楷體" w:cstheme="minorHAnsi"/>
        </w:rPr>
        <w:t>、外匯或商品</w:t>
      </w:r>
      <w:r w:rsidR="009653EE" w:rsidRPr="00427751">
        <w:rPr>
          <w:rFonts w:eastAsia="標楷體" w:cstheme="minorHAnsi"/>
        </w:rPr>
        <w:t>工具</w:t>
      </w:r>
      <w:r w:rsidRPr="00CA1A43">
        <w:rPr>
          <w:rFonts w:eastAsia="標楷體" w:cstheme="minorHAnsi"/>
        </w:rPr>
        <w:t>，並且在出售或完全</w:t>
      </w:r>
      <w:proofErr w:type="gramStart"/>
      <w:r w:rsidRPr="00CA1A43">
        <w:rPr>
          <w:rFonts w:eastAsia="標楷體" w:cstheme="minorHAnsi"/>
        </w:rPr>
        <w:t>避險時不</w:t>
      </w:r>
      <w:proofErr w:type="gramEnd"/>
      <w:r w:rsidRPr="00CA1A43">
        <w:rPr>
          <w:rFonts w:eastAsia="標楷體" w:cstheme="minorHAnsi"/>
        </w:rPr>
        <w:t>受法律上之限制。銀行必須每日對交易簿的</w:t>
      </w:r>
      <w:r w:rsidR="009653EE" w:rsidRPr="00427751">
        <w:rPr>
          <w:rFonts w:eastAsia="標楷體" w:cstheme="minorHAnsi"/>
        </w:rPr>
        <w:t>工具</w:t>
      </w:r>
      <w:r w:rsidRPr="00CA1A43">
        <w:rPr>
          <w:rFonts w:eastAsia="標楷體" w:cstheme="minorHAnsi"/>
        </w:rPr>
        <w:t>以公允價值評價，同時認列損益帳戶的評價調整。</w:t>
      </w:r>
    </w:p>
    <w:p w14:paraId="5CED1DCE" w14:textId="77777777" w:rsidR="00DC4E7E" w:rsidRPr="00CA1A43" w:rsidRDefault="00DC4E7E" w:rsidP="00605B1D">
      <w:pPr>
        <w:pStyle w:val="a7"/>
        <w:numPr>
          <w:ilvl w:val="0"/>
          <w:numId w:val="13"/>
        </w:numPr>
        <w:spacing w:beforeLines="50" w:before="180"/>
        <w:ind w:leftChars="0" w:left="964" w:hanging="482"/>
        <w:jc w:val="both"/>
        <w:rPr>
          <w:rFonts w:eastAsia="標楷體" w:cstheme="minorHAnsi"/>
        </w:rPr>
      </w:pPr>
      <w:r w:rsidRPr="00CA1A43">
        <w:rPr>
          <w:rFonts w:eastAsia="標楷體" w:cstheme="minorHAnsi"/>
        </w:rPr>
        <w:t>交易簿的認列標準</w:t>
      </w:r>
    </w:p>
    <w:p w14:paraId="0F9D5695" w14:textId="7933DEF9" w:rsidR="00DC4E7E" w:rsidRPr="00CA1A43" w:rsidRDefault="00DC4E7E" w:rsidP="00DC4E7E">
      <w:pPr>
        <w:pStyle w:val="a7"/>
        <w:spacing w:beforeLines="50" w:before="180"/>
        <w:ind w:leftChars="0" w:left="964"/>
        <w:jc w:val="both"/>
        <w:rPr>
          <w:rFonts w:eastAsia="標楷體" w:cstheme="minorHAnsi"/>
        </w:rPr>
      </w:pPr>
      <w:r w:rsidRPr="00CA1A43">
        <w:rPr>
          <w:rFonts w:eastAsia="標楷體" w:cstheme="minorHAnsi"/>
        </w:rPr>
        <w:t>銀行</w:t>
      </w:r>
      <w:r w:rsidR="009653EE" w:rsidRPr="00ED0584">
        <w:rPr>
          <w:rFonts w:eastAsia="標楷體" w:cstheme="minorHAnsi"/>
        </w:rPr>
        <w:t>工具</w:t>
      </w:r>
      <w:r w:rsidRPr="00ED0584">
        <w:rPr>
          <w:rFonts w:eastAsia="標楷體" w:cstheme="minorHAnsi"/>
        </w:rPr>
        <w:t>之持有目的符合下列任</w:t>
      </w:r>
      <w:proofErr w:type="gramStart"/>
      <w:r w:rsidRPr="00ED0584">
        <w:rPr>
          <w:rFonts w:eastAsia="標楷體" w:cstheme="minorHAnsi"/>
        </w:rPr>
        <w:t>一</w:t>
      </w:r>
      <w:proofErr w:type="gramEnd"/>
      <w:r w:rsidRPr="00ED0584">
        <w:rPr>
          <w:rFonts w:eastAsia="標楷體" w:cstheme="minorHAnsi"/>
        </w:rPr>
        <w:t>者，應認列為交易</w:t>
      </w:r>
      <w:proofErr w:type="gramStart"/>
      <w:r w:rsidRPr="00ED0584">
        <w:rPr>
          <w:rFonts w:eastAsia="標楷體" w:cstheme="minorHAnsi"/>
        </w:rPr>
        <w:t>簿</w:t>
      </w:r>
      <w:proofErr w:type="gramEnd"/>
      <w:r w:rsidR="009653EE" w:rsidRPr="00ED0584">
        <w:rPr>
          <w:rFonts w:eastAsia="標楷體" w:cstheme="minorHAnsi"/>
        </w:rPr>
        <w:t>工具</w:t>
      </w:r>
      <w:r w:rsidR="00242985" w:rsidRPr="00242985">
        <w:rPr>
          <w:rFonts w:eastAsia="標楷體" w:cstheme="minorHAnsi" w:hint="eastAsia"/>
          <w:color w:val="FF0000"/>
        </w:rPr>
        <w:t>，但不以下列認列標準為限</w:t>
      </w:r>
      <w:r w:rsidRPr="00ED0584">
        <w:rPr>
          <w:rFonts w:eastAsia="標楷體" w:cstheme="minorHAnsi"/>
        </w:rPr>
        <w:t>。</w:t>
      </w:r>
    </w:p>
    <w:p w14:paraId="220F5771" w14:textId="77777777" w:rsidR="00DC4E7E" w:rsidRPr="00CA1A43" w:rsidRDefault="00DC4E7E" w:rsidP="00605B1D">
      <w:pPr>
        <w:pStyle w:val="a7"/>
        <w:numPr>
          <w:ilvl w:val="0"/>
          <w:numId w:val="15"/>
        </w:numPr>
        <w:spacing w:beforeLines="50" w:before="180"/>
        <w:ind w:leftChars="0" w:left="1446" w:hanging="482"/>
        <w:jc w:val="both"/>
        <w:rPr>
          <w:rFonts w:eastAsia="標楷體" w:cstheme="minorHAnsi"/>
        </w:rPr>
      </w:pPr>
      <w:r w:rsidRPr="00CA1A43">
        <w:rPr>
          <w:rFonts w:eastAsia="標楷體" w:cstheme="minorHAnsi"/>
        </w:rPr>
        <w:t>短期持有以供出售。</w:t>
      </w:r>
    </w:p>
    <w:p w14:paraId="419A3E33" w14:textId="77777777" w:rsidR="00DC4E7E" w:rsidRPr="00CA1A43" w:rsidRDefault="00DC4E7E" w:rsidP="00605B1D">
      <w:pPr>
        <w:pStyle w:val="a7"/>
        <w:numPr>
          <w:ilvl w:val="0"/>
          <w:numId w:val="15"/>
        </w:numPr>
        <w:spacing w:beforeLines="50" w:before="180"/>
        <w:ind w:leftChars="0" w:left="1446" w:hanging="482"/>
        <w:jc w:val="both"/>
        <w:rPr>
          <w:rFonts w:eastAsia="標楷體" w:cstheme="minorHAnsi"/>
        </w:rPr>
      </w:pPr>
      <w:r w:rsidRPr="00CA1A43">
        <w:rPr>
          <w:rFonts w:eastAsia="標楷體" w:cstheme="minorHAnsi"/>
        </w:rPr>
        <w:t>從短期價格波動中獲取利潤。</w:t>
      </w:r>
    </w:p>
    <w:p w14:paraId="5551148D" w14:textId="77777777" w:rsidR="00DC4E7E" w:rsidRPr="00CA1A43" w:rsidRDefault="00DC4E7E" w:rsidP="00605B1D">
      <w:pPr>
        <w:pStyle w:val="a7"/>
        <w:numPr>
          <w:ilvl w:val="0"/>
          <w:numId w:val="15"/>
        </w:numPr>
        <w:spacing w:beforeLines="50" w:before="180"/>
        <w:ind w:leftChars="0" w:left="1446" w:hanging="482"/>
        <w:jc w:val="both"/>
        <w:rPr>
          <w:rFonts w:eastAsia="標楷體" w:cstheme="minorHAnsi"/>
        </w:rPr>
      </w:pPr>
      <w:proofErr w:type="gramStart"/>
      <w:r w:rsidRPr="00CA1A43">
        <w:rPr>
          <w:rFonts w:eastAsia="標楷體" w:cstheme="minorHAnsi"/>
        </w:rPr>
        <w:t>鎖住套利</w:t>
      </w:r>
      <w:proofErr w:type="gramEnd"/>
      <w:r w:rsidRPr="00CA1A43">
        <w:rPr>
          <w:rFonts w:eastAsia="標楷體" w:cstheme="minorHAnsi"/>
        </w:rPr>
        <w:t>利潤。</w:t>
      </w:r>
    </w:p>
    <w:p w14:paraId="228E3FE3" w14:textId="148A7A04" w:rsidR="00DC4E7E" w:rsidRPr="00CA1A43" w:rsidRDefault="00DC4E7E" w:rsidP="00605B1D">
      <w:pPr>
        <w:pStyle w:val="a7"/>
        <w:numPr>
          <w:ilvl w:val="0"/>
          <w:numId w:val="15"/>
        </w:numPr>
        <w:spacing w:beforeLines="50" w:before="180"/>
        <w:ind w:leftChars="0" w:left="1446" w:hanging="482"/>
        <w:jc w:val="both"/>
        <w:rPr>
          <w:rFonts w:eastAsia="標楷體" w:cstheme="minorHAnsi"/>
        </w:rPr>
      </w:pPr>
      <w:r w:rsidRPr="00CA1A43">
        <w:rPr>
          <w:rFonts w:eastAsia="標楷體" w:cstheme="minorHAnsi"/>
        </w:rPr>
        <w:t>符合上述</w:t>
      </w:r>
      <w:r w:rsidRPr="00CA1A43">
        <w:rPr>
          <w:rFonts w:eastAsia="標楷體" w:cstheme="minorHAnsi"/>
        </w:rPr>
        <w:t>(1)</w:t>
      </w:r>
      <w:r w:rsidRPr="00CA1A43">
        <w:rPr>
          <w:rFonts w:eastAsia="標楷體" w:cstheme="minorHAnsi"/>
        </w:rPr>
        <w:t>、</w:t>
      </w:r>
      <w:r w:rsidRPr="00CA1A43">
        <w:rPr>
          <w:rFonts w:eastAsia="標楷體" w:cstheme="minorHAnsi"/>
        </w:rPr>
        <w:t>(2)</w:t>
      </w:r>
      <w:r w:rsidRPr="00CA1A43">
        <w:rPr>
          <w:rFonts w:eastAsia="標楷體" w:cstheme="minorHAnsi"/>
        </w:rPr>
        <w:t>或</w:t>
      </w:r>
      <w:r w:rsidRPr="00CA1A43">
        <w:rPr>
          <w:rFonts w:eastAsia="標楷體" w:cstheme="minorHAnsi"/>
        </w:rPr>
        <w:t>(3)</w:t>
      </w:r>
      <w:r w:rsidRPr="00CA1A43">
        <w:rPr>
          <w:rFonts w:eastAsia="標楷體" w:cstheme="minorHAnsi"/>
        </w:rPr>
        <w:t>範疇</w:t>
      </w:r>
      <w:r w:rsidR="009653EE" w:rsidRPr="00ED0584">
        <w:rPr>
          <w:rFonts w:eastAsia="標楷體" w:cstheme="minorHAnsi"/>
        </w:rPr>
        <w:t>工具</w:t>
      </w:r>
      <w:r w:rsidRPr="00CA1A43">
        <w:rPr>
          <w:rFonts w:eastAsia="標楷體" w:cstheme="minorHAnsi"/>
        </w:rPr>
        <w:t>的避險。</w:t>
      </w:r>
    </w:p>
    <w:p w14:paraId="4635B910" w14:textId="28D77D5A" w:rsidR="00DC4E7E" w:rsidRPr="00042A09" w:rsidRDefault="00DC4E7E"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銀行持有下列</w:t>
      </w:r>
      <w:r w:rsidR="009653EE" w:rsidRPr="00042A09">
        <w:rPr>
          <w:rFonts w:eastAsia="標楷體" w:cstheme="minorHAnsi"/>
        </w:rPr>
        <w:t>工具</w:t>
      </w:r>
      <w:r w:rsidRPr="00042A09">
        <w:rPr>
          <w:rFonts w:eastAsia="標楷體" w:cstheme="minorHAnsi"/>
        </w:rPr>
        <w:t>將被視為至少符合一項上述所列之持有目的，因此須列入交易簿。</w:t>
      </w:r>
    </w:p>
    <w:p w14:paraId="16096D3D" w14:textId="188A0917" w:rsidR="00DC4E7E" w:rsidRPr="00CA1A43" w:rsidRDefault="00DC4E7E" w:rsidP="00605B1D">
      <w:pPr>
        <w:pStyle w:val="a7"/>
        <w:numPr>
          <w:ilvl w:val="0"/>
          <w:numId w:val="16"/>
        </w:numPr>
        <w:spacing w:beforeLines="50" w:before="180"/>
        <w:ind w:leftChars="0" w:left="964" w:hanging="482"/>
        <w:jc w:val="both"/>
        <w:rPr>
          <w:rFonts w:eastAsia="標楷體" w:cstheme="minorHAnsi"/>
        </w:rPr>
      </w:pPr>
      <w:r w:rsidRPr="00042A09">
        <w:rPr>
          <w:rFonts w:eastAsia="標楷體" w:cstheme="minorHAnsi"/>
        </w:rPr>
        <w:t>具相關性交易組合之</w:t>
      </w:r>
      <w:r w:rsidR="009653EE" w:rsidRPr="00042A09">
        <w:rPr>
          <w:rFonts w:eastAsia="標楷體" w:cstheme="minorHAnsi"/>
        </w:rPr>
        <w:t>工具</w:t>
      </w:r>
      <w:r w:rsidRPr="00CA1A43">
        <w:rPr>
          <w:rFonts w:eastAsia="標楷體" w:cstheme="minorHAnsi"/>
        </w:rPr>
        <w:t>。</w:t>
      </w:r>
    </w:p>
    <w:p w14:paraId="02B06926" w14:textId="5132F50A" w:rsidR="00DC4E7E" w:rsidRPr="00042A09" w:rsidRDefault="00DC4E7E" w:rsidP="00605B1D">
      <w:pPr>
        <w:pStyle w:val="a7"/>
        <w:numPr>
          <w:ilvl w:val="0"/>
          <w:numId w:val="16"/>
        </w:numPr>
        <w:spacing w:beforeLines="50" w:before="180"/>
        <w:ind w:leftChars="0" w:left="964" w:hanging="482"/>
        <w:jc w:val="both"/>
        <w:rPr>
          <w:rFonts w:eastAsia="標楷體" w:cstheme="minorHAnsi"/>
        </w:rPr>
      </w:pPr>
      <w:r w:rsidRPr="00CA1A43">
        <w:rPr>
          <w:rFonts w:eastAsia="標楷體" w:cstheme="minorHAnsi"/>
        </w:rPr>
        <w:t>銀行</w:t>
      </w:r>
      <w:proofErr w:type="gramStart"/>
      <w:r w:rsidRPr="00CA1A43">
        <w:rPr>
          <w:rFonts w:eastAsia="標楷體" w:cstheme="minorHAnsi"/>
        </w:rPr>
        <w:t>簿</w:t>
      </w:r>
      <w:proofErr w:type="gramEnd"/>
      <w:r w:rsidRPr="00CA1A43">
        <w:rPr>
          <w:rFonts w:eastAsia="標楷體" w:cstheme="minorHAnsi"/>
        </w:rPr>
        <w:t>信用或權益</w:t>
      </w:r>
      <w:proofErr w:type="gramStart"/>
      <w:r w:rsidRPr="00CA1A43">
        <w:rPr>
          <w:rFonts w:eastAsia="標楷體" w:cstheme="minorHAnsi"/>
        </w:rPr>
        <w:t>證券淨短部位</w:t>
      </w:r>
      <w:proofErr w:type="gramEnd"/>
      <w:r w:rsidRPr="00CA1A43">
        <w:rPr>
          <w:rFonts w:eastAsia="標楷體" w:cstheme="minorHAnsi"/>
        </w:rPr>
        <w:t>所引起的</w:t>
      </w:r>
      <w:r w:rsidR="009653EE" w:rsidRPr="00042A09">
        <w:rPr>
          <w:rFonts w:eastAsia="標楷體" w:cstheme="minorHAnsi"/>
        </w:rPr>
        <w:t>工具</w:t>
      </w:r>
      <w:r w:rsidRPr="00042A09">
        <w:rPr>
          <w:rFonts w:eastAsia="標楷體" w:cstheme="minorHAnsi"/>
        </w:rPr>
        <w:t>。</w:t>
      </w:r>
    </w:p>
    <w:p w14:paraId="44BE7BD2" w14:textId="5609D3DF" w:rsidR="00DC4E7E" w:rsidRPr="00CA1A43" w:rsidRDefault="00DC4E7E" w:rsidP="00605B1D">
      <w:pPr>
        <w:pStyle w:val="a7"/>
        <w:numPr>
          <w:ilvl w:val="0"/>
          <w:numId w:val="16"/>
        </w:numPr>
        <w:spacing w:beforeLines="50" w:before="180"/>
        <w:ind w:leftChars="0" w:left="964" w:hanging="482"/>
        <w:jc w:val="both"/>
        <w:rPr>
          <w:rFonts w:eastAsia="標楷體" w:cstheme="minorHAnsi"/>
        </w:rPr>
      </w:pPr>
      <w:r w:rsidRPr="00042A09">
        <w:rPr>
          <w:rFonts w:eastAsia="標楷體" w:cstheme="minorHAnsi"/>
        </w:rPr>
        <w:t>透過承銷業務所持有之</w:t>
      </w:r>
      <w:r w:rsidR="009653EE" w:rsidRPr="00042A09">
        <w:rPr>
          <w:rFonts w:eastAsia="標楷體" w:cstheme="minorHAnsi"/>
        </w:rPr>
        <w:t>工具</w:t>
      </w:r>
      <w:r w:rsidRPr="00042A09">
        <w:rPr>
          <w:rFonts w:eastAsia="標楷體" w:cstheme="minorHAnsi"/>
        </w:rPr>
        <w:t>，</w:t>
      </w:r>
      <w:r w:rsidRPr="00CA1A43">
        <w:rPr>
          <w:rFonts w:eastAsia="標楷體" w:cstheme="minorHAnsi"/>
        </w:rPr>
        <w:t>此承銷業務僅指證券承銷，且涉及銀行預期在交割日會實際購買的證券。</w:t>
      </w:r>
    </w:p>
    <w:p w14:paraId="5AA0F6CA" w14:textId="25AD2493" w:rsidR="00DC4E7E" w:rsidRPr="00456FCF" w:rsidRDefault="00DC4E7E"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銀行持有下列</w:t>
      </w:r>
      <w:r w:rsidR="009653EE" w:rsidRPr="00456FCF">
        <w:rPr>
          <w:rFonts w:eastAsia="標楷體" w:cstheme="minorHAnsi"/>
        </w:rPr>
        <w:t>工具</w:t>
      </w:r>
      <w:r w:rsidRPr="00456FCF">
        <w:rPr>
          <w:rFonts w:eastAsia="標楷體" w:cstheme="minorHAnsi"/>
        </w:rPr>
        <w:t>一般推定為至少符合一項上述所列之持有目的，因此須列入交易簿。</w:t>
      </w:r>
    </w:p>
    <w:p w14:paraId="6C288982" w14:textId="4CFF3B2E" w:rsidR="00DC4E7E" w:rsidRPr="00456FCF" w:rsidRDefault="00DC4E7E" w:rsidP="00605B1D">
      <w:pPr>
        <w:pStyle w:val="a7"/>
        <w:numPr>
          <w:ilvl w:val="0"/>
          <w:numId w:val="17"/>
        </w:numPr>
        <w:spacing w:beforeLines="50" w:before="180"/>
        <w:ind w:leftChars="0" w:left="964" w:hanging="482"/>
        <w:jc w:val="both"/>
        <w:rPr>
          <w:rFonts w:eastAsia="標楷體" w:cstheme="minorHAnsi"/>
        </w:rPr>
      </w:pPr>
      <w:r w:rsidRPr="00456FCF">
        <w:rPr>
          <w:rFonts w:eastAsia="標楷體" w:cstheme="minorHAnsi"/>
        </w:rPr>
        <w:t>會計帳上屬交易性資產或負債科目之</w:t>
      </w:r>
      <w:r w:rsidR="009653EE" w:rsidRPr="00456FCF">
        <w:rPr>
          <w:rFonts w:eastAsia="標楷體" w:cstheme="minorHAnsi"/>
        </w:rPr>
        <w:t>工具</w:t>
      </w:r>
      <w:r w:rsidRPr="00456FCF">
        <w:rPr>
          <w:rFonts w:eastAsia="標楷體" w:cstheme="minorHAnsi"/>
        </w:rPr>
        <w:t>。</w:t>
      </w:r>
      <w:r w:rsidR="00B87CCC" w:rsidRPr="00456FCF">
        <w:rPr>
          <w:rStyle w:val="a5"/>
          <w:rFonts w:eastAsia="標楷體" w:cstheme="minorHAnsi"/>
        </w:rPr>
        <w:footnoteReference w:id="3"/>
      </w:r>
    </w:p>
    <w:p w14:paraId="6A30302B" w14:textId="6E7C33B1" w:rsidR="00DC4E7E" w:rsidRPr="00456FCF" w:rsidRDefault="00DC4E7E" w:rsidP="00605B1D">
      <w:pPr>
        <w:pStyle w:val="a7"/>
        <w:numPr>
          <w:ilvl w:val="0"/>
          <w:numId w:val="17"/>
        </w:numPr>
        <w:spacing w:beforeLines="50" w:before="180"/>
        <w:ind w:leftChars="0" w:left="964" w:hanging="482"/>
        <w:jc w:val="both"/>
        <w:rPr>
          <w:rFonts w:eastAsia="標楷體" w:cstheme="minorHAnsi"/>
        </w:rPr>
      </w:pPr>
      <w:r w:rsidRPr="00456FCF">
        <w:rPr>
          <w:rFonts w:eastAsia="標楷體" w:cstheme="minorHAnsi"/>
        </w:rPr>
        <w:t>自造市活動產生的</w:t>
      </w:r>
      <w:r w:rsidR="009653EE" w:rsidRPr="00456FCF">
        <w:rPr>
          <w:rFonts w:eastAsia="標楷體" w:cstheme="minorHAnsi"/>
        </w:rPr>
        <w:t>工具</w:t>
      </w:r>
      <w:r w:rsidRPr="00456FCF">
        <w:rPr>
          <w:rFonts w:eastAsia="標楷體" w:cstheme="minorHAnsi"/>
        </w:rPr>
        <w:t>。</w:t>
      </w:r>
    </w:p>
    <w:p w14:paraId="55B4C9D8" w14:textId="77777777" w:rsidR="00DC4E7E" w:rsidRPr="00CA1A43" w:rsidRDefault="00DC4E7E" w:rsidP="00605B1D">
      <w:pPr>
        <w:pStyle w:val="a7"/>
        <w:numPr>
          <w:ilvl w:val="0"/>
          <w:numId w:val="17"/>
        </w:numPr>
        <w:spacing w:beforeLines="50" w:before="180"/>
        <w:ind w:leftChars="0" w:left="964" w:hanging="482"/>
        <w:jc w:val="both"/>
        <w:rPr>
          <w:rFonts w:eastAsia="標楷體" w:cstheme="minorHAnsi"/>
        </w:rPr>
      </w:pPr>
      <w:r w:rsidRPr="00CA1A43">
        <w:rPr>
          <w:rFonts w:eastAsia="標楷體" w:cstheme="minorHAnsi"/>
        </w:rPr>
        <w:t>非歸屬於銀行</w:t>
      </w:r>
      <w:proofErr w:type="gramStart"/>
      <w:r w:rsidRPr="00CA1A43">
        <w:rPr>
          <w:rFonts w:eastAsia="標楷體" w:cstheme="minorHAnsi"/>
        </w:rPr>
        <w:t>簿</w:t>
      </w:r>
      <w:proofErr w:type="gramEnd"/>
      <w:r w:rsidRPr="00CA1A43">
        <w:rPr>
          <w:rFonts w:eastAsia="標楷體" w:cstheme="minorHAnsi"/>
        </w:rPr>
        <w:t>規範的基金股權投資。</w:t>
      </w:r>
    </w:p>
    <w:p w14:paraId="13B056B6" w14:textId="77777777" w:rsidR="00DC4E7E" w:rsidRPr="00CA1A43" w:rsidRDefault="00DC4E7E" w:rsidP="00605B1D">
      <w:pPr>
        <w:pStyle w:val="a7"/>
        <w:numPr>
          <w:ilvl w:val="0"/>
          <w:numId w:val="17"/>
        </w:numPr>
        <w:spacing w:beforeLines="50" w:before="180"/>
        <w:ind w:leftChars="0" w:left="964" w:hanging="482"/>
        <w:jc w:val="both"/>
        <w:rPr>
          <w:rFonts w:eastAsia="標楷體" w:cstheme="minorHAnsi"/>
        </w:rPr>
      </w:pPr>
      <w:r w:rsidRPr="00CA1A43">
        <w:rPr>
          <w:rFonts w:eastAsia="標楷體" w:cstheme="minorHAnsi"/>
        </w:rPr>
        <w:t>帳列透過損益按公允價值衡量</w:t>
      </w:r>
      <w:r w:rsidRPr="00CA1A43">
        <w:rPr>
          <w:rFonts w:eastAsia="標楷體" w:cstheme="minorHAnsi"/>
        </w:rPr>
        <w:t>(FVTPL)</w:t>
      </w:r>
      <w:r w:rsidRPr="00CA1A43">
        <w:rPr>
          <w:rFonts w:eastAsia="標楷體" w:cstheme="minorHAnsi"/>
        </w:rPr>
        <w:t>之上市櫃權益證券。</w:t>
      </w:r>
      <w:r w:rsidR="00B87CCC" w:rsidRPr="00CA1A43">
        <w:rPr>
          <w:rStyle w:val="a5"/>
          <w:rFonts w:eastAsia="標楷體" w:cstheme="minorHAnsi"/>
        </w:rPr>
        <w:footnoteReference w:id="4"/>
      </w:r>
    </w:p>
    <w:p w14:paraId="6EFB4587" w14:textId="77777777" w:rsidR="00DC4E7E" w:rsidRPr="00CA1A43" w:rsidRDefault="00DC4E7E" w:rsidP="00605B1D">
      <w:pPr>
        <w:pStyle w:val="a7"/>
        <w:numPr>
          <w:ilvl w:val="0"/>
          <w:numId w:val="17"/>
        </w:numPr>
        <w:spacing w:beforeLines="50" w:before="180"/>
        <w:ind w:leftChars="0" w:left="964" w:hanging="482"/>
        <w:jc w:val="both"/>
        <w:rPr>
          <w:rFonts w:eastAsia="標楷體" w:cstheme="minorHAnsi"/>
        </w:rPr>
      </w:pPr>
      <w:r w:rsidRPr="00CA1A43">
        <w:rPr>
          <w:rFonts w:eastAsia="標楷體" w:cstheme="minorHAnsi"/>
        </w:rPr>
        <w:t>交易相關之附買回型交易。</w:t>
      </w:r>
    </w:p>
    <w:p w14:paraId="38A73BD6" w14:textId="342915B9" w:rsidR="00DC4E7E" w:rsidRPr="00CA1A43" w:rsidRDefault="00DC4E7E" w:rsidP="00605B1D">
      <w:pPr>
        <w:pStyle w:val="a7"/>
        <w:numPr>
          <w:ilvl w:val="0"/>
          <w:numId w:val="17"/>
        </w:numPr>
        <w:spacing w:beforeLines="50" w:before="180"/>
        <w:ind w:leftChars="0" w:left="964" w:hanging="482"/>
        <w:jc w:val="both"/>
        <w:rPr>
          <w:rFonts w:eastAsia="標楷體" w:cstheme="minorHAnsi"/>
        </w:rPr>
      </w:pPr>
      <w:r w:rsidRPr="00CA1A43">
        <w:rPr>
          <w:rFonts w:eastAsia="標楷體" w:cstheme="minorHAnsi"/>
        </w:rPr>
        <w:t>源於機構自其銀行</w:t>
      </w:r>
      <w:proofErr w:type="gramStart"/>
      <w:r w:rsidRPr="00CA1A43">
        <w:rPr>
          <w:rFonts w:eastAsia="標楷體" w:cstheme="minorHAnsi"/>
        </w:rPr>
        <w:t>簿</w:t>
      </w:r>
      <w:proofErr w:type="gramEnd"/>
      <w:r w:rsidRPr="00CA1A43">
        <w:rPr>
          <w:rFonts w:eastAsia="標楷體" w:cstheme="minorHAnsi"/>
        </w:rPr>
        <w:t>信用或權益證券風險相關所發行的選擇權，包括嵌</w:t>
      </w:r>
      <w:r w:rsidRPr="00CA1A43">
        <w:rPr>
          <w:rFonts w:eastAsia="標楷體" w:cstheme="minorHAnsi"/>
        </w:rPr>
        <w:lastRenderedPageBreak/>
        <w:t>入式衍生性商品。</w:t>
      </w:r>
      <w:r w:rsidR="00FF6371" w:rsidRPr="00CA1A43">
        <w:rPr>
          <w:rStyle w:val="a5"/>
          <w:rFonts w:eastAsia="標楷體" w:cstheme="minorHAnsi"/>
        </w:rPr>
        <w:footnoteReference w:id="5"/>
      </w:r>
    </w:p>
    <w:p w14:paraId="02AF5AE3" w14:textId="7B586D79" w:rsidR="00DC4E7E" w:rsidRPr="00CA1A43" w:rsidRDefault="00DC4E7E"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銀行若認為</w:t>
      </w:r>
      <w:r w:rsidR="009653EE" w:rsidRPr="00456FCF">
        <w:rPr>
          <w:rFonts w:eastAsia="標楷體" w:cstheme="minorHAnsi"/>
        </w:rPr>
        <w:t>工具</w:t>
      </w:r>
      <w:r w:rsidRPr="00456FCF">
        <w:rPr>
          <w:rFonts w:eastAsia="標楷體" w:cstheme="minorHAnsi"/>
        </w:rPr>
        <w:t>可排除</w:t>
      </w:r>
      <w:proofErr w:type="gramStart"/>
      <w:r w:rsidRPr="00456FCF">
        <w:rPr>
          <w:rFonts w:eastAsia="標楷體" w:cstheme="minorHAnsi"/>
        </w:rPr>
        <w:t>交易簿認列</w:t>
      </w:r>
      <w:proofErr w:type="gramEnd"/>
      <w:r w:rsidRPr="00456FCF">
        <w:rPr>
          <w:rFonts w:eastAsia="標楷體" w:cstheme="minorHAnsi"/>
        </w:rPr>
        <w:t>標準</w:t>
      </w:r>
      <w:r w:rsidRPr="00456FCF">
        <w:rPr>
          <w:rFonts w:eastAsia="標楷體" w:cstheme="minorHAnsi"/>
        </w:rPr>
        <w:t>(</w:t>
      </w:r>
      <w:r w:rsidRPr="00456FCF">
        <w:rPr>
          <w:rFonts w:eastAsia="標楷體" w:cstheme="minorHAnsi"/>
        </w:rPr>
        <w:t>三</w:t>
      </w:r>
      <w:r w:rsidRPr="00456FCF">
        <w:rPr>
          <w:rFonts w:eastAsia="標楷體" w:cstheme="minorHAnsi"/>
        </w:rPr>
        <w:t>)</w:t>
      </w:r>
      <w:r w:rsidRPr="00456FCF">
        <w:rPr>
          <w:rFonts w:eastAsia="標楷體" w:cstheme="minorHAnsi"/>
        </w:rPr>
        <w:t>之規範，則必須</w:t>
      </w:r>
      <w:proofErr w:type="gramStart"/>
      <w:r w:rsidRPr="00456FCF">
        <w:rPr>
          <w:rFonts w:eastAsia="標楷體" w:cstheme="minorHAnsi"/>
        </w:rPr>
        <w:t>備妥該</w:t>
      </w:r>
      <w:r w:rsidR="009653EE" w:rsidRPr="00456FCF">
        <w:rPr>
          <w:rFonts w:eastAsia="標楷體" w:cstheme="minorHAnsi"/>
        </w:rPr>
        <w:t>工具</w:t>
      </w:r>
      <w:proofErr w:type="gramEnd"/>
      <w:r w:rsidRPr="00456FCF">
        <w:rPr>
          <w:rFonts w:eastAsia="標楷體" w:cstheme="minorHAnsi"/>
        </w:rPr>
        <w:t>之相關證明文件向本會提出申請並經核准後方可排除。若向本會提出申請但未經核准之</w:t>
      </w:r>
      <w:r w:rsidR="009653EE" w:rsidRPr="00456FCF">
        <w:rPr>
          <w:rFonts w:eastAsia="標楷體" w:cstheme="minorHAnsi"/>
        </w:rPr>
        <w:t>工具</w:t>
      </w:r>
      <w:r w:rsidRPr="00CA1A43">
        <w:rPr>
          <w:rFonts w:eastAsia="標楷體" w:cstheme="minorHAnsi"/>
        </w:rPr>
        <w:t>仍須認列交易簿。且銀行必須持續地詳實紀錄任何排除情況的明細清單。</w:t>
      </w:r>
    </w:p>
    <w:p w14:paraId="1C3E5749" w14:textId="77777777" w:rsidR="00DC4E7E" w:rsidRPr="00CA1A43" w:rsidRDefault="00DC4E7E"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銀行簿的範圍與認列標準</w:t>
      </w:r>
    </w:p>
    <w:p w14:paraId="1EA7546E" w14:textId="4F695B7E" w:rsidR="00DC4E7E" w:rsidRPr="00CA1A43" w:rsidRDefault="00DC4E7E" w:rsidP="00605B1D">
      <w:pPr>
        <w:pStyle w:val="a7"/>
        <w:numPr>
          <w:ilvl w:val="0"/>
          <w:numId w:val="19"/>
        </w:numPr>
        <w:spacing w:beforeLines="50" w:before="180"/>
        <w:ind w:leftChars="0" w:left="964" w:hanging="482"/>
        <w:jc w:val="both"/>
        <w:rPr>
          <w:rFonts w:eastAsia="標楷體" w:cstheme="minorHAnsi"/>
        </w:rPr>
      </w:pPr>
      <w:r w:rsidRPr="00CA1A43">
        <w:rPr>
          <w:rFonts w:eastAsia="標楷體" w:cstheme="minorHAnsi"/>
        </w:rPr>
        <w:t>符合下列條件之</w:t>
      </w:r>
      <w:r w:rsidR="009653EE" w:rsidRPr="00456FCF">
        <w:rPr>
          <w:rFonts w:eastAsia="標楷體" w:cstheme="minorHAnsi"/>
        </w:rPr>
        <w:t>工具</w:t>
      </w:r>
      <w:r w:rsidRPr="00CA1A43">
        <w:rPr>
          <w:rFonts w:eastAsia="標楷體" w:cstheme="minorHAnsi"/>
        </w:rPr>
        <w:t>必須認列為銀行簿：</w:t>
      </w:r>
    </w:p>
    <w:p w14:paraId="145EC054" w14:textId="77777777" w:rsidR="00DC4E7E" w:rsidRPr="00CA1A43" w:rsidRDefault="00DC4E7E" w:rsidP="00605B1D">
      <w:pPr>
        <w:pStyle w:val="a7"/>
        <w:numPr>
          <w:ilvl w:val="0"/>
          <w:numId w:val="18"/>
        </w:numPr>
        <w:spacing w:beforeLines="50" w:before="180"/>
        <w:ind w:leftChars="0" w:left="1446" w:hanging="482"/>
        <w:jc w:val="both"/>
        <w:rPr>
          <w:rFonts w:eastAsia="標楷體" w:cstheme="minorHAnsi"/>
        </w:rPr>
      </w:pPr>
      <w:proofErr w:type="gramStart"/>
      <w:r w:rsidRPr="00CA1A43">
        <w:rPr>
          <w:rFonts w:eastAsia="標楷體" w:cstheme="minorHAnsi"/>
        </w:rPr>
        <w:t>非屬帳列</w:t>
      </w:r>
      <w:proofErr w:type="gramEnd"/>
      <w:r w:rsidRPr="00CA1A43">
        <w:rPr>
          <w:rFonts w:eastAsia="標楷體" w:cstheme="minorHAnsi"/>
        </w:rPr>
        <w:t>透過損益按公允價值衡量</w:t>
      </w:r>
      <w:r w:rsidRPr="00CA1A43">
        <w:rPr>
          <w:rFonts w:eastAsia="標楷體" w:cstheme="minorHAnsi"/>
        </w:rPr>
        <w:t>(FVTPL)</w:t>
      </w:r>
      <w:r w:rsidRPr="00CA1A43">
        <w:rPr>
          <w:rFonts w:eastAsia="標楷體" w:cstheme="minorHAnsi"/>
        </w:rPr>
        <w:t>之上市櫃權益證券。</w:t>
      </w:r>
    </w:p>
    <w:p w14:paraId="12050B1E" w14:textId="77777777" w:rsidR="00DC4E7E" w:rsidRPr="00CA1A43" w:rsidRDefault="00DC4E7E" w:rsidP="00605B1D">
      <w:pPr>
        <w:pStyle w:val="a7"/>
        <w:numPr>
          <w:ilvl w:val="0"/>
          <w:numId w:val="18"/>
        </w:numPr>
        <w:spacing w:beforeLines="50" w:before="180"/>
        <w:ind w:leftChars="0" w:left="1446" w:hanging="482"/>
        <w:jc w:val="both"/>
        <w:rPr>
          <w:rFonts w:eastAsia="標楷體" w:cstheme="minorHAnsi"/>
        </w:rPr>
      </w:pPr>
      <w:r w:rsidRPr="00CA1A43">
        <w:rPr>
          <w:rFonts w:eastAsia="標楷體" w:cstheme="minorHAnsi"/>
        </w:rPr>
        <w:t>未上市櫃權益證券。</w:t>
      </w:r>
    </w:p>
    <w:p w14:paraId="66884501" w14:textId="7A02CC28" w:rsidR="00DC4E7E" w:rsidRPr="00CA1A43" w:rsidRDefault="00DC4E7E" w:rsidP="00605B1D">
      <w:pPr>
        <w:pStyle w:val="a7"/>
        <w:numPr>
          <w:ilvl w:val="0"/>
          <w:numId w:val="18"/>
        </w:numPr>
        <w:spacing w:beforeLines="50" w:before="180"/>
        <w:ind w:leftChars="0" w:left="1446" w:hanging="482"/>
        <w:jc w:val="both"/>
        <w:rPr>
          <w:rFonts w:eastAsia="標楷體" w:cstheme="minorHAnsi"/>
        </w:rPr>
      </w:pPr>
      <w:r w:rsidRPr="00CA1A43">
        <w:rPr>
          <w:rFonts w:eastAsia="標楷體" w:cstheme="minorHAnsi"/>
        </w:rPr>
        <w:t>認定為證券化零售資產之</w:t>
      </w:r>
      <w:r w:rsidR="009653EE" w:rsidRPr="00456FCF">
        <w:rPr>
          <w:rFonts w:eastAsia="標楷體" w:cstheme="minorHAnsi"/>
        </w:rPr>
        <w:t>工具</w:t>
      </w:r>
      <w:r w:rsidRPr="00CA1A43">
        <w:rPr>
          <w:rFonts w:eastAsia="標楷體" w:cstheme="minorHAnsi"/>
        </w:rPr>
        <w:t>。</w:t>
      </w:r>
    </w:p>
    <w:p w14:paraId="14CC1FAB" w14:textId="77777777" w:rsidR="00DC4E7E" w:rsidRPr="00CA1A43" w:rsidRDefault="00DC4E7E" w:rsidP="00605B1D">
      <w:pPr>
        <w:pStyle w:val="a7"/>
        <w:numPr>
          <w:ilvl w:val="0"/>
          <w:numId w:val="18"/>
        </w:numPr>
        <w:spacing w:beforeLines="50" w:before="180"/>
        <w:ind w:leftChars="0" w:left="1446" w:hanging="482"/>
        <w:jc w:val="both"/>
        <w:rPr>
          <w:rFonts w:eastAsia="標楷體" w:cstheme="minorHAnsi"/>
        </w:rPr>
      </w:pPr>
      <w:r w:rsidRPr="00CA1A43">
        <w:rPr>
          <w:rFonts w:eastAsia="標楷體" w:cstheme="minorHAnsi"/>
        </w:rPr>
        <w:t>直接持有之不動產及以不動產為基礎之衍生性商品。</w:t>
      </w:r>
    </w:p>
    <w:p w14:paraId="75E79099" w14:textId="77777777" w:rsidR="00DC4E7E" w:rsidRPr="00CA1A43" w:rsidRDefault="00DC4E7E" w:rsidP="00605B1D">
      <w:pPr>
        <w:pStyle w:val="a7"/>
        <w:numPr>
          <w:ilvl w:val="0"/>
          <w:numId w:val="18"/>
        </w:numPr>
        <w:spacing w:beforeLines="50" w:before="180"/>
        <w:ind w:leftChars="0" w:left="1446" w:hanging="482"/>
        <w:jc w:val="both"/>
        <w:rPr>
          <w:rFonts w:eastAsia="標楷體" w:cstheme="minorHAnsi"/>
        </w:rPr>
      </w:pPr>
      <w:r w:rsidRPr="00CA1A43">
        <w:rPr>
          <w:rFonts w:eastAsia="標楷體" w:cstheme="minorHAnsi"/>
        </w:rPr>
        <w:t>零售及中小企業信用。</w:t>
      </w:r>
    </w:p>
    <w:p w14:paraId="4FA34799" w14:textId="77777777" w:rsidR="00DC4E7E" w:rsidRPr="00CA1A43" w:rsidRDefault="00DC4E7E" w:rsidP="00605B1D">
      <w:pPr>
        <w:pStyle w:val="a7"/>
        <w:numPr>
          <w:ilvl w:val="0"/>
          <w:numId w:val="18"/>
        </w:numPr>
        <w:spacing w:beforeLines="50" w:before="180"/>
        <w:ind w:leftChars="0" w:left="1446" w:hanging="482"/>
        <w:jc w:val="both"/>
        <w:rPr>
          <w:rFonts w:eastAsia="標楷體" w:cstheme="minorHAnsi"/>
        </w:rPr>
      </w:pPr>
      <w:r w:rsidRPr="00CA1A43">
        <w:rPr>
          <w:rFonts w:eastAsia="標楷體" w:cstheme="minorHAnsi"/>
        </w:rPr>
        <w:t>基金股權投資，惟符合下列至少一項條件時，可排除於銀行簿之範圍：</w:t>
      </w:r>
    </w:p>
    <w:p w14:paraId="45FEA8E6" w14:textId="77777777" w:rsidR="00DC4E7E" w:rsidRPr="00CA1A43" w:rsidRDefault="00DC4E7E" w:rsidP="00BC6C67">
      <w:pPr>
        <w:spacing w:beforeLines="50" w:before="180"/>
        <w:ind w:left="1758" w:hanging="312"/>
        <w:jc w:val="both"/>
        <w:rPr>
          <w:rFonts w:eastAsia="標楷體" w:cstheme="minorHAnsi"/>
        </w:rPr>
      </w:pPr>
      <w:r w:rsidRPr="00CA1A43">
        <w:rPr>
          <w:rFonts w:eastAsia="標楷體" w:cstheme="minorHAnsi"/>
        </w:rPr>
        <w:t xml:space="preserve">a. </w:t>
      </w:r>
      <w:r w:rsidRPr="00CA1A43">
        <w:rPr>
          <w:rFonts w:eastAsia="標楷體" w:cstheme="minorHAnsi"/>
        </w:rPr>
        <w:t>銀行可拆解基金之個別組成，提供予銀行的基金組成有充足且頻繁的訊息，並經獨立第三方驗證；或</w:t>
      </w:r>
    </w:p>
    <w:p w14:paraId="55A2641C" w14:textId="77777777" w:rsidR="00DC4E7E" w:rsidRPr="00CA1A43" w:rsidRDefault="00DC4E7E" w:rsidP="00BC6C67">
      <w:pPr>
        <w:spacing w:beforeLines="50" w:before="180"/>
        <w:ind w:left="1758" w:hanging="312"/>
        <w:jc w:val="both"/>
        <w:rPr>
          <w:rFonts w:eastAsia="標楷體" w:cstheme="minorHAnsi"/>
        </w:rPr>
      </w:pPr>
      <w:r w:rsidRPr="00CA1A43">
        <w:rPr>
          <w:rFonts w:eastAsia="標楷體" w:cstheme="minorHAnsi"/>
        </w:rPr>
        <w:t xml:space="preserve">b. </w:t>
      </w:r>
      <w:r w:rsidRPr="00CA1A43">
        <w:rPr>
          <w:rFonts w:eastAsia="標楷體" w:cstheme="minorHAnsi"/>
        </w:rPr>
        <w:t>銀行可獲得基金的每日報價，並且可以獲得基金授權或法令規定管理此類投資基金的訊息。</w:t>
      </w:r>
    </w:p>
    <w:p w14:paraId="51E756DE" w14:textId="77777777" w:rsidR="00DC4E7E" w:rsidRPr="00CA1A43" w:rsidRDefault="00DC4E7E" w:rsidP="00605B1D">
      <w:pPr>
        <w:pStyle w:val="a7"/>
        <w:numPr>
          <w:ilvl w:val="0"/>
          <w:numId w:val="18"/>
        </w:numPr>
        <w:spacing w:beforeLines="50" w:before="180"/>
        <w:ind w:leftChars="0" w:left="1446" w:hanging="482"/>
        <w:jc w:val="both"/>
        <w:rPr>
          <w:rFonts w:eastAsia="標楷體" w:cstheme="minorHAnsi"/>
        </w:rPr>
      </w:pPr>
      <w:r w:rsidRPr="00CA1A43">
        <w:rPr>
          <w:rFonts w:eastAsia="標楷體" w:cstheme="minorHAnsi"/>
        </w:rPr>
        <w:t>避險基金。</w:t>
      </w:r>
    </w:p>
    <w:p w14:paraId="32FC748A" w14:textId="6D3BA441" w:rsidR="00DC4E7E" w:rsidRPr="00456FCF" w:rsidRDefault="00DC4E7E" w:rsidP="00605B1D">
      <w:pPr>
        <w:pStyle w:val="a7"/>
        <w:numPr>
          <w:ilvl w:val="0"/>
          <w:numId w:val="18"/>
        </w:numPr>
        <w:spacing w:beforeLines="50" w:before="180"/>
        <w:ind w:leftChars="0" w:left="1446" w:hanging="482"/>
        <w:jc w:val="both"/>
        <w:rPr>
          <w:rFonts w:eastAsia="標楷體" w:cstheme="minorHAnsi"/>
        </w:rPr>
      </w:pPr>
      <w:r w:rsidRPr="00CA1A43">
        <w:rPr>
          <w:rFonts w:eastAsia="標楷體" w:cstheme="minorHAnsi"/>
        </w:rPr>
        <w:t>以上述</w:t>
      </w:r>
      <w:r w:rsidR="009653EE" w:rsidRPr="00456FCF">
        <w:rPr>
          <w:rFonts w:eastAsia="標楷體" w:cstheme="minorHAnsi"/>
        </w:rPr>
        <w:t>工具</w:t>
      </w:r>
      <w:r w:rsidRPr="00456FCF">
        <w:rPr>
          <w:rFonts w:eastAsia="標楷體" w:cstheme="minorHAnsi"/>
        </w:rPr>
        <w:t>類型為標的資產的衍生性</w:t>
      </w:r>
      <w:r w:rsidR="009653EE" w:rsidRPr="00456FCF">
        <w:rPr>
          <w:rFonts w:eastAsia="標楷體" w:cstheme="minorHAnsi"/>
        </w:rPr>
        <w:t>工具</w:t>
      </w:r>
      <w:r w:rsidRPr="00456FCF">
        <w:rPr>
          <w:rFonts w:eastAsia="標楷體" w:cstheme="minorHAnsi"/>
        </w:rPr>
        <w:t>及基金。</w:t>
      </w:r>
    </w:p>
    <w:p w14:paraId="1A0FAF92" w14:textId="0A902D7E" w:rsidR="00DC4E7E" w:rsidRPr="00456FCF" w:rsidRDefault="00DC4E7E" w:rsidP="00605B1D">
      <w:pPr>
        <w:pStyle w:val="a7"/>
        <w:numPr>
          <w:ilvl w:val="0"/>
          <w:numId w:val="18"/>
        </w:numPr>
        <w:spacing w:beforeLines="50" w:before="180"/>
        <w:ind w:leftChars="0" w:left="1446" w:hanging="482"/>
        <w:jc w:val="both"/>
        <w:rPr>
          <w:rFonts w:eastAsia="標楷體" w:cstheme="minorHAnsi"/>
        </w:rPr>
      </w:pPr>
      <w:r w:rsidRPr="00456FCF">
        <w:rPr>
          <w:rFonts w:eastAsia="標楷體" w:cstheme="minorHAnsi"/>
        </w:rPr>
        <w:t>為規避上述</w:t>
      </w:r>
      <w:r w:rsidR="009653EE" w:rsidRPr="00456FCF">
        <w:rPr>
          <w:rFonts w:eastAsia="標楷體" w:cstheme="minorHAnsi"/>
        </w:rPr>
        <w:t>工具</w:t>
      </w:r>
      <w:r w:rsidRPr="00456FCF">
        <w:rPr>
          <w:rFonts w:eastAsia="標楷體" w:cstheme="minorHAnsi"/>
        </w:rPr>
        <w:t>類型特定風險部位所持有之</w:t>
      </w:r>
      <w:r w:rsidR="009653EE" w:rsidRPr="00456FCF">
        <w:rPr>
          <w:rFonts w:eastAsia="標楷體" w:cstheme="minorHAnsi"/>
        </w:rPr>
        <w:t>工具</w:t>
      </w:r>
      <w:r w:rsidRPr="00456FCF">
        <w:rPr>
          <w:rFonts w:eastAsia="標楷體" w:cstheme="minorHAnsi"/>
        </w:rPr>
        <w:t>。</w:t>
      </w:r>
    </w:p>
    <w:p w14:paraId="66CF3AEB" w14:textId="07972364" w:rsidR="00DC4E7E" w:rsidRPr="00CA1A43" w:rsidRDefault="00DC4E7E" w:rsidP="00605B1D">
      <w:pPr>
        <w:pStyle w:val="a7"/>
        <w:numPr>
          <w:ilvl w:val="0"/>
          <w:numId w:val="19"/>
        </w:numPr>
        <w:spacing w:beforeLines="50" w:before="180"/>
        <w:ind w:leftChars="0" w:left="964" w:hanging="482"/>
        <w:jc w:val="both"/>
        <w:rPr>
          <w:rFonts w:eastAsia="標楷體" w:cstheme="minorHAnsi"/>
        </w:rPr>
      </w:pPr>
      <w:r w:rsidRPr="00CA1A43">
        <w:rPr>
          <w:rFonts w:eastAsia="標楷體" w:cstheme="minorHAnsi"/>
        </w:rPr>
        <w:t>任何非屬交易簿之</w:t>
      </w:r>
      <w:r w:rsidR="009653EE" w:rsidRPr="00456FCF">
        <w:rPr>
          <w:rFonts w:eastAsia="標楷體" w:cstheme="minorHAnsi"/>
        </w:rPr>
        <w:t>工具</w:t>
      </w:r>
      <w:r w:rsidRPr="00456FCF">
        <w:rPr>
          <w:rFonts w:eastAsia="標楷體" w:cstheme="minorHAnsi"/>
        </w:rPr>
        <w:t>，</w:t>
      </w:r>
      <w:r w:rsidRPr="00CA1A43">
        <w:rPr>
          <w:rFonts w:eastAsia="標楷體" w:cstheme="minorHAnsi"/>
        </w:rPr>
        <w:t>皆須認列為銀行簿。</w:t>
      </w:r>
    </w:p>
    <w:p w14:paraId="37144321" w14:textId="02EA6660" w:rsidR="002760DF" w:rsidRPr="00F525FC" w:rsidRDefault="002760DF"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銀行應依據本會之要求提供交易</w:t>
      </w:r>
      <w:proofErr w:type="gramStart"/>
      <w:r w:rsidRPr="00CA1A43">
        <w:rPr>
          <w:rFonts w:eastAsia="標楷體" w:cstheme="minorHAnsi"/>
        </w:rPr>
        <w:t>簿</w:t>
      </w:r>
      <w:proofErr w:type="gramEnd"/>
      <w:r w:rsidR="009653EE" w:rsidRPr="00F525FC">
        <w:rPr>
          <w:rFonts w:eastAsia="標楷體" w:cstheme="minorHAnsi"/>
        </w:rPr>
        <w:t>工具</w:t>
      </w:r>
      <w:r w:rsidRPr="00F525FC">
        <w:rPr>
          <w:rFonts w:eastAsia="標楷體" w:cstheme="minorHAnsi"/>
        </w:rPr>
        <w:t>之持有目的符合</w:t>
      </w:r>
      <w:proofErr w:type="gramStart"/>
      <w:r w:rsidRPr="00F525FC">
        <w:rPr>
          <w:rFonts w:eastAsia="標楷體" w:cstheme="minorHAnsi"/>
        </w:rPr>
        <w:t>交易簿所列</w:t>
      </w:r>
      <w:proofErr w:type="gramEnd"/>
      <w:r w:rsidRPr="00F525FC">
        <w:rPr>
          <w:rFonts w:eastAsia="標楷體" w:cstheme="minorHAnsi"/>
        </w:rPr>
        <w:t>規範之證明文件。假如本會認為銀行未提供足夠的證明或認為該</w:t>
      </w:r>
      <w:r w:rsidR="009653EE" w:rsidRPr="00F525FC">
        <w:rPr>
          <w:rFonts w:eastAsia="標楷體" w:cstheme="minorHAnsi"/>
        </w:rPr>
        <w:t>工具</w:t>
      </w:r>
      <w:r w:rsidRPr="00F525FC">
        <w:rPr>
          <w:rFonts w:eastAsia="標楷體" w:cstheme="minorHAnsi"/>
        </w:rPr>
        <w:t>慣例上屬銀行簿，則本會可要求銀行將該</w:t>
      </w:r>
      <w:r w:rsidR="009653EE" w:rsidRPr="00F525FC">
        <w:rPr>
          <w:rFonts w:eastAsia="標楷體" w:cstheme="minorHAnsi"/>
        </w:rPr>
        <w:t>工具</w:t>
      </w:r>
      <w:r w:rsidRPr="00F525FC">
        <w:rPr>
          <w:rFonts w:eastAsia="標楷體" w:cstheme="minorHAnsi"/>
        </w:rPr>
        <w:t>列為銀行簿，除非該</w:t>
      </w:r>
      <w:r w:rsidR="009653EE" w:rsidRPr="00F525FC">
        <w:rPr>
          <w:rFonts w:eastAsia="標楷體" w:cstheme="minorHAnsi"/>
        </w:rPr>
        <w:t>工具</w:t>
      </w:r>
      <w:r w:rsidRPr="00F525FC">
        <w:rPr>
          <w:rFonts w:eastAsia="標楷體" w:cstheme="minorHAnsi"/>
        </w:rPr>
        <w:t>為交易</w:t>
      </w:r>
      <w:proofErr w:type="gramStart"/>
      <w:r w:rsidRPr="00F525FC">
        <w:rPr>
          <w:rFonts w:eastAsia="標楷體" w:cstheme="minorHAnsi"/>
        </w:rPr>
        <w:t>簿</w:t>
      </w:r>
      <w:proofErr w:type="gramEnd"/>
      <w:r w:rsidRPr="00F525FC">
        <w:rPr>
          <w:rFonts w:eastAsia="標楷體" w:cstheme="minorHAnsi"/>
        </w:rPr>
        <w:t>規</w:t>
      </w:r>
      <w:r w:rsidRPr="00F525FC">
        <w:rPr>
          <w:rFonts w:eastAsia="標楷體" w:cstheme="minorHAnsi"/>
        </w:rPr>
        <w:lastRenderedPageBreak/>
        <w:t>範</w:t>
      </w:r>
      <w:r w:rsidRPr="00F525FC">
        <w:rPr>
          <w:rFonts w:eastAsia="標楷體" w:cstheme="minorHAnsi"/>
        </w:rPr>
        <w:t>(</w:t>
      </w:r>
      <w:r w:rsidRPr="00F525FC">
        <w:rPr>
          <w:rFonts w:eastAsia="標楷體" w:cstheme="minorHAnsi"/>
        </w:rPr>
        <w:t>二</w:t>
      </w:r>
      <w:r w:rsidRPr="00F525FC">
        <w:rPr>
          <w:rFonts w:eastAsia="標楷體" w:cstheme="minorHAnsi"/>
        </w:rPr>
        <w:t>)</w:t>
      </w:r>
      <w:r w:rsidRPr="00F525FC">
        <w:rPr>
          <w:rFonts w:eastAsia="標楷體" w:cstheme="minorHAnsi"/>
        </w:rPr>
        <w:t>所列的</w:t>
      </w:r>
      <w:r w:rsidR="009653EE" w:rsidRPr="00F525FC">
        <w:rPr>
          <w:rFonts w:eastAsia="標楷體" w:cstheme="minorHAnsi"/>
        </w:rPr>
        <w:t>工具</w:t>
      </w:r>
      <w:r w:rsidRPr="00F525FC">
        <w:rPr>
          <w:rFonts w:eastAsia="標楷體" w:cstheme="minorHAnsi"/>
        </w:rPr>
        <w:t>。</w:t>
      </w:r>
    </w:p>
    <w:p w14:paraId="1F602933" w14:textId="558C8C05" w:rsidR="002760DF" w:rsidRPr="00CA1A43" w:rsidRDefault="002760DF" w:rsidP="005F03C5">
      <w:pPr>
        <w:spacing w:beforeLines="50" w:before="180"/>
        <w:ind w:left="737"/>
        <w:jc w:val="both"/>
        <w:rPr>
          <w:rFonts w:eastAsia="標楷體" w:cstheme="minorHAnsi"/>
        </w:rPr>
      </w:pPr>
      <w:r w:rsidRPr="00F525FC">
        <w:rPr>
          <w:rFonts w:eastAsia="標楷體" w:cstheme="minorHAnsi"/>
        </w:rPr>
        <w:t>銀行應依據本會之要求提供銀行</w:t>
      </w:r>
      <w:proofErr w:type="gramStart"/>
      <w:r w:rsidRPr="00F525FC">
        <w:rPr>
          <w:rFonts w:eastAsia="標楷體" w:cstheme="minorHAnsi"/>
        </w:rPr>
        <w:t>簿</w:t>
      </w:r>
      <w:proofErr w:type="gramEnd"/>
      <w:r w:rsidR="009653EE" w:rsidRPr="00F525FC">
        <w:rPr>
          <w:rFonts w:eastAsia="標楷體" w:cstheme="minorHAnsi"/>
        </w:rPr>
        <w:t>工具</w:t>
      </w:r>
      <w:r w:rsidRPr="00F525FC">
        <w:rPr>
          <w:rFonts w:eastAsia="標楷體" w:cstheme="minorHAnsi"/>
        </w:rPr>
        <w:t>之持有目的不符合</w:t>
      </w:r>
      <w:proofErr w:type="gramStart"/>
      <w:r w:rsidRPr="00F525FC">
        <w:rPr>
          <w:rFonts w:eastAsia="標楷體" w:cstheme="minorHAnsi"/>
        </w:rPr>
        <w:t>交易簿所列</w:t>
      </w:r>
      <w:proofErr w:type="gramEnd"/>
      <w:r w:rsidRPr="00F525FC">
        <w:rPr>
          <w:rFonts w:eastAsia="標楷體" w:cstheme="minorHAnsi"/>
        </w:rPr>
        <w:t>規範之證明文件。假如本會認為銀行未提供足夠的證明，或認為該</w:t>
      </w:r>
      <w:r w:rsidR="009653EE" w:rsidRPr="00F525FC">
        <w:rPr>
          <w:rFonts w:eastAsia="標楷體" w:cstheme="minorHAnsi"/>
        </w:rPr>
        <w:t>工具</w:t>
      </w:r>
      <w:r w:rsidRPr="00F525FC">
        <w:rPr>
          <w:rFonts w:eastAsia="標楷體" w:cstheme="minorHAnsi"/>
        </w:rPr>
        <w:t>慣例上屬交易簿，則可要求銀行將該</w:t>
      </w:r>
      <w:r w:rsidR="009653EE" w:rsidRPr="00F525FC">
        <w:rPr>
          <w:rFonts w:eastAsia="標楷體" w:cstheme="minorHAnsi"/>
        </w:rPr>
        <w:t>工具</w:t>
      </w:r>
      <w:r w:rsidRPr="00F525FC">
        <w:rPr>
          <w:rFonts w:eastAsia="標楷體" w:cstheme="minorHAnsi"/>
        </w:rPr>
        <w:t>列為交易簿，除非該</w:t>
      </w:r>
      <w:r w:rsidR="009653EE" w:rsidRPr="00F525FC">
        <w:rPr>
          <w:rFonts w:eastAsia="標楷體" w:cstheme="minorHAnsi"/>
        </w:rPr>
        <w:t>工具</w:t>
      </w:r>
      <w:r w:rsidRPr="00F525FC">
        <w:rPr>
          <w:rFonts w:eastAsia="標楷體" w:cstheme="minorHAnsi"/>
        </w:rPr>
        <w:t>為銀行</w:t>
      </w:r>
      <w:proofErr w:type="gramStart"/>
      <w:r w:rsidRPr="00F525FC">
        <w:rPr>
          <w:rFonts w:eastAsia="標楷體" w:cstheme="minorHAnsi"/>
        </w:rPr>
        <w:t>簿</w:t>
      </w:r>
      <w:proofErr w:type="gramEnd"/>
      <w:r w:rsidRPr="00F525FC">
        <w:rPr>
          <w:rFonts w:eastAsia="標楷體" w:cstheme="minorHAnsi"/>
        </w:rPr>
        <w:t>規範</w:t>
      </w:r>
      <w:r w:rsidRPr="00F525FC">
        <w:rPr>
          <w:rFonts w:eastAsia="標楷體" w:cstheme="minorHAnsi"/>
        </w:rPr>
        <w:t>(</w:t>
      </w:r>
      <w:r w:rsidR="00ED6CF5" w:rsidRPr="00ED6CF5">
        <w:rPr>
          <w:rFonts w:eastAsia="標楷體" w:cstheme="minorHAnsi" w:hint="eastAsia"/>
          <w:color w:val="FF0000"/>
        </w:rPr>
        <w:t>五</w:t>
      </w:r>
      <w:r w:rsidRPr="00F525FC">
        <w:rPr>
          <w:rFonts w:eastAsia="標楷體" w:cstheme="minorHAnsi"/>
        </w:rPr>
        <w:t>)</w:t>
      </w:r>
      <w:r w:rsidRPr="00F525FC">
        <w:rPr>
          <w:rFonts w:eastAsia="標楷體" w:cstheme="minorHAnsi"/>
        </w:rPr>
        <w:t>所列之</w:t>
      </w:r>
      <w:r w:rsidR="009653EE" w:rsidRPr="00F525FC">
        <w:rPr>
          <w:rFonts w:eastAsia="標楷體" w:cstheme="minorHAnsi"/>
        </w:rPr>
        <w:t>工具</w:t>
      </w:r>
      <w:r w:rsidRPr="00F525FC">
        <w:rPr>
          <w:rFonts w:eastAsia="標楷體" w:cstheme="minorHAnsi"/>
        </w:rPr>
        <w:t>。</w:t>
      </w:r>
    </w:p>
    <w:p w14:paraId="471945B2" w14:textId="77777777" w:rsidR="00BB6EDC" w:rsidRPr="00CA1A43" w:rsidRDefault="00BB6EDC"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銀行應訂定明確政策與程序，以決定在計提資本時，應納入或排除於交易</w:t>
      </w:r>
      <w:proofErr w:type="gramStart"/>
      <w:r w:rsidRPr="00CA1A43">
        <w:rPr>
          <w:rFonts w:eastAsia="標楷體" w:cstheme="minorHAnsi"/>
        </w:rPr>
        <w:t>簿</w:t>
      </w:r>
      <w:proofErr w:type="gramEnd"/>
      <w:r w:rsidRPr="00CA1A43">
        <w:rPr>
          <w:rFonts w:eastAsia="標楷體" w:cstheme="minorHAnsi"/>
        </w:rPr>
        <w:t>部位之範圍，以確保銀行已遵循本計算說明對於交易</w:t>
      </w:r>
      <w:proofErr w:type="gramStart"/>
      <w:r w:rsidRPr="00CA1A43">
        <w:rPr>
          <w:rFonts w:eastAsia="標楷體" w:cstheme="minorHAnsi"/>
        </w:rPr>
        <w:t>簿</w:t>
      </w:r>
      <w:proofErr w:type="gramEnd"/>
      <w:r w:rsidRPr="00CA1A43">
        <w:rPr>
          <w:rFonts w:eastAsia="標楷體" w:cstheme="minorHAnsi"/>
        </w:rPr>
        <w:t>部位之相關規定，並符合銀行風險管理能力與實務之需要。銀行對於其遵循交易</w:t>
      </w:r>
      <w:proofErr w:type="gramStart"/>
      <w:r w:rsidRPr="00CA1A43">
        <w:rPr>
          <w:rFonts w:eastAsia="標楷體" w:cstheme="minorHAnsi"/>
        </w:rPr>
        <w:t>簿</w:t>
      </w:r>
      <w:proofErr w:type="gramEnd"/>
      <w:r w:rsidRPr="00CA1A43">
        <w:rPr>
          <w:rFonts w:eastAsia="標楷體" w:cstheme="minorHAnsi"/>
        </w:rPr>
        <w:t>相關政策與程序之執行情形，應保有完善書面紀錄，並應每年至少一次受到內部稽核之查核。該等交易</w:t>
      </w:r>
      <w:proofErr w:type="gramStart"/>
      <w:r w:rsidRPr="00CA1A43">
        <w:rPr>
          <w:rFonts w:eastAsia="標楷體" w:cstheme="minorHAnsi"/>
        </w:rPr>
        <w:t>簿</w:t>
      </w:r>
      <w:proofErr w:type="gramEnd"/>
      <w:r w:rsidRPr="00CA1A43">
        <w:rPr>
          <w:rFonts w:eastAsia="標楷體" w:cstheme="minorHAnsi"/>
        </w:rPr>
        <w:t>政策與程序至少應涵蓋下列事項：</w:t>
      </w:r>
    </w:p>
    <w:p w14:paraId="2F939209" w14:textId="77777777" w:rsidR="00BB6EDC" w:rsidRPr="00CA1A43" w:rsidRDefault="00BB6EDC" w:rsidP="00605B1D">
      <w:pPr>
        <w:pStyle w:val="a7"/>
        <w:numPr>
          <w:ilvl w:val="0"/>
          <w:numId w:val="20"/>
        </w:numPr>
        <w:spacing w:beforeLines="50" w:before="180"/>
        <w:ind w:leftChars="0" w:left="964" w:hanging="482"/>
        <w:jc w:val="both"/>
        <w:rPr>
          <w:rFonts w:eastAsia="標楷體" w:cstheme="minorHAnsi"/>
        </w:rPr>
      </w:pPr>
      <w:r w:rsidRPr="00CA1A43">
        <w:rPr>
          <w:rFonts w:eastAsia="標楷體" w:cstheme="minorHAnsi"/>
        </w:rPr>
        <w:t>應敘明銀行認定屬於交易性質，且應列入法定資本計提目的之交易</w:t>
      </w:r>
      <w:proofErr w:type="gramStart"/>
      <w:r w:rsidRPr="00CA1A43">
        <w:rPr>
          <w:rFonts w:eastAsia="標楷體" w:cstheme="minorHAnsi"/>
        </w:rPr>
        <w:t>簿</w:t>
      </w:r>
      <w:proofErr w:type="gramEnd"/>
      <w:r w:rsidRPr="00CA1A43">
        <w:rPr>
          <w:rFonts w:eastAsia="標楷體" w:cstheme="minorHAnsi"/>
        </w:rPr>
        <w:t>部位之業務內容。</w:t>
      </w:r>
    </w:p>
    <w:p w14:paraId="4B562AFA" w14:textId="77777777" w:rsidR="00BB6EDC" w:rsidRPr="00CA1A43" w:rsidRDefault="00BB6EDC" w:rsidP="00605B1D">
      <w:pPr>
        <w:pStyle w:val="a7"/>
        <w:numPr>
          <w:ilvl w:val="0"/>
          <w:numId w:val="20"/>
        </w:numPr>
        <w:spacing w:beforeLines="50" w:before="180"/>
        <w:ind w:leftChars="0" w:left="964" w:hanging="482"/>
        <w:jc w:val="both"/>
        <w:rPr>
          <w:rFonts w:eastAsia="標楷體" w:cstheme="minorHAnsi"/>
        </w:rPr>
      </w:pPr>
      <w:r w:rsidRPr="00CA1A43">
        <w:rPr>
          <w:rFonts w:eastAsia="標楷體" w:cstheme="minorHAnsi"/>
        </w:rPr>
        <w:t>明定每日依活絡市場價格評估之政策與程序。</w:t>
      </w:r>
    </w:p>
    <w:p w14:paraId="43BB8C24" w14:textId="4D924368" w:rsidR="00BB6EDC" w:rsidRPr="00CA1A43" w:rsidRDefault="00BB6EDC" w:rsidP="00605B1D">
      <w:pPr>
        <w:pStyle w:val="a7"/>
        <w:numPr>
          <w:ilvl w:val="0"/>
          <w:numId w:val="20"/>
        </w:numPr>
        <w:spacing w:beforeLines="50" w:before="180"/>
        <w:ind w:leftChars="0" w:left="964" w:hanging="482"/>
        <w:jc w:val="both"/>
        <w:rPr>
          <w:rFonts w:eastAsia="標楷體" w:cstheme="minorHAnsi"/>
        </w:rPr>
      </w:pPr>
      <w:r w:rsidRPr="00CA1A43">
        <w:rPr>
          <w:rFonts w:eastAsia="標楷體" w:cstheme="minorHAnsi"/>
        </w:rPr>
        <w:t>對於依模型方法評價之部位，應明訂有關辨識該等部位之主要風險、並於活絡市場透過避險</w:t>
      </w:r>
      <w:r w:rsidR="009653EE" w:rsidRPr="00F233D5">
        <w:rPr>
          <w:rFonts w:eastAsia="標楷體" w:cstheme="minorHAnsi"/>
        </w:rPr>
        <w:t>工具</w:t>
      </w:r>
      <w:r w:rsidRPr="00CA1A43">
        <w:rPr>
          <w:rFonts w:eastAsia="標楷體" w:cstheme="minorHAnsi"/>
        </w:rPr>
        <w:t>妥善控管風險、以及以模型方法推估合理價格時所使用之假設及參數之政策與程序。</w:t>
      </w:r>
    </w:p>
    <w:p w14:paraId="0CFC1A52" w14:textId="77777777" w:rsidR="00BB6EDC" w:rsidRPr="00CA1A43" w:rsidRDefault="00BB6EDC" w:rsidP="00605B1D">
      <w:pPr>
        <w:pStyle w:val="a7"/>
        <w:numPr>
          <w:ilvl w:val="0"/>
          <w:numId w:val="20"/>
        </w:numPr>
        <w:spacing w:beforeLines="50" w:before="180"/>
        <w:ind w:leftChars="0" w:left="964" w:hanging="482"/>
        <w:jc w:val="both"/>
        <w:rPr>
          <w:rFonts w:eastAsia="標楷體" w:cstheme="minorHAnsi"/>
        </w:rPr>
      </w:pPr>
      <w:r w:rsidRPr="00CA1A43">
        <w:rPr>
          <w:rFonts w:eastAsia="標楷體" w:cstheme="minorHAnsi"/>
        </w:rPr>
        <w:t>明定銀行應以一致方法，參照外部資訊對於交易</w:t>
      </w:r>
      <w:proofErr w:type="gramStart"/>
      <w:r w:rsidRPr="00CA1A43">
        <w:rPr>
          <w:rFonts w:eastAsia="標楷體" w:cstheme="minorHAnsi"/>
        </w:rPr>
        <w:t>簿</w:t>
      </w:r>
      <w:proofErr w:type="gramEnd"/>
      <w:r w:rsidRPr="00CA1A43">
        <w:rPr>
          <w:rFonts w:eastAsia="標楷體" w:cstheme="minorHAnsi"/>
        </w:rPr>
        <w:t>部位進行評價之政策與程序。</w:t>
      </w:r>
    </w:p>
    <w:p w14:paraId="3E8A7C14" w14:textId="77777777" w:rsidR="00BB6EDC" w:rsidRPr="00CA1A43" w:rsidRDefault="00BB6EDC" w:rsidP="00605B1D">
      <w:pPr>
        <w:pStyle w:val="a7"/>
        <w:numPr>
          <w:ilvl w:val="0"/>
          <w:numId w:val="20"/>
        </w:numPr>
        <w:spacing w:beforeLines="50" w:before="180"/>
        <w:ind w:leftChars="0" w:left="964" w:hanging="482"/>
        <w:jc w:val="both"/>
        <w:rPr>
          <w:rFonts w:eastAsia="標楷體" w:cstheme="minorHAnsi"/>
        </w:rPr>
      </w:pPr>
      <w:r w:rsidRPr="00CA1A43">
        <w:rPr>
          <w:rFonts w:eastAsia="標楷體" w:cstheme="minorHAnsi"/>
        </w:rPr>
        <w:t>對於受法令或其他實務限制，而使銀行無法及時處理交易</w:t>
      </w:r>
      <w:proofErr w:type="gramStart"/>
      <w:r w:rsidRPr="00CA1A43">
        <w:rPr>
          <w:rFonts w:eastAsia="標楷體" w:cstheme="minorHAnsi"/>
        </w:rPr>
        <w:t>簿</w:t>
      </w:r>
      <w:proofErr w:type="gramEnd"/>
      <w:r w:rsidRPr="00CA1A43">
        <w:rPr>
          <w:rFonts w:eastAsia="標楷體" w:cstheme="minorHAnsi"/>
        </w:rPr>
        <w:t>部位者，應明定因應之政策與程序。</w:t>
      </w:r>
    </w:p>
    <w:p w14:paraId="61C6DF42" w14:textId="77777777" w:rsidR="00BB6EDC" w:rsidRPr="00CA1A43" w:rsidRDefault="00BB6EDC" w:rsidP="00605B1D">
      <w:pPr>
        <w:pStyle w:val="a7"/>
        <w:numPr>
          <w:ilvl w:val="0"/>
          <w:numId w:val="20"/>
        </w:numPr>
        <w:spacing w:beforeLines="50" w:before="180"/>
        <w:ind w:leftChars="0" w:left="964" w:hanging="482"/>
        <w:jc w:val="both"/>
        <w:rPr>
          <w:rFonts w:eastAsia="標楷體" w:cstheme="minorHAnsi"/>
        </w:rPr>
      </w:pPr>
      <w:r w:rsidRPr="00CA1A43">
        <w:rPr>
          <w:rFonts w:eastAsia="標楷體" w:cstheme="minorHAnsi"/>
        </w:rPr>
        <w:t>明定銀行透過交易行為對於交易</w:t>
      </w:r>
      <w:proofErr w:type="gramStart"/>
      <w:r w:rsidRPr="00CA1A43">
        <w:rPr>
          <w:rFonts w:eastAsia="標楷體" w:cstheme="minorHAnsi"/>
        </w:rPr>
        <w:t>簿</w:t>
      </w:r>
      <w:proofErr w:type="gramEnd"/>
      <w:r w:rsidRPr="00CA1A43">
        <w:rPr>
          <w:rFonts w:eastAsia="標楷體" w:cstheme="minorHAnsi"/>
        </w:rPr>
        <w:t>部位進行積極風險管理之政策與程序。</w:t>
      </w:r>
    </w:p>
    <w:p w14:paraId="256FD892" w14:textId="77777777" w:rsidR="00BB6EDC" w:rsidRPr="00CA1A43" w:rsidRDefault="00BB6EDC" w:rsidP="00605B1D">
      <w:pPr>
        <w:pStyle w:val="a7"/>
        <w:numPr>
          <w:ilvl w:val="0"/>
          <w:numId w:val="20"/>
        </w:numPr>
        <w:spacing w:beforeLines="50" w:before="180"/>
        <w:ind w:leftChars="0" w:left="964" w:hanging="482"/>
        <w:jc w:val="both"/>
        <w:rPr>
          <w:rFonts w:eastAsia="標楷體" w:cstheme="minorHAnsi"/>
        </w:rPr>
      </w:pPr>
      <w:r w:rsidRPr="00CA1A43">
        <w:rPr>
          <w:rFonts w:eastAsia="標楷體" w:cstheme="minorHAnsi"/>
        </w:rPr>
        <w:t>明定銀行在交易簿和銀行簿間移轉部位或風險之政策與程序。</w:t>
      </w:r>
    </w:p>
    <w:p w14:paraId="4ED41A9A" w14:textId="77777777" w:rsidR="002760DF" w:rsidRPr="00CA1A43" w:rsidRDefault="00BB6EDC" w:rsidP="00B74525">
      <w:pPr>
        <w:spacing w:beforeLines="50" w:before="180"/>
        <w:ind w:left="482"/>
        <w:jc w:val="both"/>
        <w:rPr>
          <w:rFonts w:eastAsia="標楷體" w:cstheme="minorHAnsi"/>
        </w:rPr>
      </w:pPr>
      <w:r w:rsidRPr="00CA1A43">
        <w:rPr>
          <w:rFonts w:eastAsia="標楷體" w:cstheme="minorHAnsi"/>
        </w:rPr>
        <w:t>上列事項是用來指出銀行在交易</w:t>
      </w:r>
      <w:proofErr w:type="gramStart"/>
      <w:r w:rsidRPr="00CA1A43">
        <w:rPr>
          <w:rFonts w:eastAsia="標楷體" w:cstheme="minorHAnsi"/>
        </w:rPr>
        <w:t>簿</w:t>
      </w:r>
      <w:proofErr w:type="gramEnd"/>
      <w:r w:rsidRPr="00CA1A43">
        <w:rPr>
          <w:rFonts w:eastAsia="標楷體" w:cstheme="minorHAnsi"/>
        </w:rPr>
        <w:t>管理政策和程序上應強調之重點事項，並非用來做為決定交易</w:t>
      </w:r>
      <w:proofErr w:type="gramStart"/>
      <w:r w:rsidRPr="00CA1A43">
        <w:rPr>
          <w:rFonts w:eastAsia="標楷體" w:cstheme="minorHAnsi"/>
        </w:rPr>
        <w:t>簿</w:t>
      </w:r>
      <w:proofErr w:type="gramEnd"/>
      <w:r w:rsidRPr="00CA1A43">
        <w:rPr>
          <w:rFonts w:eastAsia="標楷體" w:cstheme="minorHAnsi"/>
        </w:rPr>
        <w:t>部位之適用標準。</w:t>
      </w:r>
    </w:p>
    <w:p w14:paraId="3A0D5D50" w14:textId="00A44272" w:rsidR="00B74525" w:rsidRPr="00CA1A43" w:rsidRDefault="00B74525"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銀行應明訂</w:t>
      </w:r>
      <w:r w:rsidR="009653EE" w:rsidRPr="00F233D5">
        <w:rPr>
          <w:rFonts w:eastAsia="標楷體" w:cstheme="minorHAnsi"/>
        </w:rPr>
        <w:t>工具</w:t>
      </w:r>
      <w:r w:rsidRPr="00CA1A43">
        <w:rPr>
          <w:rFonts w:eastAsia="標楷體" w:cstheme="minorHAnsi"/>
        </w:rPr>
        <w:t>因市場事件、</w:t>
      </w:r>
      <w:r w:rsidR="00F233D5" w:rsidRPr="00F233D5">
        <w:rPr>
          <w:rFonts w:eastAsia="標楷體" w:cstheme="minorHAnsi" w:hint="eastAsia"/>
        </w:rPr>
        <w:t>金融</w:t>
      </w:r>
      <w:r w:rsidR="009653EE" w:rsidRPr="00F233D5">
        <w:rPr>
          <w:rFonts w:eastAsia="標楷體" w:cstheme="minorHAnsi"/>
        </w:rPr>
        <w:t>工具</w:t>
      </w:r>
      <w:r w:rsidRPr="00CA1A43">
        <w:rPr>
          <w:rFonts w:eastAsia="標楷體" w:cstheme="minorHAnsi"/>
        </w:rPr>
        <w:t>的流動性變化或交易目的改變等理由而進行交易簿與銀行簿間之移轉，並非是重新指定</w:t>
      </w:r>
      <w:r w:rsidR="009653EE" w:rsidRPr="00884061">
        <w:rPr>
          <w:rFonts w:eastAsia="標楷體" w:cstheme="minorHAnsi"/>
        </w:rPr>
        <w:t>工具</w:t>
      </w:r>
      <w:r w:rsidRPr="00CA1A43">
        <w:rPr>
          <w:rFonts w:eastAsia="標楷體" w:cstheme="minorHAnsi"/>
        </w:rPr>
        <w:t>到</w:t>
      </w:r>
      <w:proofErr w:type="gramStart"/>
      <w:r w:rsidRPr="00CA1A43">
        <w:rPr>
          <w:rFonts w:eastAsia="標楷體" w:cstheme="minorHAnsi"/>
        </w:rPr>
        <w:t>不同簿別</w:t>
      </w:r>
      <w:proofErr w:type="gramEnd"/>
      <w:r w:rsidRPr="00CA1A43">
        <w:rPr>
          <w:rFonts w:eastAsia="標楷體" w:cstheme="minorHAnsi"/>
        </w:rPr>
        <w:t>的政策與程序。銀行必須確保移轉部位嚴格遵守本計算說明</w:t>
      </w:r>
      <w:r w:rsidR="009653EE" w:rsidRPr="00884061">
        <w:rPr>
          <w:rFonts w:eastAsia="標楷體" w:cstheme="minorHAnsi"/>
        </w:rPr>
        <w:t>工具</w:t>
      </w:r>
      <w:proofErr w:type="gramStart"/>
      <w:r w:rsidRPr="00884061">
        <w:rPr>
          <w:rFonts w:eastAsia="標楷體" w:cstheme="minorHAnsi"/>
        </w:rPr>
        <w:t>簿</w:t>
      </w:r>
      <w:r w:rsidRPr="00CA1A43">
        <w:rPr>
          <w:rFonts w:eastAsia="標楷體" w:cstheme="minorHAnsi"/>
        </w:rPr>
        <w:t>別認</w:t>
      </w:r>
      <w:proofErr w:type="gramEnd"/>
      <w:r w:rsidRPr="00CA1A43">
        <w:rPr>
          <w:rFonts w:eastAsia="標楷體" w:cstheme="minorHAnsi"/>
        </w:rPr>
        <w:t>列規定，該政策與程序須包含下列之要求：</w:t>
      </w:r>
    </w:p>
    <w:p w14:paraId="2DC197F6" w14:textId="6BD5D8B3" w:rsidR="00B74525" w:rsidRPr="00CA1A43" w:rsidRDefault="00B74525" w:rsidP="00E94FD2">
      <w:pPr>
        <w:spacing w:beforeLines="50" w:before="180"/>
        <w:ind w:left="737"/>
        <w:jc w:val="both"/>
        <w:rPr>
          <w:rFonts w:eastAsia="標楷體" w:cstheme="minorHAnsi"/>
        </w:rPr>
      </w:pPr>
      <w:r w:rsidRPr="00CA1A43">
        <w:rPr>
          <w:rFonts w:eastAsia="標楷體" w:cstheme="minorHAnsi"/>
        </w:rPr>
        <w:t>銀行須計算</w:t>
      </w:r>
      <w:proofErr w:type="gramStart"/>
      <w:r w:rsidR="009653EE" w:rsidRPr="00884061">
        <w:rPr>
          <w:rFonts w:eastAsia="標楷體" w:cstheme="minorHAnsi"/>
        </w:rPr>
        <w:t>工具</w:t>
      </w:r>
      <w:r w:rsidRPr="00CA1A43">
        <w:rPr>
          <w:rFonts w:eastAsia="標楷體" w:cstheme="minorHAnsi"/>
        </w:rPr>
        <w:t>簿別移轉</w:t>
      </w:r>
      <w:proofErr w:type="gramEnd"/>
      <w:r w:rsidRPr="00CA1A43">
        <w:rPr>
          <w:rFonts w:eastAsia="標楷體" w:cstheme="minorHAnsi"/>
        </w:rPr>
        <w:t>前及移轉當下其總資本要求</w:t>
      </w:r>
      <w:r w:rsidRPr="00CA1A43">
        <w:rPr>
          <w:rFonts w:eastAsia="標楷體" w:cstheme="minorHAnsi"/>
        </w:rPr>
        <w:t>(</w:t>
      </w:r>
      <w:r w:rsidRPr="00CA1A43">
        <w:rPr>
          <w:rFonts w:eastAsia="標楷體" w:cstheme="minorHAnsi"/>
        </w:rPr>
        <w:t>跨銀行簿和交易簿</w:t>
      </w:r>
      <w:r w:rsidRPr="00CA1A43">
        <w:rPr>
          <w:rFonts w:eastAsia="標楷體" w:cstheme="minorHAnsi"/>
        </w:rPr>
        <w:t>)</w:t>
      </w:r>
      <w:r w:rsidRPr="00CA1A43">
        <w:rPr>
          <w:rFonts w:eastAsia="標楷體" w:cstheme="minorHAnsi"/>
        </w:rPr>
        <w:t>，若該資本要求因移轉而減少，銀行應依據本會同意之方式將移轉時計算的差額附註揭露於第一支柱資本要求，且該差額註記須持續至部位到</w:t>
      </w:r>
      <w:r w:rsidRPr="00CA1A43">
        <w:rPr>
          <w:rFonts w:eastAsia="標楷體" w:cstheme="minorHAnsi"/>
        </w:rPr>
        <w:lastRenderedPageBreak/>
        <w:t>期。因該部位須持續遵循於移轉</w:t>
      </w:r>
      <w:proofErr w:type="gramStart"/>
      <w:r w:rsidRPr="00CA1A43">
        <w:rPr>
          <w:rFonts w:eastAsia="標楷體" w:cstheme="minorHAnsi"/>
        </w:rPr>
        <w:t>後簿別</w:t>
      </w:r>
      <w:proofErr w:type="gramEnd"/>
      <w:r w:rsidRPr="00CA1A43">
        <w:rPr>
          <w:rFonts w:eastAsia="標楷體" w:cstheme="minorHAnsi"/>
        </w:rPr>
        <w:t>的資本要求，該差額僅須</w:t>
      </w:r>
      <w:proofErr w:type="gramStart"/>
      <w:r w:rsidRPr="00CA1A43">
        <w:rPr>
          <w:rFonts w:eastAsia="標楷體" w:cstheme="minorHAnsi"/>
        </w:rPr>
        <w:t>於簿別</w:t>
      </w:r>
      <w:proofErr w:type="gramEnd"/>
      <w:r w:rsidRPr="00CA1A43">
        <w:rPr>
          <w:rFonts w:eastAsia="標楷體" w:cstheme="minorHAnsi"/>
        </w:rPr>
        <w:t>移轉時計算一次，無須持續計算。</w:t>
      </w:r>
      <w:r w:rsidR="00B56D0D" w:rsidRPr="00CA1A43">
        <w:rPr>
          <w:rStyle w:val="a5"/>
          <w:rFonts w:eastAsia="標楷體" w:cstheme="minorHAnsi"/>
        </w:rPr>
        <w:footnoteReference w:id="6"/>
      </w:r>
    </w:p>
    <w:p w14:paraId="76EF804C" w14:textId="77777777" w:rsidR="00B74525" w:rsidRPr="00CA1A43" w:rsidRDefault="00B74525" w:rsidP="00605B1D">
      <w:pPr>
        <w:pStyle w:val="a7"/>
        <w:numPr>
          <w:ilvl w:val="0"/>
          <w:numId w:val="14"/>
        </w:numPr>
        <w:spacing w:beforeLines="50" w:before="180"/>
        <w:ind w:leftChars="0" w:left="737" w:hanging="737"/>
        <w:jc w:val="both"/>
        <w:rPr>
          <w:rFonts w:eastAsia="標楷體" w:cstheme="minorHAnsi"/>
        </w:rPr>
      </w:pPr>
      <w:proofErr w:type="gramStart"/>
      <w:r w:rsidRPr="00CA1A43">
        <w:rPr>
          <w:rFonts w:eastAsia="標楷體" w:cstheme="minorHAnsi"/>
        </w:rPr>
        <w:t>任何簿別間的</w:t>
      </w:r>
      <w:proofErr w:type="gramEnd"/>
      <w:r w:rsidRPr="00CA1A43">
        <w:rPr>
          <w:rFonts w:eastAsia="標楷體" w:cstheme="minorHAnsi"/>
        </w:rPr>
        <w:t>重新認列</w:t>
      </w:r>
      <w:r w:rsidRPr="00CA1A43">
        <w:rPr>
          <w:rFonts w:eastAsia="標楷體" w:cstheme="minorHAnsi"/>
        </w:rPr>
        <w:t>(</w:t>
      </w:r>
      <w:r w:rsidRPr="00CA1A43">
        <w:rPr>
          <w:rFonts w:eastAsia="標楷體" w:cstheme="minorHAnsi"/>
        </w:rPr>
        <w:t>含任何交易簿和銀行</w:t>
      </w:r>
      <w:proofErr w:type="gramStart"/>
      <w:r w:rsidRPr="00CA1A43">
        <w:rPr>
          <w:rFonts w:eastAsia="標楷體" w:cstheme="minorHAnsi"/>
        </w:rPr>
        <w:t>簿間的有價證券</w:t>
      </w:r>
      <w:proofErr w:type="gramEnd"/>
      <w:r w:rsidRPr="00CA1A43">
        <w:rPr>
          <w:rFonts w:eastAsia="標楷體" w:cstheme="minorHAnsi"/>
        </w:rPr>
        <w:t>重新認列，包括依正常交易條件的賣斷交易</w:t>
      </w:r>
      <w:r w:rsidRPr="00CA1A43">
        <w:rPr>
          <w:rFonts w:eastAsia="標楷體" w:cstheme="minorHAnsi"/>
        </w:rPr>
        <w:t>)</w:t>
      </w:r>
      <w:r w:rsidRPr="00CA1A43">
        <w:rPr>
          <w:rFonts w:eastAsia="標楷體" w:cstheme="minorHAnsi"/>
        </w:rPr>
        <w:t>，</w:t>
      </w:r>
      <w:proofErr w:type="gramStart"/>
      <w:r w:rsidRPr="00CA1A43">
        <w:rPr>
          <w:rFonts w:eastAsia="標楷體" w:cstheme="minorHAnsi"/>
        </w:rPr>
        <w:t>均應符合</w:t>
      </w:r>
      <w:proofErr w:type="gramEnd"/>
      <w:r w:rsidRPr="00CA1A43">
        <w:rPr>
          <w:rFonts w:eastAsia="標楷體" w:cstheme="minorHAnsi"/>
        </w:rPr>
        <w:t>下列之要求。</w:t>
      </w:r>
    </w:p>
    <w:p w14:paraId="5D19CBD5" w14:textId="77777777" w:rsidR="00B74525" w:rsidRPr="00CA1A43" w:rsidRDefault="00B74525" w:rsidP="00605B1D">
      <w:pPr>
        <w:pStyle w:val="a7"/>
        <w:numPr>
          <w:ilvl w:val="0"/>
          <w:numId w:val="21"/>
        </w:numPr>
        <w:spacing w:beforeLines="50" w:before="180"/>
        <w:ind w:leftChars="0" w:left="964" w:hanging="482"/>
        <w:jc w:val="both"/>
        <w:rPr>
          <w:rFonts w:eastAsia="標楷體" w:cstheme="minorHAnsi"/>
        </w:rPr>
      </w:pPr>
      <w:proofErr w:type="gramStart"/>
      <w:r w:rsidRPr="00CA1A43">
        <w:rPr>
          <w:rFonts w:eastAsia="標楷體" w:cstheme="minorHAnsi"/>
        </w:rPr>
        <w:t>任何簿別間的</w:t>
      </w:r>
      <w:proofErr w:type="gramEnd"/>
      <w:r w:rsidRPr="00CA1A43">
        <w:rPr>
          <w:rFonts w:eastAsia="標楷體" w:cstheme="minorHAnsi"/>
        </w:rPr>
        <w:t>重新</w:t>
      </w:r>
      <w:proofErr w:type="gramStart"/>
      <w:r w:rsidRPr="00CA1A43">
        <w:rPr>
          <w:rFonts w:eastAsia="標楷體" w:cstheme="minorHAnsi"/>
        </w:rPr>
        <w:t>認列須由</w:t>
      </w:r>
      <w:proofErr w:type="gramEnd"/>
      <w:r w:rsidRPr="00CA1A43">
        <w:rPr>
          <w:rFonts w:eastAsia="標楷體" w:cstheme="minorHAnsi"/>
        </w:rPr>
        <w:t>高階管理階層核准並詳細記錄，經內部審查確定與銀行政策相符，並由銀行提供說明文件，以取得本會的事先核准，並且需進行公開揭露。</w:t>
      </w:r>
    </w:p>
    <w:p w14:paraId="41AD9DB2" w14:textId="4441F580" w:rsidR="00B74525" w:rsidRPr="00CA1A43" w:rsidRDefault="00B74525" w:rsidP="00605B1D">
      <w:pPr>
        <w:pStyle w:val="a7"/>
        <w:numPr>
          <w:ilvl w:val="0"/>
          <w:numId w:val="21"/>
        </w:numPr>
        <w:spacing w:beforeLines="50" w:before="180"/>
        <w:ind w:leftChars="0" w:left="964" w:hanging="482"/>
        <w:jc w:val="both"/>
        <w:rPr>
          <w:rFonts w:eastAsia="標楷體" w:cstheme="minorHAnsi"/>
        </w:rPr>
      </w:pPr>
      <w:proofErr w:type="gramStart"/>
      <w:r w:rsidRPr="00CA1A43">
        <w:rPr>
          <w:rFonts w:eastAsia="標楷體" w:cstheme="minorHAnsi"/>
        </w:rPr>
        <w:t>除非簿別</w:t>
      </w:r>
      <w:proofErr w:type="gramEnd"/>
      <w:r w:rsidRPr="00CA1A43">
        <w:rPr>
          <w:rFonts w:eastAsia="標楷體" w:cstheme="minorHAnsi"/>
        </w:rPr>
        <w:t>轉換</w:t>
      </w:r>
      <w:r w:rsidR="009653EE" w:rsidRPr="00334A68">
        <w:rPr>
          <w:rFonts w:eastAsia="標楷體" w:cstheme="minorHAnsi"/>
        </w:rPr>
        <w:t>工具</w:t>
      </w:r>
      <w:r w:rsidRPr="00CA1A43">
        <w:rPr>
          <w:rFonts w:eastAsia="標楷體" w:cstheme="minorHAnsi"/>
        </w:rPr>
        <w:t>之部位性質被要求改變，不然任何重新</w:t>
      </w:r>
      <w:proofErr w:type="gramStart"/>
      <w:r w:rsidRPr="00CA1A43">
        <w:rPr>
          <w:rFonts w:eastAsia="標楷體" w:cstheme="minorHAnsi"/>
        </w:rPr>
        <w:t>認列皆不可</w:t>
      </w:r>
      <w:proofErr w:type="gramEnd"/>
      <w:r w:rsidRPr="00CA1A43">
        <w:rPr>
          <w:rFonts w:eastAsia="標楷體" w:cstheme="minorHAnsi"/>
        </w:rPr>
        <w:t>撤銷。</w:t>
      </w:r>
    </w:p>
    <w:p w14:paraId="3C877E0C" w14:textId="472A83E5" w:rsidR="00B74525" w:rsidRPr="00CA1A43" w:rsidRDefault="00B74525" w:rsidP="00605B1D">
      <w:pPr>
        <w:pStyle w:val="a7"/>
        <w:numPr>
          <w:ilvl w:val="0"/>
          <w:numId w:val="21"/>
        </w:numPr>
        <w:spacing w:beforeLines="50" w:before="180"/>
        <w:ind w:leftChars="0" w:left="964" w:hanging="482"/>
        <w:jc w:val="both"/>
        <w:rPr>
          <w:rFonts w:eastAsia="標楷體" w:cstheme="minorHAnsi"/>
        </w:rPr>
      </w:pPr>
      <w:r w:rsidRPr="00CA1A43">
        <w:rPr>
          <w:rFonts w:eastAsia="標楷體" w:cstheme="minorHAnsi"/>
        </w:rPr>
        <w:t>若重分類為會計帳上屬交易性資產或負債之</w:t>
      </w:r>
      <w:r w:rsidR="009653EE" w:rsidRPr="00334A68">
        <w:rPr>
          <w:rFonts w:eastAsia="標楷體" w:cstheme="minorHAnsi"/>
        </w:rPr>
        <w:t>工具</w:t>
      </w:r>
      <w:r w:rsidRPr="00334A68">
        <w:rPr>
          <w:rFonts w:eastAsia="標楷體" w:cstheme="minorHAnsi"/>
        </w:rPr>
        <w:t>，則假定該</w:t>
      </w:r>
      <w:r w:rsidR="009653EE" w:rsidRPr="00334A68">
        <w:rPr>
          <w:rFonts w:eastAsia="標楷體" w:cstheme="minorHAnsi"/>
        </w:rPr>
        <w:t>工具</w:t>
      </w:r>
      <w:r w:rsidRPr="00CA1A43">
        <w:rPr>
          <w:rFonts w:eastAsia="標楷體" w:cstheme="minorHAnsi"/>
        </w:rPr>
        <w:t>為交易簿。在這種情況下自動移轉可以毋須本會的核准。</w:t>
      </w:r>
    </w:p>
    <w:p w14:paraId="34FB57AB" w14:textId="77777777" w:rsidR="00B74525" w:rsidRPr="00CA1A43" w:rsidRDefault="00B74525"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銀行須至少每年根據前一年度所有被辨識的異常事件分析更新相關政策，如有顯著變更的更新政策必須陳報本會，該政策必須包括下列事項：</w:t>
      </w:r>
    </w:p>
    <w:p w14:paraId="295F15A3" w14:textId="76C1C768" w:rsidR="00B74525" w:rsidRPr="00CA1A43" w:rsidRDefault="009653EE" w:rsidP="00605B1D">
      <w:pPr>
        <w:pStyle w:val="a7"/>
        <w:numPr>
          <w:ilvl w:val="0"/>
          <w:numId w:val="22"/>
        </w:numPr>
        <w:spacing w:beforeLines="50" w:before="180"/>
        <w:ind w:leftChars="0" w:left="964" w:hanging="482"/>
        <w:jc w:val="both"/>
        <w:rPr>
          <w:rFonts w:eastAsia="標楷體" w:cstheme="minorHAnsi"/>
        </w:rPr>
      </w:pPr>
      <w:proofErr w:type="gramStart"/>
      <w:r w:rsidRPr="00881BAF">
        <w:rPr>
          <w:rFonts w:eastAsia="標楷體" w:cstheme="minorHAnsi"/>
        </w:rPr>
        <w:t>工具</w:t>
      </w:r>
      <w:r w:rsidR="00B74525" w:rsidRPr="00CA1A43">
        <w:rPr>
          <w:rFonts w:eastAsia="標楷體" w:cstheme="minorHAnsi"/>
        </w:rPr>
        <w:t>簿別重新</w:t>
      </w:r>
      <w:proofErr w:type="gramEnd"/>
      <w:r w:rsidR="00B74525" w:rsidRPr="00CA1A43">
        <w:rPr>
          <w:rFonts w:eastAsia="標楷體" w:cstheme="minorHAnsi"/>
        </w:rPr>
        <w:t>認列之限制要求；</w:t>
      </w:r>
      <w:proofErr w:type="gramStart"/>
      <w:r w:rsidR="00B74525" w:rsidRPr="00CA1A43">
        <w:rPr>
          <w:rFonts w:eastAsia="標楷體" w:cstheme="minorHAnsi"/>
        </w:rPr>
        <w:t>簿別移轉</w:t>
      </w:r>
      <w:proofErr w:type="gramEnd"/>
      <w:r w:rsidR="00B74525" w:rsidRPr="00CA1A43">
        <w:rPr>
          <w:rFonts w:eastAsia="標楷體" w:cstheme="minorHAnsi"/>
        </w:rPr>
        <w:t>之情況、條件及標準。</w:t>
      </w:r>
    </w:p>
    <w:p w14:paraId="3FCDD1E0" w14:textId="77777777" w:rsidR="00B74525" w:rsidRPr="00CA1A43" w:rsidRDefault="00B74525" w:rsidP="00605B1D">
      <w:pPr>
        <w:pStyle w:val="a7"/>
        <w:numPr>
          <w:ilvl w:val="0"/>
          <w:numId w:val="22"/>
        </w:numPr>
        <w:spacing w:beforeLines="50" w:before="180"/>
        <w:ind w:leftChars="0" w:left="964" w:hanging="482"/>
        <w:jc w:val="both"/>
        <w:rPr>
          <w:rFonts w:eastAsia="標楷體" w:cstheme="minorHAnsi"/>
        </w:rPr>
      </w:pPr>
      <w:r w:rsidRPr="00CA1A43">
        <w:rPr>
          <w:rFonts w:eastAsia="標楷體" w:cstheme="minorHAnsi"/>
        </w:rPr>
        <w:t>移轉過程應得到高階管理階層及本會核准。</w:t>
      </w:r>
    </w:p>
    <w:p w14:paraId="55F9590A" w14:textId="77777777" w:rsidR="00B74525" w:rsidRPr="00CA1A43" w:rsidRDefault="00B74525" w:rsidP="00605B1D">
      <w:pPr>
        <w:pStyle w:val="a7"/>
        <w:numPr>
          <w:ilvl w:val="0"/>
          <w:numId w:val="22"/>
        </w:numPr>
        <w:spacing w:beforeLines="50" w:before="180"/>
        <w:ind w:leftChars="0" w:left="964" w:hanging="482"/>
        <w:jc w:val="both"/>
        <w:rPr>
          <w:rFonts w:eastAsia="標楷體" w:cstheme="minorHAnsi"/>
        </w:rPr>
      </w:pPr>
      <w:r w:rsidRPr="00CA1A43">
        <w:rPr>
          <w:rFonts w:eastAsia="標楷體" w:cstheme="minorHAnsi"/>
        </w:rPr>
        <w:t>異常事件之辨識。</w:t>
      </w:r>
    </w:p>
    <w:p w14:paraId="59D9A63A" w14:textId="77777777" w:rsidR="00B74525" w:rsidRPr="00CA1A43" w:rsidRDefault="00B74525" w:rsidP="00605B1D">
      <w:pPr>
        <w:pStyle w:val="a7"/>
        <w:numPr>
          <w:ilvl w:val="0"/>
          <w:numId w:val="22"/>
        </w:numPr>
        <w:spacing w:beforeLines="50" w:before="180"/>
        <w:ind w:leftChars="0" w:left="964" w:hanging="482"/>
        <w:jc w:val="both"/>
        <w:rPr>
          <w:rFonts w:eastAsia="標楷體" w:cstheme="minorHAnsi"/>
        </w:rPr>
      </w:pPr>
      <w:r w:rsidRPr="00CA1A43">
        <w:rPr>
          <w:rFonts w:eastAsia="標楷體" w:cstheme="minorHAnsi"/>
        </w:rPr>
        <w:t>應在最近的報告日公開揭露重新分類而納入或排除於交易簿之部位。</w:t>
      </w:r>
    </w:p>
    <w:p w14:paraId="0DCAF7DC" w14:textId="029D2996" w:rsidR="00B74525" w:rsidRPr="00CA1A43" w:rsidRDefault="00B74525" w:rsidP="00605B1D">
      <w:pPr>
        <w:pStyle w:val="a7"/>
        <w:numPr>
          <w:ilvl w:val="0"/>
          <w:numId w:val="14"/>
        </w:numPr>
        <w:spacing w:beforeLines="50" w:before="180"/>
        <w:ind w:leftChars="0" w:left="737" w:hanging="737"/>
        <w:jc w:val="both"/>
        <w:rPr>
          <w:rFonts w:eastAsia="標楷體" w:cstheme="minorHAnsi"/>
        </w:rPr>
      </w:pPr>
      <w:r w:rsidRPr="00CA1A43">
        <w:rPr>
          <w:rFonts w:eastAsia="標楷體" w:cstheme="minorHAnsi"/>
        </w:rPr>
        <w:t>除本會在特殊情況下核准外</w:t>
      </w:r>
      <w:r w:rsidRPr="00CA1A43">
        <w:rPr>
          <w:rFonts w:eastAsia="標楷體" w:cstheme="minorHAnsi"/>
        </w:rPr>
        <w:t>(</w:t>
      </w:r>
      <w:r w:rsidRPr="00CA1A43">
        <w:rPr>
          <w:rFonts w:eastAsia="標楷體" w:cstheme="minorHAnsi"/>
        </w:rPr>
        <w:t>例如重大的公開宣布事件，如銀行重組導致交易台永久關閉、適用於</w:t>
      </w:r>
      <w:r w:rsidR="009653EE" w:rsidRPr="00E54900">
        <w:rPr>
          <w:rFonts w:eastAsia="標楷體" w:cstheme="minorHAnsi"/>
        </w:rPr>
        <w:t>工具</w:t>
      </w:r>
      <w:r w:rsidRPr="00E54900">
        <w:rPr>
          <w:rFonts w:eastAsia="標楷體" w:cstheme="minorHAnsi"/>
        </w:rPr>
        <w:t>或投資組合之營業活動的需求終止、會計準則改變而允許該</w:t>
      </w:r>
      <w:r w:rsidR="009653EE" w:rsidRPr="00E54900">
        <w:rPr>
          <w:rFonts w:eastAsia="標楷體" w:cstheme="minorHAnsi"/>
        </w:rPr>
        <w:t>工具</w:t>
      </w:r>
      <w:r w:rsidRPr="00E54900">
        <w:rPr>
          <w:rFonts w:eastAsia="標楷體" w:cstheme="minorHAnsi"/>
        </w:rPr>
        <w:t>透</w:t>
      </w:r>
      <w:r w:rsidRPr="00CA1A43">
        <w:rPr>
          <w:rFonts w:eastAsia="標楷體" w:cstheme="minorHAnsi"/>
        </w:rPr>
        <w:t>過損益按公允價值衡量</w:t>
      </w:r>
      <w:r w:rsidRPr="00CA1A43">
        <w:rPr>
          <w:rFonts w:eastAsia="標楷體" w:cstheme="minorHAnsi"/>
        </w:rPr>
        <w:t>)</w:t>
      </w:r>
      <w:r w:rsidRPr="00CA1A43">
        <w:rPr>
          <w:rFonts w:eastAsia="標楷體" w:cstheme="minorHAnsi"/>
        </w:rPr>
        <w:t>，</w:t>
      </w:r>
      <w:r w:rsidR="009653EE" w:rsidRPr="00E54900">
        <w:rPr>
          <w:rFonts w:eastAsia="標楷體" w:cstheme="minorHAnsi"/>
        </w:rPr>
        <w:t>工具</w:t>
      </w:r>
      <w:r w:rsidRPr="00CA1A43">
        <w:rPr>
          <w:rFonts w:eastAsia="標楷體" w:cstheme="minorHAnsi"/>
        </w:rPr>
        <w:t>在交易簿、銀行</w:t>
      </w:r>
      <w:proofErr w:type="gramStart"/>
      <w:r w:rsidRPr="00CA1A43">
        <w:rPr>
          <w:rFonts w:eastAsia="標楷體" w:cstheme="minorHAnsi"/>
        </w:rPr>
        <w:t>簿</w:t>
      </w:r>
      <w:proofErr w:type="gramEnd"/>
      <w:r w:rsidRPr="00CA1A43">
        <w:rPr>
          <w:rFonts w:eastAsia="標楷體" w:cstheme="minorHAnsi"/>
        </w:rPr>
        <w:t>之間進行移轉皆須依據前述政策之規範，嚴禁因資本套利而</w:t>
      </w:r>
      <w:proofErr w:type="gramStart"/>
      <w:r w:rsidRPr="00CA1A43">
        <w:rPr>
          <w:rFonts w:eastAsia="標楷體" w:cstheme="minorHAnsi"/>
        </w:rPr>
        <w:t>進行簿別移轉</w:t>
      </w:r>
      <w:proofErr w:type="gramEnd"/>
      <w:r w:rsidRPr="00CA1A43">
        <w:rPr>
          <w:rFonts w:eastAsia="標楷體" w:cstheme="minorHAnsi"/>
        </w:rPr>
        <w:t>。</w:t>
      </w:r>
    </w:p>
    <w:p w14:paraId="3E935EE8" w14:textId="77777777" w:rsidR="00DC4E7E" w:rsidRPr="00CA1A43" w:rsidRDefault="001A59DF" w:rsidP="00605B1D">
      <w:pPr>
        <w:pStyle w:val="a7"/>
        <w:numPr>
          <w:ilvl w:val="0"/>
          <w:numId w:val="4"/>
        </w:numPr>
        <w:spacing w:beforeLines="50" w:before="180"/>
        <w:ind w:leftChars="0" w:left="567" w:hanging="567"/>
        <w:jc w:val="both"/>
        <w:outlineLvl w:val="0"/>
        <w:rPr>
          <w:rFonts w:eastAsia="標楷體" w:cstheme="minorHAnsi"/>
          <w:b/>
          <w:sz w:val="28"/>
          <w:szCs w:val="28"/>
        </w:rPr>
      </w:pPr>
      <w:bookmarkStart w:id="6" w:name="_Toc67992446"/>
      <w:r w:rsidRPr="00CA1A43">
        <w:rPr>
          <w:rFonts w:eastAsia="標楷體" w:cstheme="minorHAnsi"/>
          <w:b/>
          <w:sz w:val="28"/>
          <w:szCs w:val="28"/>
        </w:rPr>
        <w:t>交易台的認定與相關規定</w:t>
      </w:r>
      <w:bookmarkEnd w:id="6"/>
    </w:p>
    <w:p w14:paraId="36ACB5A9" w14:textId="77777777" w:rsidR="001A59DF" w:rsidRPr="00CA1A43" w:rsidRDefault="001A59DF" w:rsidP="00605B1D">
      <w:pPr>
        <w:pStyle w:val="a7"/>
        <w:numPr>
          <w:ilvl w:val="0"/>
          <w:numId w:val="23"/>
        </w:numPr>
        <w:spacing w:beforeLines="50" w:before="180"/>
        <w:ind w:leftChars="0" w:left="737" w:hanging="737"/>
        <w:jc w:val="both"/>
        <w:rPr>
          <w:rFonts w:eastAsia="標楷體" w:cstheme="minorHAnsi"/>
        </w:rPr>
      </w:pPr>
      <w:r w:rsidRPr="00CA1A43">
        <w:rPr>
          <w:rFonts w:eastAsia="標楷體" w:cstheme="minorHAnsi"/>
        </w:rPr>
        <w:t>交易台之定義</w:t>
      </w:r>
    </w:p>
    <w:p w14:paraId="1AC1E3E5" w14:textId="77777777" w:rsidR="001A59DF" w:rsidRPr="00CA1A43" w:rsidRDefault="001A59DF" w:rsidP="00605B1D">
      <w:pPr>
        <w:pStyle w:val="a7"/>
        <w:numPr>
          <w:ilvl w:val="0"/>
          <w:numId w:val="24"/>
        </w:numPr>
        <w:spacing w:beforeLines="50" w:before="180"/>
        <w:ind w:leftChars="0" w:left="964" w:hanging="482"/>
        <w:jc w:val="both"/>
        <w:rPr>
          <w:rFonts w:eastAsia="標楷體" w:cstheme="minorHAnsi"/>
        </w:rPr>
      </w:pPr>
      <w:r w:rsidRPr="00CA1A43">
        <w:rPr>
          <w:rFonts w:eastAsia="標楷體" w:cstheme="minorHAnsi"/>
        </w:rPr>
        <w:t>交易台是指在明確的風險管理架構下，執行明確定義的經營策略之一群交易員或交易帳戶。</w:t>
      </w:r>
    </w:p>
    <w:p w14:paraId="1B509751" w14:textId="77777777" w:rsidR="001A59DF" w:rsidRPr="00CA1A43" w:rsidRDefault="001A59DF" w:rsidP="00605B1D">
      <w:pPr>
        <w:pStyle w:val="a7"/>
        <w:numPr>
          <w:ilvl w:val="0"/>
          <w:numId w:val="24"/>
        </w:numPr>
        <w:spacing w:beforeLines="50" w:before="180"/>
        <w:ind w:leftChars="0" w:left="964" w:hanging="482"/>
        <w:jc w:val="both"/>
        <w:rPr>
          <w:rFonts w:eastAsia="標楷體" w:cstheme="minorHAnsi"/>
        </w:rPr>
      </w:pPr>
      <w:r w:rsidRPr="00CA1A43">
        <w:rPr>
          <w:rFonts w:eastAsia="標楷體" w:cstheme="minorHAnsi"/>
        </w:rPr>
        <w:t>為了申請市場風險內部模型法之目的，銀行應提出交易台組織架構且說明符合下列「交易台主要特性」關鍵要素之交易台架構的說明文件陳報本會，本會將依據銀行提供之說明文件核准申請銀行交易台之市場風險</w:t>
      </w:r>
      <w:r w:rsidRPr="00CA1A43">
        <w:rPr>
          <w:rFonts w:eastAsia="標楷體" w:cstheme="minorHAnsi"/>
        </w:rPr>
        <w:lastRenderedPageBreak/>
        <w:t>資本要求適用方法。</w:t>
      </w:r>
    </w:p>
    <w:p w14:paraId="7DC9D111" w14:textId="77777777" w:rsidR="001A59DF" w:rsidRPr="00CA1A43" w:rsidRDefault="001A59DF" w:rsidP="00605B1D">
      <w:pPr>
        <w:pStyle w:val="a7"/>
        <w:numPr>
          <w:ilvl w:val="0"/>
          <w:numId w:val="24"/>
        </w:numPr>
        <w:spacing w:beforeLines="50" w:before="180"/>
        <w:ind w:leftChars="0" w:left="964" w:hanging="482"/>
        <w:jc w:val="both"/>
        <w:rPr>
          <w:rFonts w:eastAsia="標楷體" w:cstheme="minorHAnsi"/>
        </w:rPr>
      </w:pPr>
      <w:r w:rsidRPr="00CA1A43">
        <w:rPr>
          <w:rFonts w:eastAsia="標楷體" w:cstheme="minorHAnsi"/>
        </w:rPr>
        <w:t>在本會核准交易台架構內，銀行可定義毋須本會核准而運作的子交易台，該子交易台僅供內部運作目的，而不在市場風險資本架構中。</w:t>
      </w:r>
    </w:p>
    <w:p w14:paraId="426686CA" w14:textId="77777777" w:rsidR="001A59DF" w:rsidRPr="00CA1A43" w:rsidRDefault="001A59DF" w:rsidP="00605B1D">
      <w:pPr>
        <w:pStyle w:val="a7"/>
        <w:numPr>
          <w:ilvl w:val="0"/>
          <w:numId w:val="23"/>
        </w:numPr>
        <w:spacing w:beforeLines="50" w:before="180"/>
        <w:ind w:leftChars="0" w:left="737" w:hanging="737"/>
        <w:jc w:val="both"/>
        <w:rPr>
          <w:rFonts w:eastAsia="標楷體" w:cstheme="minorHAnsi"/>
        </w:rPr>
      </w:pPr>
      <w:r w:rsidRPr="00CA1A43">
        <w:rPr>
          <w:rFonts w:eastAsia="標楷體" w:cstheme="minorHAnsi"/>
        </w:rPr>
        <w:t>交易台之特性</w:t>
      </w:r>
    </w:p>
    <w:p w14:paraId="724DD8E8" w14:textId="77777777" w:rsidR="001A59DF" w:rsidRPr="00CA1A43" w:rsidRDefault="001A59DF" w:rsidP="00605B1D">
      <w:pPr>
        <w:pStyle w:val="a7"/>
        <w:numPr>
          <w:ilvl w:val="0"/>
          <w:numId w:val="25"/>
        </w:numPr>
        <w:spacing w:beforeLines="50" w:before="180"/>
        <w:ind w:leftChars="0" w:left="964" w:hanging="482"/>
        <w:jc w:val="both"/>
        <w:rPr>
          <w:rFonts w:eastAsia="標楷體" w:cstheme="minorHAnsi"/>
        </w:rPr>
      </w:pPr>
      <w:r w:rsidRPr="00CA1A43">
        <w:rPr>
          <w:rFonts w:eastAsia="標楷體" w:cstheme="minorHAnsi"/>
        </w:rPr>
        <w:t>交易台之架構：</w:t>
      </w:r>
    </w:p>
    <w:p w14:paraId="2F874135" w14:textId="77777777" w:rsidR="001A59DF" w:rsidRPr="00CA1A43" w:rsidRDefault="001A59DF" w:rsidP="00605B1D">
      <w:pPr>
        <w:pStyle w:val="a7"/>
        <w:numPr>
          <w:ilvl w:val="0"/>
          <w:numId w:val="26"/>
        </w:numPr>
        <w:spacing w:beforeLines="50" w:before="180"/>
        <w:ind w:leftChars="0" w:left="1446" w:hanging="482"/>
        <w:jc w:val="both"/>
        <w:rPr>
          <w:rFonts w:eastAsia="標楷體" w:cstheme="minorHAnsi"/>
        </w:rPr>
      </w:pPr>
      <w:r w:rsidRPr="00CA1A43">
        <w:rPr>
          <w:rFonts w:eastAsia="標楷體" w:cstheme="minorHAnsi"/>
        </w:rPr>
        <w:t>法定資本計提目的之交易台是明確定義的一群交易員或交易帳戶且交易帳戶為可觀察之清楚明確的交易活動單位。</w:t>
      </w:r>
    </w:p>
    <w:p w14:paraId="72DD4AB8" w14:textId="77777777" w:rsidR="001A59DF" w:rsidRPr="00CA1A43" w:rsidRDefault="001A59DF" w:rsidP="00605B1D">
      <w:pPr>
        <w:pStyle w:val="a7"/>
        <w:numPr>
          <w:ilvl w:val="0"/>
          <w:numId w:val="26"/>
        </w:numPr>
        <w:spacing w:beforeLines="50" w:before="180"/>
        <w:ind w:leftChars="0" w:left="1446" w:hanging="482"/>
        <w:jc w:val="both"/>
        <w:rPr>
          <w:rFonts w:eastAsia="標楷體" w:cstheme="minorHAnsi"/>
        </w:rPr>
      </w:pPr>
      <w:r w:rsidRPr="00CA1A43">
        <w:rPr>
          <w:rFonts w:eastAsia="標楷體" w:cstheme="minorHAnsi"/>
        </w:rPr>
        <w:t>各交易台必須有一個交易主管，至多可以有兩個交易主管，前提是彼此之間的角色、職責和權限要明確劃分，或最終由某一個交易主管監督另一個交易主管。</w:t>
      </w:r>
    </w:p>
    <w:p w14:paraId="2E886516" w14:textId="77777777" w:rsidR="001A59DF" w:rsidRPr="00CA1A43" w:rsidRDefault="001A59DF" w:rsidP="00605B1D">
      <w:pPr>
        <w:pStyle w:val="a7"/>
        <w:numPr>
          <w:ilvl w:val="0"/>
          <w:numId w:val="27"/>
        </w:numPr>
        <w:spacing w:beforeLines="50" w:before="180"/>
        <w:ind w:leftChars="0"/>
        <w:jc w:val="both"/>
        <w:rPr>
          <w:rFonts w:eastAsia="標楷體" w:cstheme="minorHAnsi"/>
        </w:rPr>
      </w:pPr>
      <w:r w:rsidRPr="00CA1A43">
        <w:rPr>
          <w:rFonts w:eastAsia="標楷體" w:cstheme="minorHAnsi"/>
        </w:rPr>
        <w:t>交易主管必須直接監督交易員或交易帳戶。</w:t>
      </w:r>
    </w:p>
    <w:p w14:paraId="419ADABA" w14:textId="77777777" w:rsidR="001A59DF" w:rsidRPr="00CA1A43" w:rsidRDefault="001A59DF" w:rsidP="00605B1D">
      <w:pPr>
        <w:pStyle w:val="a7"/>
        <w:numPr>
          <w:ilvl w:val="0"/>
          <w:numId w:val="27"/>
        </w:numPr>
        <w:spacing w:beforeLines="50" w:before="180"/>
        <w:ind w:leftChars="0"/>
        <w:jc w:val="both"/>
        <w:rPr>
          <w:rFonts w:eastAsia="標楷體" w:cstheme="minorHAnsi"/>
        </w:rPr>
      </w:pPr>
      <w:r w:rsidRPr="00CA1A43">
        <w:rPr>
          <w:rFonts w:eastAsia="標楷體" w:cstheme="minorHAnsi"/>
        </w:rPr>
        <w:t>交易台中每</w:t>
      </w:r>
      <w:proofErr w:type="gramStart"/>
      <w:r w:rsidRPr="00CA1A43">
        <w:rPr>
          <w:rFonts w:eastAsia="標楷體" w:cstheme="minorHAnsi"/>
        </w:rPr>
        <w:t>個</w:t>
      </w:r>
      <w:proofErr w:type="gramEnd"/>
      <w:r w:rsidRPr="00CA1A43">
        <w:rPr>
          <w:rFonts w:eastAsia="標楷體" w:cstheme="minorHAnsi"/>
        </w:rPr>
        <w:t>交易員或交易帳戶必須有明確的功能或職掌。</w:t>
      </w:r>
    </w:p>
    <w:p w14:paraId="6CC5F453" w14:textId="77777777" w:rsidR="001A59DF" w:rsidRPr="00CA1A43" w:rsidRDefault="001A59DF" w:rsidP="00605B1D">
      <w:pPr>
        <w:pStyle w:val="a7"/>
        <w:numPr>
          <w:ilvl w:val="0"/>
          <w:numId w:val="26"/>
        </w:numPr>
        <w:spacing w:beforeLines="50" w:before="180"/>
        <w:ind w:leftChars="0" w:left="1446" w:hanging="482"/>
        <w:jc w:val="both"/>
        <w:rPr>
          <w:rFonts w:eastAsia="標楷體" w:cstheme="minorHAnsi"/>
        </w:rPr>
      </w:pPr>
      <w:r w:rsidRPr="00CA1A43">
        <w:rPr>
          <w:rFonts w:eastAsia="標楷體" w:cstheme="minorHAnsi"/>
        </w:rPr>
        <w:t>每一個交易帳戶僅能被歸入一個交易台。交易台必須具有與其預先建立目標一致的明確風險範疇。此範疇應包含交易台整體風險類別且被允許的風險因子之詳細說明。</w:t>
      </w:r>
    </w:p>
    <w:p w14:paraId="013AFD6E" w14:textId="77777777" w:rsidR="001A59DF" w:rsidRPr="00CA1A43" w:rsidRDefault="001A59DF" w:rsidP="00605B1D">
      <w:pPr>
        <w:pStyle w:val="a7"/>
        <w:numPr>
          <w:ilvl w:val="0"/>
          <w:numId w:val="26"/>
        </w:numPr>
        <w:spacing w:beforeLines="50" w:before="180"/>
        <w:ind w:leftChars="0" w:left="1446" w:hanging="482"/>
        <w:jc w:val="both"/>
        <w:rPr>
          <w:rFonts w:eastAsia="標楷體" w:cstheme="minorHAnsi"/>
        </w:rPr>
      </w:pPr>
      <w:r w:rsidRPr="00CA1A43">
        <w:rPr>
          <w:rFonts w:eastAsia="標楷體" w:cstheme="minorHAnsi"/>
        </w:rPr>
        <w:t>各交易員</w:t>
      </w:r>
      <w:r w:rsidRPr="00CA1A43">
        <w:rPr>
          <w:rFonts w:eastAsia="標楷體" w:cstheme="minorHAnsi"/>
        </w:rPr>
        <w:t>(</w:t>
      </w:r>
      <w:r w:rsidRPr="00CA1A43">
        <w:rPr>
          <w:rFonts w:eastAsia="標楷體" w:cstheme="minorHAnsi"/>
        </w:rPr>
        <w:t>及交易主管</w:t>
      </w:r>
      <w:r w:rsidRPr="00CA1A43">
        <w:rPr>
          <w:rFonts w:eastAsia="標楷體" w:cstheme="minorHAnsi"/>
        </w:rPr>
        <w:t>)</w:t>
      </w:r>
      <w:r w:rsidRPr="00CA1A43">
        <w:rPr>
          <w:rFonts w:eastAsia="標楷體" w:cstheme="minorHAnsi"/>
        </w:rPr>
        <w:t>僅能被歸入一個交易台。但銀行基於健全管理，業務和</w:t>
      </w:r>
      <w:r w:rsidRPr="00CA1A43">
        <w:rPr>
          <w:rFonts w:eastAsia="標楷體" w:cstheme="minorHAnsi"/>
        </w:rPr>
        <w:t>/</w:t>
      </w:r>
      <w:r w:rsidRPr="00CA1A43">
        <w:rPr>
          <w:rFonts w:eastAsia="標楷體" w:cstheme="minorHAnsi"/>
        </w:rPr>
        <w:t>或資源分配之原因，則可指定個別交易員在多個交易台工作。惟此類指定不能僅因為要避免其他交易台之需求（例如，優化回溯測試和損益歸因測試中成功的可能性）。</w:t>
      </w:r>
    </w:p>
    <w:p w14:paraId="4F192061" w14:textId="77777777" w:rsidR="001A59DF" w:rsidRPr="00CA1A43" w:rsidRDefault="001A59DF" w:rsidP="00605B1D">
      <w:pPr>
        <w:pStyle w:val="a7"/>
        <w:numPr>
          <w:ilvl w:val="0"/>
          <w:numId w:val="26"/>
        </w:numPr>
        <w:spacing w:beforeLines="50" w:before="180"/>
        <w:ind w:leftChars="0" w:left="1446" w:hanging="482"/>
        <w:jc w:val="both"/>
        <w:rPr>
          <w:rFonts w:eastAsia="標楷體" w:cstheme="minorHAnsi"/>
        </w:rPr>
      </w:pPr>
      <w:r w:rsidRPr="00CA1A43">
        <w:rPr>
          <w:rFonts w:eastAsia="標楷體" w:cstheme="minorHAnsi"/>
        </w:rPr>
        <w:t>交易台必須有清楚報告至高階管理層之流程，而且必須有一</w:t>
      </w:r>
      <w:proofErr w:type="gramStart"/>
      <w:r w:rsidRPr="00CA1A43">
        <w:rPr>
          <w:rFonts w:eastAsia="標楷體" w:cstheme="minorHAnsi"/>
        </w:rPr>
        <w:t>清楚的</w:t>
      </w:r>
      <w:proofErr w:type="gramEnd"/>
      <w:r w:rsidRPr="00CA1A43">
        <w:rPr>
          <w:rFonts w:eastAsia="標楷體" w:cstheme="minorHAnsi"/>
        </w:rPr>
        <w:t>、正式的且明確與交易台籌設目的相連</w:t>
      </w:r>
      <w:proofErr w:type="gramStart"/>
      <w:r w:rsidRPr="00CA1A43">
        <w:rPr>
          <w:rFonts w:eastAsia="標楷體" w:cstheme="minorHAnsi"/>
        </w:rPr>
        <w:t>的獎酬政策</w:t>
      </w:r>
      <w:proofErr w:type="gramEnd"/>
      <w:r w:rsidRPr="00CA1A43">
        <w:rPr>
          <w:rFonts w:eastAsia="標楷體" w:cstheme="minorHAnsi"/>
        </w:rPr>
        <w:t>。</w:t>
      </w:r>
    </w:p>
    <w:p w14:paraId="11FC04A8" w14:textId="77777777" w:rsidR="001A59DF" w:rsidRPr="00CA1A43" w:rsidRDefault="001A59DF" w:rsidP="00605B1D">
      <w:pPr>
        <w:pStyle w:val="a7"/>
        <w:numPr>
          <w:ilvl w:val="0"/>
          <w:numId w:val="25"/>
        </w:numPr>
        <w:spacing w:beforeLines="50" w:before="180"/>
        <w:ind w:leftChars="0" w:left="964" w:hanging="482"/>
        <w:jc w:val="both"/>
        <w:rPr>
          <w:rFonts w:eastAsia="標楷體" w:cstheme="minorHAnsi"/>
        </w:rPr>
      </w:pPr>
      <w:r w:rsidRPr="00CA1A43">
        <w:rPr>
          <w:rFonts w:eastAsia="標楷體" w:cstheme="minorHAnsi"/>
        </w:rPr>
        <w:t>交易台的經營策略</w:t>
      </w:r>
    </w:p>
    <w:p w14:paraId="0C4B50B0" w14:textId="77777777" w:rsidR="001A59DF" w:rsidRPr="00CA1A43" w:rsidRDefault="001A59DF" w:rsidP="00271242">
      <w:pPr>
        <w:spacing w:beforeLines="50" w:before="180"/>
        <w:ind w:left="964"/>
        <w:jc w:val="both"/>
        <w:rPr>
          <w:rFonts w:eastAsia="標楷體" w:cstheme="minorHAnsi"/>
        </w:rPr>
      </w:pPr>
      <w:proofErr w:type="gramStart"/>
      <w:r w:rsidRPr="00CA1A43">
        <w:rPr>
          <w:rFonts w:eastAsia="標楷體" w:cstheme="minorHAnsi"/>
        </w:rPr>
        <w:t>交易台須訂</w:t>
      </w:r>
      <w:proofErr w:type="gramEnd"/>
      <w:r w:rsidRPr="00CA1A43">
        <w:rPr>
          <w:rFonts w:eastAsia="標楷體" w:cstheme="minorHAnsi"/>
        </w:rPr>
        <w:t>有經銀行高階管理階層核定之明確定義經營策略，主要包含業務策略、年度預算及日常管理資訊報告。</w:t>
      </w:r>
    </w:p>
    <w:p w14:paraId="4063377F" w14:textId="77777777" w:rsidR="001A59DF" w:rsidRPr="00CA1A43" w:rsidRDefault="001A59DF" w:rsidP="00605B1D">
      <w:pPr>
        <w:pStyle w:val="a7"/>
        <w:numPr>
          <w:ilvl w:val="0"/>
          <w:numId w:val="28"/>
        </w:numPr>
        <w:spacing w:beforeLines="50" w:before="180"/>
        <w:ind w:leftChars="0" w:left="1446" w:hanging="482"/>
        <w:jc w:val="both"/>
        <w:rPr>
          <w:rFonts w:eastAsia="標楷體" w:cstheme="minorHAnsi"/>
        </w:rPr>
      </w:pPr>
      <w:r w:rsidRPr="00CA1A43">
        <w:rPr>
          <w:rFonts w:eastAsia="標楷體" w:cstheme="minorHAnsi"/>
        </w:rPr>
        <w:t>交易台業務策略應包含但不限於經濟本質、主要活動和交易</w:t>
      </w:r>
      <w:r w:rsidRPr="00CA1A43">
        <w:rPr>
          <w:rFonts w:eastAsia="標楷體" w:cstheme="minorHAnsi"/>
        </w:rPr>
        <w:t>/</w:t>
      </w:r>
      <w:r w:rsidRPr="00CA1A43">
        <w:rPr>
          <w:rFonts w:eastAsia="標楷體" w:cstheme="minorHAnsi"/>
        </w:rPr>
        <w:t>避險策略。</w:t>
      </w:r>
    </w:p>
    <w:p w14:paraId="3954C885" w14:textId="77777777" w:rsidR="001A59DF" w:rsidRPr="00CA1A43" w:rsidRDefault="001A59DF" w:rsidP="00605B1D">
      <w:pPr>
        <w:pStyle w:val="a7"/>
        <w:numPr>
          <w:ilvl w:val="0"/>
          <w:numId w:val="29"/>
        </w:numPr>
        <w:spacing w:beforeLines="50" w:before="180"/>
        <w:ind w:leftChars="0"/>
        <w:jc w:val="both"/>
        <w:rPr>
          <w:rFonts w:eastAsia="標楷體" w:cstheme="minorHAnsi"/>
        </w:rPr>
      </w:pPr>
      <w:r w:rsidRPr="00CA1A43">
        <w:rPr>
          <w:rFonts w:eastAsia="標楷體" w:cstheme="minorHAnsi"/>
        </w:rPr>
        <w:t>經濟本質：如策略背後的經濟本質</w:t>
      </w:r>
      <w:r w:rsidRPr="00CA1A43">
        <w:rPr>
          <w:rFonts w:eastAsia="標楷體" w:cstheme="minorHAnsi"/>
        </w:rPr>
        <w:t>(</w:t>
      </w:r>
      <w:r w:rsidRPr="00CA1A43">
        <w:rPr>
          <w:rFonts w:eastAsia="標楷體" w:cstheme="minorHAnsi"/>
        </w:rPr>
        <w:t>例如針對</w:t>
      </w:r>
      <w:proofErr w:type="gramStart"/>
      <w:r w:rsidRPr="00CA1A43">
        <w:rPr>
          <w:rFonts w:eastAsia="標楷體" w:cstheme="minorHAnsi"/>
        </w:rPr>
        <w:t>殖</w:t>
      </w:r>
      <w:proofErr w:type="gramEnd"/>
      <w:r w:rsidRPr="00CA1A43">
        <w:rPr>
          <w:rFonts w:eastAsia="標楷體" w:cstheme="minorHAnsi"/>
        </w:rPr>
        <w:t>利率曲線形狀進行交易</w:t>
      </w:r>
      <w:r w:rsidRPr="00CA1A43">
        <w:rPr>
          <w:rFonts w:eastAsia="標楷體" w:cstheme="minorHAnsi"/>
        </w:rPr>
        <w:t>)</w:t>
      </w:r>
      <w:r w:rsidRPr="00CA1A43">
        <w:rPr>
          <w:rFonts w:eastAsia="標楷體" w:cstheme="minorHAnsi"/>
        </w:rPr>
        <w:t>、交易活動不同導向之比率、交易活動是否涉及原始交易和組合式交易，或接單執行服務。</w:t>
      </w:r>
    </w:p>
    <w:p w14:paraId="049D77CD" w14:textId="6CB50264" w:rsidR="001A59DF" w:rsidRPr="00CA1A43" w:rsidRDefault="001A59DF" w:rsidP="00605B1D">
      <w:pPr>
        <w:pStyle w:val="a7"/>
        <w:numPr>
          <w:ilvl w:val="0"/>
          <w:numId w:val="29"/>
        </w:numPr>
        <w:spacing w:beforeLines="50" w:before="180"/>
        <w:ind w:leftChars="0"/>
        <w:jc w:val="both"/>
        <w:rPr>
          <w:rFonts w:eastAsia="標楷體" w:cstheme="minorHAnsi"/>
        </w:rPr>
      </w:pPr>
      <w:r w:rsidRPr="00CA1A43">
        <w:rPr>
          <w:rFonts w:eastAsia="標楷體" w:cstheme="minorHAnsi"/>
        </w:rPr>
        <w:t>主要活動：如可</w:t>
      </w:r>
      <w:proofErr w:type="gramStart"/>
      <w:r w:rsidRPr="00CA1A43">
        <w:rPr>
          <w:rFonts w:eastAsia="標楷體" w:cstheme="minorHAnsi"/>
        </w:rPr>
        <w:t>承作</w:t>
      </w:r>
      <w:proofErr w:type="gramEnd"/>
      <w:r w:rsidR="009653EE" w:rsidRPr="007417BA">
        <w:rPr>
          <w:rFonts w:eastAsia="標楷體" w:cstheme="minorHAnsi"/>
        </w:rPr>
        <w:t>工具</w:t>
      </w:r>
      <w:r w:rsidRPr="007417BA">
        <w:rPr>
          <w:rFonts w:eastAsia="標楷體" w:cstheme="minorHAnsi"/>
        </w:rPr>
        <w:t>清冊以及主要交易的</w:t>
      </w:r>
      <w:r w:rsidR="009653EE" w:rsidRPr="007417BA">
        <w:rPr>
          <w:rFonts w:eastAsia="標楷體" w:cstheme="minorHAnsi"/>
        </w:rPr>
        <w:t>工具</w:t>
      </w:r>
      <w:r w:rsidRPr="007417BA">
        <w:rPr>
          <w:rFonts w:eastAsia="標楷體" w:cstheme="minorHAnsi"/>
        </w:rPr>
        <w:t>。</w:t>
      </w:r>
    </w:p>
    <w:p w14:paraId="2809B303" w14:textId="77777777" w:rsidR="001A59DF" w:rsidRPr="00CA1A43" w:rsidRDefault="001A59DF" w:rsidP="00605B1D">
      <w:pPr>
        <w:pStyle w:val="a7"/>
        <w:numPr>
          <w:ilvl w:val="0"/>
          <w:numId w:val="29"/>
        </w:numPr>
        <w:spacing w:beforeLines="50" w:before="180"/>
        <w:ind w:leftChars="0"/>
        <w:jc w:val="both"/>
        <w:rPr>
          <w:rFonts w:eastAsia="標楷體" w:cstheme="minorHAnsi"/>
        </w:rPr>
      </w:pPr>
      <w:r w:rsidRPr="00CA1A43">
        <w:rPr>
          <w:rFonts w:eastAsia="標楷體" w:cstheme="minorHAnsi"/>
        </w:rPr>
        <w:lastRenderedPageBreak/>
        <w:t>交易</w:t>
      </w:r>
      <w:r w:rsidRPr="00CA1A43">
        <w:rPr>
          <w:rFonts w:eastAsia="標楷體" w:cstheme="minorHAnsi"/>
        </w:rPr>
        <w:t>/</w:t>
      </w:r>
      <w:r w:rsidRPr="00CA1A43">
        <w:rPr>
          <w:rFonts w:eastAsia="標楷體" w:cstheme="minorHAnsi"/>
        </w:rPr>
        <w:t>避險策略：如交易標的避險方式、預估之價格差異、避險匹配情形及預期部位持有期間。</w:t>
      </w:r>
    </w:p>
    <w:p w14:paraId="17255521" w14:textId="77777777" w:rsidR="001A59DF" w:rsidRPr="00CA1A43" w:rsidRDefault="001A59DF" w:rsidP="00605B1D">
      <w:pPr>
        <w:pStyle w:val="a7"/>
        <w:numPr>
          <w:ilvl w:val="0"/>
          <w:numId w:val="28"/>
        </w:numPr>
        <w:spacing w:beforeLines="50" w:before="180"/>
        <w:ind w:leftChars="0" w:left="1446" w:hanging="482"/>
        <w:jc w:val="both"/>
        <w:rPr>
          <w:rFonts w:eastAsia="標楷體" w:cstheme="minorHAnsi"/>
        </w:rPr>
      </w:pPr>
      <w:r w:rsidRPr="00CA1A43">
        <w:rPr>
          <w:rFonts w:eastAsia="標楷體" w:cstheme="minorHAnsi"/>
        </w:rPr>
        <w:t>交易台需有關預算及人力編制</w:t>
      </w:r>
      <w:r w:rsidRPr="00CA1A43">
        <w:rPr>
          <w:rFonts w:eastAsia="標楷體" w:cstheme="minorHAnsi"/>
        </w:rPr>
        <w:t>(</w:t>
      </w:r>
      <w:r w:rsidRPr="00CA1A43">
        <w:rPr>
          <w:rFonts w:eastAsia="標楷體" w:cstheme="minorHAnsi"/>
        </w:rPr>
        <w:t>含交易主管</w:t>
      </w:r>
      <w:r w:rsidRPr="00CA1A43">
        <w:rPr>
          <w:rFonts w:eastAsia="標楷體" w:cstheme="minorHAnsi"/>
        </w:rPr>
        <w:t>)</w:t>
      </w:r>
      <w:r w:rsidRPr="00CA1A43">
        <w:rPr>
          <w:rFonts w:eastAsia="標楷體" w:cstheme="minorHAnsi"/>
        </w:rPr>
        <w:t>的明確年度計畫。</w:t>
      </w:r>
    </w:p>
    <w:p w14:paraId="0E3FA111" w14:textId="77777777" w:rsidR="001A59DF" w:rsidRPr="00CA1A43" w:rsidRDefault="001A59DF" w:rsidP="00605B1D">
      <w:pPr>
        <w:pStyle w:val="a7"/>
        <w:numPr>
          <w:ilvl w:val="0"/>
          <w:numId w:val="28"/>
        </w:numPr>
        <w:spacing w:beforeLines="50" w:before="180"/>
        <w:ind w:leftChars="0" w:left="1446" w:hanging="482"/>
        <w:jc w:val="both"/>
        <w:rPr>
          <w:rFonts w:eastAsia="標楷體" w:cstheme="minorHAnsi"/>
        </w:rPr>
      </w:pPr>
      <w:r w:rsidRPr="00CA1A43">
        <w:rPr>
          <w:rFonts w:eastAsia="標楷體" w:cstheme="minorHAnsi"/>
        </w:rPr>
        <w:t>日常管理資訊報告應涵蓋交易台收益、成本和加權風險性資產等項目。</w:t>
      </w:r>
    </w:p>
    <w:p w14:paraId="3A12C6FE" w14:textId="77777777" w:rsidR="001A59DF" w:rsidRPr="00CA1A43" w:rsidRDefault="001A59DF" w:rsidP="00605B1D">
      <w:pPr>
        <w:pStyle w:val="a7"/>
        <w:numPr>
          <w:ilvl w:val="0"/>
          <w:numId w:val="25"/>
        </w:numPr>
        <w:spacing w:beforeLines="50" w:before="180"/>
        <w:ind w:leftChars="0" w:left="964" w:hanging="482"/>
        <w:jc w:val="both"/>
        <w:rPr>
          <w:rFonts w:eastAsia="標楷體" w:cstheme="minorHAnsi"/>
        </w:rPr>
      </w:pPr>
      <w:r w:rsidRPr="00CA1A43">
        <w:rPr>
          <w:rFonts w:eastAsia="標楷體" w:cstheme="minorHAnsi"/>
        </w:rPr>
        <w:t>交易台的風險管理機制。</w:t>
      </w:r>
    </w:p>
    <w:p w14:paraId="7D68D27D" w14:textId="77777777" w:rsidR="001A59DF" w:rsidRPr="00CA1A43" w:rsidRDefault="001A59DF" w:rsidP="00605B1D">
      <w:pPr>
        <w:pStyle w:val="a7"/>
        <w:numPr>
          <w:ilvl w:val="0"/>
          <w:numId w:val="30"/>
        </w:numPr>
        <w:spacing w:beforeLines="50" w:before="180"/>
        <w:ind w:leftChars="0" w:left="1446" w:hanging="482"/>
        <w:jc w:val="both"/>
        <w:rPr>
          <w:rFonts w:eastAsia="標楷體" w:cstheme="minorHAnsi"/>
        </w:rPr>
      </w:pPr>
      <w:r w:rsidRPr="00CA1A43">
        <w:rPr>
          <w:rFonts w:eastAsia="標楷體" w:cstheme="minorHAnsi"/>
        </w:rPr>
        <w:t>銀行須能辨識並</w:t>
      </w:r>
      <w:proofErr w:type="gramStart"/>
      <w:r w:rsidRPr="00CA1A43">
        <w:rPr>
          <w:rFonts w:eastAsia="標楷體" w:cstheme="minorHAnsi"/>
        </w:rPr>
        <w:t>釐</w:t>
      </w:r>
      <w:proofErr w:type="gramEnd"/>
      <w:r w:rsidRPr="00CA1A43">
        <w:rPr>
          <w:rFonts w:eastAsia="標楷體" w:cstheme="minorHAnsi"/>
        </w:rPr>
        <w:t>清關鍵群體及人員之責任，以監督該交易台之風險承擔活動。</w:t>
      </w:r>
    </w:p>
    <w:p w14:paraId="39600BE8" w14:textId="77777777" w:rsidR="001A59DF" w:rsidRPr="00CA1A43" w:rsidRDefault="001A59DF" w:rsidP="00605B1D">
      <w:pPr>
        <w:pStyle w:val="a7"/>
        <w:numPr>
          <w:ilvl w:val="0"/>
          <w:numId w:val="30"/>
        </w:numPr>
        <w:spacing w:beforeLines="50" w:before="180"/>
        <w:ind w:leftChars="0" w:left="1446" w:hanging="482"/>
        <w:jc w:val="both"/>
        <w:rPr>
          <w:rFonts w:eastAsia="標楷體" w:cstheme="minorHAnsi"/>
        </w:rPr>
      </w:pPr>
      <w:r w:rsidRPr="00CA1A43">
        <w:rPr>
          <w:rFonts w:eastAsia="標楷體" w:cstheme="minorHAnsi"/>
        </w:rPr>
        <w:t>基於交易台經營策略而設定之交易限額。前述限額必須至少每年由銀行高階管理階層檢視。限額設定應包含下列項目：</w:t>
      </w:r>
    </w:p>
    <w:p w14:paraId="34B59EEB" w14:textId="77777777" w:rsidR="001A59DF" w:rsidRPr="00CA1A43" w:rsidRDefault="001A59DF" w:rsidP="00605B1D">
      <w:pPr>
        <w:pStyle w:val="a7"/>
        <w:numPr>
          <w:ilvl w:val="0"/>
          <w:numId w:val="31"/>
        </w:numPr>
        <w:spacing w:beforeLines="50" w:before="180"/>
        <w:ind w:leftChars="0"/>
        <w:jc w:val="both"/>
        <w:rPr>
          <w:rFonts w:eastAsia="標楷體" w:cstheme="minorHAnsi"/>
        </w:rPr>
      </w:pPr>
      <w:r w:rsidRPr="00CA1A43">
        <w:rPr>
          <w:rFonts w:eastAsia="標楷體" w:cstheme="minorHAnsi"/>
        </w:rPr>
        <w:t>根據合適市場風險衡量標準設定之交易台</w:t>
      </w:r>
      <w:proofErr w:type="gramStart"/>
      <w:r w:rsidRPr="00CA1A43">
        <w:rPr>
          <w:rFonts w:eastAsia="標楷體" w:cstheme="minorHAnsi"/>
        </w:rPr>
        <w:t>層級暴險方向</w:t>
      </w:r>
      <w:proofErr w:type="gramEnd"/>
      <w:r w:rsidRPr="00CA1A43">
        <w:rPr>
          <w:rFonts w:eastAsia="標楷體" w:cstheme="minorHAnsi"/>
        </w:rPr>
        <w:t>(</w:t>
      </w:r>
      <w:r w:rsidRPr="00CA1A43">
        <w:rPr>
          <w:rFonts w:eastAsia="標楷體" w:cstheme="minorHAnsi"/>
        </w:rPr>
        <w:t>例如信用交易台採用信用價差敏感性及</w:t>
      </w:r>
      <w:r w:rsidRPr="00CA1A43">
        <w:rPr>
          <w:rFonts w:eastAsia="標楷體" w:cstheme="minorHAnsi"/>
        </w:rPr>
        <w:t>/</w:t>
      </w:r>
      <w:r w:rsidRPr="00CA1A43">
        <w:rPr>
          <w:rFonts w:eastAsia="標楷體" w:cstheme="minorHAnsi"/>
        </w:rPr>
        <w:t>或瞬間違約風險</w:t>
      </w:r>
      <w:r w:rsidRPr="00CA1A43">
        <w:rPr>
          <w:rFonts w:eastAsia="標楷體" w:cstheme="minorHAnsi"/>
        </w:rPr>
        <w:t>(JTD))</w:t>
      </w:r>
      <w:r w:rsidRPr="00CA1A43">
        <w:rPr>
          <w:rFonts w:eastAsia="標楷體" w:cstheme="minorHAnsi"/>
        </w:rPr>
        <w:t>，或整體名目本金額度。</w:t>
      </w:r>
    </w:p>
    <w:p w14:paraId="369E7CD5" w14:textId="77777777" w:rsidR="001A59DF" w:rsidRPr="00CA1A43" w:rsidRDefault="001A59DF" w:rsidP="00605B1D">
      <w:pPr>
        <w:pStyle w:val="a7"/>
        <w:numPr>
          <w:ilvl w:val="0"/>
          <w:numId w:val="31"/>
        </w:numPr>
        <w:spacing w:beforeLines="50" w:before="180"/>
        <w:ind w:leftChars="0"/>
        <w:jc w:val="both"/>
        <w:rPr>
          <w:rFonts w:eastAsia="標楷體" w:cstheme="minorHAnsi"/>
        </w:rPr>
      </w:pPr>
      <w:r w:rsidRPr="00CA1A43">
        <w:rPr>
          <w:rFonts w:eastAsia="標楷體" w:cstheme="minorHAnsi"/>
        </w:rPr>
        <w:t>明確定義的交易員授權。</w:t>
      </w:r>
    </w:p>
    <w:p w14:paraId="7927BA96" w14:textId="77777777" w:rsidR="001A59DF" w:rsidRPr="00CA1A43" w:rsidRDefault="001A59DF" w:rsidP="00605B1D">
      <w:pPr>
        <w:pStyle w:val="a7"/>
        <w:numPr>
          <w:ilvl w:val="0"/>
          <w:numId w:val="30"/>
        </w:numPr>
        <w:spacing w:beforeLines="50" w:before="180"/>
        <w:ind w:leftChars="0" w:left="1446" w:hanging="482"/>
        <w:jc w:val="both"/>
        <w:rPr>
          <w:rFonts w:eastAsia="標楷體" w:cstheme="minorHAnsi"/>
        </w:rPr>
      </w:pPr>
      <w:r w:rsidRPr="00CA1A43">
        <w:rPr>
          <w:rFonts w:eastAsia="標楷體" w:cstheme="minorHAnsi"/>
        </w:rPr>
        <w:t>交易台至少須每週一次產出適當的風險管理報告，至少須包括：</w:t>
      </w:r>
    </w:p>
    <w:p w14:paraId="042E0A13" w14:textId="77777777" w:rsidR="001A59DF" w:rsidRPr="00CA1A43" w:rsidRDefault="001A59DF" w:rsidP="00605B1D">
      <w:pPr>
        <w:pStyle w:val="a7"/>
        <w:numPr>
          <w:ilvl w:val="0"/>
          <w:numId w:val="32"/>
        </w:numPr>
        <w:spacing w:beforeLines="50" w:before="180"/>
        <w:ind w:leftChars="0"/>
        <w:jc w:val="both"/>
        <w:rPr>
          <w:rFonts w:eastAsia="標楷體" w:cstheme="minorHAnsi"/>
        </w:rPr>
      </w:pPr>
      <w:r w:rsidRPr="00CA1A43">
        <w:rPr>
          <w:rFonts w:eastAsia="標楷體" w:cstheme="minorHAnsi"/>
        </w:rPr>
        <w:t>損益報告，並應定期檢視、驗證並視需求修正。</w:t>
      </w:r>
    </w:p>
    <w:p w14:paraId="75453EDC" w14:textId="77777777" w:rsidR="001A59DF" w:rsidRPr="00CA1A43" w:rsidRDefault="001A59DF" w:rsidP="00605B1D">
      <w:pPr>
        <w:pStyle w:val="a7"/>
        <w:numPr>
          <w:ilvl w:val="0"/>
          <w:numId w:val="32"/>
        </w:numPr>
        <w:spacing w:beforeLines="50" w:before="180"/>
        <w:ind w:leftChars="0"/>
        <w:jc w:val="both"/>
        <w:rPr>
          <w:rFonts w:eastAsia="標楷體" w:cstheme="minorHAnsi"/>
        </w:rPr>
      </w:pPr>
      <w:r w:rsidRPr="00CA1A43">
        <w:rPr>
          <w:rFonts w:eastAsia="標楷體" w:cstheme="minorHAnsi"/>
        </w:rPr>
        <w:t>風險衡量報告，報告內容包括但不限於交易台風險值及預期短缺，交易台風險值及預期短缺對應各風險因子之敏感度，回溯測試及統計</w:t>
      </w:r>
      <w:r w:rsidRPr="00CA1A43">
        <w:rPr>
          <w:rFonts w:eastAsia="標楷體" w:cstheme="minorHAnsi"/>
        </w:rPr>
        <w:t>P</w:t>
      </w:r>
      <w:r w:rsidRPr="00CA1A43">
        <w:rPr>
          <w:rFonts w:eastAsia="標楷體" w:cstheme="minorHAnsi"/>
        </w:rPr>
        <w:t>值。</w:t>
      </w:r>
    </w:p>
    <w:p w14:paraId="7C897474" w14:textId="77777777" w:rsidR="001A59DF" w:rsidRPr="00CA1A43" w:rsidRDefault="001A59DF" w:rsidP="00605B1D">
      <w:pPr>
        <w:pStyle w:val="a7"/>
        <w:numPr>
          <w:ilvl w:val="0"/>
          <w:numId w:val="23"/>
        </w:numPr>
        <w:spacing w:beforeLines="50" w:before="180"/>
        <w:ind w:leftChars="0" w:left="737" w:hanging="737"/>
        <w:jc w:val="both"/>
        <w:rPr>
          <w:rFonts w:eastAsia="標楷體" w:cstheme="minorHAnsi"/>
        </w:rPr>
      </w:pPr>
      <w:r w:rsidRPr="00CA1A43">
        <w:rPr>
          <w:rFonts w:eastAsia="標楷體" w:cstheme="minorHAnsi"/>
        </w:rPr>
        <w:t>交易台之相關規定</w:t>
      </w:r>
    </w:p>
    <w:p w14:paraId="40459421" w14:textId="77777777" w:rsidR="001A59DF" w:rsidRPr="00CA1A43" w:rsidRDefault="001A59DF" w:rsidP="00605B1D">
      <w:pPr>
        <w:pStyle w:val="a7"/>
        <w:numPr>
          <w:ilvl w:val="0"/>
          <w:numId w:val="33"/>
        </w:numPr>
        <w:spacing w:beforeLines="50" w:before="180"/>
        <w:ind w:leftChars="0" w:left="964" w:hanging="482"/>
        <w:jc w:val="both"/>
        <w:rPr>
          <w:rFonts w:eastAsia="標楷體" w:cstheme="minorHAnsi"/>
        </w:rPr>
      </w:pPr>
      <w:r w:rsidRPr="00CA1A43">
        <w:rPr>
          <w:rFonts w:eastAsia="標楷體" w:cstheme="minorHAnsi"/>
        </w:rPr>
        <w:t>對於交易台，銀行必須製作、評估，並備齊以下事項：</w:t>
      </w:r>
    </w:p>
    <w:p w14:paraId="485097EB" w14:textId="77777777" w:rsidR="001A59DF" w:rsidRPr="00CA1A43" w:rsidRDefault="001A59DF" w:rsidP="00605B1D">
      <w:pPr>
        <w:pStyle w:val="a7"/>
        <w:numPr>
          <w:ilvl w:val="0"/>
          <w:numId w:val="34"/>
        </w:numPr>
        <w:spacing w:beforeLines="50" w:before="180"/>
        <w:ind w:leftChars="0" w:left="1446" w:hanging="482"/>
        <w:jc w:val="both"/>
        <w:rPr>
          <w:rFonts w:eastAsia="標楷體" w:cstheme="minorHAnsi"/>
        </w:rPr>
      </w:pPr>
      <w:r w:rsidRPr="00CA1A43">
        <w:rPr>
          <w:rFonts w:eastAsia="標楷體" w:cstheme="minorHAnsi"/>
        </w:rPr>
        <w:t>有價證券之</w:t>
      </w:r>
      <w:proofErr w:type="gramStart"/>
      <w:r w:rsidRPr="00CA1A43">
        <w:rPr>
          <w:rFonts w:eastAsia="標楷體" w:cstheme="minorHAnsi"/>
        </w:rPr>
        <w:t>庫存帳齡分析</w:t>
      </w:r>
      <w:proofErr w:type="gramEnd"/>
      <w:r w:rsidRPr="00CA1A43">
        <w:rPr>
          <w:rFonts w:eastAsia="標楷體" w:cstheme="minorHAnsi"/>
        </w:rPr>
        <w:t>報告。</w:t>
      </w:r>
    </w:p>
    <w:p w14:paraId="56E0FBB8" w14:textId="77777777" w:rsidR="001A59DF" w:rsidRPr="00CA1A43" w:rsidRDefault="001A59DF" w:rsidP="00605B1D">
      <w:pPr>
        <w:pStyle w:val="a7"/>
        <w:numPr>
          <w:ilvl w:val="0"/>
          <w:numId w:val="34"/>
        </w:numPr>
        <w:spacing w:beforeLines="50" w:before="180"/>
        <w:ind w:leftChars="0" w:left="1446" w:hanging="482"/>
        <w:jc w:val="both"/>
        <w:rPr>
          <w:rFonts w:eastAsia="標楷體" w:cstheme="minorHAnsi"/>
        </w:rPr>
      </w:pPr>
      <w:r w:rsidRPr="00CA1A43">
        <w:rPr>
          <w:rFonts w:eastAsia="標楷體" w:cstheme="minorHAnsi"/>
        </w:rPr>
        <w:t>每日限額報告，</w:t>
      </w:r>
      <w:proofErr w:type="gramStart"/>
      <w:r w:rsidRPr="00CA1A43">
        <w:rPr>
          <w:rFonts w:eastAsia="標楷體" w:cstheme="minorHAnsi"/>
        </w:rPr>
        <w:t>包括暴險</w:t>
      </w:r>
      <w:proofErr w:type="gramEnd"/>
      <w:r w:rsidRPr="00CA1A43">
        <w:rPr>
          <w:rFonts w:eastAsia="標楷體" w:cstheme="minorHAnsi"/>
        </w:rPr>
        <w:t>、超限及後續措施。</w:t>
      </w:r>
    </w:p>
    <w:p w14:paraId="1025AA86" w14:textId="77777777" w:rsidR="001A59DF" w:rsidRPr="00CA1A43" w:rsidRDefault="001A59DF" w:rsidP="00605B1D">
      <w:pPr>
        <w:pStyle w:val="a7"/>
        <w:numPr>
          <w:ilvl w:val="0"/>
          <w:numId w:val="34"/>
        </w:numPr>
        <w:spacing w:beforeLines="50" w:before="180"/>
        <w:ind w:leftChars="0" w:left="1446" w:hanging="482"/>
        <w:jc w:val="both"/>
        <w:rPr>
          <w:rFonts w:eastAsia="標楷體" w:cstheme="minorHAnsi"/>
        </w:rPr>
      </w:pPr>
      <w:r w:rsidRPr="00CA1A43">
        <w:rPr>
          <w:rFonts w:eastAsia="標楷體" w:cstheme="minorHAnsi"/>
        </w:rPr>
        <w:t>日中交易</w:t>
      </w:r>
      <w:proofErr w:type="gramStart"/>
      <w:r w:rsidRPr="00CA1A43">
        <w:rPr>
          <w:rFonts w:eastAsia="標楷體" w:cstheme="minorHAnsi"/>
        </w:rPr>
        <w:t>活躍的</w:t>
      </w:r>
      <w:proofErr w:type="gramEnd"/>
      <w:r w:rsidRPr="00CA1A43">
        <w:rPr>
          <w:rFonts w:eastAsia="標楷體" w:cstheme="minorHAnsi"/>
        </w:rPr>
        <w:t>銀行有日中交易限額、個別使用率和超限報告。</w:t>
      </w:r>
    </w:p>
    <w:p w14:paraId="100B80A5" w14:textId="77777777" w:rsidR="001A59DF" w:rsidRPr="00CA1A43" w:rsidRDefault="001A59DF" w:rsidP="00605B1D">
      <w:pPr>
        <w:pStyle w:val="a7"/>
        <w:numPr>
          <w:ilvl w:val="0"/>
          <w:numId w:val="34"/>
        </w:numPr>
        <w:spacing w:beforeLines="50" w:before="180"/>
        <w:ind w:leftChars="0" w:left="1446" w:hanging="482"/>
        <w:jc w:val="both"/>
        <w:rPr>
          <w:rFonts w:eastAsia="標楷體" w:cstheme="minorHAnsi"/>
        </w:rPr>
      </w:pPr>
      <w:r w:rsidRPr="00CA1A43">
        <w:rPr>
          <w:rFonts w:eastAsia="標楷體" w:cstheme="minorHAnsi"/>
        </w:rPr>
        <w:t>市場流動性評估報告。</w:t>
      </w:r>
    </w:p>
    <w:p w14:paraId="2452E2A1" w14:textId="77777777" w:rsidR="001A59DF" w:rsidRPr="00CA1A43" w:rsidRDefault="001A59DF" w:rsidP="00605B1D">
      <w:pPr>
        <w:pStyle w:val="a7"/>
        <w:numPr>
          <w:ilvl w:val="0"/>
          <w:numId w:val="33"/>
        </w:numPr>
        <w:spacing w:beforeLines="50" w:before="180"/>
        <w:ind w:leftChars="0" w:left="964" w:hanging="482"/>
        <w:jc w:val="both"/>
        <w:rPr>
          <w:rFonts w:eastAsia="標楷體" w:cstheme="minorHAnsi"/>
        </w:rPr>
      </w:pPr>
      <w:r w:rsidRPr="00CA1A43">
        <w:rPr>
          <w:rFonts w:eastAsia="標楷體" w:cstheme="minorHAnsi"/>
        </w:rPr>
        <w:t>銀行針對持有被納入市場風險資本要求之銀行</w:t>
      </w:r>
      <w:proofErr w:type="gramStart"/>
      <w:r w:rsidRPr="00CA1A43">
        <w:rPr>
          <w:rFonts w:eastAsia="標楷體" w:cstheme="minorHAnsi"/>
        </w:rPr>
        <w:t>簿</w:t>
      </w:r>
      <w:proofErr w:type="gramEnd"/>
      <w:r w:rsidRPr="00CA1A43">
        <w:rPr>
          <w:rFonts w:eastAsia="標楷體" w:cstheme="minorHAnsi"/>
        </w:rPr>
        <w:t>外匯或商品，應視為交易台所持有的交易</w:t>
      </w:r>
      <w:proofErr w:type="gramStart"/>
      <w:r w:rsidRPr="00CA1A43">
        <w:rPr>
          <w:rFonts w:eastAsia="標楷體" w:cstheme="minorHAnsi"/>
        </w:rPr>
        <w:t>簿</w:t>
      </w:r>
      <w:proofErr w:type="gramEnd"/>
      <w:r w:rsidRPr="00CA1A43">
        <w:rPr>
          <w:rFonts w:eastAsia="標楷體" w:cstheme="minorHAnsi"/>
        </w:rPr>
        <w:t>部位。</w:t>
      </w:r>
    </w:p>
    <w:p w14:paraId="1ACD062B" w14:textId="77777777" w:rsidR="001A59DF" w:rsidRPr="00CA1A43" w:rsidRDefault="005013B7" w:rsidP="00605B1D">
      <w:pPr>
        <w:pStyle w:val="a7"/>
        <w:numPr>
          <w:ilvl w:val="0"/>
          <w:numId w:val="4"/>
        </w:numPr>
        <w:spacing w:beforeLines="50" w:before="180"/>
        <w:ind w:leftChars="0" w:left="567" w:hanging="567"/>
        <w:jc w:val="both"/>
        <w:outlineLvl w:val="0"/>
        <w:rPr>
          <w:rFonts w:eastAsia="標楷體" w:cstheme="minorHAnsi"/>
          <w:b/>
          <w:sz w:val="28"/>
          <w:szCs w:val="28"/>
        </w:rPr>
      </w:pPr>
      <w:bookmarkStart w:id="7" w:name="_Toc67992447"/>
      <w:r w:rsidRPr="00CA1A43">
        <w:rPr>
          <w:rFonts w:eastAsia="標楷體" w:cstheme="minorHAnsi"/>
          <w:b/>
          <w:sz w:val="28"/>
          <w:szCs w:val="28"/>
        </w:rPr>
        <w:t>內部風險移轉處理之相關規定</w:t>
      </w:r>
      <w:bookmarkEnd w:id="7"/>
    </w:p>
    <w:p w14:paraId="467264A1" w14:textId="77777777" w:rsidR="00786C64" w:rsidRPr="00CA1A43" w:rsidRDefault="00786C64" w:rsidP="00605B1D">
      <w:pPr>
        <w:pStyle w:val="a7"/>
        <w:numPr>
          <w:ilvl w:val="0"/>
          <w:numId w:val="35"/>
        </w:numPr>
        <w:spacing w:beforeLines="50" w:before="180"/>
        <w:ind w:leftChars="0" w:left="737" w:hanging="737"/>
        <w:jc w:val="both"/>
        <w:rPr>
          <w:rFonts w:eastAsia="標楷體" w:cstheme="minorHAnsi"/>
        </w:rPr>
      </w:pPr>
      <w:r w:rsidRPr="00CA1A43">
        <w:rPr>
          <w:rFonts w:eastAsia="標楷體" w:cstheme="minorHAnsi"/>
        </w:rPr>
        <w:lastRenderedPageBreak/>
        <w:t>內部風險移轉是指在銀行簿內、銀行簿和交易</w:t>
      </w:r>
      <w:proofErr w:type="gramStart"/>
      <w:r w:rsidRPr="00CA1A43">
        <w:rPr>
          <w:rFonts w:eastAsia="標楷體" w:cstheme="minorHAnsi"/>
        </w:rPr>
        <w:t>簿</w:t>
      </w:r>
      <w:proofErr w:type="gramEnd"/>
      <w:r w:rsidRPr="00CA1A43">
        <w:rPr>
          <w:rFonts w:eastAsia="標楷體" w:cstheme="minorHAnsi"/>
        </w:rPr>
        <w:t>間或交易簿內</w:t>
      </w:r>
      <w:r w:rsidRPr="00CA1A43">
        <w:rPr>
          <w:rFonts w:eastAsia="標楷體" w:cstheme="minorHAnsi"/>
        </w:rPr>
        <w:t>(</w:t>
      </w:r>
      <w:r w:rsidRPr="00CA1A43">
        <w:rPr>
          <w:rFonts w:eastAsia="標楷體" w:cstheme="minorHAnsi"/>
        </w:rPr>
        <w:t>不同交易台間</w:t>
      </w:r>
      <w:r w:rsidRPr="00CA1A43">
        <w:rPr>
          <w:rFonts w:eastAsia="標楷體" w:cstheme="minorHAnsi"/>
        </w:rPr>
        <w:t>)</w:t>
      </w:r>
      <w:r w:rsidRPr="00CA1A43">
        <w:rPr>
          <w:rFonts w:eastAsia="標楷體" w:cstheme="minorHAnsi"/>
        </w:rPr>
        <w:t>之移轉風險的內部書面紀錄。本計算說明</w:t>
      </w:r>
      <w:proofErr w:type="gramStart"/>
      <w:r w:rsidRPr="00CA1A43">
        <w:rPr>
          <w:rFonts w:eastAsia="標楷體" w:cstheme="minorHAnsi"/>
        </w:rPr>
        <w:t>不</w:t>
      </w:r>
      <w:proofErr w:type="gramEnd"/>
      <w:r w:rsidRPr="00CA1A43">
        <w:rPr>
          <w:rFonts w:eastAsia="標楷體" w:cstheme="minorHAnsi"/>
        </w:rPr>
        <w:t>考量</w:t>
      </w:r>
      <w:proofErr w:type="gramStart"/>
      <w:r w:rsidRPr="00CA1A43">
        <w:rPr>
          <w:rFonts w:eastAsia="標楷體" w:cstheme="minorHAnsi"/>
        </w:rPr>
        <w:t>交易簿至銀行</w:t>
      </w:r>
      <w:proofErr w:type="gramEnd"/>
      <w:r w:rsidRPr="00CA1A43">
        <w:rPr>
          <w:rFonts w:eastAsia="標楷體" w:cstheme="minorHAnsi"/>
        </w:rPr>
        <w:t>簿的內部風險移轉。</w:t>
      </w:r>
    </w:p>
    <w:p w14:paraId="2D8B597E" w14:textId="77777777" w:rsidR="00786C64" w:rsidRPr="00CA1A43" w:rsidRDefault="00786C64" w:rsidP="00605B1D">
      <w:pPr>
        <w:pStyle w:val="a7"/>
        <w:numPr>
          <w:ilvl w:val="0"/>
          <w:numId w:val="35"/>
        </w:numPr>
        <w:spacing w:beforeLines="50" w:before="180"/>
        <w:ind w:leftChars="0" w:left="737" w:hanging="737"/>
        <w:jc w:val="both"/>
        <w:rPr>
          <w:rFonts w:eastAsia="標楷體" w:cstheme="minorHAnsi"/>
        </w:rPr>
      </w:pPr>
      <w:proofErr w:type="gramStart"/>
      <w:r w:rsidRPr="00CA1A43">
        <w:rPr>
          <w:rFonts w:eastAsia="標楷體" w:cstheme="minorHAnsi"/>
        </w:rPr>
        <w:t>銀行簿至交易</w:t>
      </w:r>
      <w:proofErr w:type="gramEnd"/>
      <w:r w:rsidRPr="00CA1A43">
        <w:rPr>
          <w:rFonts w:eastAsia="標楷體" w:cstheme="minorHAnsi"/>
        </w:rPr>
        <w:t>簿的內部風險移轉適用下述規定。</w:t>
      </w:r>
    </w:p>
    <w:p w14:paraId="55F50AEB" w14:textId="77777777" w:rsidR="00E27B63" w:rsidRPr="00CA1A43" w:rsidRDefault="00E27B63" w:rsidP="00605B1D">
      <w:pPr>
        <w:pStyle w:val="a7"/>
        <w:numPr>
          <w:ilvl w:val="0"/>
          <w:numId w:val="36"/>
        </w:numPr>
        <w:spacing w:beforeLines="50" w:before="180"/>
        <w:ind w:leftChars="0" w:left="964" w:hanging="482"/>
        <w:jc w:val="both"/>
        <w:rPr>
          <w:rFonts w:eastAsia="標楷體" w:cstheme="minorHAnsi"/>
        </w:rPr>
      </w:pPr>
      <w:proofErr w:type="gramStart"/>
      <w:r w:rsidRPr="00CA1A43">
        <w:rPr>
          <w:rFonts w:eastAsia="標楷體" w:cstheme="minorHAnsi"/>
        </w:rPr>
        <w:t>銀行簿至交易</w:t>
      </w:r>
      <w:proofErr w:type="gramEnd"/>
      <w:r w:rsidRPr="00CA1A43">
        <w:rPr>
          <w:rFonts w:eastAsia="標楷體" w:cstheme="minorHAnsi"/>
        </w:rPr>
        <w:t>簿的信用與權益證券風險之內部風險移轉，即當銀行利用</w:t>
      </w:r>
      <w:proofErr w:type="gramStart"/>
      <w:r w:rsidRPr="00CA1A43">
        <w:rPr>
          <w:rFonts w:eastAsia="標楷體" w:cstheme="minorHAnsi"/>
        </w:rPr>
        <w:t>交易簿避險</w:t>
      </w:r>
      <w:proofErr w:type="gramEnd"/>
      <w:r w:rsidRPr="00CA1A43">
        <w:rPr>
          <w:rFonts w:eastAsia="標楷體" w:cstheme="minorHAnsi"/>
        </w:rPr>
        <w:t>交易以規避銀行</w:t>
      </w:r>
      <w:proofErr w:type="gramStart"/>
      <w:r w:rsidRPr="00CA1A43">
        <w:rPr>
          <w:rFonts w:eastAsia="標楷體" w:cstheme="minorHAnsi"/>
        </w:rPr>
        <w:t>簿</w:t>
      </w:r>
      <w:proofErr w:type="gramEnd"/>
      <w:r w:rsidRPr="00CA1A43">
        <w:rPr>
          <w:rFonts w:eastAsia="標楷體" w:cstheme="minorHAnsi"/>
        </w:rPr>
        <w:t>信用</w:t>
      </w:r>
      <w:proofErr w:type="gramStart"/>
      <w:r w:rsidRPr="00CA1A43">
        <w:rPr>
          <w:rFonts w:eastAsia="標楷體" w:cstheme="minorHAnsi"/>
        </w:rPr>
        <w:t>風險暴險或</w:t>
      </w:r>
      <w:proofErr w:type="gramEnd"/>
      <w:r w:rsidRPr="00CA1A43">
        <w:rPr>
          <w:rFonts w:eastAsia="標楷體" w:cstheme="minorHAnsi"/>
        </w:rPr>
        <w:t>權益證券</w:t>
      </w:r>
      <w:proofErr w:type="gramStart"/>
      <w:r w:rsidRPr="00CA1A43">
        <w:rPr>
          <w:rFonts w:eastAsia="標楷體" w:cstheme="minorHAnsi"/>
        </w:rPr>
        <w:t>風險暴險</w:t>
      </w:r>
      <w:proofErr w:type="gramEnd"/>
      <w:r w:rsidRPr="00CA1A43">
        <w:rPr>
          <w:rFonts w:eastAsia="標楷體" w:cstheme="minorHAnsi"/>
        </w:rPr>
        <w:t>(</w:t>
      </w:r>
      <w:r w:rsidRPr="00CA1A43">
        <w:rPr>
          <w:rFonts w:eastAsia="標楷體" w:cstheme="minorHAnsi"/>
        </w:rPr>
        <w:t>例如採用內部風險移轉</w:t>
      </w:r>
      <w:r w:rsidRPr="00CA1A43">
        <w:rPr>
          <w:rFonts w:eastAsia="標楷體" w:cstheme="minorHAnsi"/>
        </w:rPr>
        <w:t>)</w:t>
      </w:r>
      <w:r w:rsidRPr="00CA1A43">
        <w:rPr>
          <w:rFonts w:eastAsia="標楷體" w:cstheme="minorHAnsi"/>
        </w:rPr>
        <w:t>，分別詳述如下：</w:t>
      </w:r>
    </w:p>
    <w:p w14:paraId="34B0B289" w14:textId="77777777" w:rsidR="00E27B63" w:rsidRPr="00CA1A43" w:rsidRDefault="00E27B63" w:rsidP="00605B1D">
      <w:pPr>
        <w:pStyle w:val="a7"/>
        <w:numPr>
          <w:ilvl w:val="0"/>
          <w:numId w:val="37"/>
        </w:numPr>
        <w:spacing w:beforeLines="50" w:before="180"/>
        <w:ind w:leftChars="0" w:left="1446" w:hanging="482"/>
        <w:jc w:val="both"/>
        <w:rPr>
          <w:rFonts w:eastAsia="標楷體" w:cstheme="minorHAnsi"/>
        </w:rPr>
      </w:pPr>
      <w:r w:rsidRPr="00CA1A43">
        <w:rPr>
          <w:rFonts w:eastAsia="標楷體" w:cstheme="minorHAnsi"/>
        </w:rPr>
        <w:t>必須完全符合下列條件，銀行</w:t>
      </w:r>
      <w:proofErr w:type="gramStart"/>
      <w:r w:rsidRPr="00CA1A43">
        <w:rPr>
          <w:rFonts w:eastAsia="標楷體" w:cstheme="minorHAnsi"/>
        </w:rPr>
        <w:t>簿信用暴險可</w:t>
      </w:r>
      <w:proofErr w:type="gramEnd"/>
      <w:r w:rsidRPr="00CA1A43">
        <w:rPr>
          <w:rFonts w:eastAsia="標楷體" w:cstheme="minorHAnsi"/>
        </w:rPr>
        <w:t>被視為資本要求目的避險：</w:t>
      </w:r>
    </w:p>
    <w:p w14:paraId="79BE1173" w14:textId="77777777" w:rsidR="00E27B63" w:rsidRPr="00CA1A43" w:rsidRDefault="00E27B63" w:rsidP="00605B1D">
      <w:pPr>
        <w:pStyle w:val="a7"/>
        <w:numPr>
          <w:ilvl w:val="0"/>
          <w:numId w:val="38"/>
        </w:numPr>
        <w:spacing w:beforeLines="50" w:before="180"/>
        <w:ind w:leftChars="0"/>
        <w:jc w:val="both"/>
        <w:rPr>
          <w:rFonts w:eastAsia="標楷體" w:cstheme="minorHAnsi"/>
        </w:rPr>
      </w:pPr>
      <w:r w:rsidRPr="00CA1A43">
        <w:rPr>
          <w:rFonts w:eastAsia="標楷體" w:cstheme="minorHAnsi"/>
        </w:rPr>
        <w:t>由符合內部風險移轉之合格第三方保障提供者所供之交易</w:t>
      </w:r>
      <w:proofErr w:type="gramStart"/>
      <w:r w:rsidRPr="00CA1A43">
        <w:rPr>
          <w:rFonts w:eastAsia="標楷體" w:cstheme="minorHAnsi"/>
        </w:rPr>
        <w:t>簿</w:t>
      </w:r>
      <w:proofErr w:type="gramEnd"/>
      <w:r w:rsidRPr="00CA1A43">
        <w:rPr>
          <w:rFonts w:eastAsia="標楷體" w:cstheme="minorHAnsi"/>
        </w:rPr>
        <w:t>外部避險；以及</w:t>
      </w:r>
    </w:p>
    <w:p w14:paraId="0BB06743" w14:textId="45F8EF2D" w:rsidR="00E27B63" w:rsidRPr="00CA1A43" w:rsidRDefault="00340BDF" w:rsidP="00605B1D">
      <w:pPr>
        <w:pStyle w:val="a7"/>
        <w:numPr>
          <w:ilvl w:val="0"/>
          <w:numId w:val="38"/>
        </w:numPr>
        <w:spacing w:beforeLines="50" w:before="180"/>
        <w:ind w:leftChars="0"/>
        <w:jc w:val="both"/>
        <w:rPr>
          <w:rFonts w:eastAsia="標楷體" w:cstheme="minorHAnsi"/>
        </w:rPr>
      </w:pPr>
      <w:r>
        <w:rPr>
          <w:rFonts w:eastAsia="標楷體" w:cstheme="minorHAnsi"/>
        </w:rPr>
        <w:t>外部避險符合</w:t>
      </w:r>
      <w:r w:rsidR="00E27B63" w:rsidRPr="00CA1A43">
        <w:rPr>
          <w:rFonts w:eastAsia="標楷體" w:cstheme="minorHAnsi"/>
        </w:rPr>
        <w:t>第二部分信用風險標準法第三章第四大點中第</w:t>
      </w:r>
      <w:r w:rsidR="00E27B63" w:rsidRPr="00CA1A43">
        <w:rPr>
          <w:rFonts w:eastAsia="標楷體" w:cstheme="minorHAnsi"/>
        </w:rPr>
        <w:t>2</w:t>
      </w:r>
      <w:r w:rsidR="00E27B63" w:rsidRPr="00CA1A43">
        <w:rPr>
          <w:rFonts w:eastAsia="標楷體" w:cstheme="minorHAnsi"/>
        </w:rPr>
        <w:t>點</w:t>
      </w:r>
      <w:r w:rsidR="00E27B63" w:rsidRPr="00CA1A43">
        <w:rPr>
          <w:rFonts w:eastAsia="標楷體" w:cstheme="minorHAnsi"/>
        </w:rPr>
        <w:t>(3)</w:t>
      </w:r>
      <w:r w:rsidR="00E27B63" w:rsidRPr="00CA1A43">
        <w:rPr>
          <w:rFonts w:eastAsia="標楷體" w:cstheme="minorHAnsi"/>
        </w:rPr>
        <w:t>、第</w:t>
      </w:r>
      <w:r w:rsidR="00E27B63" w:rsidRPr="00CA1A43">
        <w:rPr>
          <w:rFonts w:eastAsia="標楷體" w:cstheme="minorHAnsi"/>
        </w:rPr>
        <w:t>3</w:t>
      </w:r>
      <w:r w:rsidR="00E27B63" w:rsidRPr="00CA1A43">
        <w:rPr>
          <w:rFonts w:eastAsia="標楷體" w:cstheme="minorHAnsi"/>
        </w:rPr>
        <w:t>點以及第</w:t>
      </w:r>
      <w:r w:rsidR="00E27B63" w:rsidRPr="00CA1A43">
        <w:rPr>
          <w:rFonts w:eastAsia="標楷體" w:cstheme="minorHAnsi"/>
        </w:rPr>
        <w:t>6</w:t>
      </w:r>
      <w:r w:rsidR="00E27B63" w:rsidRPr="00CA1A43">
        <w:rPr>
          <w:rFonts w:eastAsia="標楷體" w:cstheme="minorHAnsi"/>
        </w:rPr>
        <w:t>點</w:t>
      </w:r>
      <w:r w:rsidR="00E27B63" w:rsidRPr="00CA1A43">
        <w:rPr>
          <w:rFonts w:eastAsia="標楷體" w:cstheme="minorHAnsi"/>
        </w:rPr>
        <w:t>(</w:t>
      </w:r>
      <w:r w:rsidR="00A915BC">
        <w:rPr>
          <w:rFonts w:eastAsia="標楷體" w:cstheme="minorHAnsi" w:hint="eastAsia"/>
        </w:rPr>
        <w:t>1</w:t>
      </w:r>
      <w:r w:rsidR="00E27B63" w:rsidRPr="00CA1A43">
        <w:rPr>
          <w:rFonts w:eastAsia="標楷體" w:cstheme="minorHAnsi"/>
        </w:rPr>
        <w:t>).a</w:t>
      </w:r>
      <w:r w:rsidR="00E27B63" w:rsidRPr="00CA1A43">
        <w:rPr>
          <w:rFonts w:eastAsia="標楷體" w:cstheme="minorHAnsi"/>
        </w:rPr>
        <w:t>所對應銀行</w:t>
      </w:r>
      <w:proofErr w:type="gramStart"/>
      <w:r w:rsidR="00E27B63" w:rsidRPr="00CA1A43">
        <w:rPr>
          <w:rFonts w:eastAsia="標楷體" w:cstheme="minorHAnsi"/>
        </w:rPr>
        <w:t>簿暴險</w:t>
      </w:r>
      <w:proofErr w:type="gramEnd"/>
      <w:r w:rsidR="00E27B63" w:rsidRPr="00CA1A43">
        <w:rPr>
          <w:rFonts w:eastAsia="標楷體" w:cstheme="minorHAnsi"/>
        </w:rPr>
        <w:t>之要求。</w:t>
      </w:r>
      <w:r w:rsidR="00D212C0" w:rsidRPr="00CA1A43">
        <w:rPr>
          <w:rStyle w:val="a5"/>
          <w:rFonts w:eastAsia="標楷體" w:cstheme="minorHAnsi"/>
        </w:rPr>
        <w:footnoteReference w:id="7"/>
      </w:r>
    </w:p>
    <w:p w14:paraId="097619D5" w14:textId="77777777" w:rsidR="00E27B63" w:rsidRPr="00CA1A43" w:rsidRDefault="00E27B63" w:rsidP="00605B1D">
      <w:pPr>
        <w:pStyle w:val="a7"/>
        <w:numPr>
          <w:ilvl w:val="0"/>
          <w:numId w:val="37"/>
        </w:numPr>
        <w:spacing w:beforeLines="50" w:before="180"/>
        <w:ind w:leftChars="0" w:left="1446" w:hanging="482"/>
        <w:jc w:val="both"/>
        <w:rPr>
          <w:rFonts w:eastAsia="標楷體" w:cstheme="minorHAnsi"/>
        </w:rPr>
      </w:pPr>
      <w:r w:rsidRPr="00CA1A43">
        <w:rPr>
          <w:rFonts w:eastAsia="標楷體" w:cstheme="minorHAnsi"/>
        </w:rPr>
        <w:t>必須完全符合下列條件，銀行</w:t>
      </w:r>
      <w:proofErr w:type="gramStart"/>
      <w:r w:rsidRPr="00CA1A43">
        <w:rPr>
          <w:rFonts w:eastAsia="標楷體" w:cstheme="minorHAnsi"/>
        </w:rPr>
        <w:t>簿</w:t>
      </w:r>
      <w:proofErr w:type="gramEnd"/>
      <w:r w:rsidRPr="00CA1A43">
        <w:rPr>
          <w:rFonts w:eastAsia="標楷體" w:cstheme="minorHAnsi"/>
        </w:rPr>
        <w:t>權益</w:t>
      </w:r>
      <w:proofErr w:type="gramStart"/>
      <w:r w:rsidRPr="00CA1A43">
        <w:rPr>
          <w:rFonts w:eastAsia="標楷體" w:cstheme="minorHAnsi"/>
        </w:rPr>
        <w:t>證券暴險可</w:t>
      </w:r>
      <w:proofErr w:type="gramEnd"/>
      <w:r w:rsidRPr="00CA1A43">
        <w:rPr>
          <w:rFonts w:eastAsia="標楷體" w:cstheme="minorHAnsi"/>
        </w:rPr>
        <w:t>被視為資本要求目的避險：</w:t>
      </w:r>
    </w:p>
    <w:p w14:paraId="12C9C577" w14:textId="77777777" w:rsidR="00E27B63" w:rsidRPr="00CA1A43" w:rsidRDefault="00E27B63" w:rsidP="00605B1D">
      <w:pPr>
        <w:pStyle w:val="a7"/>
        <w:numPr>
          <w:ilvl w:val="0"/>
          <w:numId w:val="39"/>
        </w:numPr>
        <w:spacing w:beforeLines="50" w:before="180"/>
        <w:ind w:leftChars="0"/>
        <w:jc w:val="both"/>
        <w:rPr>
          <w:rFonts w:eastAsia="標楷體" w:cstheme="minorHAnsi"/>
        </w:rPr>
      </w:pPr>
      <w:r w:rsidRPr="00CA1A43">
        <w:rPr>
          <w:rFonts w:eastAsia="標楷體" w:cstheme="minorHAnsi"/>
        </w:rPr>
        <w:t>由符合內部風險移轉之合格第三方保障提供者所供之交易</w:t>
      </w:r>
      <w:proofErr w:type="gramStart"/>
      <w:r w:rsidRPr="00CA1A43">
        <w:rPr>
          <w:rFonts w:eastAsia="標楷體" w:cstheme="minorHAnsi"/>
        </w:rPr>
        <w:t>簿</w:t>
      </w:r>
      <w:proofErr w:type="gramEnd"/>
      <w:r w:rsidRPr="00CA1A43">
        <w:rPr>
          <w:rFonts w:eastAsia="標楷體" w:cstheme="minorHAnsi"/>
        </w:rPr>
        <w:t>外部避險；以及</w:t>
      </w:r>
    </w:p>
    <w:p w14:paraId="61A92BD6" w14:textId="77777777" w:rsidR="00E27B63" w:rsidRPr="00CA1A43" w:rsidRDefault="00E27B63" w:rsidP="00605B1D">
      <w:pPr>
        <w:pStyle w:val="a7"/>
        <w:numPr>
          <w:ilvl w:val="0"/>
          <w:numId w:val="39"/>
        </w:numPr>
        <w:spacing w:beforeLines="50" w:before="180"/>
        <w:ind w:leftChars="0"/>
        <w:jc w:val="both"/>
        <w:rPr>
          <w:rFonts w:eastAsia="標楷體" w:cstheme="minorHAnsi"/>
        </w:rPr>
      </w:pPr>
      <w:r w:rsidRPr="00CA1A43">
        <w:rPr>
          <w:rFonts w:eastAsia="標楷體" w:cstheme="minorHAnsi"/>
        </w:rPr>
        <w:t>外部避險被視為是銀行</w:t>
      </w:r>
      <w:proofErr w:type="gramStart"/>
      <w:r w:rsidRPr="00CA1A43">
        <w:rPr>
          <w:rFonts w:eastAsia="標楷體" w:cstheme="minorHAnsi"/>
        </w:rPr>
        <w:t>簿</w:t>
      </w:r>
      <w:proofErr w:type="gramEnd"/>
      <w:r w:rsidRPr="00CA1A43">
        <w:rPr>
          <w:rFonts w:eastAsia="標楷體" w:cstheme="minorHAnsi"/>
        </w:rPr>
        <w:t>權益證券</w:t>
      </w:r>
      <w:proofErr w:type="gramStart"/>
      <w:r w:rsidRPr="00CA1A43">
        <w:rPr>
          <w:rFonts w:eastAsia="標楷體" w:cstheme="minorHAnsi"/>
        </w:rPr>
        <w:t>暴險避</w:t>
      </w:r>
      <w:proofErr w:type="gramEnd"/>
      <w:r w:rsidRPr="00CA1A43">
        <w:rPr>
          <w:rFonts w:eastAsia="標楷體" w:cstheme="minorHAnsi"/>
        </w:rPr>
        <w:t>險。</w:t>
      </w:r>
    </w:p>
    <w:p w14:paraId="3203A721" w14:textId="77777777" w:rsidR="00E27B63" w:rsidRPr="00CA1A43" w:rsidRDefault="00E27B63" w:rsidP="00605B1D">
      <w:pPr>
        <w:pStyle w:val="a7"/>
        <w:numPr>
          <w:ilvl w:val="0"/>
          <w:numId w:val="37"/>
        </w:numPr>
        <w:spacing w:beforeLines="50" w:before="180"/>
        <w:ind w:leftChars="0" w:left="1446" w:hanging="482"/>
        <w:jc w:val="both"/>
        <w:rPr>
          <w:rFonts w:eastAsia="標楷體" w:cstheme="minorHAnsi"/>
        </w:rPr>
      </w:pPr>
      <w:r w:rsidRPr="00CA1A43">
        <w:rPr>
          <w:rFonts w:eastAsia="標楷體" w:cstheme="minorHAnsi"/>
        </w:rPr>
        <w:t>上述條文</w:t>
      </w:r>
      <w:r w:rsidRPr="00CA1A43">
        <w:rPr>
          <w:rFonts w:eastAsia="標楷體" w:cstheme="minorHAnsi"/>
        </w:rPr>
        <w:t>(1)</w:t>
      </w:r>
      <w:r w:rsidRPr="00CA1A43">
        <w:rPr>
          <w:rFonts w:eastAsia="標楷體" w:cstheme="minorHAnsi"/>
        </w:rPr>
        <w:t>中的外部避險可由多個交易對手的多筆交易組成，只要整體外部避險與內部風險轉移完全符合，且內部風險轉移與整體外部避險完全符合。</w:t>
      </w:r>
    </w:p>
    <w:p w14:paraId="512F7687" w14:textId="77777777" w:rsidR="00E27B63" w:rsidRPr="00CA1A43" w:rsidRDefault="00E27B63" w:rsidP="00605B1D">
      <w:pPr>
        <w:pStyle w:val="a7"/>
        <w:numPr>
          <w:ilvl w:val="0"/>
          <w:numId w:val="36"/>
        </w:numPr>
        <w:spacing w:beforeLines="50" w:before="180"/>
        <w:ind w:leftChars="0" w:left="964" w:hanging="482"/>
        <w:jc w:val="both"/>
        <w:rPr>
          <w:rFonts w:eastAsia="標楷體" w:cstheme="minorHAnsi"/>
        </w:rPr>
      </w:pPr>
      <w:r w:rsidRPr="00CA1A43">
        <w:rPr>
          <w:rFonts w:eastAsia="標楷體" w:cstheme="minorHAnsi"/>
        </w:rPr>
        <w:t>若符合第二點第</w:t>
      </w:r>
      <w:r w:rsidRPr="00CA1A43">
        <w:rPr>
          <w:rFonts w:eastAsia="標楷體" w:cstheme="minorHAnsi"/>
        </w:rPr>
        <w:t>1</w:t>
      </w:r>
      <w:r w:rsidRPr="00CA1A43">
        <w:rPr>
          <w:rFonts w:eastAsia="標楷體" w:cstheme="minorHAnsi"/>
        </w:rPr>
        <w:t>項內部風險移轉之要求，則此銀行</w:t>
      </w:r>
      <w:proofErr w:type="gramStart"/>
      <w:r w:rsidRPr="00CA1A43">
        <w:rPr>
          <w:rFonts w:eastAsia="標楷體" w:cstheme="minorHAnsi"/>
        </w:rPr>
        <w:t>簿暴險</w:t>
      </w:r>
      <w:proofErr w:type="gramEnd"/>
      <w:r w:rsidRPr="00CA1A43">
        <w:rPr>
          <w:rFonts w:eastAsia="標楷體" w:cstheme="minorHAnsi"/>
        </w:rPr>
        <w:t>被視為是銀行</w:t>
      </w:r>
      <w:proofErr w:type="gramStart"/>
      <w:r w:rsidRPr="00CA1A43">
        <w:rPr>
          <w:rFonts w:eastAsia="標楷體" w:cstheme="minorHAnsi"/>
        </w:rPr>
        <w:t>簿</w:t>
      </w:r>
      <w:proofErr w:type="gramEnd"/>
      <w:r w:rsidRPr="00CA1A43">
        <w:rPr>
          <w:rFonts w:eastAsia="標楷體" w:cstheme="minorHAnsi"/>
        </w:rPr>
        <w:t>資本目的之內部風險移轉的銀行</w:t>
      </w:r>
      <w:proofErr w:type="gramStart"/>
      <w:r w:rsidRPr="00CA1A43">
        <w:rPr>
          <w:rFonts w:eastAsia="標楷體" w:cstheme="minorHAnsi"/>
        </w:rPr>
        <w:t>簿端避</w:t>
      </w:r>
      <w:proofErr w:type="gramEnd"/>
      <w:r w:rsidRPr="00CA1A43">
        <w:rPr>
          <w:rFonts w:eastAsia="標楷體" w:cstheme="minorHAnsi"/>
        </w:rPr>
        <w:t>險。並且內部風險移轉之</w:t>
      </w:r>
      <w:proofErr w:type="gramStart"/>
      <w:r w:rsidRPr="00CA1A43">
        <w:rPr>
          <w:rFonts w:eastAsia="標楷體" w:cstheme="minorHAnsi"/>
        </w:rPr>
        <w:t>交易簿端與</w:t>
      </w:r>
      <w:proofErr w:type="gramEnd"/>
      <w:r w:rsidRPr="00CA1A43">
        <w:rPr>
          <w:rFonts w:eastAsia="標楷體" w:cstheme="minorHAnsi"/>
        </w:rPr>
        <w:t>外部避險兩者皆必須計入市場風險資本要求。</w:t>
      </w:r>
    </w:p>
    <w:p w14:paraId="24E2F535" w14:textId="77777777" w:rsidR="00E27B63" w:rsidRPr="00CA1A43" w:rsidRDefault="00E27B63" w:rsidP="00605B1D">
      <w:pPr>
        <w:pStyle w:val="a7"/>
        <w:numPr>
          <w:ilvl w:val="0"/>
          <w:numId w:val="36"/>
        </w:numPr>
        <w:spacing w:beforeLines="50" w:before="180"/>
        <w:ind w:leftChars="0" w:left="964" w:hanging="482"/>
        <w:jc w:val="both"/>
        <w:rPr>
          <w:rFonts w:eastAsia="標楷體" w:cstheme="minorHAnsi"/>
        </w:rPr>
      </w:pPr>
      <w:r w:rsidRPr="00CA1A43">
        <w:rPr>
          <w:rFonts w:eastAsia="標楷體" w:cstheme="minorHAnsi"/>
        </w:rPr>
        <w:t>若不符第二點第</w:t>
      </w:r>
      <w:r w:rsidRPr="00CA1A43">
        <w:rPr>
          <w:rFonts w:eastAsia="標楷體" w:cstheme="minorHAnsi"/>
        </w:rPr>
        <w:t>1</w:t>
      </w:r>
      <w:r w:rsidRPr="00CA1A43">
        <w:rPr>
          <w:rFonts w:eastAsia="標楷體" w:cstheme="minorHAnsi"/>
        </w:rPr>
        <w:t>項內部風險移轉之要求，則此銀行</w:t>
      </w:r>
      <w:proofErr w:type="gramStart"/>
      <w:r w:rsidRPr="00CA1A43">
        <w:rPr>
          <w:rFonts w:eastAsia="標楷體" w:cstheme="minorHAnsi"/>
        </w:rPr>
        <w:t>簿暴險不</w:t>
      </w:r>
      <w:proofErr w:type="gramEnd"/>
      <w:r w:rsidRPr="00CA1A43">
        <w:rPr>
          <w:rFonts w:eastAsia="標楷體" w:cstheme="minorHAnsi"/>
        </w:rPr>
        <w:t>被視為銀行</w:t>
      </w:r>
      <w:proofErr w:type="gramStart"/>
      <w:r w:rsidRPr="00CA1A43">
        <w:rPr>
          <w:rFonts w:eastAsia="標楷體" w:cstheme="minorHAnsi"/>
        </w:rPr>
        <w:t>簿</w:t>
      </w:r>
      <w:proofErr w:type="gramEnd"/>
      <w:r w:rsidRPr="00CA1A43">
        <w:rPr>
          <w:rFonts w:eastAsia="標楷體" w:cstheme="minorHAnsi"/>
        </w:rPr>
        <w:t>資本目的之內部風險移轉的銀行</w:t>
      </w:r>
      <w:proofErr w:type="gramStart"/>
      <w:r w:rsidRPr="00CA1A43">
        <w:rPr>
          <w:rFonts w:eastAsia="標楷體" w:cstheme="minorHAnsi"/>
        </w:rPr>
        <w:t>簿端避</w:t>
      </w:r>
      <w:proofErr w:type="gramEnd"/>
      <w:r w:rsidRPr="00CA1A43">
        <w:rPr>
          <w:rFonts w:eastAsia="標楷體" w:cstheme="minorHAnsi"/>
        </w:rPr>
        <w:t>險。並且第三</w:t>
      </w:r>
      <w:proofErr w:type="gramStart"/>
      <w:r w:rsidRPr="00CA1A43">
        <w:rPr>
          <w:rFonts w:eastAsia="標楷體" w:cstheme="minorHAnsi"/>
        </w:rPr>
        <w:t>方外部避險</w:t>
      </w:r>
      <w:proofErr w:type="gramEnd"/>
      <w:r w:rsidRPr="00CA1A43">
        <w:rPr>
          <w:rFonts w:eastAsia="標楷體" w:cstheme="minorHAnsi"/>
        </w:rPr>
        <w:t>必須完全計入市場風險資本要求，而內部風險移轉之</w:t>
      </w:r>
      <w:proofErr w:type="gramStart"/>
      <w:r w:rsidRPr="00CA1A43">
        <w:rPr>
          <w:rFonts w:eastAsia="標楷體" w:cstheme="minorHAnsi"/>
        </w:rPr>
        <w:t>交易簿端必須</w:t>
      </w:r>
      <w:proofErr w:type="gramEnd"/>
      <w:r w:rsidRPr="00CA1A43">
        <w:rPr>
          <w:rFonts w:eastAsia="標楷體" w:cstheme="minorHAnsi"/>
        </w:rPr>
        <w:t>完全排除在市場風險資本要求外。</w:t>
      </w:r>
    </w:p>
    <w:p w14:paraId="31E5B5C4" w14:textId="77777777" w:rsidR="00E27B63" w:rsidRPr="00CA1A43" w:rsidRDefault="00E27B63" w:rsidP="00605B1D">
      <w:pPr>
        <w:pStyle w:val="a7"/>
        <w:numPr>
          <w:ilvl w:val="0"/>
          <w:numId w:val="36"/>
        </w:numPr>
        <w:spacing w:beforeLines="50" w:before="180"/>
        <w:ind w:leftChars="0" w:left="964" w:hanging="482"/>
        <w:jc w:val="both"/>
        <w:rPr>
          <w:rFonts w:eastAsia="標楷體" w:cstheme="minorHAnsi"/>
        </w:rPr>
      </w:pPr>
      <w:r w:rsidRPr="00CA1A43">
        <w:rPr>
          <w:rFonts w:eastAsia="標楷體" w:cstheme="minorHAnsi"/>
        </w:rPr>
        <w:t>由內部風險移轉</w:t>
      </w:r>
      <w:r w:rsidR="00D212C0" w:rsidRPr="00CA1A43">
        <w:rPr>
          <w:rStyle w:val="a5"/>
          <w:rFonts w:eastAsia="標楷體" w:cstheme="minorHAnsi"/>
        </w:rPr>
        <w:footnoteReference w:id="8"/>
      </w:r>
      <w:r w:rsidRPr="00CA1A43">
        <w:rPr>
          <w:rFonts w:eastAsia="標楷體" w:cstheme="minorHAnsi"/>
        </w:rPr>
        <w:t>產生且未依銀行</w:t>
      </w:r>
      <w:proofErr w:type="gramStart"/>
      <w:r w:rsidRPr="00CA1A43">
        <w:rPr>
          <w:rFonts w:eastAsia="標楷體" w:cstheme="minorHAnsi"/>
        </w:rPr>
        <w:t>簿規則計</w:t>
      </w:r>
      <w:proofErr w:type="gramEnd"/>
      <w:r w:rsidRPr="00CA1A43">
        <w:rPr>
          <w:rFonts w:eastAsia="標楷體" w:cstheme="minorHAnsi"/>
        </w:rPr>
        <w:t>提資本的銀行</w:t>
      </w:r>
      <w:proofErr w:type="gramStart"/>
      <w:r w:rsidRPr="00CA1A43">
        <w:rPr>
          <w:rFonts w:eastAsia="標楷體" w:cstheme="minorHAnsi"/>
        </w:rPr>
        <w:t>簿</w:t>
      </w:r>
      <w:proofErr w:type="gramEnd"/>
      <w:r w:rsidRPr="00CA1A43">
        <w:rPr>
          <w:rFonts w:eastAsia="標楷體" w:cstheme="minorHAnsi"/>
        </w:rPr>
        <w:t>信用短部位</w:t>
      </w:r>
      <w:r w:rsidRPr="00CA1A43">
        <w:rPr>
          <w:rFonts w:eastAsia="標楷體" w:cstheme="minorHAnsi"/>
        </w:rPr>
        <w:lastRenderedPageBreak/>
        <w:t>或銀行</w:t>
      </w:r>
      <w:proofErr w:type="gramStart"/>
      <w:r w:rsidRPr="00CA1A43">
        <w:rPr>
          <w:rFonts w:eastAsia="標楷體" w:cstheme="minorHAnsi"/>
        </w:rPr>
        <w:t>簿</w:t>
      </w:r>
      <w:proofErr w:type="gramEnd"/>
      <w:r w:rsidRPr="00CA1A43">
        <w:rPr>
          <w:rFonts w:eastAsia="標楷體" w:cstheme="minorHAnsi"/>
        </w:rPr>
        <w:t>權益證券短部位，必須與交易</w:t>
      </w:r>
      <w:proofErr w:type="gramStart"/>
      <w:r w:rsidRPr="00CA1A43">
        <w:rPr>
          <w:rFonts w:eastAsia="標楷體" w:cstheme="minorHAnsi"/>
        </w:rPr>
        <w:t>簿暴險</w:t>
      </w:r>
      <w:proofErr w:type="gramEnd"/>
      <w:r w:rsidRPr="00CA1A43">
        <w:rPr>
          <w:rFonts w:eastAsia="標楷體" w:cstheme="minorHAnsi"/>
        </w:rPr>
        <w:t>合併依本計算說明之市場風險規範計提資本。</w:t>
      </w:r>
    </w:p>
    <w:p w14:paraId="547AECEE" w14:textId="29CA4DEA" w:rsidR="00BD0BCA" w:rsidRPr="00CA1A43" w:rsidRDefault="00BD0BCA" w:rsidP="00605B1D">
      <w:pPr>
        <w:pStyle w:val="a7"/>
        <w:numPr>
          <w:ilvl w:val="0"/>
          <w:numId w:val="36"/>
        </w:numPr>
        <w:spacing w:beforeLines="50" w:before="180"/>
        <w:ind w:leftChars="0" w:left="964" w:hanging="482"/>
        <w:jc w:val="both"/>
        <w:rPr>
          <w:rFonts w:eastAsia="標楷體" w:cstheme="minorHAnsi"/>
        </w:rPr>
      </w:pPr>
      <w:proofErr w:type="gramStart"/>
      <w:r w:rsidRPr="00CA1A43">
        <w:rPr>
          <w:rFonts w:eastAsia="標楷體" w:cstheme="minorHAnsi"/>
        </w:rPr>
        <w:t>銀行簿至交易</w:t>
      </w:r>
      <w:proofErr w:type="gramEnd"/>
      <w:r w:rsidRPr="00CA1A43">
        <w:rPr>
          <w:rFonts w:eastAsia="標楷體" w:cstheme="minorHAnsi"/>
        </w:rPr>
        <w:t>簿的一般利率風險之內部風險移轉，即當銀行利用交易</w:t>
      </w:r>
      <w:proofErr w:type="gramStart"/>
      <w:r w:rsidRPr="00CA1A43">
        <w:rPr>
          <w:rFonts w:eastAsia="標楷體" w:cstheme="minorHAnsi"/>
        </w:rPr>
        <w:t>簿</w:t>
      </w:r>
      <w:proofErr w:type="gramEnd"/>
      <w:r w:rsidRPr="00CA1A43">
        <w:rPr>
          <w:rFonts w:eastAsia="標楷體" w:cstheme="minorHAnsi"/>
        </w:rPr>
        <w:t>內部風險移轉規避銀行</w:t>
      </w:r>
      <w:proofErr w:type="gramStart"/>
      <w:r w:rsidRPr="00CA1A43">
        <w:rPr>
          <w:rFonts w:eastAsia="標楷體" w:cstheme="minorHAnsi"/>
        </w:rPr>
        <w:t>簿</w:t>
      </w:r>
      <w:proofErr w:type="gramEnd"/>
      <w:r w:rsidRPr="00CA1A43">
        <w:rPr>
          <w:rFonts w:eastAsia="標楷體" w:cstheme="minorHAnsi"/>
        </w:rPr>
        <w:t>利率風險時，此內部風險移轉之交易</w:t>
      </w:r>
      <w:proofErr w:type="gramStart"/>
      <w:r w:rsidRPr="00CA1A43">
        <w:rPr>
          <w:rFonts w:eastAsia="標楷體" w:cstheme="minorHAnsi"/>
        </w:rPr>
        <w:t>簿端被</w:t>
      </w:r>
      <w:proofErr w:type="gramEnd"/>
      <w:r w:rsidRPr="00CA1A43">
        <w:rPr>
          <w:rFonts w:eastAsia="標楷體" w:cstheme="minorHAnsi"/>
        </w:rPr>
        <w:t>當作是市場風險架構下的交易</w:t>
      </w:r>
      <w:proofErr w:type="gramStart"/>
      <w:r w:rsidRPr="00CA1A43">
        <w:rPr>
          <w:rFonts w:eastAsia="標楷體" w:cstheme="minorHAnsi"/>
        </w:rPr>
        <w:t>簿</w:t>
      </w:r>
      <w:proofErr w:type="gramEnd"/>
      <w:r w:rsidR="009653EE" w:rsidRPr="0007711C">
        <w:rPr>
          <w:rFonts w:eastAsia="標楷體" w:cstheme="minorHAnsi"/>
        </w:rPr>
        <w:t>工具</w:t>
      </w:r>
      <w:r w:rsidRPr="00CA1A43">
        <w:rPr>
          <w:rFonts w:eastAsia="標楷體" w:cstheme="minorHAnsi"/>
        </w:rPr>
        <w:t>，必須完全符合下列條件：</w:t>
      </w:r>
    </w:p>
    <w:p w14:paraId="0AE0404E" w14:textId="77777777" w:rsidR="00BD0BCA" w:rsidRPr="00CA1A43" w:rsidRDefault="00BD0BCA" w:rsidP="00605B1D">
      <w:pPr>
        <w:pStyle w:val="a7"/>
        <w:numPr>
          <w:ilvl w:val="0"/>
          <w:numId w:val="40"/>
        </w:numPr>
        <w:spacing w:beforeLines="50" w:before="180"/>
        <w:ind w:leftChars="0" w:left="1446" w:hanging="482"/>
        <w:jc w:val="both"/>
        <w:rPr>
          <w:rFonts w:eastAsia="標楷體" w:cstheme="minorHAnsi"/>
        </w:rPr>
      </w:pPr>
      <w:r w:rsidRPr="00CA1A43">
        <w:rPr>
          <w:rFonts w:eastAsia="標楷體" w:cstheme="minorHAnsi"/>
        </w:rPr>
        <w:t>應將避險的銀行</w:t>
      </w:r>
      <w:proofErr w:type="gramStart"/>
      <w:r w:rsidRPr="00CA1A43">
        <w:rPr>
          <w:rFonts w:eastAsia="標楷體" w:cstheme="minorHAnsi"/>
        </w:rPr>
        <w:t>簿</w:t>
      </w:r>
      <w:proofErr w:type="gramEnd"/>
      <w:r w:rsidRPr="00CA1A43">
        <w:rPr>
          <w:rFonts w:eastAsia="標楷體" w:cstheme="minorHAnsi"/>
        </w:rPr>
        <w:t>利率風險之內部風險移轉文件化</w:t>
      </w:r>
    </w:p>
    <w:p w14:paraId="580F9BA5" w14:textId="77777777" w:rsidR="00BD0BCA" w:rsidRPr="00CA1A43" w:rsidRDefault="00BD0BCA" w:rsidP="00605B1D">
      <w:pPr>
        <w:pStyle w:val="a7"/>
        <w:numPr>
          <w:ilvl w:val="0"/>
          <w:numId w:val="40"/>
        </w:numPr>
        <w:spacing w:beforeLines="50" w:before="180"/>
        <w:ind w:leftChars="0" w:left="1446" w:hanging="482"/>
        <w:jc w:val="both"/>
        <w:rPr>
          <w:rFonts w:eastAsia="標楷體" w:cstheme="minorHAnsi"/>
        </w:rPr>
      </w:pPr>
      <w:r w:rsidRPr="00CA1A43">
        <w:rPr>
          <w:rFonts w:eastAsia="標楷體" w:cstheme="minorHAnsi"/>
        </w:rPr>
        <w:t>內部風險移轉被本會所認可之專門且為此目的的內部風險移轉交易台所執行</w:t>
      </w:r>
    </w:p>
    <w:p w14:paraId="69D2E254" w14:textId="77777777" w:rsidR="00BD0BCA" w:rsidRPr="00CA1A43" w:rsidRDefault="00BD0BCA" w:rsidP="00605B1D">
      <w:pPr>
        <w:pStyle w:val="a7"/>
        <w:numPr>
          <w:ilvl w:val="0"/>
          <w:numId w:val="40"/>
        </w:numPr>
        <w:spacing w:beforeLines="50" w:before="180"/>
        <w:ind w:leftChars="0" w:left="1446" w:hanging="482"/>
        <w:jc w:val="both"/>
        <w:rPr>
          <w:rFonts w:eastAsia="標楷體" w:cstheme="minorHAnsi"/>
        </w:rPr>
      </w:pPr>
      <w:r w:rsidRPr="00CA1A43">
        <w:rPr>
          <w:rFonts w:eastAsia="標楷體" w:cstheme="minorHAnsi"/>
        </w:rPr>
        <w:t>內部風險移轉應獨立依據本計算說明之市場風險資本計提規則計算，以利與交易</w:t>
      </w:r>
      <w:proofErr w:type="gramStart"/>
      <w:r w:rsidRPr="00CA1A43">
        <w:rPr>
          <w:rFonts w:eastAsia="標楷體" w:cstheme="minorHAnsi"/>
        </w:rPr>
        <w:t>簿</w:t>
      </w:r>
      <w:proofErr w:type="gramEnd"/>
      <w:r w:rsidRPr="00CA1A43">
        <w:rPr>
          <w:rFonts w:eastAsia="標楷體" w:cstheme="minorHAnsi"/>
        </w:rPr>
        <w:t>其他交易所產生的一般利率風險或其他市場風險進行區別。</w:t>
      </w:r>
    </w:p>
    <w:p w14:paraId="5A41A51A" w14:textId="77777777" w:rsidR="00BD0BCA" w:rsidRPr="00CA1A43" w:rsidRDefault="00BD0BCA" w:rsidP="00605B1D">
      <w:pPr>
        <w:pStyle w:val="a7"/>
        <w:numPr>
          <w:ilvl w:val="0"/>
          <w:numId w:val="36"/>
        </w:numPr>
        <w:spacing w:beforeLines="50" w:before="180"/>
        <w:ind w:leftChars="0" w:left="964" w:hanging="482"/>
        <w:jc w:val="both"/>
        <w:rPr>
          <w:rFonts w:eastAsia="標楷體" w:cstheme="minorHAnsi"/>
        </w:rPr>
      </w:pPr>
      <w:r w:rsidRPr="00CA1A43">
        <w:rPr>
          <w:rFonts w:eastAsia="標楷體" w:cstheme="minorHAnsi"/>
        </w:rPr>
        <w:t>若符合第二點第</w:t>
      </w:r>
      <w:r w:rsidRPr="00CA1A43">
        <w:rPr>
          <w:rFonts w:eastAsia="標楷體" w:cstheme="minorHAnsi"/>
        </w:rPr>
        <w:t>5</w:t>
      </w:r>
      <w:r w:rsidRPr="00CA1A43">
        <w:rPr>
          <w:rFonts w:eastAsia="標楷體" w:cstheme="minorHAnsi"/>
        </w:rPr>
        <w:t>項之要求，則此內部風險移轉之</w:t>
      </w:r>
      <w:proofErr w:type="gramStart"/>
      <w:r w:rsidRPr="00CA1A43">
        <w:rPr>
          <w:rFonts w:eastAsia="標楷體" w:cstheme="minorHAnsi"/>
        </w:rPr>
        <w:t>銀行簿端必須</w:t>
      </w:r>
      <w:proofErr w:type="gramEnd"/>
      <w:r w:rsidRPr="00CA1A43">
        <w:rPr>
          <w:rFonts w:eastAsia="標楷體" w:cstheme="minorHAnsi"/>
        </w:rPr>
        <w:t>被計入以法定資本為目的之銀行</w:t>
      </w:r>
      <w:proofErr w:type="gramStart"/>
      <w:r w:rsidRPr="00CA1A43">
        <w:rPr>
          <w:rFonts w:eastAsia="標楷體" w:cstheme="minorHAnsi"/>
        </w:rPr>
        <w:t>簿</w:t>
      </w:r>
      <w:proofErr w:type="gramEnd"/>
      <w:r w:rsidRPr="00CA1A43">
        <w:rPr>
          <w:rFonts w:eastAsia="標楷體" w:cstheme="minorHAnsi"/>
        </w:rPr>
        <w:t>利率</w:t>
      </w:r>
      <w:proofErr w:type="gramStart"/>
      <w:r w:rsidRPr="00CA1A43">
        <w:rPr>
          <w:rFonts w:eastAsia="標楷體" w:cstheme="minorHAnsi"/>
        </w:rPr>
        <w:t>風險暴險衡量</w:t>
      </w:r>
      <w:proofErr w:type="gramEnd"/>
      <w:r w:rsidRPr="00CA1A43">
        <w:rPr>
          <w:rFonts w:eastAsia="標楷體" w:cstheme="minorHAnsi"/>
        </w:rPr>
        <w:t>。</w:t>
      </w:r>
    </w:p>
    <w:p w14:paraId="2367C890" w14:textId="77777777" w:rsidR="00786C64" w:rsidRPr="00CA1A43" w:rsidRDefault="00BD0BCA" w:rsidP="00605B1D">
      <w:pPr>
        <w:pStyle w:val="a7"/>
        <w:numPr>
          <w:ilvl w:val="0"/>
          <w:numId w:val="36"/>
        </w:numPr>
        <w:spacing w:beforeLines="50" w:before="180"/>
        <w:ind w:leftChars="0" w:left="964" w:hanging="482"/>
        <w:jc w:val="both"/>
        <w:rPr>
          <w:rFonts w:eastAsia="標楷體" w:cstheme="minorHAnsi"/>
        </w:rPr>
      </w:pPr>
      <w:r w:rsidRPr="00CA1A43">
        <w:rPr>
          <w:rFonts w:eastAsia="標楷體" w:cstheme="minorHAnsi"/>
        </w:rPr>
        <w:t>本會核可的內部風險移轉交易台如透過其他非內部風險移轉的交易台擔任中介角色到市場進行外部避險，且在移轉的一般利率風險與市場上的外部避險交易完全相符時，則一般利率風險內部風險移轉之市場風險最低資本要求應包括內部風險移轉交易台與非內部風險移轉交易台。</w:t>
      </w:r>
    </w:p>
    <w:p w14:paraId="5F86084A" w14:textId="77777777" w:rsidR="00BD0BCA" w:rsidRPr="00CA1A43" w:rsidRDefault="00BD0BCA" w:rsidP="00605B1D">
      <w:pPr>
        <w:pStyle w:val="a7"/>
        <w:numPr>
          <w:ilvl w:val="0"/>
          <w:numId w:val="36"/>
        </w:numPr>
        <w:spacing w:beforeLines="50" w:before="180"/>
        <w:ind w:leftChars="0" w:left="964" w:hanging="482"/>
        <w:jc w:val="both"/>
        <w:rPr>
          <w:rFonts w:eastAsia="標楷體" w:cstheme="minorHAnsi"/>
        </w:rPr>
      </w:pPr>
      <w:r w:rsidRPr="00CA1A43">
        <w:rPr>
          <w:rFonts w:eastAsia="標楷體" w:cstheme="minorHAnsi"/>
        </w:rPr>
        <w:t>納入市場風險資本要求的內部風險移轉，包含交易台與交易</w:t>
      </w:r>
      <w:proofErr w:type="gramStart"/>
      <w:r w:rsidRPr="00CA1A43">
        <w:rPr>
          <w:rFonts w:eastAsia="標楷體" w:cstheme="minorHAnsi"/>
        </w:rPr>
        <w:t>台間的內部</w:t>
      </w:r>
      <w:proofErr w:type="gramEnd"/>
      <w:r w:rsidRPr="00CA1A43">
        <w:rPr>
          <w:rFonts w:eastAsia="標楷體" w:cstheme="minorHAnsi"/>
        </w:rPr>
        <w:t>風險移轉</w:t>
      </w:r>
      <w:r w:rsidR="009448EB" w:rsidRPr="00CA1A43">
        <w:rPr>
          <w:rFonts w:eastAsia="標楷體" w:cstheme="minorHAnsi"/>
        </w:rPr>
        <w:t>(</w:t>
      </w:r>
      <w:r w:rsidRPr="00CA1A43">
        <w:rPr>
          <w:rFonts w:eastAsia="標楷體" w:cstheme="minorHAnsi"/>
        </w:rPr>
        <w:t>包括銀行</w:t>
      </w:r>
      <w:proofErr w:type="gramStart"/>
      <w:r w:rsidRPr="00CA1A43">
        <w:rPr>
          <w:rFonts w:eastAsia="標楷體" w:cstheme="minorHAnsi"/>
        </w:rPr>
        <w:t>簿</w:t>
      </w:r>
      <w:proofErr w:type="gramEnd"/>
      <w:r w:rsidRPr="00CA1A43">
        <w:rPr>
          <w:rFonts w:eastAsia="標楷體" w:cstheme="minorHAnsi"/>
        </w:rPr>
        <w:t>外匯風險以及商品風險</w:t>
      </w:r>
      <w:r w:rsidR="009448EB" w:rsidRPr="00CA1A43">
        <w:rPr>
          <w:rFonts w:eastAsia="標楷體" w:cstheme="minorHAnsi"/>
        </w:rPr>
        <w:t>)</w:t>
      </w:r>
      <w:r w:rsidRPr="00CA1A43">
        <w:rPr>
          <w:rFonts w:eastAsia="標楷體" w:cstheme="minorHAnsi"/>
        </w:rPr>
        <w:t>以及符合第二點第</w:t>
      </w:r>
      <w:r w:rsidRPr="00CA1A43">
        <w:rPr>
          <w:rFonts w:eastAsia="標楷體" w:cstheme="minorHAnsi"/>
        </w:rPr>
        <w:t>5</w:t>
      </w:r>
      <w:r w:rsidRPr="00CA1A43">
        <w:rPr>
          <w:rFonts w:eastAsia="標楷體" w:cstheme="minorHAnsi"/>
        </w:rPr>
        <w:t>、</w:t>
      </w:r>
      <w:r w:rsidRPr="00CA1A43">
        <w:rPr>
          <w:rFonts w:eastAsia="標楷體" w:cstheme="minorHAnsi"/>
        </w:rPr>
        <w:t>6</w:t>
      </w:r>
      <w:r w:rsidRPr="00CA1A43">
        <w:rPr>
          <w:rFonts w:eastAsia="標楷體" w:cstheme="minorHAnsi"/>
        </w:rPr>
        <w:t>、</w:t>
      </w:r>
      <w:r w:rsidRPr="00CA1A43">
        <w:rPr>
          <w:rFonts w:eastAsia="標楷體" w:cstheme="minorHAnsi"/>
        </w:rPr>
        <w:t>7</w:t>
      </w:r>
      <w:r w:rsidRPr="00CA1A43">
        <w:rPr>
          <w:rFonts w:eastAsia="標楷體" w:cstheme="minorHAnsi"/>
        </w:rPr>
        <w:t>項規範之內部風險移轉交易台與其他交易台間一般利率風險的內部風險移轉。</w:t>
      </w:r>
    </w:p>
    <w:p w14:paraId="33F8DFC4" w14:textId="32C91411" w:rsidR="00BD0BCA" w:rsidRPr="00CA1A43" w:rsidRDefault="00BD0BCA" w:rsidP="00605B1D">
      <w:pPr>
        <w:pStyle w:val="a7"/>
        <w:numPr>
          <w:ilvl w:val="0"/>
          <w:numId w:val="36"/>
        </w:numPr>
        <w:spacing w:beforeLines="50" w:before="180"/>
        <w:ind w:leftChars="0" w:left="964" w:hanging="482"/>
        <w:jc w:val="both"/>
        <w:rPr>
          <w:rFonts w:eastAsia="標楷體" w:cstheme="minorHAnsi"/>
        </w:rPr>
      </w:pPr>
      <w:r w:rsidRPr="00CA1A43">
        <w:rPr>
          <w:rFonts w:eastAsia="標楷體" w:cstheme="minorHAnsi"/>
        </w:rPr>
        <w:t>內部風險移轉之交易</w:t>
      </w:r>
      <w:proofErr w:type="gramStart"/>
      <w:r w:rsidRPr="00CA1A43">
        <w:rPr>
          <w:rFonts w:eastAsia="標楷體" w:cstheme="minorHAnsi"/>
        </w:rPr>
        <w:t>簿</w:t>
      </w:r>
      <w:proofErr w:type="gramEnd"/>
      <w:r w:rsidRPr="00CA1A43">
        <w:rPr>
          <w:rFonts w:eastAsia="標楷體" w:cstheme="minorHAnsi"/>
        </w:rPr>
        <w:t>認定，也必須符合本計算說明中與外部交易對手交易之交易</w:t>
      </w:r>
      <w:proofErr w:type="gramStart"/>
      <w:r w:rsidRPr="00CA1A43">
        <w:rPr>
          <w:rFonts w:eastAsia="標楷體" w:cstheme="minorHAnsi"/>
        </w:rPr>
        <w:t>簿</w:t>
      </w:r>
      <w:proofErr w:type="gramEnd"/>
      <w:r w:rsidR="009653EE" w:rsidRPr="00624688">
        <w:rPr>
          <w:rFonts w:eastAsia="標楷體" w:cstheme="minorHAnsi"/>
        </w:rPr>
        <w:t>工具</w:t>
      </w:r>
      <w:r w:rsidRPr="00CA1A43">
        <w:rPr>
          <w:rFonts w:eastAsia="標楷體" w:cstheme="minorHAnsi"/>
        </w:rPr>
        <w:t>相同規範。</w:t>
      </w:r>
    </w:p>
    <w:p w14:paraId="6DAD36B8" w14:textId="77777777" w:rsidR="00750486" w:rsidRPr="00CA1A43" w:rsidRDefault="00750486" w:rsidP="00605B1D">
      <w:pPr>
        <w:pStyle w:val="a7"/>
        <w:numPr>
          <w:ilvl w:val="0"/>
          <w:numId w:val="35"/>
        </w:numPr>
        <w:spacing w:beforeLines="50" w:before="180"/>
        <w:ind w:leftChars="0" w:left="737" w:hanging="737"/>
        <w:jc w:val="both"/>
        <w:rPr>
          <w:rFonts w:eastAsia="標楷體" w:cstheme="minorHAnsi"/>
        </w:rPr>
      </w:pPr>
      <w:r w:rsidRPr="00CA1A43">
        <w:rPr>
          <w:rFonts w:eastAsia="標楷體" w:cstheme="minorHAnsi"/>
        </w:rPr>
        <w:t>信用評價調整資本要求之合格避險</w:t>
      </w:r>
    </w:p>
    <w:p w14:paraId="29192CDA" w14:textId="77777777" w:rsidR="00750486" w:rsidRPr="00CA1A43" w:rsidRDefault="00750486" w:rsidP="00605B1D">
      <w:pPr>
        <w:pStyle w:val="a7"/>
        <w:numPr>
          <w:ilvl w:val="0"/>
          <w:numId w:val="41"/>
        </w:numPr>
        <w:spacing w:beforeLines="50" w:before="180"/>
        <w:ind w:leftChars="0" w:left="964" w:hanging="482"/>
        <w:jc w:val="both"/>
        <w:rPr>
          <w:rFonts w:eastAsia="標楷體" w:cstheme="minorHAnsi"/>
        </w:rPr>
      </w:pPr>
      <w:r w:rsidRPr="00CA1A43">
        <w:rPr>
          <w:rFonts w:eastAsia="標楷體" w:cstheme="minorHAnsi"/>
        </w:rPr>
        <w:t>被計入信用評價調整</w:t>
      </w:r>
      <w:r w:rsidRPr="00CA1A43">
        <w:rPr>
          <w:rFonts w:eastAsia="標楷體" w:cstheme="minorHAnsi"/>
        </w:rPr>
        <w:t>(CVA)</w:t>
      </w:r>
      <w:r w:rsidRPr="00CA1A43">
        <w:rPr>
          <w:rFonts w:eastAsia="標楷體" w:cstheme="minorHAnsi"/>
        </w:rPr>
        <w:t>資本要求之合格外部避險，必須排除於銀行的市場風險資本要求計算。</w:t>
      </w:r>
    </w:p>
    <w:p w14:paraId="45DA7259" w14:textId="77777777" w:rsidR="00750486" w:rsidRPr="00CA1A43" w:rsidRDefault="00750486" w:rsidP="00605B1D">
      <w:pPr>
        <w:pStyle w:val="a7"/>
        <w:numPr>
          <w:ilvl w:val="0"/>
          <w:numId w:val="41"/>
        </w:numPr>
        <w:spacing w:beforeLines="50" w:before="180"/>
        <w:ind w:leftChars="0" w:left="964" w:hanging="482"/>
        <w:jc w:val="both"/>
        <w:rPr>
          <w:rFonts w:eastAsia="標楷體" w:cstheme="minorHAnsi"/>
        </w:rPr>
      </w:pPr>
      <w:r w:rsidRPr="00CA1A43">
        <w:rPr>
          <w:rFonts w:eastAsia="標楷體" w:cstheme="minorHAnsi"/>
        </w:rPr>
        <w:t>CVA</w:t>
      </w:r>
      <w:r w:rsidRPr="00CA1A43">
        <w:rPr>
          <w:rFonts w:eastAsia="標楷體" w:cstheme="minorHAnsi"/>
        </w:rPr>
        <w:t>投資組合和交易</w:t>
      </w:r>
      <w:proofErr w:type="gramStart"/>
      <w:r w:rsidRPr="00CA1A43">
        <w:rPr>
          <w:rFonts w:eastAsia="標楷體" w:cstheme="minorHAnsi"/>
        </w:rPr>
        <w:t>簿間可進行</w:t>
      </w:r>
      <w:proofErr w:type="gramEnd"/>
      <w:r w:rsidRPr="00CA1A43">
        <w:rPr>
          <w:rFonts w:eastAsia="標楷體" w:cstheme="minorHAnsi"/>
        </w:rPr>
        <w:t>內部風險移轉，包括</w:t>
      </w:r>
      <w:r w:rsidRPr="00CA1A43">
        <w:rPr>
          <w:rFonts w:eastAsia="標楷體" w:cstheme="minorHAnsi"/>
        </w:rPr>
        <w:t>CVA</w:t>
      </w:r>
      <w:r w:rsidRPr="00CA1A43">
        <w:rPr>
          <w:rFonts w:eastAsia="標楷體" w:cstheme="minorHAnsi"/>
        </w:rPr>
        <w:t>投資組合端和非</w:t>
      </w:r>
      <w:r w:rsidRPr="00CA1A43">
        <w:rPr>
          <w:rFonts w:eastAsia="標楷體" w:cstheme="minorHAnsi"/>
        </w:rPr>
        <w:t>CVA</w:t>
      </w:r>
      <w:r w:rsidRPr="00CA1A43">
        <w:rPr>
          <w:rFonts w:eastAsia="標楷體" w:cstheme="minorHAnsi"/>
        </w:rPr>
        <w:t>投資組合端。</w:t>
      </w:r>
      <w:r w:rsidRPr="00CA1A43">
        <w:rPr>
          <w:rFonts w:eastAsia="標楷體" w:cstheme="minorHAnsi"/>
        </w:rPr>
        <w:t xml:space="preserve"> </w:t>
      </w:r>
      <w:r w:rsidRPr="00CA1A43">
        <w:rPr>
          <w:rFonts w:eastAsia="標楷體" w:cstheme="minorHAnsi"/>
        </w:rPr>
        <w:t>若內部風險移轉的</w:t>
      </w:r>
      <w:r w:rsidRPr="00CA1A43">
        <w:rPr>
          <w:rFonts w:eastAsia="標楷體" w:cstheme="minorHAnsi"/>
        </w:rPr>
        <w:t>CVA</w:t>
      </w:r>
      <w:proofErr w:type="gramStart"/>
      <w:r w:rsidRPr="00CA1A43">
        <w:rPr>
          <w:rFonts w:eastAsia="標楷體" w:cstheme="minorHAnsi"/>
        </w:rPr>
        <w:t>投資組合端於</w:t>
      </w:r>
      <w:proofErr w:type="gramEnd"/>
      <w:r w:rsidRPr="00CA1A43">
        <w:rPr>
          <w:rFonts w:eastAsia="標楷體" w:cstheme="minorHAnsi"/>
        </w:rPr>
        <w:t>CVA</w:t>
      </w:r>
      <w:r w:rsidRPr="00CA1A43">
        <w:rPr>
          <w:rFonts w:eastAsia="標楷體" w:cstheme="minorHAnsi"/>
        </w:rPr>
        <w:t>風險資本要求中認列，則</w:t>
      </w:r>
      <w:r w:rsidRPr="00CA1A43">
        <w:rPr>
          <w:rFonts w:eastAsia="標楷體" w:cstheme="minorHAnsi"/>
        </w:rPr>
        <w:t>CVA</w:t>
      </w:r>
      <w:proofErr w:type="gramStart"/>
      <w:r w:rsidRPr="00CA1A43">
        <w:rPr>
          <w:rFonts w:eastAsia="標楷體" w:cstheme="minorHAnsi"/>
        </w:rPr>
        <w:t>投資組合端應排除</w:t>
      </w:r>
      <w:proofErr w:type="gramEnd"/>
      <w:r w:rsidRPr="00CA1A43">
        <w:rPr>
          <w:rFonts w:eastAsia="標楷體" w:cstheme="minorHAnsi"/>
        </w:rPr>
        <w:t>於市場風險資本要求，而非</w:t>
      </w:r>
      <w:r w:rsidRPr="00CA1A43">
        <w:rPr>
          <w:rFonts w:eastAsia="標楷體" w:cstheme="minorHAnsi"/>
        </w:rPr>
        <w:t>CVA</w:t>
      </w:r>
      <w:proofErr w:type="gramStart"/>
      <w:r w:rsidRPr="00CA1A43">
        <w:rPr>
          <w:rFonts w:eastAsia="標楷體" w:cstheme="minorHAnsi"/>
        </w:rPr>
        <w:t>投資組合端應納入</w:t>
      </w:r>
      <w:proofErr w:type="gramEnd"/>
      <w:r w:rsidRPr="00CA1A43">
        <w:rPr>
          <w:rFonts w:eastAsia="標楷體" w:cstheme="minorHAnsi"/>
        </w:rPr>
        <w:t>市場風險資本要求。</w:t>
      </w:r>
    </w:p>
    <w:p w14:paraId="6861A149" w14:textId="77777777" w:rsidR="00750486" w:rsidRPr="00CA1A43" w:rsidRDefault="00750486" w:rsidP="00605B1D">
      <w:pPr>
        <w:pStyle w:val="a7"/>
        <w:numPr>
          <w:ilvl w:val="0"/>
          <w:numId w:val="41"/>
        </w:numPr>
        <w:spacing w:beforeLines="50" w:before="180"/>
        <w:ind w:leftChars="0" w:left="964" w:hanging="482"/>
        <w:jc w:val="both"/>
        <w:rPr>
          <w:rFonts w:eastAsia="標楷體" w:cstheme="minorHAnsi"/>
        </w:rPr>
      </w:pPr>
      <w:r w:rsidRPr="00CA1A43">
        <w:rPr>
          <w:rFonts w:eastAsia="標楷體" w:cstheme="minorHAnsi"/>
        </w:rPr>
        <w:t>內部風險移轉須</w:t>
      </w:r>
      <w:proofErr w:type="gramStart"/>
      <w:r w:rsidRPr="00CA1A43">
        <w:rPr>
          <w:rFonts w:eastAsia="標楷體" w:cstheme="minorHAnsi"/>
        </w:rPr>
        <w:t>具有被避險</w:t>
      </w:r>
      <w:proofErr w:type="gramEnd"/>
      <w:r w:rsidRPr="00CA1A43">
        <w:rPr>
          <w:rFonts w:eastAsia="標楷體" w:cstheme="minorHAnsi"/>
        </w:rPr>
        <w:t>的</w:t>
      </w:r>
      <w:r w:rsidRPr="00CA1A43">
        <w:rPr>
          <w:rFonts w:eastAsia="標楷體" w:cstheme="minorHAnsi"/>
        </w:rPr>
        <w:t>CVA</w:t>
      </w:r>
      <w:r w:rsidRPr="00CA1A43">
        <w:rPr>
          <w:rFonts w:eastAsia="標楷體" w:cstheme="minorHAnsi"/>
        </w:rPr>
        <w:t>風險及其風險來源的證明文件，始可適用</w:t>
      </w:r>
      <w:r w:rsidRPr="00CA1A43">
        <w:rPr>
          <w:rFonts w:eastAsia="標楷體" w:cstheme="minorHAnsi"/>
        </w:rPr>
        <w:t>CVA</w:t>
      </w:r>
      <w:r w:rsidRPr="00CA1A43">
        <w:rPr>
          <w:rFonts w:eastAsia="標楷體" w:cstheme="minorHAnsi"/>
        </w:rPr>
        <w:t>風險移轉之資本要求規定。</w:t>
      </w:r>
    </w:p>
    <w:p w14:paraId="04756F60" w14:textId="77777777" w:rsidR="00750486" w:rsidRPr="00CA1A43" w:rsidRDefault="00750486" w:rsidP="00605B1D">
      <w:pPr>
        <w:pStyle w:val="a7"/>
        <w:numPr>
          <w:ilvl w:val="0"/>
          <w:numId w:val="41"/>
        </w:numPr>
        <w:spacing w:beforeLines="50" w:before="180"/>
        <w:ind w:leftChars="0" w:left="964" w:hanging="482"/>
        <w:jc w:val="both"/>
        <w:rPr>
          <w:rFonts w:eastAsia="標楷體" w:cstheme="minorHAnsi"/>
        </w:rPr>
      </w:pPr>
      <w:r w:rsidRPr="00CA1A43">
        <w:rPr>
          <w:rFonts w:eastAsia="標楷體" w:cstheme="minorHAnsi"/>
        </w:rPr>
        <w:lastRenderedPageBreak/>
        <w:t>交易</w:t>
      </w:r>
      <w:proofErr w:type="gramStart"/>
      <w:r w:rsidRPr="00CA1A43">
        <w:rPr>
          <w:rFonts w:eastAsia="標楷體" w:cstheme="minorHAnsi"/>
        </w:rPr>
        <w:t>簿</w:t>
      </w:r>
      <w:proofErr w:type="gramEnd"/>
      <w:r w:rsidRPr="00CA1A43">
        <w:rPr>
          <w:rFonts w:eastAsia="標楷體" w:cstheme="minorHAnsi"/>
        </w:rPr>
        <w:t>使用由合格第三方保障提供者所提供之外部避險，且此外部避險完全符合內部風險移轉，則內部</w:t>
      </w:r>
      <w:r w:rsidRPr="00CA1A43">
        <w:rPr>
          <w:rFonts w:eastAsia="標楷體" w:cstheme="minorHAnsi"/>
        </w:rPr>
        <w:t>CVA</w:t>
      </w:r>
      <w:r w:rsidRPr="00CA1A43">
        <w:rPr>
          <w:rFonts w:eastAsia="標楷體" w:cstheme="minorHAnsi"/>
        </w:rPr>
        <w:t>風險移轉依本計算說明之標準法計算的</w:t>
      </w:r>
      <w:r w:rsidRPr="00CA1A43">
        <w:rPr>
          <w:rFonts w:eastAsia="標楷體" w:cstheme="minorHAnsi"/>
        </w:rPr>
        <w:t>curvature</w:t>
      </w:r>
      <w:r w:rsidRPr="00CA1A43">
        <w:rPr>
          <w:rFonts w:eastAsia="標楷體" w:cstheme="minorHAnsi"/>
        </w:rPr>
        <w:t>、違約風險或殘餘風險附加金額，須在</w:t>
      </w:r>
      <w:r w:rsidRPr="00CA1A43">
        <w:rPr>
          <w:rFonts w:eastAsia="標楷體" w:cstheme="minorHAnsi"/>
        </w:rPr>
        <w:t>CVA</w:t>
      </w:r>
      <w:r w:rsidRPr="00CA1A43">
        <w:rPr>
          <w:rFonts w:eastAsia="標楷體" w:cstheme="minorHAnsi"/>
        </w:rPr>
        <w:t>投資組合資本要求和市場風險資本要求中認列。</w:t>
      </w:r>
    </w:p>
    <w:p w14:paraId="283E6109" w14:textId="106CE242" w:rsidR="00750486" w:rsidRPr="00CA1A43" w:rsidRDefault="00750486" w:rsidP="00605B1D">
      <w:pPr>
        <w:pStyle w:val="a7"/>
        <w:numPr>
          <w:ilvl w:val="0"/>
          <w:numId w:val="41"/>
        </w:numPr>
        <w:spacing w:beforeLines="50" w:before="180"/>
        <w:ind w:leftChars="0" w:left="964" w:hanging="482"/>
        <w:jc w:val="both"/>
        <w:rPr>
          <w:rFonts w:eastAsia="標楷體" w:cstheme="minorHAnsi"/>
        </w:rPr>
      </w:pPr>
      <w:r w:rsidRPr="00CA1A43">
        <w:rPr>
          <w:rFonts w:eastAsia="標楷體" w:cstheme="minorHAnsi"/>
        </w:rPr>
        <w:t>只要符合第二點第</w:t>
      </w:r>
      <w:r w:rsidRPr="00CA1A43">
        <w:rPr>
          <w:rFonts w:eastAsia="標楷體" w:cstheme="minorHAnsi"/>
        </w:rPr>
        <w:t>1</w:t>
      </w:r>
      <w:r w:rsidRPr="00CA1A43">
        <w:rPr>
          <w:rFonts w:eastAsia="標楷體" w:cstheme="minorHAnsi"/>
        </w:rPr>
        <w:t>項的要求，</w:t>
      </w:r>
      <w:r w:rsidRPr="00CA1A43">
        <w:rPr>
          <w:rFonts w:eastAsia="標楷體" w:cstheme="minorHAnsi"/>
        </w:rPr>
        <w:t>CVA</w:t>
      </w:r>
      <w:r w:rsidRPr="00CA1A43">
        <w:rPr>
          <w:rFonts w:eastAsia="標楷體" w:cstheme="minorHAnsi"/>
        </w:rPr>
        <w:t>投資組合和交易</w:t>
      </w:r>
      <w:proofErr w:type="gramStart"/>
      <w:r w:rsidRPr="00CA1A43">
        <w:rPr>
          <w:rFonts w:eastAsia="標楷體" w:cstheme="minorHAnsi"/>
        </w:rPr>
        <w:t>簿間的內部</w:t>
      </w:r>
      <w:proofErr w:type="gramEnd"/>
      <w:r w:rsidRPr="00CA1A43">
        <w:rPr>
          <w:rFonts w:eastAsia="標楷體" w:cstheme="minorHAnsi"/>
        </w:rPr>
        <w:t>風險移轉可用於規避對交易</w:t>
      </w:r>
      <w:r w:rsidR="00627803" w:rsidRPr="00627803">
        <w:rPr>
          <w:rFonts w:eastAsia="標楷體" w:cstheme="minorHAnsi" w:hint="eastAsia"/>
          <w:color w:val="FF0000"/>
        </w:rPr>
        <w:t>簿</w:t>
      </w:r>
      <w:r w:rsidRPr="00CA1A43">
        <w:rPr>
          <w:rFonts w:eastAsia="標楷體" w:cstheme="minorHAnsi"/>
        </w:rPr>
        <w:t>或銀行</w:t>
      </w:r>
      <w:proofErr w:type="gramStart"/>
      <w:r w:rsidRPr="00CA1A43">
        <w:rPr>
          <w:rFonts w:eastAsia="標楷體" w:cstheme="minorHAnsi"/>
        </w:rPr>
        <w:t>簿</w:t>
      </w:r>
      <w:proofErr w:type="gramEnd"/>
      <w:r w:rsidRPr="00CA1A43">
        <w:rPr>
          <w:rFonts w:eastAsia="標楷體" w:cstheme="minorHAnsi"/>
        </w:rPr>
        <w:t>衍生性</w:t>
      </w:r>
      <w:r w:rsidR="009653EE" w:rsidRPr="008D1DDC">
        <w:rPr>
          <w:rFonts w:eastAsia="標楷體" w:cstheme="minorHAnsi"/>
        </w:rPr>
        <w:t>工具</w:t>
      </w:r>
      <w:r w:rsidRPr="00CA1A43">
        <w:rPr>
          <w:rFonts w:eastAsia="標楷體" w:cstheme="minorHAnsi"/>
        </w:rPr>
        <w:t>的交易對手信用</w:t>
      </w:r>
      <w:proofErr w:type="gramStart"/>
      <w:r w:rsidRPr="00CA1A43">
        <w:rPr>
          <w:rFonts w:eastAsia="標楷體" w:cstheme="minorHAnsi"/>
        </w:rPr>
        <w:t>風險暴險</w:t>
      </w:r>
      <w:proofErr w:type="gramEnd"/>
      <w:r w:rsidRPr="00CA1A43">
        <w:rPr>
          <w:rFonts w:eastAsia="標楷體" w:cstheme="minorHAnsi"/>
        </w:rPr>
        <w:t>。</w:t>
      </w:r>
    </w:p>
    <w:p w14:paraId="7C1D61B8" w14:textId="77777777" w:rsidR="005013B7" w:rsidRPr="00CA1A43" w:rsidRDefault="00AE17B1" w:rsidP="00AE17B1">
      <w:pPr>
        <w:widowControl/>
        <w:rPr>
          <w:rFonts w:eastAsia="標楷體" w:cstheme="minorHAnsi"/>
        </w:rPr>
      </w:pPr>
      <w:r w:rsidRPr="00CA1A43">
        <w:rPr>
          <w:rFonts w:eastAsia="標楷體" w:cstheme="minorHAnsi"/>
        </w:rPr>
        <w:br w:type="page"/>
      </w:r>
    </w:p>
    <w:p w14:paraId="0E3ACCAD" w14:textId="77777777" w:rsidR="00187D19" w:rsidRPr="00CA1A43" w:rsidRDefault="006C701C" w:rsidP="00605B1D">
      <w:pPr>
        <w:pStyle w:val="12"/>
        <w:numPr>
          <w:ilvl w:val="0"/>
          <w:numId w:val="42"/>
        </w:numPr>
        <w:spacing w:beforeLines="50" w:before="180"/>
        <w:jc w:val="both"/>
        <w:outlineLvl w:val="0"/>
        <w:rPr>
          <w:rFonts w:asciiTheme="minorHAnsi" w:hAnsiTheme="minorHAnsi" w:cstheme="minorHAnsi"/>
          <w:b/>
          <w:color w:val="auto"/>
        </w:rPr>
      </w:pPr>
      <w:bookmarkStart w:id="8" w:name="_Toc67992448"/>
      <w:r w:rsidRPr="00CA1A43">
        <w:rPr>
          <w:rFonts w:asciiTheme="minorHAnsi" w:hAnsiTheme="minorHAnsi" w:cstheme="minorHAnsi"/>
          <w:b/>
          <w:color w:val="auto"/>
        </w:rPr>
        <w:lastRenderedPageBreak/>
        <w:t>標準法</w:t>
      </w:r>
      <w:bookmarkEnd w:id="8"/>
    </w:p>
    <w:p w14:paraId="00CAD401" w14:textId="77777777" w:rsidR="006C701C" w:rsidRPr="00CA1A43" w:rsidRDefault="006C701C" w:rsidP="006C701C">
      <w:pPr>
        <w:spacing w:beforeLines="50" w:before="180"/>
        <w:jc w:val="both"/>
        <w:rPr>
          <w:rFonts w:eastAsia="標楷體" w:cstheme="minorHAnsi"/>
        </w:rPr>
      </w:pPr>
      <w:r w:rsidRPr="00CA1A43">
        <w:rPr>
          <w:rFonts w:eastAsia="標楷體" w:cstheme="minorHAnsi"/>
        </w:rPr>
        <w:t>除經本會核准適用簡易標準法之銀行外，其餘銀行皆須按照市場風險標準法決定市場風險所應計提的法定資本，標準法下的市場風險加權風險性資產係依本計算說明規定的資本要求乘以</w:t>
      </w:r>
      <w:r w:rsidRPr="00CA1A43">
        <w:rPr>
          <w:rFonts w:eastAsia="標楷體" w:cstheme="minorHAnsi"/>
        </w:rPr>
        <w:t>12.5</w:t>
      </w:r>
      <w:r w:rsidRPr="00CA1A43">
        <w:rPr>
          <w:rFonts w:eastAsia="標楷體" w:cstheme="minorHAnsi"/>
        </w:rPr>
        <w:t>。且每季須</w:t>
      </w:r>
      <w:proofErr w:type="gramStart"/>
      <w:r w:rsidRPr="00CA1A43">
        <w:rPr>
          <w:rFonts w:eastAsia="標楷體" w:cstheme="minorHAnsi"/>
        </w:rPr>
        <w:t>採</w:t>
      </w:r>
      <w:proofErr w:type="gramEnd"/>
      <w:r w:rsidRPr="00CA1A43">
        <w:rPr>
          <w:rFonts w:eastAsia="標楷體" w:cstheme="minorHAnsi"/>
        </w:rPr>
        <w:t>標準法計算並向本會報告。經本會核可，銀行的非銀行子公司產生的市場風險可採用</w:t>
      </w:r>
      <w:proofErr w:type="gramStart"/>
      <w:r w:rsidRPr="00CA1A43">
        <w:rPr>
          <w:rFonts w:eastAsia="標楷體" w:cstheme="minorHAnsi"/>
        </w:rPr>
        <w:t>標準法按季</w:t>
      </w:r>
      <w:proofErr w:type="gramEnd"/>
      <w:r w:rsidRPr="00CA1A43">
        <w:rPr>
          <w:rFonts w:eastAsia="標楷體" w:cstheme="minorHAnsi"/>
        </w:rPr>
        <w:t>計算並報告本會或相關主管機關。</w:t>
      </w:r>
    </w:p>
    <w:p w14:paraId="0033E4F6" w14:textId="77777777" w:rsidR="006C701C" w:rsidRPr="00CA1A43" w:rsidRDefault="006C701C" w:rsidP="00605B1D">
      <w:pPr>
        <w:pStyle w:val="a7"/>
        <w:numPr>
          <w:ilvl w:val="0"/>
          <w:numId w:val="48"/>
        </w:numPr>
        <w:spacing w:beforeLines="50" w:before="180"/>
        <w:ind w:leftChars="0" w:left="567" w:hanging="567"/>
        <w:jc w:val="both"/>
        <w:outlineLvl w:val="0"/>
        <w:rPr>
          <w:rFonts w:eastAsia="標楷體" w:cstheme="minorHAnsi"/>
          <w:b/>
          <w:sz w:val="28"/>
          <w:szCs w:val="28"/>
        </w:rPr>
      </w:pPr>
      <w:bookmarkStart w:id="9" w:name="_Toc67992449"/>
      <w:r w:rsidRPr="00CA1A43">
        <w:rPr>
          <w:rFonts w:eastAsia="標楷體" w:cstheme="minorHAnsi"/>
          <w:b/>
          <w:sz w:val="28"/>
          <w:szCs w:val="28"/>
        </w:rPr>
        <w:t>標準法的架構</w:t>
      </w:r>
      <w:bookmarkEnd w:id="9"/>
    </w:p>
    <w:p w14:paraId="61E3667E" w14:textId="77777777" w:rsidR="006C701C" w:rsidRPr="00CA1A43" w:rsidRDefault="006C701C" w:rsidP="00605B1D">
      <w:pPr>
        <w:pStyle w:val="a7"/>
        <w:numPr>
          <w:ilvl w:val="0"/>
          <w:numId w:val="45"/>
        </w:numPr>
        <w:spacing w:beforeLines="50" w:before="180"/>
        <w:ind w:leftChars="0" w:left="737" w:hanging="737"/>
        <w:jc w:val="both"/>
        <w:rPr>
          <w:rFonts w:eastAsia="標楷體" w:cstheme="minorHAnsi"/>
        </w:rPr>
      </w:pPr>
      <w:r w:rsidRPr="00CA1A43">
        <w:rPr>
          <w:rFonts w:eastAsia="標楷體" w:cstheme="minorHAnsi"/>
        </w:rPr>
        <w:t>標準法應計提的資本是由三個成份簡單加總：敏感性基礎法</w:t>
      </w:r>
      <w:r w:rsidRPr="00CA1A43">
        <w:rPr>
          <w:rFonts w:eastAsia="標楷體" w:cstheme="minorHAnsi"/>
        </w:rPr>
        <w:t>(SBM)</w:t>
      </w:r>
      <w:r w:rsidRPr="00CA1A43">
        <w:rPr>
          <w:rFonts w:eastAsia="標楷體" w:cstheme="minorHAnsi"/>
        </w:rPr>
        <w:t>下的資本要求，違約風險資本要求</w:t>
      </w:r>
      <w:r w:rsidRPr="00CA1A43">
        <w:rPr>
          <w:rFonts w:eastAsia="標楷體" w:cstheme="minorHAnsi"/>
        </w:rPr>
        <w:t>(DRC)</w:t>
      </w:r>
      <w:r w:rsidRPr="00CA1A43">
        <w:rPr>
          <w:rFonts w:eastAsia="標楷體" w:cstheme="minorHAnsi"/>
        </w:rPr>
        <w:t>和殘餘風險附加金額</w:t>
      </w:r>
      <w:r w:rsidRPr="00CA1A43">
        <w:rPr>
          <w:rFonts w:eastAsia="標楷體" w:cstheme="minorHAnsi"/>
        </w:rPr>
        <w:t>(RRAO)</w:t>
      </w:r>
      <w:r w:rsidRPr="00CA1A43">
        <w:rPr>
          <w:rFonts w:eastAsia="標楷體" w:cstheme="minorHAnsi"/>
        </w:rPr>
        <w:t>。</w:t>
      </w:r>
    </w:p>
    <w:p w14:paraId="6BDFCCCB" w14:textId="77777777" w:rsidR="006C701C" w:rsidRPr="00CA1A43" w:rsidRDefault="006C701C" w:rsidP="00605B1D">
      <w:pPr>
        <w:pStyle w:val="a7"/>
        <w:numPr>
          <w:ilvl w:val="0"/>
          <w:numId w:val="43"/>
        </w:numPr>
        <w:spacing w:beforeLines="50" w:before="180"/>
        <w:ind w:leftChars="0" w:left="964" w:hanging="482"/>
        <w:jc w:val="both"/>
        <w:rPr>
          <w:rFonts w:eastAsia="標楷體" w:cstheme="minorHAnsi"/>
        </w:rPr>
      </w:pPr>
      <w:r w:rsidRPr="00CA1A43">
        <w:rPr>
          <w:rFonts w:eastAsia="標楷體" w:cstheme="minorHAnsi"/>
        </w:rPr>
        <w:t>計算敏感性基礎法下的資本要求必須加總以下三種風險衡量值</w:t>
      </w:r>
      <w:proofErr w:type="gramStart"/>
      <w:r w:rsidRPr="00CA1A43">
        <w:rPr>
          <w:rFonts w:eastAsia="標楷體" w:cstheme="minorHAnsi"/>
        </w:rPr>
        <w:t>–</w:t>
      </w:r>
      <w:proofErr w:type="gramEnd"/>
      <w:r w:rsidRPr="00CA1A43">
        <w:rPr>
          <w:rFonts w:eastAsia="標楷體" w:cstheme="minorHAnsi"/>
        </w:rPr>
        <w:t>delta</w:t>
      </w:r>
      <w:r w:rsidRPr="00CA1A43">
        <w:rPr>
          <w:rFonts w:eastAsia="標楷體" w:cstheme="minorHAnsi"/>
        </w:rPr>
        <w:t>，</w:t>
      </w:r>
      <w:proofErr w:type="spellStart"/>
      <w:r w:rsidRPr="00CA1A43">
        <w:rPr>
          <w:rFonts w:eastAsia="標楷體" w:cstheme="minorHAnsi"/>
        </w:rPr>
        <w:t>vega</w:t>
      </w:r>
      <w:proofErr w:type="spellEnd"/>
      <w:r w:rsidRPr="00CA1A43">
        <w:rPr>
          <w:rFonts w:eastAsia="標楷體" w:cstheme="minorHAnsi"/>
        </w:rPr>
        <w:t>及</w:t>
      </w:r>
      <w:r w:rsidRPr="00CA1A43">
        <w:rPr>
          <w:rFonts w:eastAsia="標楷體" w:cstheme="minorHAnsi"/>
        </w:rPr>
        <w:t>curvature</w:t>
      </w:r>
      <w:r w:rsidRPr="00CA1A43">
        <w:rPr>
          <w:rFonts w:eastAsia="標楷體" w:cstheme="minorHAnsi"/>
        </w:rPr>
        <w:t>：</w:t>
      </w:r>
    </w:p>
    <w:p w14:paraId="03C07419" w14:textId="52A0B09C" w:rsidR="006C701C" w:rsidRPr="00CA1A43" w:rsidRDefault="006C701C" w:rsidP="00605B1D">
      <w:pPr>
        <w:pStyle w:val="a7"/>
        <w:numPr>
          <w:ilvl w:val="0"/>
          <w:numId w:val="44"/>
        </w:numPr>
        <w:spacing w:beforeLines="50" w:before="180"/>
        <w:ind w:leftChars="0" w:left="1446" w:hanging="482"/>
        <w:jc w:val="both"/>
        <w:rPr>
          <w:rFonts w:eastAsia="標楷體" w:cstheme="minorHAnsi"/>
        </w:rPr>
      </w:pPr>
      <w:r w:rsidRPr="00CA1A43">
        <w:rPr>
          <w:rFonts w:eastAsia="標楷體" w:cstheme="minorHAnsi"/>
        </w:rPr>
        <w:t>Delta</w:t>
      </w:r>
      <w:r w:rsidRPr="00CA1A43">
        <w:rPr>
          <w:rFonts w:eastAsia="標楷體" w:cstheme="minorHAnsi"/>
        </w:rPr>
        <w:t>：基於</w:t>
      </w:r>
      <w:r w:rsidR="009653EE" w:rsidRPr="00A869D2">
        <w:rPr>
          <w:rFonts w:eastAsia="標楷體" w:cstheme="minorHAnsi"/>
        </w:rPr>
        <w:t>工具</w:t>
      </w:r>
      <w:r w:rsidRPr="00CA1A43">
        <w:rPr>
          <w:rFonts w:eastAsia="標楷體" w:cstheme="minorHAnsi"/>
        </w:rPr>
        <w:t>對法定</w:t>
      </w:r>
      <w:r w:rsidRPr="00CA1A43">
        <w:rPr>
          <w:rFonts w:eastAsia="標楷體" w:cstheme="minorHAnsi"/>
        </w:rPr>
        <w:t xml:space="preserve">delta </w:t>
      </w:r>
      <w:r w:rsidRPr="00CA1A43">
        <w:rPr>
          <w:rFonts w:eastAsia="標楷體" w:cstheme="minorHAnsi"/>
        </w:rPr>
        <w:t>風險因子敏感性部位的風險衡量。</w:t>
      </w:r>
    </w:p>
    <w:p w14:paraId="09328960" w14:textId="77777777" w:rsidR="006C701C" w:rsidRPr="00CA1A43" w:rsidRDefault="006C701C" w:rsidP="00605B1D">
      <w:pPr>
        <w:pStyle w:val="a7"/>
        <w:numPr>
          <w:ilvl w:val="0"/>
          <w:numId w:val="44"/>
        </w:numPr>
        <w:spacing w:beforeLines="50" w:before="180"/>
        <w:ind w:leftChars="0" w:left="1446" w:hanging="482"/>
        <w:jc w:val="both"/>
        <w:rPr>
          <w:rFonts w:eastAsia="標楷體" w:cstheme="minorHAnsi"/>
        </w:rPr>
      </w:pPr>
      <w:r w:rsidRPr="00CA1A43">
        <w:rPr>
          <w:rFonts w:eastAsia="標楷體" w:cstheme="minorHAnsi"/>
        </w:rPr>
        <w:t>Vega</w:t>
      </w:r>
      <w:r w:rsidRPr="00CA1A43">
        <w:rPr>
          <w:rFonts w:eastAsia="標楷體" w:cstheme="minorHAnsi"/>
        </w:rPr>
        <w:t>：基於法定</w:t>
      </w:r>
      <w:proofErr w:type="spellStart"/>
      <w:r w:rsidRPr="00CA1A43">
        <w:rPr>
          <w:rFonts w:eastAsia="標楷體" w:cstheme="minorHAnsi"/>
        </w:rPr>
        <w:t>vega</w:t>
      </w:r>
      <w:proofErr w:type="spellEnd"/>
      <w:r w:rsidRPr="00CA1A43">
        <w:rPr>
          <w:rFonts w:eastAsia="標楷體" w:cstheme="minorHAnsi"/>
        </w:rPr>
        <w:t xml:space="preserve"> </w:t>
      </w:r>
      <w:r w:rsidRPr="00CA1A43">
        <w:rPr>
          <w:rFonts w:eastAsia="標楷體" w:cstheme="minorHAnsi"/>
        </w:rPr>
        <w:t>風險因子敏感性部位的風險衡量。</w:t>
      </w:r>
    </w:p>
    <w:p w14:paraId="72CCD461" w14:textId="77777777" w:rsidR="006C701C" w:rsidRPr="00CA1A43" w:rsidRDefault="006C701C" w:rsidP="00605B1D">
      <w:pPr>
        <w:pStyle w:val="a7"/>
        <w:numPr>
          <w:ilvl w:val="0"/>
          <w:numId w:val="44"/>
        </w:numPr>
        <w:spacing w:beforeLines="50" w:before="180"/>
        <w:ind w:leftChars="0" w:left="1446" w:hanging="482"/>
        <w:jc w:val="both"/>
        <w:rPr>
          <w:rFonts w:eastAsia="標楷體" w:cstheme="minorHAnsi"/>
        </w:rPr>
      </w:pPr>
      <w:r w:rsidRPr="00CA1A43">
        <w:rPr>
          <w:rFonts w:eastAsia="標楷體" w:cstheme="minorHAnsi"/>
        </w:rPr>
        <w:t>Curvature</w:t>
      </w:r>
      <w:r w:rsidRPr="00CA1A43">
        <w:rPr>
          <w:rFonts w:eastAsia="標楷體" w:cstheme="minorHAnsi"/>
        </w:rPr>
        <w:t>：為衡量選擇權價格改變而</w:t>
      </w:r>
      <w:r w:rsidRPr="00CA1A43">
        <w:rPr>
          <w:rFonts w:eastAsia="標楷體" w:cstheme="minorHAnsi"/>
        </w:rPr>
        <w:t xml:space="preserve">delta </w:t>
      </w:r>
      <w:r w:rsidRPr="00CA1A43">
        <w:rPr>
          <w:rFonts w:eastAsia="標楷體" w:cstheme="minorHAnsi"/>
        </w:rPr>
        <w:t>風險所無法衡量的增額風險。</w:t>
      </w:r>
      <w:r w:rsidRPr="00CA1A43">
        <w:rPr>
          <w:rFonts w:eastAsia="標楷體" w:cstheme="minorHAnsi"/>
        </w:rPr>
        <w:t xml:space="preserve">Curvature </w:t>
      </w:r>
      <w:r w:rsidRPr="00CA1A43">
        <w:rPr>
          <w:rFonts w:eastAsia="標楷體" w:cstheme="minorHAnsi"/>
        </w:rPr>
        <w:t>風險是對於每</w:t>
      </w:r>
      <w:proofErr w:type="gramStart"/>
      <w:r w:rsidRPr="00CA1A43">
        <w:rPr>
          <w:rFonts w:eastAsia="標楷體" w:cstheme="minorHAnsi"/>
        </w:rPr>
        <w:t>個</w:t>
      </w:r>
      <w:proofErr w:type="gramEnd"/>
      <w:r w:rsidRPr="00CA1A43">
        <w:rPr>
          <w:rFonts w:eastAsia="標楷體" w:cstheme="minorHAnsi"/>
        </w:rPr>
        <w:t>法定風險因子向上衝擊與向下衝擊兩個壓力情況來建構。</w:t>
      </w:r>
    </w:p>
    <w:p w14:paraId="36FC8965" w14:textId="77777777" w:rsidR="006C701C" w:rsidRPr="00CA1A43" w:rsidRDefault="006C701C" w:rsidP="00605B1D">
      <w:pPr>
        <w:pStyle w:val="a7"/>
        <w:numPr>
          <w:ilvl w:val="0"/>
          <w:numId w:val="44"/>
        </w:numPr>
        <w:spacing w:beforeLines="50" w:before="180"/>
        <w:ind w:leftChars="0" w:left="1446" w:hanging="482"/>
        <w:jc w:val="both"/>
        <w:rPr>
          <w:rFonts w:eastAsia="標楷體" w:cstheme="minorHAnsi"/>
        </w:rPr>
      </w:pPr>
      <w:r w:rsidRPr="00CA1A43">
        <w:rPr>
          <w:rFonts w:eastAsia="標楷體" w:cstheme="minorHAnsi"/>
        </w:rPr>
        <w:t>上述三項風險衡量值適用於法定風險因子敏感度給定的風險權重。為計算整體資本要求，使用給定的相關性參數加總加權風險敏感性部位，以認列風險</w:t>
      </w:r>
      <w:proofErr w:type="gramStart"/>
      <w:r w:rsidRPr="00CA1A43">
        <w:rPr>
          <w:rFonts w:eastAsia="標楷體" w:cstheme="minorHAnsi"/>
        </w:rPr>
        <w:t>因子間的分散</w:t>
      </w:r>
      <w:proofErr w:type="gramEnd"/>
      <w:r w:rsidRPr="00CA1A43">
        <w:rPr>
          <w:rFonts w:eastAsia="標楷體" w:cstheme="minorHAnsi"/>
        </w:rPr>
        <w:t>效益。為解決相關性在金融市場壓力期間可能增加或減少的風險，須依本計算說明之敏感性基礎法中相關性參數特定值的三種不同情境，以計算三種敏感性基礎法的資本要求。</w:t>
      </w:r>
    </w:p>
    <w:p w14:paraId="112FC0C9" w14:textId="77777777" w:rsidR="006C701C" w:rsidRPr="00CA1A43" w:rsidRDefault="006C701C" w:rsidP="00605B1D">
      <w:pPr>
        <w:pStyle w:val="a7"/>
        <w:numPr>
          <w:ilvl w:val="0"/>
          <w:numId w:val="43"/>
        </w:numPr>
        <w:spacing w:beforeLines="50" w:before="180"/>
        <w:ind w:leftChars="0" w:left="964" w:hanging="482"/>
        <w:jc w:val="both"/>
        <w:rPr>
          <w:rFonts w:eastAsia="標楷體" w:cstheme="minorHAnsi"/>
        </w:rPr>
      </w:pPr>
      <w:r w:rsidRPr="00CA1A43">
        <w:rPr>
          <w:rFonts w:eastAsia="標楷體" w:cstheme="minorHAnsi"/>
        </w:rPr>
        <w:t>違約風險計提資本是為了要去捕捉依據本計算說明之違約風險計提資本要求中所述屬於信用風險之瞬間違約風險。</w:t>
      </w:r>
    </w:p>
    <w:p w14:paraId="7003915E" w14:textId="06C6CFD5" w:rsidR="00D10ADE" w:rsidRPr="00CA1A43" w:rsidRDefault="006C701C" w:rsidP="00605B1D">
      <w:pPr>
        <w:pStyle w:val="a7"/>
        <w:numPr>
          <w:ilvl w:val="0"/>
          <w:numId w:val="43"/>
        </w:numPr>
        <w:spacing w:beforeLines="50" w:before="180"/>
        <w:ind w:leftChars="0" w:left="964" w:hanging="482"/>
        <w:jc w:val="both"/>
        <w:rPr>
          <w:rFonts w:eastAsia="標楷體" w:cstheme="minorHAnsi"/>
        </w:rPr>
      </w:pPr>
      <w:r w:rsidRPr="00CA1A43">
        <w:rPr>
          <w:rFonts w:eastAsia="標楷體" w:cstheme="minorHAnsi"/>
        </w:rPr>
        <w:t>將採用</w:t>
      </w:r>
      <w:r w:rsidR="0086384E" w:rsidRPr="00CA1A43">
        <w:rPr>
          <w:rFonts w:eastAsia="標楷體" w:cstheme="minorHAnsi"/>
        </w:rPr>
        <w:t>殘餘風險附加金額</w:t>
      </w:r>
      <w:r w:rsidRPr="00CA1A43">
        <w:rPr>
          <w:rFonts w:eastAsia="標楷體" w:cstheme="minorHAnsi"/>
        </w:rPr>
        <w:t>(</w:t>
      </w:r>
      <w:r w:rsidR="0086384E" w:rsidRPr="00CA1A43">
        <w:rPr>
          <w:rFonts w:eastAsia="標楷體" w:cstheme="minorHAnsi"/>
        </w:rPr>
        <w:t>RRAO</w:t>
      </w:r>
      <w:r w:rsidRPr="00CA1A43">
        <w:rPr>
          <w:rFonts w:eastAsia="標楷體" w:cstheme="minorHAnsi"/>
        </w:rPr>
        <w:t>)</w:t>
      </w:r>
      <w:r w:rsidRPr="00CA1A43">
        <w:rPr>
          <w:rFonts w:eastAsia="標楷體" w:cstheme="minorHAnsi"/>
        </w:rPr>
        <w:t>，以確保「受殘餘風險附加金額影響之</w:t>
      </w:r>
      <w:r w:rsidR="009653EE" w:rsidRPr="0086384E">
        <w:rPr>
          <w:rFonts w:eastAsia="標楷體" w:cstheme="minorHAnsi"/>
        </w:rPr>
        <w:t>工具</w:t>
      </w:r>
      <w:r w:rsidRPr="00CA1A43">
        <w:rPr>
          <w:rFonts w:eastAsia="標楷體" w:cstheme="minorHAnsi"/>
        </w:rPr>
        <w:t>」的市場風險有被充分覆蓋。</w:t>
      </w:r>
    </w:p>
    <w:p w14:paraId="53ECC5BF" w14:textId="6FB8D381" w:rsidR="00A71041" w:rsidRPr="00CA1A43" w:rsidRDefault="00A71041" w:rsidP="00605B1D">
      <w:pPr>
        <w:pStyle w:val="a7"/>
        <w:numPr>
          <w:ilvl w:val="0"/>
          <w:numId w:val="45"/>
        </w:numPr>
        <w:spacing w:beforeLines="50" w:before="180"/>
        <w:ind w:leftChars="0" w:left="737" w:hanging="737"/>
        <w:jc w:val="both"/>
        <w:rPr>
          <w:rFonts w:eastAsia="標楷體" w:cstheme="minorHAnsi"/>
        </w:rPr>
      </w:pPr>
      <w:r w:rsidRPr="00CA1A43">
        <w:rPr>
          <w:rFonts w:eastAsia="標楷體" w:cstheme="minorHAnsi"/>
        </w:rPr>
        <w:t>為了計算基於敏感性基礎法及</w:t>
      </w:r>
      <w:r w:rsidRPr="00CA1A43">
        <w:rPr>
          <w:rFonts w:eastAsia="標楷體" w:cstheme="minorHAnsi"/>
        </w:rPr>
        <w:t>DRC</w:t>
      </w:r>
      <w:r w:rsidRPr="00CA1A43">
        <w:rPr>
          <w:rFonts w:eastAsia="標楷體" w:cstheme="minorHAnsi"/>
        </w:rPr>
        <w:t>要求下的信用價差資本要求，定義相關性交易投資組合為滿足以下</w:t>
      </w:r>
      <w:r w:rsidR="00B101E7" w:rsidRPr="00641199">
        <w:rPr>
          <w:rFonts w:eastAsia="標楷體" w:cstheme="minorHAnsi"/>
          <w:strike/>
          <w:color w:val="FF0000"/>
        </w:rPr>
        <w:t>(1)</w:t>
      </w:r>
      <w:r w:rsidR="00B101E7" w:rsidRPr="00641199">
        <w:rPr>
          <w:rFonts w:eastAsia="標楷體" w:cstheme="minorHAnsi"/>
          <w:strike/>
          <w:color w:val="FF0000"/>
        </w:rPr>
        <w:t>或</w:t>
      </w:r>
      <w:r w:rsidR="00B101E7" w:rsidRPr="00641199">
        <w:rPr>
          <w:rFonts w:eastAsia="標楷體" w:cstheme="minorHAnsi"/>
          <w:strike/>
          <w:color w:val="FF0000"/>
        </w:rPr>
        <w:t>(2)</w:t>
      </w:r>
      <w:r w:rsidR="00B101E7" w:rsidRPr="00641199">
        <w:rPr>
          <w:rFonts w:eastAsia="標楷體" w:cstheme="minorHAnsi"/>
          <w:color w:val="FF0000"/>
        </w:rPr>
        <w:t>1</w:t>
      </w:r>
      <w:r w:rsidR="00B101E7" w:rsidRPr="00641199">
        <w:rPr>
          <w:rFonts w:eastAsia="標楷體" w:cstheme="minorHAnsi"/>
          <w:color w:val="FF0000"/>
        </w:rPr>
        <w:t>或</w:t>
      </w:r>
      <w:r w:rsidR="00B101E7" w:rsidRPr="00641199">
        <w:rPr>
          <w:rFonts w:eastAsia="標楷體" w:cstheme="minorHAnsi"/>
          <w:color w:val="FF0000"/>
        </w:rPr>
        <w:t>2</w:t>
      </w:r>
      <w:r w:rsidRPr="00CA1A43">
        <w:rPr>
          <w:rFonts w:eastAsia="標楷體" w:cstheme="minorHAnsi"/>
        </w:rPr>
        <w:t>要求的</w:t>
      </w:r>
      <w:r w:rsidR="009653EE" w:rsidRPr="0086384E">
        <w:rPr>
          <w:rFonts w:eastAsia="標楷體" w:cstheme="minorHAnsi"/>
        </w:rPr>
        <w:t>工具</w:t>
      </w:r>
      <w:r w:rsidRPr="00CA1A43">
        <w:rPr>
          <w:rFonts w:eastAsia="標楷體" w:cstheme="minorHAnsi"/>
        </w:rPr>
        <w:t>：</w:t>
      </w:r>
    </w:p>
    <w:p w14:paraId="3D6B214E" w14:textId="7BE63AD5" w:rsidR="00A71041" w:rsidRPr="0086384E" w:rsidRDefault="00A71041" w:rsidP="00605B1D">
      <w:pPr>
        <w:pStyle w:val="a7"/>
        <w:numPr>
          <w:ilvl w:val="0"/>
          <w:numId w:val="46"/>
        </w:numPr>
        <w:spacing w:beforeLines="50" w:before="180"/>
        <w:ind w:leftChars="0" w:left="964" w:hanging="482"/>
        <w:jc w:val="both"/>
        <w:rPr>
          <w:rFonts w:eastAsia="標楷體" w:cstheme="minorHAnsi"/>
        </w:rPr>
      </w:pPr>
      <w:r w:rsidRPr="00CA1A43">
        <w:rPr>
          <w:rFonts w:eastAsia="標楷體" w:cstheme="minorHAnsi"/>
        </w:rPr>
        <w:t>該</w:t>
      </w:r>
      <w:r w:rsidR="009653EE" w:rsidRPr="0086384E">
        <w:rPr>
          <w:rFonts w:eastAsia="標楷體" w:cstheme="minorHAnsi"/>
        </w:rPr>
        <w:t>工具</w:t>
      </w:r>
      <w:r w:rsidRPr="0086384E">
        <w:rPr>
          <w:rFonts w:eastAsia="標楷體" w:cstheme="minorHAnsi"/>
        </w:rPr>
        <w:t>為證券化部位，且符合以下要求：</w:t>
      </w:r>
    </w:p>
    <w:p w14:paraId="51E97CE9" w14:textId="5AC8C33D" w:rsidR="00A71041" w:rsidRPr="00CA1A43" w:rsidRDefault="00A71041" w:rsidP="00605B1D">
      <w:pPr>
        <w:pStyle w:val="a7"/>
        <w:numPr>
          <w:ilvl w:val="0"/>
          <w:numId w:val="47"/>
        </w:numPr>
        <w:spacing w:beforeLines="50" w:before="180"/>
        <w:ind w:leftChars="0" w:left="1446" w:hanging="482"/>
        <w:jc w:val="both"/>
        <w:rPr>
          <w:rFonts w:eastAsia="標楷體" w:cstheme="minorHAnsi"/>
        </w:rPr>
      </w:pPr>
      <w:r w:rsidRPr="0086384E">
        <w:rPr>
          <w:rFonts w:eastAsia="標楷體" w:cstheme="minorHAnsi"/>
        </w:rPr>
        <w:t>該</w:t>
      </w:r>
      <w:r w:rsidR="009653EE" w:rsidRPr="0086384E">
        <w:rPr>
          <w:rFonts w:eastAsia="標楷體" w:cstheme="minorHAnsi"/>
        </w:rPr>
        <w:t>工具</w:t>
      </w:r>
      <w:proofErr w:type="gramStart"/>
      <w:r w:rsidRPr="0086384E">
        <w:rPr>
          <w:rFonts w:eastAsia="標楷體" w:cstheme="minorHAnsi"/>
        </w:rPr>
        <w:t>非</w:t>
      </w:r>
      <w:r w:rsidRPr="00CA1A43">
        <w:rPr>
          <w:rFonts w:eastAsia="標楷體" w:cstheme="minorHAnsi"/>
        </w:rPr>
        <w:t>屬再證券化</w:t>
      </w:r>
      <w:proofErr w:type="gramEnd"/>
      <w:r w:rsidRPr="00CA1A43">
        <w:rPr>
          <w:rFonts w:eastAsia="標楷體" w:cstheme="minorHAnsi"/>
        </w:rPr>
        <w:t>部位，亦非屬未按比例分配收益予證券化分</w:t>
      </w:r>
      <w:proofErr w:type="gramStart"/>
      <w:r w:rsidRPr="00CA1A43">
        <w:rPr>
          <w:rFonts w:eastAsia="標楷體" w:cstheme="minorHAnsi"/>
        </w:rPr>
        <w:t>券</w:t>
      </w:r>
      <w:proofErr w:type="gramEnd"/>
      <w:r w:rsidRPr="00CA1A43">
        <w:rPr>
          <w:rFonts w:eastAsia="標楷體" w:cstheme="minorHAnsi"/>
        </w:rPr>
        <w:lastRenderedPageBreak/>
        <w:t>(tranche)</w:t>
      </w:r>
      <w:r w:rsidRPr="00CA1A43">
        <w:rPr>
          <w:rFonts w:eastAsia="標楷體" w:cstheme="minorHAnsi"/>
        </w:rPr>
        <w:t>之</w:t>
      </w:r>
      <w:proofErr w:type="gramStart"/>
      <w:r w:rsidRPr="00CA1A43">
        <w:rPr>
          <w:rFonts w:eastAsia="標楷體" w:cstheme="minorHAnsi"/>
        </w:rPr>
        <w:t>證券化暴險</w:t>
      </w:r>
      <w:proofErr w:type="gramEnd"/>
      <w:r w:rsidRPr="00CA1A43">
        <w:rPr>
          <w:rFonts w:eastAsia="標楷體" w:cstheme="minorHAnsi"/>
        </w:rPr>
        <w:t>的衍生性商品。證券化部位的定義同信用風險架構所使用之定義。</w:t>
      </w:r>
    </w:p>
    <w:p w14:paraId="0569CCBE" w14:textId="77777777" w:rsidR="00A71041" w:rsidRPr="00CA1A43" w:rsidRDefault="00A71041" w:rsidP="00605B1D">
      <w:pPr>
        <w:pStyle w:val="a7"/>
        <w:numPr>
          <w:ilvl w:val="0"/>
          <w:numId w:val="47"/>
        </w:numPr>
        <w:spacing w:beforeLines="50" w:before="180"/>
        <w:ind w:leftChars="0" w:left="1446" w:hanging="482"/>
        <w:jc w:val="both"/>
        <w:rPr>
          <w:rFonts w:eastAsia="標楷體" w:cstheme="minorHAnsi"/>
        </w:rPr>
      </w:pPr>
      <w:r w:rsidRPr="00CA1A43">
        <w:rPr>
          <w:rFonts w:eastAsia="標楷體" w:cstheme="minorHAnsi"/>
        </w:rPr>
        <w:t>所有參考實體為單一對象產品，包括單一對象信用衍生性商品，且具有流動性雙向市場</w:t>
      </w:r>
      <w:r w:rsidRPr="00CA1A43">
        <w:rPr>
          <w:rFonts w:eastAsia="標楷體" w:cstheme="minorHAnsi"/>
        </w:rPr>
        <w:t>(liquid two-way market)</w:t>
      </w:r>
      <w:r w:rsidRPr="00CA1A43">
        <w:rPr>
          <w:rFonts w:eastAsia="標楷體" w:cstheme="minorHAnsi"/>
        </w:rPr>
        <w:t>存在</w:t>
      </w:r>
      <w:r w:rsidR="006A5B36" w:rsidRPr="00CA1A43">
        <w:rPr>
          <w:rStyle w:val="a5"/>
          <w:rFonts w:eastAsia="標楷體" w:cstheme="minorHAnsi"/>
        </w:rPr>
        <w:footnoteReference w:id="9"/>
      </w:r>
      <w:r w:rsidRPr="00CA1A43">
        <w:rPr>
          <w:rFonts w:eastAsia="標楷體" w:cstheme="minorHAnsi"/>
        </w:rPr>
        <w:t>，包括該參考實體的交易指數。</w:t>
      </w:r>
    </w:p>
    <w:p w14:paraId="46E03D2F" w14:textId="5B16CF6C" w:rsidR="00A71041" w:rsidRPr="0086384E" w:rsidRDefault="009653EE" w:rsidP="00605B1D">
      <w:pPr>
        <w:pStyle w:val="a7"/>
        <w:numPr>
          <w:ilvl w:val="0"/>
          <w:numId w:val="47"/>
        </w:numPr>
        <w:spacing w:beforeLines="50" w:before="180"/>
        <w:ind w:leftChars="0" w:left="1446" w:hanging="482"/>
        <w:jc w:val="both"/>
        <w:rPr>
          <w:rFonts w:eastAsia="標楷體" w:cstheme="minorHAnsi"/>
        </w:rPr>
      </w:pPr>
      <w:r w:rsidRPr="0086384E">
        <w:rPr>
          <w:rFonts w:eastAsia="標楷體" w:cstheme="minorHAnsi"/>
        </w:rPr>
        <w:t>工具</w:t>
      </w:r>
      <w:r w:rsidR="00A71041" w:rsidRPr="0086384E">
        <w:rPr>
          <w:rFonts w:eastAsia="標楷體" w:cstheme="minorHAnsi"/>
        </w:rPr>
        <w:t>參考標的在信用風險標準法下非歸類為</w:t>
      </w:r>
      <w:proofErr w:type="gramStart"/>
      <w:r w:rsidR="00A71041" w:rsidRPr="0086384E">
        <w:rPr>
          <w:rFonts w:eastAsia="標楷體" w:cstheme="minorHAnsi"/>
        </w:rPr>
        <w:t>零售暴險</w:t>
      </w:r>
      <w:proofErr w:type="gramEnd"/>
      <w:r w:rsidR="00A71041" w:rsidRPr="0086384E">
        <w:rPr>
          <w:rFonts w:eastAsia="標楷體" w:cstheme="minorHAnsi"/>
        </w:rPr>
        <w:t>、住宅用</w:t>
      </w:r>
      <w:proofErr w:type="gramStart"/>
      <w:r w:rsidR="00A71041" w:rsidRPr="0086384E">
        <w:rPr>
          <w:rFonts w:eastAsia="標楷體" w:cstheme="minorHAnsi"/>
        </w:rPr>
        <w:t>不動產暴險或</w:t>
      </w:r>
      <w:proofErr w:type="gramEnd"/>
      <w:r w:rsidR="00A71041" w:rsidRPr="0086384E">
        <w:rPr>
          <w:rFonts w:eastAsia="標楷體" w:cstheme="minorHAnsi"/>
        </w:rPr>
        <w:t>商用</w:t>
      </w:r>
      <w:proofErr w:type="gramStart"/>
      <w:r w:rsidR="00A71041" w:rsidRPr="0086384E">
        <w:rPr>
          <w:rFonts w:eastAsia="標楷體" w:cstheme="minorHAnsi"/>
        </w:rPr>
        <w:t>不動產暴險</w:t>
      </w:r>
      <w:proofErr w:type="gramEnd"/>
      <w:r w:rsidR="00A71041" w:rsidRPr="0086384E">
        <w:rPr>
          <w:rFonts w:eastAsia="標楷體" w:cstheme="minorHAnsi"/>
        </w:rPr>
        <w:t>。</w:t>
      </w:r>
    </w:p>
    <w:p w14:paraId="23981BB4" w14:textId="0C7FA604" w:rsidR="00A71041" w:rsidRPr="00CA1A43" w:rsidRDefault="00A71041" w:rsidP="00605B1D">
      <w:pPr>
        <w:pStyle w:val="a7"/>
        <w:numPr>
          <w:ilvl w:val="0"/>
          <w:numId w:val="47"/>
        </w:numPr>
        <w:spacing w:beforeLines="50" w:before="180"/>
        <w:ind w:leftChars="0" w:left="1446" w:hanging="482"/>
        <w:jc w:val="both"/>
        <w:rPr>
          <w:rFonts w:eastAsia="標楷體" w:cstheme="minorHAnsi"/>
        </w:rPr>
      </w:pPr>
      <w:r w:rsidRPr="0086384E">
        <w:rPr>
          <w:rFonts w:eastAsia="標楷體" w:cstheme="minorHAnsi"/>
        </w:rPr>
        <w:t>該</w:t>
      </w:r>
      <w:r w:rsidR="009653EE" w:rsidRPr="0086384E">
        <w:rPr>
          <w:rFonts w:eastAsia="標楷體" w:cstheme="minorHAnsi"/>
        </w:rPr>
        <w:t>工具</w:t>
      </w:r>
      <w:r w:rsidRPr="0086384E">
        <w:rPr>
          <w:rFonts w:eastAsia="標楷體" w:cstheme="minorHAnsi"/>
        </w:rPr>
        <w:t>對於</w:t>
      </w:r>
      <w:r w:rsidRPr="00CA1A43">
        <w:rPr>
          <w:rFonts w:eastAsia="標楷體" w:cstheme="minorHAnsi"/>
        </w:rPr>
        <w:t>特殊目的機構沒有請求權。</w:t>
      </w:r>
    </w:p>
    <w:p w14:paraId="1D6B83E3" w14:textId="66263980" w:rsidR="00A71041" w:rsidRPr="00CA1A43" w:rsidRDefault="00A71041" w:rsidP="00605B1D">
      <w:pPr>
        <w:pStyle w:val="a7"/>
        <w:numPr>
          <w:ilvl w:val="0"/>
          <w:numId w:val="46"/>
        </w:numPr>
        <w:spacing w:beforeLines="50" w:before="180"/>
        <w:ind w:leftChars="0" w:left="964" w:hanging="482"/>
        <w:jc w:val="both"/>
        <w:rPr>
          <w:rFonts w:eastAsia="標楷體" w:cstheme="minorHAnsi"/>
        </w:rPr>
      </w:pPr>
      <w:r w:rsidRPr="00CA1A43">
        <w:rPr>
          <w:rFonts w:eastAsia="標楷體" w:cstheme="minorHAnsi"/>
        </w:rPr>
        <w:t>該</w:t>
      </w:r>
      <w:r w:rsidR="009653EE" w:rsidRPr="0086384E">
        <w:rPr>
          <w:rFonts w:eastAsia="標楷體" w:cstheme="minorHAnsi"/>
        </w:rPr>
        <w:t>工具</w:t>
      </w:r>
      <w:r w:rsidRPr="00CA1A43">
        <w:rPr>
          <w:rFonts w:eastAsia="標楷體" w:cstheme="minorHAnsi"/>
        </w:rPr>
        <w:t>為上述部位之非證券化避險。</w:t>
      </w:r>
    </w:p>
    <w:p w14:paraId="40AF577C" w14:textId="77777777" w:rsidR="006F6AB5" w:rsidRPr="00CA1A43" w:rsidRDefault="006F6AB5" w:rsidP="00605B1D">
      <w:pPr>
        <w:pStyle w:val="a7"/>
        <w:numPr>
          <w:ilvl w:val="0"/>
          <w:numId w:val="48"/>
        </w:numPr>
        <w:spacing w:beforeLines="50" w:before="180"/>
        <w:ind w:leftChars="0" w:left="567" w:hanging="567"/>
        <w:jc w:val="both"/>
        <w:outlineLvl w:val="0"/>
        <w:rPr>
          <w:rFonts w:eastAsia="標楷體" w:cstheme="minorHAnsi"/>
          <w:b/>
          <w:sz w:val="28"/>
          <w:szCs w:val="28"/>
        </w:rPr>
      </w:pPr>
      <w:bookmarkStart w:id="10" w:name="_Toc67992450"/>
      <w:r w:rsidRPr="00CA1A43">
        <w:rPr>
          <w:rFonts w:eastAsia="標楷體" w:cstheme="minorHAnsi"/>
          <w:b/>
          <w:sz w:val="28"/>
          <w:szCs w:val="28"/>
        </w:rPr>
        <w:t>敏感性基礎法</w:t>
      </w:r>
      <w:bookmarkEnd w:id="10"/>
    </w:p>
    <w:p w14:paraId="21BBF67B" w14:textId="77777777" w:rsidR="006F6AB5" w:rsidRPr="00CA1A43" w:rsidRDefault="006F6AB5"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敏感性基礎法的資本要求係為加總下列各風險類別之加權敏感性風險部位</w:t>
      </w:r>
      <w:r w:rsidRPr="00CA1A43">
        <w:rPr>
          <w:rFonts w:eastAsia="標楷體" w:cstheme="minorHAnsi"/>
        </w:rPr>
        <w:t>(Delta</w:t>
      </w:r>
      <w:r w:rsidRPr="00CA1A43">
        <w:rPr>
          <w:rFonts w:eastAsia="標楷體" w:cstheme="minorHAnsi"/>
        </w:rPr>
        <w:t>，</w:t>
      </w:r>
      <w:r w:rsidRPr="00CA1A43">
        <w:rPr>
          <w:rFonts w:eastAsia="標楷體" w:cstheme="minorHAnsi"/>
        </w:rPr>
        <w:t>Vega</w:t>
      </w:r>
      <w:r w:rsidRPr="00CA1A43">
        <w:rPr>
          <w:rFonts w:eastAsia="標楷體" w:cstheme="minorHAnsi"/>
        </w:rPr>
        <w:t>和</w:t>
      </w:r>
      <w:r w:rsidRPr="00CA1A43">
        <w:rPr>
          <w:rFonts w:eastAsia="標楷體" w:cstheme="minorHAnsi"/>
        </w:rPr>
        <w:t>Curvature)</w:t>
      </w:r>
      <w:r w:rsidRPr="00CA1A43">
        <w:rPr>
          <w:rFonts w:eastAsia="標楷體" w:cstheme="minorHAnsi"/>
        </w:rPr>
        <w:t>計算得之，計算方式首先在組別層級下將風險部位加總，之後再依據敏感性基礎法下所定義同一風險類別內做跨</w:t>
      </w:r>
      <w:proofErr w:type="gramStart"/>
      <w:r w:rsidRPr="00CA1A43">
        <w:rPr>
          <w:rFonts w:eastAsia="標楷體" w:cstheme="minorHAnsi"/>
        </w:rPr>
        <w:t>組別加總</w:t>
      </w:r>
      <w:proofErr w:type="gramEnd"/>
      <w:r w:rsidRPr="00CA1A43">
        <w:rPr>
          <w:rFonts w:eastAsia="標楷體" w:cstheme="minorHAnsi"/>
        </w:rPr>
        <w:t>。</w:t>
      </w:r>
    </w:p>
    <w:p w14:paraId="42EB9CA2" w14:textId="77777777" w:rsidR="006F6AB5" w:rsidRPr="00CA1A43" w:rsidRDefault="006F6AB5" w:rsidP="00605B1D">
      <w:pPr>
        <w:pStyle w:val="a7"/>
        <w:numPr>
          <w:ilvl w:val="0"/>
          <w:numId w:val="49"/>
        </w:numPr>
        <w:spacing w:beforeLines="50" w:before="180"/>
        <w:ind w:leftChars="0" w:left="964" w:hanging="482"/>
        <w:jc w:val="both"/>
        <w:rPr>
          <w:rFonts w:eastAsia="標楷體" w:cstheme="minorHAnsi"/>
        </w:rPr>
      </w:pPr>
      <w:r w:rsidRPr="00CA1A43">
        <w:rPr>
          <w:rFonts w:eastAsia="標楷體" w:cstheme="minorHAnsi"/>
        </w:rPr>
        <w:t>一般利率風險</w:t>
      </w:r>
      <w:r w:rsidRPr="00CA1A43">
        <w:rPr>
          <w:rFonts w:eastAsia="標楷體" w:cstheme="minorHAnsi"/>
        </w:rPr>
        <w:t>(GIRR)</w:t>
      </w:r>
    </w:p>
    <w:p w14:paraId="63E4C56C" w14:textId="77777777" w:rsidR="006F6AB5" w:rsidRPr="00CA1A43" w:rsidRDefault="006F6AB5" w:rsidP="00605B1D">
      <w:pPr>
        <w:pStyle w:val="a7"/>
        <w:numPr>
          <w:ilvl w:val="0"/>
          <w:numId w:val="49"/>
        </w:numPr>
        <w:spacing w:beforeLines="50" w:before="180"/>
        <w:ind w:leftChars="0" w:left="964" w:hanging="482"/>
        <w:jc w:val="both"/>
        <w:rPr>
          <w:rFonts w:eastAsia="標楷體" w:cstheme="minorHAnsi"/>
        </w:rPr>
      </w:pPr>
      <w:r w:rsidRPr="00CA1A43">
        <w:rPr>
          <w:rFonts w:eastAsia="標楷體" w:cstheme="minorHAnsi"/>
        </w:rPr>
        <w:t>信用價差風險</w:t>
      </w:r>
      <w:r w:rsidRPr="00CA1A43">
        <w:rPr>
          <w:rFonts w:eastAsia="標楷體" w:cstheme="minorHAnsi"/>
        </w:rPr>
        <w:t>(CSR)</w:t>
      </w:r>
      <w:r w:rsidRPr="00CA1A43">
        <w:rPr>
          <w:rFonts w:eastAsia="標楷體" w:cstheme="minorHAnsi"/>
        </w:rPr>
        <w:t>：非證券化</w:t>
      </w:r>
    </w:p>
    <w:p w14:paraId="5A76A084" w14:textId="77777777" w:rsidR="006F6AB5" w:rsidRPr="00CA1A43" w:rsidRDefault="006F6AB5" w:rsidP="00605B1D">
      <w:pPr>
        <w:pStyle w:val="a7"/>
        <w:numPr>
          <w:ilvl w:val="0"/>
          <w:numId w:val="49"/>
        </w:numPr>
        <w:spacing w:beforeLines="50" w:before="180"/>
        <w:ind w:leftChars="0" w:left="964" w:hanging="482"/>
        <w:jc w:val="both"/>
        <w:rPr>
          <w:rFonts w:eastAsia="標楷體" w:cstheme="minorHAnsi"/>
        </w:rPr>
      </w:pPr>
      <w:r w:rsidRPr="00CA1A43">
        <w:rPr>
          <w:rFonts w:eastAsia="標楷體" w:cstheme="minorHAnsi"/>
        </w:rPr>
        <w:t>信用價差風險</w:t>
      </w:r>
      <w:r w:rsidRPr="00CA1A43">
        <w:rPr>
          <w:rFonts w:eastAsia="標楷體" w:cstheme="minorHAnsi"/>
        </w:rPr>
        <w:t>(CSR)</w:t>
      </w:r>
      <w:r w:rsidRPr="00CA1A43">
        <w:rPr>
          <w:rFonts w:eastAsia="標楷體" w:cstheme="minorHAnsi"/>
        </w:rPr>
        <w:t>：證券化</w:t>
      </w:r>
      <w:r w:rsidRPr="00CA1A43">
        <w:rPr>
          <w:rFonts w:eastAsia="標楷體" w:cstheme="minorHAnsi"/>
        </w:rPr>
        <w:t>(</w:t>
      </w:r>
      <w:r w:rsidRPr="00CA1A43">
        <w:rPr>
          <w:rFonts w:eastAsia="標楷體" w:cstheme="minorHAnsi"/>
        </w:rPr>
        <w:t>非相關性交易投資組合</w:t>
      </w:r>
      <w:r w:rsidRPr="00CA1A43">
        <w:rPr>
          <w:rFonts w:eastAsia="標楷體" w:cstheme="minorHAnsi"/>
        </w:rPr>
        <w:t>,non-CTP)</w:t>
      </w:r>
    </w:p>
    <w:p w14:paraId="13F8D175" w14:textId="77777777" w:rsidR="006F6AB5" w:rsidRPr="00CA1A43" w:rsidRDefault="006F6AB5" w:rsidP="00605B1D">
      <w:pPr>
        <w:pStyle w:val="a7"/>
        <w:numPr>
          <w:ilvl w:val="0"/>
          <w:numId w:val="49"/>
        </w:numPr>
        <w:spacing w:beforeLines="50" w:before="180"/>
        <w:ind w:leftChars="0" w:left="964" w:hanging="482"/>
        <w:jc w:val="both"/>
        <w:rPr>
          <w:rFonts w:eastAsia="標楷體" w:cstheme="minorHAnsi"/>
        </w:rPr>
      </w:pPr>
      <w:r w:rsidRPr="00CA1A43">
        <w:rPr>
          <w:rFonts w:eastAsia="標楷體" w:cstheme="minorHAnsi"/>
        </w:rPr>
        <w:t>信用價差風險</w:t>
      </w:r>
      <w:r w:rsidRPr="00CA1A43">
        <w:rPr>
          <w:rFonts w:eastAsia="標楷體" w:cstheme="minorHAnsi"/>
        </w:rPr>
        <w:t>(CSR)</w:t>
      </w:r>
      <w:r w:rsidRPr="00CA1A43">
        <w:rPr>
          <w:rFonts w:eastAsia="標楷體" w:cstheme="minorHAnsi"/>
        </w:rPr>
        <w:t>：證券化</w:t>
      </w:r>
      <w:r w:rsidRPr="00CA1A43">
        <w:rPr>
          <w:rFonts w:eastAsia="標楷體" w:cstheme="minorHAnsi"/>
        </w:rPr>
        <w:t>(</w:t>
      </w:r>
      <w:r w:rsidRPr="00CA1A43">
        <w:rPr>
          <w:rFonts w:eastAsia="標楷體" w:cstheme="minorHAnsi"/>
        </w:rPr>
        <w:t>相關性交易投資組合</w:t>
      </w:r>
      <w:r w:rsidRPr="00CA1A43">
        <w:rPr>
          <w:rFonts w:eastAsia="標楷體" w:cstheme="minorHAnsi"/>
        </w:rPr>
        <w:t>,CTP)</w:t>
      </w:r>
    </w:p>
    <w:p w14:paraId="4B881F63" w14:textId="77777777" w:rsidR="006F6AB5" w:rsidRPr="00CA1A43" w:rsidRDefault="006F6AB5" w:rsidP="00605B1D">
      <w:pPr>
        <w:pStyle w:val="a7"/>
        <w:numPr>
          <w:ilvl w:val="0"/>
          <w:numId w:val="49"/>
        </w:numPr>
        <w:spacing w:beforeLines="50" w:before="180"/>
        <w:ind w:leftChars="0" w:left="964" w:hanging="482"/>
        <w:jc w:val="both"/>
        <w:rPr>
          <w:rFonts w:eastAsia="標楷體" w:cstheme="minorHAnsi"/>
        </w:rPr>
      </w:pPr>
      <w:r w:rsidRPr="00CA1A43">
        <w:rPr>
          <w:rFonts w:eastAsia="標楷體" w:cstheme="minorHAnsi"/>
        </w:rPr>
        <w:t>權益證券風險</w:t>
      </w:r>
    </w:p>
    <w:p w14:paraId="40290769" w14:textId="77777777" w:rsidR="006F6AB5" w:rsidRPr="00CA1A43" w:rsidRDefault="006F6AB5" w:rsidP="00605B1D">
      <w:pPr>
        <w:pStyle w:val="a7"/>
        <w:numPr>
          <w:ilvl w:val="0"/>
          <w:numId w:val="49"/>
        </w:numPr>
        <w:spacing w:beforeLines="50" w:before="180"/>
        <w:ind w:leftChars="0" w:left="964" w:hanging="482"/>
        <w:jc w:val="both"/>
        <w:rPr>
          <w:rFonts w:eastAsia="標楷體" w:cstheme="minorHAnsi"/>
        </w:rPr>
      </w:pPr>
      <w:r w:rsidRPr="00CA1A43">
        <w:rPr>
          <w:rFonts w:eastAsia="標楷體" w:cstheme="minorHAnsi"/>
        </w:rPr>
        <w:t>商品風險</w:t>
      </w:r>
    </w:p>
    <w:p w14:paraId="010E16F3" w14:textId="77777777" w:rsidR="00A71041" w:rsidRPr="00CA1A43" w:rsidRDefault="006F6AB5" w:rsidP="00605B1D">
      <w:pPr>
        <w:pStyle w:val="a7"/>
        <w:numPr>
          <w:ilvl w:val="0"/>
          <w:numId w:val="49"/>
        </w:numPr>
        <w:spacing w:beforeLines="50" w:before="180"/>
        <w:ind w:leftChars="0" w:left="964" w:hanging="482"/>
        <w:jc w:val="both"/>
        <w:rPr>
          <w:rFonts w:eastAsia="標楷體" w:cstheme="minorHAnsi"/>
        </w:rPr>
      </w:pPr>
      <w:r w:rsidRPr="00CA1A43">
        <w:rPr>
          <w:rFonts w:eastAsia="標楷體" w:cstheme="minorHAnsi"/>
        </w:rPr>
        <w:t>外匯風險</w:t>
      </w:r>
    </w:p>
    <w:p w14:paraId="1493068D" w14:textId="00798168" w:rsidR="006F6AB5" w:rsidRPr="00CA1A43" w:rsidRDefault="009653EE" w:rsidP="00605B1D">
      <w:pPr>
        <w:pStyle w:val="a7"/>
        <w:numPr>
          <w:ilvl w:val="0"/>
          <w:numId w:val="50"/>
        </w:numPr>
        <w:spacing w:beforeLines="50" w:before="180"/>
        <w:ind w:leftChars="0" w:left="737" w:hanging="737"/>
        <w:jc w:val="both"/>
        <w:rPr>
          <w:rFonts w:eastAsia="標楷體" w:cstheme="minorHAnsi"/>
        </w:rPr>
      </w:pPr>
      <w:r w:rsidRPr="00BC5A3F">
        <w:rPr>
          <w:rFonts w:eastAsia="標楷體" w:cstheme="minorHAnsi"/>
        </w:rPr>
        <w:t>工具</w:t>
      </w:r>
      <w:r w:rsidR="006F6AB5" w:rsidRPr="00CA1A43">
        <w:rPr>
          <w:rFonts w:eastAsia="標楷體" w:cstheme="minorHAnsi"/>
        </w:rPr>
        <w:t>依循敏感性基礎法的計算原則</w:t>
      </w:r>
    </w:p>
    <w:p w14:paraId="676F1162" w14:textId="07F730A1" w:rsidR="006F6AB5" w:rsidRPr="00CA1A43" w:rsidRDefault="006F6AB5" w:rsidP="00605B1D">
      <w:pPr>
        <w:pStyle w:val="a7"/>
        <w:numPr>
          <w:ilvl w:val="0"/>
          <w:numId w:val="52"/>
        </w:numPr>
        <w:spacing w:beforeLines="50" w:before="180"/>
        <w:ind w:leftChars="0" w:left="964" w:hanging="482"/>
        <w:jc w:val="both"/>
        <w:rPr>
          <w:rFonts w:eastAsia="標楷體" w:cstheme="minorHAnsi"/>
        </w:rPr>
      </w:pPr>
      <w:r w:rsidRPr="00CA1A43">
        <w:rPr>
          <w:rFonts w:eastAsia="標楷體" w:cstheme="minorHAnsi"/>
        </w:rPr>
        <w:t>在適用敏感性基礎法時，本計算說明規範的市場風險適用範圍之</w:t>
      </w:r>
      <w:r w:rsidR="009653EE" w:rsidRPr="00BC5A3F">
        <w:rPr>
          <w:rFonts w:eastAsia="標楷體" w:cstheme="minorHAnsi"/>
        </w:rPr>
        <w:t>工具</w:t>
      </w:r>
      <w:r w:rsidRPr="00CA1A43">
        <w:rPr>
          <w:rFonts w:eastAsia="標楷體" w:cstheme="minorHAnsi"/>
        </w:rPr>
        <w:t>，皆須依循下列計算原則：</w:t>
      </w:r>
    </w:p>
    <w:p w14:paraId="2AFAD0DB" w14:textId="77777777" w:rsidR="006F6AB5" w:rsidRPr="00CA1A43" w:rsidRDefault="006F6AB5" w:rsidP="00605B1D">
      <w:pPr>
        <w:pStyle w:val="a7"/>
        <w:numPr>
          <w:ilvl w:val="0"/>
          <w:numId w:val="51"/>
        </w:numPr>
        <w:spacing w:beforeLines="50" w:before="180"/>
        <w:ind w:leftChars="0" w:left="1446" w:hanging="482"/>
        <w:jc w:val="both"/>
        <w:rPr>
          <w:rFonts w:eastAsia="標楷體" w:cstheme="minorHAnsi"/>
        </w:rPr>
      </w:pPr>
      <w:r w:rsidRPr="00CA1A43">
        <w:rPr>
          <w:rFonts w:eastAsia="標楷體" w:cstheme="minorHAnsi"/>
        </w:rPr>
        <w:t>敏感性基礎法規定之</w:t>
      </w:r>
      <w:r w:rsidRPr="00CA1A43">
        <w:rPr>
          <w:rFonts w:eastAsia="標楷體" w:cstheme="minorHAnsi"/>
        </w:rPr>
        <w:t>delta</w:t>
      </w:r>
      <w:r w:rsidRPr="00CA1A43">
        <w:rPr>
          <w:rFonts w:eastAsia="標楷體" w:cstheme="minorHAnsi"/>
        </w:rPr>
        <w:t>風險資本要求。</w:t>
      </w:r>
    </w:p>
    <w:p w14:paraId="732B2118" w14:textId="6FBA8337" w:rsidR="006F6AB5" w:rsidRPr="00CA1A43" w:rsidRDefault="006F6AB5" w:rsidP="00605B1D">
      <w:pPr>
        <w:pStyle w:val="a7"/>
        <w:numPr>
          <w:ilvl w:val="0"/>
          <w:numId w:val="51"/>
        </w:numPr>
        <w:spacing w:beforeLines="50" w:before="180"/>
        <w:ind w:leftChars="0" w:left="1446" w:hanging="482"/>
        <w:jc w:val="both"/>
        <w:rPr>
          <w:rFonts w:eastAsia="標楷體" w:cstheme="minorHAnsi"/>
        </w:rPr>
      </w:pPr>
      <w:r w:rsidRPr="00CA1A43">
        <w:rPr>
          <w:rFonts w:eastAsia="標楷體" w:cstheme="minorHAnsi"/>
        </w:rPr>
        <w:lastRenderedPageBreak/>
        <w:t>具選擇權特性的</w:t>
      </w:r>
      <w:r w:rsidR="009653EE" w:rsidRPr="00BA48D5">
        <w:rPr>
          <w:rFonts w:eastAsia="標楷體" w:cstheme="minorHAnsi"/>
        </w:rPr>
        <w:t>工具</w:t>
      </w:r>
      <w:r w:rsidR="00B147C6" w:rsidRPr="00BA48D5">
        <w:rPr>
          <w:rStyle w:val="a5"/>
          <w:rFonts w:eastAsia="標楷體" w:cstheme="minorHAnsi"/>
        </w:rPr>
        <w:footnoteReference w:id="10"/>
      </w:r>
      <w:r w:rsidRPr="00BA48D5">
        <w:rPr>
          <w:rFonts w:eastAsia="標楷體" w:cstheme="minorHAnsi"/>
        </w:rPr>
        <w:t>(</w:t>
      </w:r>
      <w:r w:rsidRPr="00BA48D5">
        <w:rPr>
          <w:rFonts w:eastAsia="標楷體" w:cstheme="minorHAnsi"/>
        </w:rPr>
        <w:t>包含具提前償還特性</w:t>
      </w:r>
      <w:r w:rsidRPr="00BA48D5">
        <w:rPr>
          <w:rFonts w:eastAsia="標楷體" w:cstheme="minorHAnsi"/>
        </w:rPr>
        <w:t>)</w:t>
      </w:r>
      <w:r w:rsidR="00B147C6" w:rsidRPr="00BA48D5">
        <w:rPr>
          <w:rStyle w:val="a5"/>
          <w:rFonts w:eastAsia="標楷體" w:cstheme="minorHAnsi"/>
        </w:rPr>
        <w:footnoteReference w:id="11"/>
      </w:r>
      <w:r w:rsidRPr="00BA48D5">
        <w:rPr>
          <w:rFonts w:eastAsia="標楷體" w:cstheme="minorHAnsi"/>
        </w:rPr>
        <w:t>、</w:t>
      </w:r>
      <w:r w:rsidR="009653EE" w:rsidRPr="00BA48D5">
        <w:rPr>
          <w:rFonts w:eastAsia="標楷體" w:cstheme="minorHAnsi"/>
        </w:rPr>
        <w:t>工具</w:t>
      </w:r>
      <w:r w:rsidRPr="00BA48D5">
        <w:rPr>
          <w:rFonts w:eastAsia="標楷體" w:cstheme="minorHAnsi"/>
        </w:rPr>
        <w:t>的</w:t>
      </w:r>
      <w:r w:rsidRPr="00CA1A43">
        <w:rPr>
          <w:rFonts w:eastAsia="標楷體" w:cstheme="minorHAnsi"/>
        </w:rPr>
        <w:t>現金流無法以標的本金線性函數表示者</w:t>
      </w:r>
      <w:r w:rsidR="00B147C6" w:rsidRPr="00CA1A43">
        <w:rPr>
          <w:rStyle w:val="a5"/>
          <w:rFonts w:eastAsia="標楷體" w:cstheme="minorHAnsi"/>
        </w:rPr>
        <w:footnoteReference w:id="12"/>
      </w:r>
      <w:r w:rsidRPr="00CA1A43">
        <w:rPr>
          <w:rFonts w:eastAsia="標楷體" w:cstheme="minorHAnsi"/>
        </w:rPr>
        <w:t>，皆須依循敏感性基礎法規定之</w:t>
      </w:r>
      <w:proofErr w:type="spellStart"/>
      <w:r w:rsidRPr="00CA1A43">
        <w:rPr>
          <w:rFonts w:eastAsia="標楷體" w:cstheme="minorHAnsi"/>
        </w:rPr>
        <w:t>vega</w:t>
      </w:r>
      <w:proofErr w:type="spellEnd"/>
      <w:r w:rsidRPr="00CA1A43">
        <w:rPr>
          <w:rFonts w:eastAsia="標楷體" w:cstheme="minorHAnsi"/>
        </w:rPr>
        <w:t>及</w:t>
      </w:r>
      <w:r w:rsidRPr="00CA1A43">
        <w:rPr>
          <w:rFonts w:eastAsia="標楷體" w:cstheme="minorHAnsi"/>
        </w:rPr>
        <w:t>curvature</w:t>
      </w:r>
      <w:r w:rsidRPr="00CA1A43">
        <w:rPr>
          <w:rFonts w:eastAsia="標楷體" w:cstheme="minorHAnsi"/>
        </w:rPr>
        <w:t>風險資本要求。</w:t>
      </w:r>
    </w:p>
    <w:p w14:paraId="58A1971E" w14:textId="26C56A9E" w:rsidR="006F6AB5" w:rsidRPr="00CA1A43" w:rsidRDefault="006F6AB5" w:rsidP="00605B1D">
      <w:pPr>
        <w:pStyle w:val="a7"/>
        <w:numPr>
          <w:ilvl w:val="0"/>
          <w:numId w:val="51"/>
        </w:numPr>
        <w:spacing w:beforeLines="50" w:before="180"/>
        <w:ind w:leftChars="0" w:left="1446" w:hanging="482"/>
        <w:jc w:val="both"/>
        <w:rPr>
          <w:rFonts w:eastAsia="標楷體" w:cstheme="minorHAnsi"/>
        </w:rPr>
      </w:pPr>
      <w:r w:rsidRPr="00CA1A43">
        <w:rPr>
          <w:rFonts w:eastAsia="標楷體" w:cstheme="minorHAnsi"/>
        </w:rPr>
        <w:t>所有受</w:t>
      </w:r>
      <w:r w:rsidRPr="00CA1A43">
        <w:rPr>
          <w:rFonts w:eastAsia="標楷體" w:cstheme="minorHAnsi"/>
        </w:rPr>
        <w:t>delta</w:t>
      </w:r>
      <w:r w:rsidRPr="00CA1A43">
        <w:rPr>
          <w:rFonts w:eastAsia="標楷體" w:cstheme="minorHAnsi"/>
        </w:rPr>
        <w:t>風險影響的</w:t>
      </w:r>
      <w:r w:rsidR="009653EE" w:rsidRPr="00FD3F4A">
        <w:rPr>
          <w:rFonts w:eastAsia="標楷體" w:cstheme="minorHAnsi"/>
        </w:rPr>
        <w:t>工具</w:t>
      </w:r>
      <w:r w:rsidRPr="00FD3F4A">
        <w:rPr>
          <w:rFonts w:eastAsia="標楷體" w:cstheme="minorHAnsi"/>
        </w:rPr>
        <w:t>均可計算</w:t>
      </w:r>
      <w:r w:rsidRPr="00FD3F4A">
        <w:rPr>
          <w:rFonts w:eastAsia="標楷體" w:cstheme="minorHAnsi"/>
        </w:rPr>
        <w:t>curvature</w:t>
      </w:r>
      <w:r w:rsidRPr="00FD3F4A">
        <w:rPr>
          <w:rFonts w:eastAsia="標楷體" w:cstheme="minorHAnsi"/>
        </w:rPr>
        <w:t>風險，不限於上述規定中會受</w:t>
      </w:r>
      <w:proofErr w:type="spellStart"/>
      <w:r w:rsidRPr="00FD3F4A">
        <w:rPr>
          <w:rFonts w:eastAsia="標楷體" w:cstheme="minorHAnsi"/>
        </w:rPr>
        <w:t>vega</w:t>
      </w:r>
      <w:proofErr w:type="spellEnd"/>
      <w:r w:rsidRPr="00FD3F4A">
        <w:rPr>
          <w:rFonts w:eastAsia="標楷體" w:cstheme="minorHAnsi"/>
        </w:rPr>
        <w:t>風險影響的</w:t>
      </w:r>
      <w:r w:rsidR="009653EE" w:rsidRPr="00FD3F4A">
        <w:rPr>
          <w:rFonts w:eastAsia="標楷體" w:cstheme="minorHAnsi"/>
        </w:rPr>
        <w:t>工具</w:t>
      </w:r>
      <w:r w:rsidRPr="00FD3F4A">
        <w:rPr>
          <w:rFonts w:eastAsia="標楷體" w:cstheme="minorHAnsi"/>
        </w:rPr>
        <w:t>。即如果銀行全面性地管理具選擇權特性及其他</w:t>
      </w:r>
      <w:r w:rsidR="009653EE" w:rsidRPr="00FD3F4A">
        <w:rPr>
          <w:rFonts w:eastAsia="標楷體" w:cstheme="minorHAnsi"/>
        </w:rPr>
        <w:t>工具</w:t>
      </w:r>
      <w:r w:rsidRPr="00FD3F4A">
        <w:rPr>
          <w:rFonts w:eastAsia="標楷體" w:cstheme="minorHAnsi"/>
        </w:rPr>
        <w:t>的非線性風險時，銀行可選擇在計算</w:t>
      </w:r>
      <w:r w:rsidRPr="00FD3F4A">
        <w:rPr>
          <w:rFonts w:eastAsia="標楷體" w:cstheme="minorHAnsi"/>
        </w:rPr>
        <w:t>curvature</w:t>
      </w:r>
      <w:r w:rsidRPr="00FD3F4A">
        <w:rPr>
          <w:rFonts w:eastAsia="標楷體" w:cstheme="minorHAnsi"/>
        </w:rPr>
        <w:t>風險時納入不具選擇權特性的</w:t>
      </w:r>
      <w:r w:rsidR="009653EE" w:rsidRPr="00FD3F4A">
        <w:rPr>
          <w:rFonts w:eastAsia="標楷體" w:cstheme="minorHAnsi"/>
        </w:rPr>
        <w:t>工具</w:t>
      </w:r>
      <w:r w:rsidRPr="00FD3F4A">
        <w:rPr>
          <w:rFonts w:eastAsia="標楷體" w:cstheme="minorHAnsi"/>
        </w:rPr>
        <w:t>，惟應以敏感性基礎法計算所有</w:t>
      </w:r>
      <w:r w:rsidR="009653EE" w:rsidRPr="00FD3F4A">
        <w:rPr>
          <w:rFonts w:eastAsia="標楷體" w:cstheme="minorHAnsi"/>
        </w:rPr>
        <w:t>工具</w:t>
      </w:r>
      <w:r w:rsidRPr="00FD3F4A">
        <w:rPr>
          <w:rFonts w:eastAsia="標楷體" w:cstheme="minorHAnsi"/>
        </w:rPr>
        <w:t>的</w:t>
      </w:r>
      <w:r w:rsidRPr="00FD3F4A">
        <w:rPr>
          <w:rFonts w:eastAsia="標楷體" w:cstheme="minorHAnsi"/>
        </w:rPr>
        <w:t>curvature</w:t>
      </w:r>
      <w:r w:rsidRPr="00CA1A43">
        <w:rPr>
          <w:rFonts w:eastAsia="標楷體" w:cstheme="minorHAnsi"/>
        </w:rPr>
        <w:t>風險並持續一致地使用這種方法。</w:t>
      </w:r>
    </w:p>
    <w:p w14:paraId="4A2F4E69" w14:textId="77777777" w:rsidR="006F6AB5" w:rsidRPr="00CA1A43" w:rsidRDefault="006F6AB5"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敏感性基礎法</w:t>
      </w:r>
    </w:p>
    <w:p w14:paraId="13DFFD4C" w14:textId="77777777" w:rsidR="006F6AB5" w:rsidRPr="00CA1A43" w:rsidRDefault="006F6AB5" w:rsidP="00605B1D">
      <w:pPr>
        <w:pStyle w:val="a7"/>
        <w:numPr>
          <w:ilvl w:val="0"/>
          <w:numId w:val="57"/>
        </w:numPr>
        <w:spacing w:beforeLines="50" w:before="180"/>
        <w:ind w:leftChars="0" w:left="964" w:hanging="482"/>
        <w:jc w:val="both"/>
        <w:rPr>
          <w:rFonts w:eastAsia="標楷體" w:cstheme="minorHAnsi"/>
        </w:rPr>
      </w:pPr>
      <w:r w:rsidRPr="00CA1A43">
        <w:rPr>
          <w:rFonts w:eastAsia="標楷體" w:cstheme="minorHAnsi"/>
        </w:rPr>
        <w:t>一般利率風險</w:t>
      </w:r>
      <w:r w:rsidR="00CA3D6E" w:rsidRPr="00CA1A43">
        <w:rPr>
          <w:rFonts w:eastAsia="標楷體" w:cstheme="minorHAnsi"/>
        </w:rPr>
        <w:t>(</w:t>
      </w:r>
      <w:r w:rsidRPr="00CA1A43">
        <w:rPr>
          <w:rFonts w:eastAsia="標楷體" w:cstheme="minorHAnsi"/>
        </w:rPr>
        <w:t>GIRR)</w:t>
      </w:r>
      <w:r w:rsidRPr="00CA1A43">
        <w:rPr>
          <w:rFonts w:eastAsia="標楷體" w:cstheme="minorHAnsi"/>
        </w:rPr>
        <w:t>因子</w:t>
      </w:r>
    </w:p>
    <w:p w14:paraId="1304F659" w14:textId="53B2CD98" w:rsidR="006F6AB5" w:rsidRPr="00CA1A43" w:rsidRDefault="006F6AB5" w:rsidP="00605B1D">
      <w:pPr>
        <w:pStyle w:val="a7"/>
        <w:numPr>
          <w:ilvl w:val="0"/>
          <w:numId w:val="54"/>
        </w:numPr>
        <w:spacing w:beforeLines="50" w:before="180"/>
        <w:ind w:leftChars="0" w:left="1446" w:hanging="482"/>
        <w:jc w:val="both"/>
        <w:rPr>
          <w:rFonts w:eastAsia="標楷體" w:cstheme="minorHAnsi"/>
        </w:rPr>
      </w:pPr>
      <w:r w:rsidRPr="00CA1A43">
        <w:rPr>
          <w:rFonts w:eastAsia="標楷體" w:cstheme="minorHAnsi"/>
        </w:rPr>
        <w:t>GIRR Delta</w:t>
      </w:r>
      <w:r w:rsidRPr="00CA1A43">
        <w:rPr>
          <w:rFonts w:eastAsia="標楷體" w:cstheme="minorHAnsi"/>
        </w:rPr>
        <w:t>：</w:t>
      </w:r>
      <w:r w:rsidRPr="00CA1A43">
        <w:rPr>
          <w:rFonts w:eastAsia="標楷體" w:cstheme="minorHAnsi"/>
        </w:rPr>
        <w:t xml:space="preserve">GIRR delta </w:t>
      </w:r>
      <w:r w:rsidRPr="00CA1A43">
        <w:rPr>
          <w:rFonts w:eastAsia="標楷體" w:cstheme="minorHAnsi"/>
        </w:rPr>
        <w:t>風險因子之計算應依循</w:t>
      </w:r>
      <w:proofErr w:type="gramStart"/>
      <w:r w:rsidRPr="00CA1A43">
        <w:rPr>
          <w:rFonts w:eastAsia="標楷體" w:cstheme="minorHAnsi"/>
        </w:rPr>
        <w:t>下列維</w:t>
      </w:r>
      <w:proofErr w:type="gramEnd"/>
      <w:r w:rsidRPr="00CA1A43">
        <w:rPr>
          <w:rFonts w:eastAsia="標楷體" w:cstheme="minorHAnsi"/>
        </w:rPr>
        <w:t>度：</w:t>
      </w:r>
      <w:r w:rsidRPr="00CA1A43">
        <w:rPr>
          <w:rFonts w:eastAsia="標楷體" w:cstheme="minorHAnsi"/>
        </w:rPr>
        <w:t>(</w:t>
      </w:r>
      <w:proofErr w:type="spellStart"/>
      <w:r w:rsidRPr="00CA1A43">
        <w:rPr>
          <w:rFonts w:eastAsia="標楷體" w:cstheme="minorHAnsi"/>
        </w:rPr>
        <w:t>i</w:t>
      </w:r>
      <w:proofErr w:type="spellEnd"/>
      <w:r w:rsidRPr="00CA1A43">
        <w:rPr>
          <w:rFonts w:eastAsia="標楷體" w:cstheme="minorHAnsi"/>
        </w:rPr>
        <w:t>)</w:t>
      </w:r>
      <w:r w:rsidRPr="00CA1A43">
        <w:rPr>
          <w:rFonts w:eastAsia="標楷體" w:cstheme="minorHAnsi"/>
        </w:rPr>
        <w:t>利率敏感</w:t>
      </w:r>
      <w:r w:rsidR="009653EE" w:rsidRPr="00E97BC6">
        <w:rPr>
          <w:rFonts w:eastAsia="標楷體" w:cstheme="minorHAnsi"/>
        </w:rPr>
        <w:t>工具</w:t>
      </w:r>
      <w:r w:rsidRPr="00CA1A43">
        <w:rPr>
          <w:rFonts w:eastAsia="標楷體" w:cstheme="minorHAnsi"/>
        </w:rPr>
        <w:t>所使用的各種幣別無風險</w:t>
      </w:r>
      <w:proofErr w:type="gramStart"/>
      <w:r w:rsidRPr="00CA1A43">
        <w:rPr>
          <w:rFonts w:eastAsia="標楷體" w:cstheme="minorHAnsi"/>
        </w:rPr>
        <w:t>殖</w:t>
      </w:r>
      <w:proofErr w:type="gramEnd"/>
      <w:r w:rsidRPr="00CA1A43">
        <w:rPr>
          <w:rFonts w:eastAsia="標楷體" w:cstheme="minorHAnsi"/>
        </w:rPr>
        <w:t>利率曲線，及</w:t>
      </w:r>
      <w:r w:rsidRPr="00CA1A43">
        <w:rPr>
          <w:rFonts w:eastAsia="標楷體" w:cstheme="minorHAnsi"/>
        </w:rPr>
        <w:t>(ii)delta</w:t>
      </w:r>
      <w:r w:rsidRPr="00CA1A43">
        <w:rPr>
          <w:rFonts w:eastAsia="標楷體" w:cstheme="minorHAnsi"/>
        </w:rPr>
        <w:t>風險因子的期限結構：</w:t>
      </w:r>
      <w:r w:rsidRPr="00CA1A43">
        <w:rPr>
          <w:rFonts w:eastAsia="標楷體" w:cstheme="minorHAnsi"/>
        </w:rPr>
        <w:t>0.25</w:t>
      </w:r>
      <w:r w:rsidRPr="00CA1A43">
        <w:rPr>
          <w:rFonts w:eastAsia="標楷體" w:cstheme="minorHAnsi"/>
        </w:rPr>
        <w:t>、</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2</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5</w:t>
      </w:r>
      <w:r w:rsidRPr="00CA1A43">
        <w:rPr>
          <w:rFonts w:eastAsia="標楷體" w:cstheme="minorHAnsi"/>
        </w:rPr>
        <w:t>、</w:t>
      </w:r>
      <w:r w:rsidRPr="00CA1A43">
        <w:rPr>
          <w:rFonts w:eastAsia="標楷體" w:cstheme="minorHAnsi"/>
        </w:rPr>
        <w:t>10</w:t>
      </w:r>
      <w:r w:rsidRPr="00CA1A43">
        <w:rPr>
          <w:rFonts w:eastAsia="標楷體" w:cstheme="minorHAnsi"/>
        </w:rPr>
        <w:t>、</w:t>
      </w:r>
      <w:r w:rsidRPr="00CA1A43">
        <w:rPr>
          <w:rFonts w:eastAsia="標楷體" w:cstheme="minorHAnsi"/>
        </w:rPr>
        <w:t>15</w:t>
      </w:r>
      <w:r w:rsidRPr="00CA1A43">
        <w:rPr>
          <w:rFonts w:eastAsia="標楷體" w:cstheme="minorHAnsi"/>
        </w:rPr>
        <w:t>、</w:t>
      </w:r>
      <w:r w:rsidRPr="00CA1A43">
        <w:rPr>
          <w:rFonts w:eastAsia="標楷體" w:cstheme="minorHAnsi"/>
        </w:rPr>
        <w:t>20</w:t>
      </w:r>
      <w:r w:rsidRPr="00CA1A43">
        <w:rPr>
          <w:rFonts w:eastAsia="標楷體" w:cstheme="minorHAnsi"/>
        </w:rPr>
        <w:t>、</w:t>
      </w:r>
      <w:r w:rsidRPr="00CA1A43">
        <w:rPr>
          <w:rFonts w:eastAsia="標楷體" w:cstheme="minorHAnsi"/>
        </w:rPr>
        <w:t xml:space="preserve">30 </w:t>
      </w:r>
      <w:r w:rsidRPr="00CA1A43">
        <w:rPr>
          <w:rFonts w:eastAsia="標楷體" w:cstheme="minorHAnsi"/>
        </w:rPr>
        <w:t>年。</w:t>
      </w:r>
    </w:p>
    <w:p w14:paraId="406B6E7A" w14:textId="467E85BC" w:rsidR="006F6AB5" w:rsidRPr="00CA1A43" w:rsidRDefault="006F6AB5" w:rsidP="00605B1D">
      <w:pPr>
        <w:pStyle w:val="a7"/>
        <w:numPr>
          <w:ilvl w:val="0"/>
          <w:numId w:val="53"/>
        </w:numPr>
        <w:spacing w:beforeLines="50" w:before="180"/>
        <w:ind w:leftChars="0"/>
        <w:jc w:val="both"/>
        <w:rPr>
          <w:rFonts w:eastAsia="標楷體" w:cstheme="minorHAnsi"/>
        </w:rPr>
      </w:pPr>
      <w:r w:rsidRPr="00CA1A43">
        <w:rPr>
          <w:rFonts w:eastAsia="標楷體" w:cstheme="minorHAnsi"/>
        </w:rPr>
        <w:t>每</w:t>
      </w:r>
      <w:proofErr w:type="gramStart"/>
      <w:r w:rsidRPr="00CA1A43">
        <w:rPr>
          <w:rFonts w:eastAsia="標楷體" w:cstheme="minorHAnsi"/>
        </w:rPr>
        <w:t>個</w:t>
      </w:r>
      <w:proofErr w:type="gramEnd"/>
      <w:r w:rsidRPr="00CA1A43">
        <w:rPr>
          <w:rFonts w:eastAsia="標楷體" w:cstheme="minorHAnsi"/>
        </w:rPr>
        <w:t>幣別無風險利率曲線，應使用交易簿中信用風險最低的貨幣市場</w:t>
      </w:r>
      <w:r w:rsidR="009653EE" w:rsidRPr="00E97BC6">
        <w:rPr>
          <w:rFonts w:eastAsia="標楷體" w:cstheme="minorHAnsi"/>
        </w:rPr>
        <w:t>工具</w:t>
      </w:r>
      <w:r w:rsidRPr="00CA1A43">
        <w:rPr>
          <w:rFonts w:eastAsia="標楷體" w:cstheme="minorHAnsi"/>
        </w:rPr>
        <w:t>建構，例如：隔夜指數利率交換</w:t>
      </w:r>
      <w:r w:rsidRPr="00CA1A43">
        <w:rPr>
          <w:rFonts w:eastAsia="標楷體" w:cstheme="minorHAnsi"/>
        </w:rPr>
        <w:t>(OIS)</w:t>
      </w:r>
      <w:r w:rsidRPr="00CA1A43">
        <w:rPr>
          <w:rFonts w:eastAsia="標楷體" w:cstheme="minorHAnsi"/>
        </w:rPr>
        <w:t>。或是，無風險</w:t>
      </w:r>
      <w:proofErr w:type="gramStart"/>
      <w:r w:rsidRPr="00CA1A43">
        <w:rPr>
          <w:rFonts w:eastAsia="標楷體" w:cstheme="minorHAnsi"/>
        </w:rPr>
        <w:t>殖</w:t>
      </w:r>
      <w:proofErr w:type="gramEnd"/>
      <w:r w:rsidRPr="00CA1A43">
        <w:rPr>
          <w:rFonts w:eastAsia="標楷體" w:cstheme="minorHAnsi"/>
        </w:rPr>
        <w:t>利率曲線可以依據一個或多個被銀行用以評估部位市值之市場隱含利率交換曲線，例如：</w:t>
      </w:r>
      <w:proofErr w:type="gramStart"/>
      <w:r w:rsidRPr="00CA1A43">
        <w:rPr>
          <w:rFonts w:eastAsia="標楷體" w:cstheme="minorHAnsi"/>
        </w:rPr>
        <w:t>銀行間拆款</w:t>
      </w:r>
      <w:proofErr w:type="gramEnd"/>
      <w:r w:rsidRPr="00CA1A43">
        <w:rPr>
          <w:rFonts w:eastAsia="標楷體" w:cstheme="minorHAnsi"/>
        </w:rPr>
        <w:t>利率</w:t>
      </w:r>
      <w:r w:rsidRPr="00CA1A43">
        <w:rPr>
          <w:rFonts w:eastAsia="標楷體" w:cstheme="minorHAnsi"/>
        </w:rPr>
        <w:t>(BOR)</w:t>
      </w:r>
      <w:r w:rsidRPr="00CA1A43">
        <w:rPr>
          <w:rFonts w:eastAsia="標楷體" w:cstheme="minorHAnsi"/>
        </w:rPr>
        <w:t>交換曲線。</w:t>
      </w:r>
      <w:r w:rsidR="00582E35" w:rsidRPr="00CA1A43">
        <w:rPr>
          <w:rStyle w:val="a5"/>
          <w:rFonts w:eastAsia="標楷體" w:cstheme="minorHAnsi"/>
        </w:rPr>
        <w:footnoteReference w:id="13"/>
      </w:r>
    </w:p>
    <w:p w14:paraId="747A165C" w14:textId="77777777" w:rsidR="006F6AB5" w:rsidRPr="00CA1A43" w:rsidRDefault="006F6AB5" w:rsidP="00605B1D">
      <w:pPr>
        <w:pStyle w:val="a7"/>
        <w:numPr>
          <w:ilvl w:val="0"/>
          <w:numId w:val="53"/>
        </w:numPr>
        <w:spacing w:beforeLines="50" w:before="180"/>
        <w:ind w:leftChars="0"/>
        <w:jc w:val="both"/>
        <w:rPr>
          <w:rFonts w:eastAsia="標楷體" w:cstheme="minorHAnsi"/>
        </w:rPr>
      </w:pPr>
      <w:r w:rsidRPr="00CA1A43">
        <w:rPr>
          <w:rFonts w:eastAsia="標楷體" w:cstheme="minorHAnsi"/>
        </w:rPr>
        <w:t>如建構任</w:t>
      </w:r>
      <w:proofErr w:type="gramStart"/>
      <w:r w:rsidRPr="00CA1A43">
        <w:rPr>
          <w:rFonts w:eastAsia="標楷體" w:cstheme="minorHAnsi"/>
        </w:rPr>
        <w:t>一</w:t>
      </w:r>
      <w:proofErr w:type="gramEnd"/>
      <w:r w:rsidRPr="00CA1A43">
        <w:rPr>
          <w:rFonts w:eastAsia="標楷體" w:cstheme="minorHAnsi"/>
        </w:rPr>
        <w:t>幣別</w:t>
      </w:r>
      <w:proofErr w:type="gramStart"/>
      <w:r w:rsidRPr="00CA1A43">
        <w:rPr>
          <w:rFonts w:eastAsia="標楷體" w:cstheme="minorHAnsi"/>
        </w:rPr>
        <w:t>之</w:t>
      </w:r>
      <w:proofErr w:type="gramEnd"/>
      <w:r w:rsidRPr="00CA1A43">
        <w:rPr>
          <w:rFonts w:eastAsia="標楷體" w:cstheme="minorHAnsi"/>
        </w:rPr>
        <w:t>市場隱含交換利率曲線的資料不足夠時，其無風險</w:t>
      </w:r>
      <w:proofErr w:type="gramStart"/>
      <w:r w:rsidRPr="00CA1A43">
        <w:rPr>
          <w:rFonts w:eastAsia="標楷體" w:cstheme="minorHAnsi"/>
        </w:rPr>
        <w:t>殖</w:t>
      </w:r>
      <w:proofErr w:type="gramEnd"/>
      <w:r w:rsidRPr="00CA1A43">
        <w:rPr>
          <w:rFonts w:eastAsia="標楷體" w:cstheme="minorHAnsi"/>
        </w:rPr>
        <w:t>利率曲線可以由</w:t>
      </w:r>
      <w:proofErr w:type="gramStart"/>
      <w:r w:rsidRPr="00CA1A43">
        <w:rPr>
          <w:rFonts w:eastAsia="標楷體" w:cstheme="minorHAnsi"/>
        </w:rPr>
        <w:t>最</w:t>
      </w:r>
      <w:proofErr w:type="gramEnd"/>
      <w:r w:rsidRPr="00CA1A43">
        <w:rPr>
          <w:rFonts w:eastAsia="標楷體" w:cstheme="minorHAnsi"/>
        </w:rPr>
        <w:t>適主權債券利率曲線所建構。在這種情況下，與前述主權債券利率曲線相關之</w:t>
      </w:r>
      <w:r w:rsidRPr="005A77EA">
        <w:rPr>
          <w:rFonts w:eastAsia="標楷體" w:cstheme="minorHAnsi"/>
          <w:strike/>
          <w:color w:val="FF0000"/>
        </w:rPr>
        <w:t>主</w:t>
      </w:r>
      <w:r w:rsidRPr="00CF39CE">
        <w:rPr>
          <w:rFonts w:eastAsia="標楷體" w:cstheme="minorHAnsi"/>
          <w:strike/>
          <w:color w:val="FF0000"/>
        </w:rPr>
        <w:t>權債券的</w:t>
      </w:r>
      <w:r w:rsidRPr="00CA1A43">
        <w:rPr>
          <w:rFonts w:eastAsia="標楷體" w:cstheme="minorHAnsi"/>
        </w:rPr>
        <w:t>敏感性部位皆須計算</w:t>
      </w:r>
      <w:r w:rsidRPr="00CA1A43">
        <w:rPr>
          <w:rFonts w:eastAsia="標楷體" w:cstheme="minorHAnsi"/>
        </w:rPr>
        <w:t>GIRR</w:t>
      </w:r>
      <w:r w:rsidRPr="00CA1A43">
        <w:rPr>
          <w:rFonts w:eastAsia="標楷體" w:cstheme="minorHAnsi"/>
        </w:rPr>
        <w:t>與</w:t>
      </w:r>
      <w:r w:rsidRPr="00CA1A43">
        <w:rPr>
          <w:rFonts w:eastAsia="標楷體" w:cstheme="minorHAnsi"/>
        </w:rPr>
        <w:t>CSR</w:t>
      </w:r>
      <w:r w:rsidRPr="00CA1A43">
        <w:rPr>
          <w:rFonts w:eastAsia="標楷體" w:cstheme="minorHAnsi"/>
        </w:rPr>
        <w:t>之資本要求。</w:t>
      </w:r>
      <w:r w:rsidR="00582E35" w:rsidRPr="00CA1A43">
        <w:rPr>
          <w:rStyle w:val="a5"/>
          <w:rFonts w:eastAsia="標楷體" w:cstheme="minorHAnsi"/>
        </w:rPr>
        <w:footnoteReference w:id="14"/>
      </w:r>
    </w:p>
    <w:p w14:paraId="0AB8B1AC" w14:textId="4367CCA2" w:rsidR="006F6AB5" w:rsidRPr="00CA1A43" w:rsidRDefault="006F6AB5" w:rsidP="00605B1D">
      <w:pPr>
        <w:pStyle w:val="a7"/>
        <w:numPr>
          <w:ilvl w:val="0"/>
          <w:numId w:val="54"/>
        </w:numPr>
        <w:spacing w:beforeLines="50" w:before="180"/>
        <w:ind w:leftChars="0" w:left="1446" w:hanging="482"/>
        <w:jc w:val="both"/>
        <w:rPr>
          <w:rFonts w:eastAsia="標楷體" w:cstheme="minorHAnsi"/>
        </w:rPr>
      </w:pPr>
      <w:r w:rsidRPr="00CA1A43">
        <w:rPr>
          <w:rFonts w:eastAsia="標楷體" w:cstheme="minorHAnsi"/>
        </w:rPr>
        <w:t xml:space="preserve">GIRR delta </w:t>
      </w:r>
      <w:r w:rsidRPr="00CA1A43">
        <w:rPr>
          <w:rFonts w:eastAsia="標楷體" w:cstheme="minorHAnsi"/>
        </w:rPr>
        <w:t>風險因子也包含每一種幣別中之市場隱含通貨膨脹率</w:t>
      </w:r>
      <w:r w:rsidRPr="00CA1A43">
        <w:rPr>
          <w:rFonts w:eastAsia="標楷體" w:cstheme="minorHAnsi"/>
        </w:rPr>
        <w:lastRenderedPageBreak/>
        <w:t>水平曲線，因此其期間結構不被認定為風險因子。當</w:t>
      </w:r>
      <w:r w:rsidR="009653EE" w:rsidRPr="00F75B77">
        <w:rPr>
          <w:rFonts w:eastAsia="標楷體" w:cstheme="minorHAnsi"/>
        </w:rPr>
        <w:t>工具</w:t>
      </w:r>
      <w:r w:rsidRPr="00CA1A43">
        <w:rPr>
          <w:rFonts w:eastAsia="標楷體" w:cstheme="minorHAnsi"/>
        </w:rPr>
        <w:t>的現金流量與通貨膨脹之估算值有實質上的關聯性</w:t>
      </w:r>
      <w:r w:rsidR="00CA3D6E" w:rsidRPr="00CA1A43">
        <w:rPr>
          <w:rStyle w:val="a5"/>
          <w:rFonts w:eastAsia="標楷體" w:cstheme="minorHAnsi"/>
        </w:rPr>
        <w:footnoteReference w:id="15"/>
      </w:r>
      <w:r w:rsidRPr="00CA1A43">
        <w:rPr>
          <w:rFonts w:eastAsia="標楷體" w:cstheme="minorHAnsi"/>
        </w:rPr>
        <w:t>時，除了考量對於利率的敏感性部位，也應考量相應</w:t>
      </w:r>
      <w:proofErr w:type="gramStart"/>
      <w:r w:rsidRPr="00CA1A43">
        <w:rPr>
          <w:rFonts w:eastAsia="標楷體" w:cstheme="minorHAnsi"/>
        </w:rPr>
        <w:t>於同幣別之</w:t>
      </w:r>
      <w:proofErr w:type="gramEnd"/>
      <w:r w:rsidRPr="00CA1A43">
        <w:rPr>
          <w:rFonts w:eastAsia="標楷體" w:cstheme="minorHAnsi"/>
        </w:rPr>
        <w:t>相關無風險利率曲線期間結構的通貨膨脹率風險，單一幣別的所有通貨膨脹風險總值必須透過簡單加總而得。</w:t>
      </w:r>
    </w:p>
    <w:p w14:paraId="6A84DCD6" w14:textId="77777777" w:rsidR="006F6AB5" w:rsidRPr="00CA1A43" w:rsidRDefault="006F6AB5" w:rsidP="00605B1D">
      <w:pPr>
        <w:pStyle w:val="a7"/>
        <w:numPr>
          <w:ilvl w:val="0"/>
          <w:numId w:val="54"/>
        </w:numPr>
        <w:spacing w:beforeLines="50" w:before="180"/>
        <w:ind w:leftChars="0" w:left="1446" w:hanging="482"/>
        <w:jc w:val="both"/>
        <w:rPr>
          <w:rFonts w:eastAsia="標楷體" w:cstheme="minorHAnsi"/>
        </w:rPr>
      </w:pPr>
      <w:r w:rsidRPr="00CA1A43">
        <w:rPr>
          <w:rFonts w:eastAsia="標楷體" w:cstheme="minorHAnsi"/>
        </w:rPr>
        <w:t xml:space="preserve">GIRR delta </w:t>
      </w:r>
      <w:r w:rsidRPr="00CA1A43">
        <w:rPr>
          <w:rFonts w:eastAsia="標楷體" w:cstheme="minorHAnsi"/>
        </w:rPr>
        <w:t>風險因子亦包含各種幣別中的兩種交叉</w:t>
      </w:r>
      <w:proofErr w:type="gramStart"/>
      <w:r w:rsidRPr="00CA1A43">
        <w:rPr>
          <w:rFonts w:eastAsia="標楷體" w:cstheme="minorHAnsi"/>
        </w:rPr>
        <w:t>貨幣基差風險</w:t>
      </w:r>
      <w:proofErr w:type="gramEnd"/>
      <w:r w:rsidRPr="00CA1A43">
        <w:rPr>
          <w:rFonts w:eastAsia="標楷體" w:cstheme="minorHAnsi"/>
        </w:rPr>
        <w:t>因子</w:t>
      </w:r>
      <w:r w:rsidR="00CA3D6E" w:rsidRPr="00CA1A43">
        <w:rPr>
          <w:rStyle w:val="a5"/>
          <w:rFonts w:eastAsia="標楷體" w:cstheme="minorHAnsi"/>
        </w:rPr>
        <w:footnoteReference w:id="16"/>
      </w:r>
      <w:r w:rsidRPr="00CA1A43">
        <w:rPr>
          <w:rFonts w:eastAsia="標楷體" w:cstheme="minorHAnsi"/>
        </w:rPr>
        <w:t>，惟其期間結構不被認定為風險因子</w:t>
      </w:r>
      <w:r w:rsidRPr="00CA1A43">
        <w:rPr>
          <w:rFonts w:eastAsia="標楷體" w:cstheme="minorHAnsi"/>
        </w:rPr>
        <w:t>(</w:t>
      </w:r>
      <w:r w:rsidRPr="00CA1A43">
        <w:rPr>
          <w:rFonts w:eastAsia="標楷體" w:cstheme="minorHAnsi"/>
        </w:rPr>
        <w:t>即：兩種交叉</w:t>
      </w:r>
      <w:proofErr w:type="gramStart"/>
      <w:r w:rsidRPr="00CA1A43">
        <w:rPr>
          <w:rFonts w:eastAsia="標楷體" w:cstheme="minorHAnsi"/>
        </w:rPr>
        <w:t>貨幣基差曲線</w:t>
      </w:r>
      <w:proofErr w:type="gramEnd"/>
      <w:r w:rsidRPr="00CA1A43">
        <w:rPr>
          <w:rFonts w:eastAsia="標楷體" w:cstheme="minorHAnsi"/>
        </w:rPr>
        <w:t>都是水平的</w:t>
      </w:r>
      <w:r w:rsidRPr="00CA1A43">
        <w:rPr>
          <w:rFonts w:eastAsia="標楷體" w:cstheme="minorHAnsi"/>
        </w:rPr>
        <w:t>)</w:t>
      </w:r>
      <w:r w:rsidRPr="00CA1A43">
        <w:rPr>
          <w:rFonts w:eastAsia="標楷體" w:cstheme="minorHAnsi"/>
        </w:rPr>
        <w:t>。兩種交叉</w:t>
      </w:r>
      <w:proofErr w:type="gramStart"/>
      <w:r w:rsidRPr="00CA1A43">
        <w:rPr>
          <w:rFonts w:eastAsia="標楷體" w:cstheme="minorHAnsi"/>
        </w:rPr>
        <w:t>貨幣基差風險</w:t>
      </w:r>
      <w:proofErr w:type="gramEnd"/>
      <w:r w:rsidRPr="00CA1A43">
        <w:rPr>
          <w:rFonts w:eastAsia="標楷體" w:cstheme="minorHAnsi"/>
        </w:rPr>
        <w:t>因子是每</w:t>
      </w:r>
      <w:proofErr w:type="gramStart"/>
      <w:r w:rsidRPr="00CA1A43">
        <w:rPr>
          <w:rFonts w:eastAsia="標楷體" w:cstheme="minorHAnsi"/>
        </w:rPr>
        <w:t>一個幣</w:t>
      </w:r>
      <w:proofErr w:type="gramEnd"/>
      <w:r w:rsidRPr="00CA1A43">
        <w:rPr>
          <w:rFonts w:eastAsia="標楷體" w:cstheme="minorHAnsi"/>
        </w:rPr>
        <w:t>別對於</w:t>
      </w:r>
      <w:r w:rsidRPr="00CA1A43">
        <w:rPr>
          <w:rFonts w:eastAsia="標楷體" w:cstheme="minorHAnsi"/>
        </w:rPr>
        <w:t>USD</w:t>
      </w:r>
      <w:r w:rsidRPr="00CA1A43">
        <w:rPr>
          <w:rFonts w:eastAsia="標楷體" w:cstheme="minorHAnsi"/>
        </w:rPr>
        <w:t>或對於</w:t>
      </w:r>
      <w:r w:rsidRPr="00CA1A43">
        <w:rPr>
          <w:rFonts w:eastAsia="標楷體" w:cstheme="minorHAnsi"/>
        </w:rPr>
        <w:t>EUR</w:t>
      </w:r>
      <w:proofErr w:type="gramStart"/>
      <w:r w:rsidRPr="00CA1A43">
        <w:rPr>
          <w:rFonts w:eastAsia="標楷體" w:cstheme="minorHAnsi"/>
        </w:rPr>
        <w:t>的基差</w:t>
      </w:r>
      <w:proofErr w:type="gramEnd"/>
      <w:r w:rsidRPr="00CA1A43">
        <w:rPr>
          <w:rFonts w:eastAsia="標楷體" w:cstheme="minorHAnsi"/>
        </w:rPr>
        <w:t>。例如：一家本位幣為</w:t>
      </w:r>
      <w:r w:rsidRPr="00CA1A43">
        <w:rPr>
          <w:rFonts w:eastAsia="標楷體" w:cstheme="minorHAnsi"/>
        </w:rPr>
        <w:t xml:space="preserve">AUD </w:t>
      </w:r>
      <w:r w:rsidRPr="00CA1A43">
        <w:rPr>
          <w:rFonts w:eastAsia="標楷體" w:cstheme="minorHAnsi"/>
        </w:rPr>
        <w:t>的銀行，交易</w:t>
      </w:r>
      <w:r w:rsidRPr="00CA1A43">
        <w:rPr>
          <w:rFonts w:eastAsia="標楷體" w:cstheme="minorHAnsi"/>
        </w:rPr>
        <w:t xml:space="preserve">JPY/USD </w:t>
      </w:r>
      <w:r w:rsidRPr="00CA1A43">
        <w:rPr>
          <w:rFonts w:eastAsia="標楷體" w:cstheme="minorHAnsi"/>
        </w:rPr>
        <w:t>交叉</w:t>
      </w:r>
      <w:proofErr w:type="gramStart"/>
      <w:r w:rsidRPr="00CA1A43">
        <w:rPr>
          <w:rFonts w:eastAsia="標楷體" w:cstheme="minorHAnsi"/>
        </w:rPr>
        <w:t>貨幣基差交換</w:t>
      </w:r>
      <w:proofErr w:type="gramEnd"/>
      <w:r w:rsidRPr="00CA1A43">
        <w:rPr>
          <w:rFonts w:eastAsia="標楷體" w:cstheme="minorHAnsi"/>
        </w:rPr>
        <w:t>將會產生對於</w:t>
      </w:r>
      <w:r w:rsidRPr="00CA1A43">
        <w:rPr>
          <w:rFonts w:eastAsia="標楷體" w:cstheme="minorHAnsi"/>
        </w:rPr>
        <w:t xml:space="preserve">JPY/USD </w:t>
      </w:r>
      <w:proofErr w:type="gramStart"/>
      <w:r w:rsidRPr="00CA1A43">
        <w:rPr>
          <w:rFonts w:eastAsia="標楷體" w:cstheme="minorHAnsi"/>
        </w:rPr>
        <w:t>基差的</w:t>
      </w:r>
      <w:proofErr w:type="gramEnd"/>
      <w:r w:rsidRPr="00CA1A43">
        <w:rPr>
          <w:rFonts w:eastAsia="標楷體" w:cstheme="minorHAnsi"/>
        </w:rPr>
        <w:t>敏感部位而不是對於</w:t>
      </w:r>
      <w:r w:rsidRPr="00CA1A43">
        <w:rPr>
          <w:rFonts w:eastAsia="標楷體" w:cstheme="minorHAnsi"/>
        </w:rPr>
        <w:t>JPY/EUR</w:t>
      </w:r>
      <w:proofErr w:type="gramStart"/>
      <w:r w:rsidRPr="00CA1A43">
        <w:rPr>
          <w:rFonts w:eastAsia="標楷體" w:cstheme="minorHAnsi"/>
        </w:rPr>
        <w:t>基差的</w:t>
      </w:r>
      <w:proofErr w:type="gramEnd"/>
      <w:r w:rsidRPr="00CA1A43">
        <w:rPr>
          <w:rFonts w:eastAsia="標楷體" w:cstheme="minorHAnsi"/>
        </w:rPr>
        <w:t>敏感部位。若交叉貨幣基礎不涉及</w:t>
      </w:r>
      <w:r w:rsidRPr="00CA1A43">
        <w:rPr>
          <w:rFonts w:eastAsia="標楷體" w:cstheme="minorHAnsi"/>
        </w:rPr>
        <w:t>USD</w:t>
      </w:r>
      <w:r w:rsidRPr="00CA1A43">
        <w:rPr>
          <w:rFonts w:eastAsia="標楷體" w:cstheme="minorHAnsi"/>
        </w:rPr>
        <w:t>或是</w:t>
      </w:r>
      <w:r w:rsidRPr="00CA1A43">
        <w:rPr>
          <w:rFonts w:eastAsia="標楷體" w:cstheme="minorHAnsi"/>
        </w:rPr>
        <w:t>EUR</w:t>
      </w:r>
      <w:r w:rsidRPr="00CA1A43">
        <w:rPr>
          <w:rFonts w:eastAsia="標楷體" w:cstheme="minorHAnsi"/>
        </w:rPr>
        <w:t>任</w:t>
      </w:r>
      <w:proofErr w:type="gramStart"/>
      <w:r w:rsidRPr="00CA1A43">
        <w:rPr>
          <w:rFonts w:eastAsia="標楷體" w:cstheme="minorHAnsi"/>
        </w:rPr>
        <w:t>一種基差時</w:t>
      </w:r>
      <w:proofErr w:type="gramEnd"/>
      <w:r w:rsidRPr="00CA1A43">
        <w:rPr>
          <w:rFonts w:eastAsia="標楷體" w:cstheme="minorHAnsi"/>
        </w:rPr>
        <w:t>，就必須透過對於</w:t>
      </w:r>
      <w:r w:rsidRPr="00CA1A43">
        <w:rPr>
          <w:rFonts w:eastAsia="標楷體" w:cstheme="minorHAnsi"/>
        </w:rPr>
        <w:t xml:space="preserve">USD </w:t>
      </w:r>
      <w:r w:rsidRPr="00CA1A43">
        <w:rPr>
          <w:rFonts w:eastAsia="標楷體" w:cstheme="minorHAnsi"/>
        </w:rPr>
        <w:t>或是</w:t>
      </w:r>
      <w:r w:rsidRPr="00CA1A43">
        <w:rPr>
          <w:rFonts w:eastAsia="標楷體" w:cstheme="minorHAnsi"/>
        </w:rPr>
        <w:t xml:space="preserve">EUR </w:t>
      </w:r>
      <w:proofErr w:type="gramStart"/>
      <w:r w:rsidRPr="00CA1A43">
        <w:rPr>
          <w:rFonts w:eastAsia="標楷體" w:cstheme="minorHAnsi"/>
        </w:rPr>
        <w:t>的基差其中</w:t>
      </w:r>
      <w:proofErr w:type="gramEnd"/>
      <w:r w:rsidRPr="00CA1A43">
        <w:rPr>
          <w:rFonts w:eastAsia="標楷體" w:cstheme="minorHAnsi"/>
        </w:rPr>
        <w:t>一種來進行計算，但非同時對於兩者進行計算。</w:t>
      </w:r>
    </w:p>
    <w:p w14:paraId="0618F748" w14:textId="77777777" w:rsidR="006F6AB5" w:rsidRPr="00CA1A43" w:rsidRDefault="006F6AB5" w:rsidP="00605B1D">
      <w:pPr>
        <w:pStyle w:val="a7"/>
        <w:numPr>
          <w:ilvl w:val="0"/>
          <w:numId w:val="54"/>
        </w:numPr>
        <w:spacing w:beforeLines="50" w:before="180"/>
        <w:ind w:leftChars="0" w:left="1446" w:hanging="482"/>
        <w:jc w:val="both"/>
        <w:rPr>
          <w:rFonts w:eastAsia="標楷體" w:cstheme="minorHAnsi"/>
        </w:rPr>
      </w:pPr>
      <w:r w:rsidRPr="00CA1A43">
        <w:rPr>
          <w:rFonts w:eastAsia="標楷體" w:cstheme="minorHAnsi"/>
        </w:rPr>
        <w:t>GIRR Vega</w:t>
      </w:r>
      <w:r w:rsidRPr="00CA1A43">
        <w:rPr>
          <w:rFonts w:eastAsia="標楷體" w:cstheme="minorHAnsi"/>
        </w:rPr>
        <w:t>：在每一種幣別中，</w:t>
      </w:r>
      <w:r w:rsidRPr="00CA1A43">
        <w:rPr>
          <w:rFonts w:eastAsia="標楷體" w:cstheme="minorHAnsi"/>
        </w:rPr>
        <w:t xml:space="preserve">GIRR </w:t>
      </w:r>
      <w:proofErr w:type="spellStart"/>
      <w:r w:rsidRPr="00CA1A43">
        <w:rPr>
          <w:rFonts w:eastAsia="標楷體" w:cstheme="minorHAnsi"/>
        </w:rPr>
        <w:t>vega</w:t>
      </w:r>
      <w:proofErr w:type="spellEnd"/>
      <w:r w:rsidRPr="00CA1A43">
        <w:rPr>
          <w:rFonts w:eastAsia="標楷體" w:cstheme="minorHAnsi"/>
        </w:rPr>
        <w:t xml:space="preserve"> </w:t>
      </w:r>
      <w:r w:rsidRPr="00CA1A43">
        <w:rPr>
          <w:rFonts w:eastAsia="標楷體" w:cstheme="minorHAnsi"/>
        </w:rPr>
        <w:t>風險因子係指參照標的物對</w:t>
      </w:r>
      <w:r w:rsidRPr="00CA1A43">
        <w:rPr>
          <w:rFonts w:eastAsia="標楷體" w:cstheme="minorHAnsi"/>
        </w:rPr>
        <w:t>GIRR</w:t>
      </w:r>
      <w:r w:rsidRPr="00CA1A43">
        <w:rPr>
          <w:rFonts w:eastAsia="標楷體" w:cstheme="minorHAnsi"/>
        </w:rPr>
        <w:t>具敏感性選擇權之隱含波動度，應依循</w:t>
      </w:r>
      <w:proofErr w:type="gramStart"/>
      <w:r w:rsidRPr="00CA1A43">
        <w:rPr>
          <w:rFonts w:eastAsia="標楷體" w:cstheme="minorHAnsi"/>
        </w:rPr>
        <w:t>下列維</w:t>
      </w:r>
      <w:proofErr w:type="gramEnd"/>
      <w:r w:rsidRPr="00CA1A43">
        <w:rPr>
          <w:rFonts w:eastAsia="標楷體" w:cstheme="minorHAnsi"/>
        </w:rPr>
        <w:t>度計算：</w:t>
      </w:r>
      <w:r w:rsidR="00CA3D6E" w:rsidRPr="00CA1A43">
        <w:rPr>
          <w:rStyle w:val="a5"/>
          <w:rFonts w:eastAsia="標楷體" w:cstheme="minorHAnsi"/>
        </w:rPr>
        <w:footnoteReference w:id="17"/>
      </w:r>
    </w:p>
    <w:p w14:paraId="06D32A1A" w14:textId="77777777" w:rsidR="006F6AB5" w:rsidRPr="00CA1A43" w:rsidRDefault="006F6AB5" w:rsidP="00605B1D">
      <w:pPr>
        <w:pStyle w:val="a7"/>
        <w:numPr>
          <w:ilvl w:val="0"/>
          <w:numId w:val="55"/>
        </w:numPr>
        <w:spacing w:beforeLines="50" w:before="180"/>
        <w:ind w:leftChars="0"/>
        <w:jc w:val="both"/>
        <w:rPr>
          <w:rFonts w:eastAsia="標楷體" w:cstheme="minorHAnsi"/>
        </w:rPr>
      </w:pPr>
      <w:r w:rsidRPr="00CA1A43">
        <w:rPr>
          <w:rFonts w:eastAsia="標楷體" w:cstheme="minorHAnsi"/>
        </w:rPr>
        <w:t>選擇權到期期間：選擇權隱含波動度會對應到以下一個或多個到期期間：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6E02C99C" w14:textId="77777777" w:rsidR="006F6AB5" w:rsidRPr="00CA1A43" w:rsidRDefault="006F6AB5" w:rsidP="00605B1D">
      <w:pPr>
        <w:pStyle w:val="a7"/>
        <w:numPr>
          <w:ilvl w:val="0"/>
          <w:numId w:val="55"/>
        </w:numPr>
        <w:spacing w:beforeLines="50" w:before="180"/>
        <w:ind w:leftChars="0"/>
        <w:jc w:val="both"/>
        <w:rPr>
          <w:rFonts w:eastAsia="標楷體" w:cstheme="minorHAnsi"/>
        </w:rPr>
      </w:pPr>
      <w:r w:rsidRPr="00CA1A43">
        <w:rPr>
          <w:rFonts w:eastAsia="標楷體" w:cstheme="minorHAnsi"/>
        </w:rPr>
        <w:t>選擇權標的物在選擇權到期日時的剩餘到期期間：隱含波動度會對應到以下兩個</w:t>
      </w:r>
      <w:r w:rsidRPr="00CA1A43">
        <w:rPr>
          <w:rFonts w:eastAsia="標楷體" w:cstheme="minorHAnsi"/>
        </w:rPr>
        <w:t>(</w:t>
      </w:r>
      <w:r w:rsidRPr="00CA1A43">
        <w:rPr>
          <w:rFonts w:eastAsia="標楷體" w:cstheme="minorHAnsi"/>
        </w:rPr>
        <w:t>或一個</w:t>
      </w:r>
      <w:r w:rsidRPr="00CA1A43">
        <w:rPr>
          <w:rFonts w:eastAsia="標楷體" w:cstheme="minorHAnsi"/>
        </w:rPr>
        <w:t>)</w:t>
      </w:r>
      <w:r w:rsidRPr="00CA1A43">
        <w:rPr>
          <w:rFonts w:eastAsia="標楷體" w:cstheme="minorHAnsi"/>
        </w:rPr>
        <w:t>剩餘到期期間：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7BFD5F47" w14:textId="77777777" w:rsidR="006F6AB5" w:rsidRPr="00CA1A43" w:rsidRDefault="006F6AB5" w:rsidP="00605B1D">
      <w:pPr>
        <w:pStyle w:val="a7"/>
        <w:numPr>
          <w:ilvl w:val="0"/>
          <w:numId w:val="54"/>
        </w:numPr>
        <w:spacing w:beforeLines="50" w:before="180"/>
        <w:ind w:leftChars="0" w:left="1446" w:hanging="482"/>
        <w:jc w:val="both"/>
        <w:rPr>
          <w:rFonts w:eastAsia="標楷體" w:cstheme="minorHAnsi"/>
        </w:rPr>
      </w:pPr>
      <w:r w:rsidRPr="00CA1A43">
        <w:rPr>
          <w:rFonts w:eastAsia="標楷體" w:cstheme="minorHAnsi"/>
        </w:rPr>
        <w:t>GIRR Curvature</w:t>
      </w:r>
      <w:r w:rsidRPr="00CA1A43">
        <w:rPr>
          <w:rFonts w:eastAsia="標楷體" w:cstheme="minorHAnsi"/>
        </w:rPr>
        <w:t>：</w:t>
      </w:r>
      <w:r w:rsidRPr="00CA1A43">
        <w:rPr>
          <w:rFonts w:eastAsia="標楷體" w:cstheme="minorHAnsi"/>
        </w:rPr>
        <w:t>GIRR curvature</w:t>
      </w:r>
      <w:r w:rsidRPr="00CA1A43">
        <w:rPr>
          <w:rFonts w:eastAsia="標楷體" w:cstheme="minorHAnsi"/>
        </w:rPr>
        <w:t>風險因子應依循</w:t>
      </w:r>
      <w:proofErr w:type="gramStart"/>
      <w:r w:rsidRPr="00CA1A43">
        <w:rPr>
          <w:rFonts w:eastAsia="標楷體" w:cstheme="minorHAnsi"/>
        </w:rPr>
        <w:t>下列維</w:t>
      </w:r>
      <w:proofErr w:type="gramEnd"/>
      <w:r w:rsidRPr="00CA1A43">
        <w:rPr>
          <w:rFonts w:eastAsia="標楷體" w:cstheme="minorHAnsi"/>
        </w:rPr>
        <w:t>度計算：</w:t>
      </w:r>
    </w:p>
    <w:p w14:paraId="423D1F81" w14:textId="77777777" w:rsidR="006F6AB5" w:rsidRPr="00CA1A43" w:rsidRDefault="006F6AB5" w:rsidP="00605B1D">
      <w:pPr>
        <w:pStyle w:val="a7"/>
        <w:numPr>
          <w:ilvl w:val="0"/>
          <w:numId w:val="56"/>
        </w:numPr>
        <w:spacing w:beforeLines="50" w:before="180"/>
        <w:ind w:leftChars="0"/>
        <w:jc w:val="both"/>
        <w:rPr>
          <w:rFonts w:eastAsia="標楷體" w:cstheme="minorHAnsi"/>
        </w:rPr>
      </w:pPr>
      <w:r w:rsidRPr="00CA1A43">
        <w:rPr>
          <w:rFonts w:eastAsia="標楷體" w:cstheme="minorHAnsi"/>
        </w:rPr>
        <w:t>每一種幣別不考慮期限結構的無風險利率曲線。為了計算敏感性部位，</w:t>
      </w:r>
      <w:proofErr w:type="gramStart"/>
      <w:r w:rsidRPr="00CA1A43">
        <w:rPr>
          <w:rFonts w:eastAsia="標楷體" w:cstheme="minorHAnsi"/>
        </w:rPr>
        <w:t>線上所有</w:t>
      </w:r>
      <w:proofErr w:type="gramEnd"/>
      <w:r w:rsidRPr="00CA1A43">
        <w:rPr>
          <w:rFonts w:eastAsia="標楷體" w:cstheme="minorHAnsi"/>
        </w:rPr>
        <w:t>天期必須平行移動。例如：</w:t>
      </w:r>
      <w:r w:rsidRPr="00CA1A43">
        <w:rPr>
          <w:rFonts w:eastAsia="標楷體" w:cstheme="minorHAnsi"/>
        </w:rPr>
        <w:t>Euro</w:t>
      </w:r>
      <w:r w:rsidRPr="00CA1A43">
        <w:rPr>
          <w:rFonts w:eastAsia="標楷體" w:cstheme="minorHAnsi"/>
        </w:rPr>
        <w:t>、</w:t>
      </w:r>
      <w:proofErr w:type="spellStart"/>
      <w:r w:rsidRPr="00CA1A43">
        <w:rPr>
          <w:rFonts w:eastAsia="標楷體" w:cstheme="minorHAnsi"/>
        </w:rPr>
        <w:t>Eonia</w:t>
      </w:r>
      <w:proofErr w:type="spellEnd"/>
      <w:r w:rsidRPr="00CA1A43">
        <w:rPr>
          <w:rFonts w:eastAsia="標楷體" w:cstheme="minorHAnsi"/>
        </w:rPr>
        <w:t>，</w:t>
      </w:r>
      <w:r w:rsidRPr="00CA1A43">
        <w:rPr>
          <w:rFonts w:eastAsia="標楷體" w:cstheme="minorHAnsi"/>
        </w:rPr>
        <w:t xml:space="preserve">3M </w:t>
      </w:r>
      <w:proofErr w:type="spellStart"/>
      <w:r w:rsidRPr="00CA1A43">
        <w:rPr>
          <w:rFonts w:eastAsia="標楷體" w:cstheme="minorHAnsi"/>
        </w:rPr>
        <w:t>Euribor</w:t>
      </w:r>
      <w:proofErr w:type="spellEnd"/>
      <w:r w:rsidRPr="00CA1A43">
        <w:rPr>
          <w:rFonts w:eastAsia="標楷體" w:cstheme="minorHAnsi"/>
        </w:rPr>
        <w:t xml:space="preserve"> </w:t>
      </w:r>
      <w:r w:rsidRPr="00CA1A43">
        <w:rPr>
          <w:rFonts w:eastAsia="標楷體" w:cstheme="minorHAnsi"/>
        </w:rPr>
        <w:t>和</w:t>
      </w:r>
      <w:r w:rsidRPr="00CA1A43">
        <w:rPr>
          <w:rFonts w:eastAsia="標楷體" w:cstheme="minorHAnsi"/>
        </w:rPr>
        <w:t xml:space="preserve">6M Euribor </w:t>
      </w:r>
      <w:r w:rsidRPr="00CA1A43">
        <w:rPr>
          <w:rFonts w:eastAsia="標楷體" w:cstheme="minorHAnsi"/>
        </w:rPr>
        <w:t>曲線，必須同時移動，以計算</w:t>
      </w:r>
      <w:r w:rsidRPr="00CA1A43">
        <w:rPr>
          <w:rFonts w:eastAsia="標楷體" w:cstheme="minorHAnsi"/>
        </w:rPr>
        <w:t>Euro</w:t>
      </w:r>
      <w:r w:rsidRPr="00CA1A43">
        <w:rPr>
          <w:rFonts w:eastAsia="標楷體" w:cstheme="minorHAnsi"/>
        </w:rPr>
        <w:t>相關的無風險利率曲線的</w:t>
      </w:r>
      <w:r w:rsidRPr="00CA1A43">
        <w:rPr>
          <w:rFonts w:eastAsia="標楷體" w:cstheme="minorHAnsi"/>
        </w:rPr>
        <w:t>curvature</w:t>
      </w:r>
      <w:r w:rsidRPr="00CA1A43">
        <w:rPr>
          <w:rFonts w:eastAsia="標楷體" w:cstheme="minorHAnsi"/>
        </w:rPr>
        <w:t>風險資本要求。</w:t>
      </w:r>
    </w:p>
    <w:p w14:paraId="3DEE6351" w14:textId="77777777" w:rsidR="006F6AB5" w:rsidRPr="00CA1A43" w:rsidRDefault="006F6AB5" w:rsidP="00605B1D">
      <w:pPr>
        <w:pStyle w:val="a7"/>
        <w:numPr>
          <w:ilvl w:val="0"/>
          <w:numId w:val="56"/>
        </w:numPr>
        <w:spacing w:beforeLines="50" w:before="180"/>
        <w:ind w:leftChars="0"/>
        <w:jc w:val="both"/>
        <w:rPr>
          <w:rFonts w:eastAsia="標楷體" w:cstheme="minorHAnsi"/>
        </w:rPr>
      </w:pPr>
      <w:r w:rsidRPr="00CA1A43">
        <w:rPr>
          <w:rFonts w:eastAsia="標楷體" w:cstheme="minorHAnsi"/>
        </w:rPr>
        <w:t>對於通貨膨脹與交叉</w:t>
      </w:r>
      <w:proofErr w:type="gramStart"/>
      <w:r w:rsidRPr="00CA1A43">
        <w:rPr>
          <w:rFonts w:eastAsia="標楷體" w:cstheme="minorHAnsi"/>
        </w:rPr>
        <w:t>貨幣基差風險</w:t>
      </w:r>
      <w:proofErr w:type="gramEnd"/>
      <w:r w:rsidRPr="00CA1A43">
        <w:rPr>
          <w:rFonts w:eastAsia="標楷體" w:cstheme="minorHAnsi"/>
        </w:rPr>
        <w:t>沒有</w:t>
      </w:r>
      <w:r w:rsidRPr="00CA1A43">
        <w:rPr>
          <w:rFonts w:eastAsia="標楷體" w:cstheme="minorHAnsi"/>
        </w:rPr>
        <w:t xml:space="preserve">curvature </w:t>
      </w:r>
      <w:r w:rsidRPr="00CA1A43">
        <w:rPr>
          <w:rFonts w:eastAsia="標楷體" w:cstheme="minorHAnsi"/>
        </w:rPr>
        <w:t>風險資本計提。</w:t>
      </w:r>
    </w:p>
    <w:p w14:paraId="7D64F0E4" w14:textId="77777777" w:rsidR="006F6AB5" w:rsidRPr="00CA1A43" w:rsidRDefault="006F6AB5" w:rsidP="00605B1D">
      <w:pPr>
        <w:pStyle w:val="a7"/>
        <w:numPr>
          <w:ilvl w:val="0"/>
          <w:numId w:val="54"/>
        </w:numPr>
        <w:spacing w:beforeLines="50" w:before="180"/>
        <w:ind w:leftChars="0" w:left="1446" w:hanging="482"/>
        <w:jc w:val="both"/>
        <w:rPr>
          <w:rFonts w:eastAsia="標楷體" w:cstheme="minorHAnsi"/>
        </w:rPr>
      </w:pPr>
      <w:r w:rsidRPr="00CA1A43">
        <w:rPr>
          <w:rFonts w:eastAsia="標楷體" w:cstheme="minorHAnsi"/>
        </w:rPr>
        <w:lastRenderedPageBreak/>
        <w:t>前述</w:t>
      </w:r>
      <w:r w:rsidRPr="00CA1A43">
        <w:rPr>
          <w:rFonts w:eastAsia="標楷體" w:cstheme="minorHAnsi"/>
        </w:rPr>
        <w:t>(1)b.</w:t>
      </w:r>
      <w:r w:rsidRPr="00CA1A43">
        <w:rPr>
          <w:rFonts w:eastAsia="標楷體" w:cstheme="minorHAnsi"/>
        </w:rPr>
        <w:t>對於</w:t>
      </w:r>
      <w:r w:rsidRPr="00CA1A43">
        <w:rPr>
          <w:rFonts w:eastAsia="標楷體" w:cstheme="minorHAnsi"/>
        </w:rPr>
        <w:t>GIRR delta</w:t>
      </w:r>
      <w:r w:rsidRPr="00CA1A43">
        <w:rPr>
          <w:rFonts w:eastAsia="標楷體" w:cstheme="minorHAnsi"/>
        </w:rPr>
        <w:t>計算方式，也適用於</w:t>
      </w:r>
      <w:r w:rsidRPr="00CA1A43">
        <w:rPr>
          <w:rFonts w:eastAsia="標楷體" w:cstheme="minorHAnsi"/>
        </w:rPr>
        <w:t xml:space="preserve"> GIRR Vega</w:t>
      </w:r>
      <w:r w:rsidRPr="00CA1A43">
        <w:rPr>
          <w:rFonts w:eastAsia="標楷體" w:cstheme="minorHAnsi"/>
        </w:rPr>
        <w:t>和</w:t>
      </w:r>
      <w:r w:rsidRPr="00CA1A43">
        <w:rPr>
          <w:rFonts w:eastAsia="標楷體" w:cstheme="minorHAnsi"/>
        </w:rPr>
        <w:t xml:space="preserve">GIRR curvature </w:t>
      </w:r>
      <w:r w:rsidRPr="00CA1A43">
        <w:rPr>
          <w:rFonts w:eastAsia="標楷體" w:cstheme="minorHAnsi"/>
        </w:rPr>
        <w:t>風險因子。</w:t>
      </w:r>
    </w:p>
    <w:p w14:paraId="247A4C32" w14:textId="77777777" w:rsidR="007B3BF2" w:rsidRPr="00CA1A43" w:rsidRDefault="007B3BF2" w:rsidP="00605B1D">
      <w:pPr>
        <w:pStyle w:val="a7"/>
        <w:numPr>
          <w:ilvl w:val="0"/>
          <w:numId w:val="57"/>
        </w:numPr>
        <w:spacing w:beforeLines="50" w:before="180"/>
        <w:ind w:leftChars="0" w:left="964" w:hanging="482"/>
        <w:jc w:val="both"/>
        <w:rPr>
          <w:rFonts w:eastAsia="標楷體" w:cstheme="minorHAnsi"/>
        </w:rPr>
      </w:pPr>
      <w:r w:rsidRPr="00CA1A43">
        <w:rPr>
          <w:rFonts w:eastAsia="標楷體" w:cstheme="minorHAnsi"/>
        </w:rPr>
        <w:t>非證券化</w:t>
      </w:r>
      <w:r w:rsidRPr="00CA1A43">
        <w:rPr>
          <w:rFonts w:eastAsia="標楷體" w:cstheme="minorHAnsi"/>
        </w:rPr>
        <w:t>CSR</w:t>
      </w:r>
      <w:r w:rsidRPr="00CA1A43">
        <w:rPr>
          <w:rFonts w:eastAsia="標楷體" w:cstheme="minorHAnsi"/>
        </w:rPr>
        <w:t>風險因子</w:t>
      </w:r>
    </w:p>
    <w:p w14:paraId="02C9ED43" w14:textId="77777777" w:rsidR="007B3BF2" w:rsidRPr="00CA1A43" w:rsidRDefault="007B3BF2" w:rsidP="00605B1D">
      <w:pPr>
        <w:pStyle w:val="a7"/>
        <w:numPr>
          <w:ilvl w:val="0"/>
          <w:numId w:val="58"/>
        </w:numPr>
        <w:spacing w:beforeLines="50" w:before="180"/>
        <w:ind w:leftChars="0" w:left="1446" w:hanging="482"/>
        <w:jc w:val="both"/>
        <w:rPr>
          <w:rFonts w:eastAsia="標楷體" w:cstheme="minorHAnsi"/>
        </w:rPr>
      </w:pPr>
      <w:r w:rsidRPr="00CA1A43">
        <w:rPr>
          <w:rFonts w:eastAsia="標楷體" w:cstheme="minorHAnsi"/>
        </w:rPr>
        <w:t>非證券化</w:t>
      </w:r>
      <w:r w:rsidRPr="00CA1A43">
        <w:rPr>
          <w:rFonts w:eastAsia="標楷體" w:cstheme="minorHAnsi"/>
        </w:rPr>
        <w:t>CSR Delta</w:t>
      </w:r>
      <w:r w:rsidRPr="00CA1A43">
        <w:rPr>
          <w:rFonts w:eastAsia="標楷體" w:cstheme="minorHAnsi"/>
        </w:rPr>
        <w:t>：非證券化</w:t>
      </w:r>
      <w:r w:rsidRPr="00CA1A43">
        <w:rPr>
          <w:rFonts w:eastAsia="標楷體" w:cstheme="minorHAnsi"/>
        </w:rPr>
        <w:t>CSR Delta</w:t>
      </w:r>
      <w:r w:rsidRPr="00CA1A43">
        <w:rPr>
          <w:rFonts w:eastAsia="標楷體" w:cstheme="minorHAnsi"/>
        </w:rPr>
        <w:t>風險因子應依循</w:t>
      </w:r>
      <w:proofErr w:type="gramStart"/>
      <w:r w:rsidRPr="00CA1A43">
        <w:rPr>
          <w:rFonts w:eastAsia="標楷體" w:cstheme="minorHAnsi"/>
        </w:rPr>
        <w:t>下列維</w:t>
      </w:r>
      <w:proofErr w:type="gramEnd"/>
      <w:r w:rsidRPr="00CA1A43">
        <w:rPr>
          <w:rFonts w:eastAsia="標楷體" w:cstheme="minorHAnsi"/>
        </w:rPr>
        <w:t>度計算：</w:t>
      </w:r>
    </w:p>
    <w:p w14:paraId="179FE7AD" w14:textId="77777777" w:rsidR="007B3BF2" w:rsidRPr="00CA1A43" w:rsidRDefault="007B3BF2" w:rsidP="00605B1D">
      <w:pPr>
        <w:pStyle w:val="a7"/>
        <w:numPr>
          <w:ilvl w:val="0"/>
          <w:numId w:val="59"/>
        </w:numPr>
        <w:spacing w:beforeLines="50" w:before="180"/>
        <w:ind w:leftChars="0"/>
        <w:jc w:val="both"/>
        <w:rPr>
          <w:rFonts w:eastAsia="標楷體" w:cstheme="minorHAnsi"/>
        </w:rPr>
      </w:pPr>
      <w:r w:rsidRPr="00CA1A43">
        <w:rPr>
          <w:rFonts w:eastAsia="標楷體" w:cstheme="minorHAnsi"/>
        </w:rPr>
        <w:t>相關發行者的信用價差曲線</w:t>
      </w:r>
      <w:r w:rsidRPr="00CA1A43">
        <w:rPr>
          <w:rFonts w:eastAsia="標楷體" w:cstheme="minorHAnsi"/>
        </w:rPr>
        <w:t>(</w:t>
      </w:r>
      <w:r w:rsidRPr="00CA1A43">
        <w:rPr>
          <w:rFonts w:eastAsia="標楷體" w:cstheme="minorHAnsi"/>
        </w:rPr>
        <w:t>債券和信用違約交換</w:t>
      </w:r>
      <w:r w:rsidRPr="00CA1A43">
        <w:rPr>
          <w:rFonts w:eastAsia="標楷體" w:cstheme="minorHAnsi"/>
        </w:rPr>
        <w:t>)</w:t>
      </w:r>
      <w:r w:rsidRPr="00CA1A43">
        <w:rPr>
          <w:rFonts w:eastAsia="標楷體" w:cstheme="minorHAnsi"/>
        </w:rPr>
        <w:t>。</w:t>
      </w:r>
    </w:p>
    <w:p w14:paraId="6C87A480" w14:textId="77777777" w:rsidR="007B3BF2" w:rsidRPr="00CA1A43" w:rsidRDefault="007B3BF2" w:rsidP="00605B1D">
      <w:pPr>
        <w:pStyle w:val="a7"/>
        <w:numPr>
          <w:ilvl w:val="0"/>
          <w:numId w:val="59"/>
        </w:numPr>
        <w:spacing w:beforeLines="50" w:before="180"/>
        <w:ind w:leftChars="0"/>
        <w:jc w:val="both"/>
        <w:rPr>
          <w:rFonts w:eastAsia="標楷體" w:cstheme="minorHAnsi"/>
        </w:rPr>
      </w:pPr>
      <w:r w:rsidRPr="00CA1A43">
        <w:rPr>
          <w:rFonts w:eastAsia="標楷體" w:cstheme="minorHAnsi"/>
        </w:rPr>
        <w:t>期限結構：</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2ABEAC60" w14:textId="77777777" w:rsidR="007B3BF2" w:rsidRPr="00CA1A43" w:rsidRDefault="007B3BF2" w:rsidP="00605B1D">
      <w:pPr>
        <w:pStyle w:val="a7"/>
        <w:numPr>
          <w:ilvl w:val="0"/>
          <w:numId w:val="58"/>
        </w:numPr>
        <w:spacing w:beforeLines="50" w:before="180"/>
        <w:ind w:leftChars="0" w:left="1446" w:hanging="482"/>
        <w:jc w:val="both"/>
        <w:rPr>
          <w:rFonts w:eastAsia="標楷體" w:cstheme="minorHAnsi"/>
        </w:rPr>
      </w:pPr>
      <w:r w:rsidRPr="00CA1A43">
        <w:rPr>
          <w:rFonts w:eastAsia="標楷體" w:cstheme="minorHAnsi"/>
        </w:rPr>
        <w:t>非證券化</w:t>
      </w:r>
      <w:r w:rsidRPr="00CA1A43">
        <w:rPr>
          <w:rFonts w:eastAsia="標楷體" w:cstheme="minorHAnsi"/>
        </w:rPr>
        <w:t>CSR Vega</w:t>
      </w:r>
      <w:r w:rsidRPr="00CA1A43">
        <w:rPr>
          <w:rFonts w:eastAsia="標楷體" w:cstheme="minorHAnsi"/>
        </w:rPr>
        <w:t>：</w:t>
      </w:r>
      <w:proofErr w:type="spellStart"/>
      <w:r w:rsidRPr="00CA1A43">
        <w:rPr>
          <w:rFonts w:eastAsia="標楷體" w:cstheme="minorHAnsi"/>
        </w:rPr>
        <w:t>vega</w:t>
      </w:r>
      <w:proofErr w:type="spellEnd"/>
      <w:r w:rsidRPr="00CA1A43">
        <w:rPr>
          <w:rFonts w:eastAsia="標楷體" w:cstheme="minorHAnsi"/>
        </w:rPr>
        <w:t xml:space="preserve"> </w:t>
      </w:r>
      <w:r w:rsidRPr="00CA1A43">
        <w:rPr>
          <w:rFonts w:eastAsia="標楷體" w:cstheme="minorHAnsi"/>
        </w:rPr>
        <w:t>風險因子是以相關信用發行人為標的之選擇權隱含波動度，並將對應到以下一個或多個選擇權到期期間：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6FE7ABAD" w14:textId="77777777" w:rsidR="007B3BF2" w:rsidRPr="00CA1A43" w:rsidRDefault="007B3BF2" w:rsidP="00605B1D">
      <w:pPr>
        <w:pStyle w:val="a7"/>
        <w:numPr>
          <w:ilvl w:val="0"/>
          <w:numId w:val="58"/>
        </w:numPr>
        <w:spacing w:beforeLines="50" w:before="180"/>
        <w:ind w:leftChars="0" w:left="1446" w:hanging="482"/>
        <w:jc w:val="both"/>
        <w:rPr>
          <w:rFonts w:eastAsia="標楷體" w:cstheme="minorHAnsi"/>
        </w:rPr>
      </w:pPr>
      <w:r w:rsidRPr="00CA1A43">
        <w:rPr>
          <w:rFonts w:eastAsia="標楷體" w:cstheme="minorHAnsi"/>
        </w:rPr>
        <w:t>非證券化</w:t>
      </w:r>
      <w:r w:rsidRPr="00CA1A43">
        <w:rPr>
          <w:rFonts w:eastAsia="標楷體" w:cstheme="minorHAnsi"/>
        </w:rPr>
        <w:t>CSR Curvature</w:t>
      </w:r>
      <w:r w:rsidRPr="00CA1A43">
        <w:rPr>
          <w:rFonts w:eastAsia="標楷體" w:cstheme="minorHAnsi"/>
        </w:rPr>
        <w:t>：非證券化</w:t>
      </w:r>
      <w:r w:rsidRPr="00CA1A43">
        <w:rPr>
          <w:rFonts w:eastAsia="標楷體" w:cstheme="minorHAnsi"/>
        </w:rPr>
        <w:t xml:space="preserve">CSR curvature </w:t>
      </w:r>
      <w:r w:rsidRPr="00CA1A43">
        <w:rPr>
          <w:rFonts w:eastAsia="標楷體" w:cstheme="minorHAnsi"/>
        </w:rPr>
        <w:t>風險因子應依相關發行人信用價差曲線定義。例如：某發行者由債券推估之價差曲線和同一發行者由信用違約交換推估之價差曲線，應被視為單一價差曲線。為了計算敏感性部位，曲線上所有的天期必須平行移動。</w:t>
      </w:r>
    </w:p>
    <w:p w14:paraId="25B1ECA8" w14:textId="77777777" w:rsidR="007B3BF2" w:rsidRPr="00CA1A43" w:rsidRDefault="007B3BF2" w:rsidP="00605B1D">
      <w:pPr>
        <w:pStyle w:val="a7"/>
        <w:numPr>
          <w:ilvl w:val="0"/>
          <w:numId w:val="57"/>
        </w:numPr>
        <w:spacing w:beforeLines="50" w:before="180"/>
        <w:ind w:leftChars="0" w:left="964" w:hanging="482"/>
        <w:jc w:val="both"/>
        <w:rPr>
          <w:rFonts w:eastAsia="標楷體" w:cstheme="minorHAnsi"/>
        </w:rPr>
      </w:pPr>
      <w:r w:rsidRPr="00CA1A43">
        <w:rPr>
          <w:rFonts w:eastAsia="標楷體" w:cstheme="minorHAnsi"/>
        </w:rPr>
        <w:t>證券化</w:t>
      </w:r>
      <w:r w:rsidRPr="00CA1A43">
        <w:rPr>
          <w:rFonts w:eastAsia="標楷體" w:cstheme="minorHAnsi"/>
        </w:rPr>
        <w:t>CSR</w:t>
      </w:r>
      <w:r w:rsidRPr="00CA1A43">
        <w:rPr>
          <w:rFonts w:eastAsia="標楷體" w:cstheme="minorHAnsi"/>
        </w:rPr>
        <w:t>：非相關性交易組合風險因子</w:t>
      </w:r>
    </w:p>
    <w:p w14:paraId="35D0B695" w14:textId="7181A5BD" w:rsidR="007B3BF2" w:rsidRPr="00CA1A43" w:rsidRDefault="007B3BF2" w:rsidP="00605B1D">
      <w:pPr>
        <w:pStyle w:val="a7"/>
        <w:numPr>
          <w:ilvl w:val="0"/>
          <w:numId w:val="60"/>
        </w:numPr>
        <w:spacing w:beforeLines="50" w:before="180"/>
        <w:ind w:leftChars="0" w:left="1446" w:hanging="482"/>
        <w:jc w:val="both"/>
        <w:rPr>
          <w:rFonts w:eastAsia="標楷體" w:cstheme="minorHAnsi"/>
        </w:rPr>
      </w:pPr>
      <w:r w:rsidRPr="00CA1A43">
        <w:rPr>
          <w:rFonts w:eastAsia="標楷體" w:cstheme="minorHAnsi"/>
        </w:rPr>
        <w:t>對於非相關性交易組合之證券化</w:t>
      </w:r>
      <w:r w:rsidR="009653EE" w:rsidRPr="00BA157C">
        <w:rPr>
          <w:rFonts w:eastAsia="標楷體" w:cstheme="minorHAnsi"/>
        </w:rPr>
        <w:t>工具</w:t>
      </w:r>
      <w:r w:rsidRPr="00CA1A43">
        <w:rPr>
          <w:rFonts w:eastAsia="標楷體" w:cstheme="minorHAnsi"/>
        </w:rPr>
        <w:t>(</w:t>
      </w:r>
      <w:r w:rsidRPr="00CA1A43">
        <w:rPr>
          <w:rFonts w:eastAsia="標楷體" w:cstheme="minorHAnsi"/>
        </w:rPr>
        <w:t>下稱「證券化</w:t>
      </w:r>
      <w:r w:rsidRPr="00CA1A43">
        <w:rPr>
          <w:rFonts w:eastAsia="標楷體" w:cstheme="minorHAnsi"/>
        </w:rPr>
        <w:t>(non-CTP)</w:t>
      </w:r>
      <w:r w:rsidRPr="00CA1A43">
        <w:rPr>
          <w:rFonts w:eastAsia="標楷體" w:cstheme="minorHAnsi"/>
        </w:rPr>
        <w:t>」</w:t>
      </w:r>
      <w:r w:rsidRPr="00CA1A43">
        <w:rPr>
          <w:rFonts w:eastAsia="標楷體" w:cstheme="minorHAnsi"/>
        </w:rPr>
        <w:t>)</w:t>
      </w:r>
      <w:r w:rsidRPr="00CA1A43">
        <w:rPr>
          <w:rFonts w:eastAsia="標楷體" w:cstheme="minorHAnsi"/>
        </w:rPr>
        <w:t>，必須根據分</w:t>
      </w:r>
      <w:proofErr w:type="gramStart"/>
      <w:r w:rsidRPr="00CA1A43">
        <w:rPr>
          <w:rFonts w:eastAsia="標楷體" w:cstheme="minorHAnsi"/>
        </w:rPr>
        <w:t>券</w:t>
      </w:r>
      <w:proofErr w:type="gramEnd"/>
      <w:r w:rsidRPr="00CA1A43">
        <w:rPr>
          <w:rFonts w:eastAsia="標楷體" w:cstheme="minorHAnsi"/>
        </w:rPr>
        <w:t>(tranche)</w:t>
      </w:r>
      <w:r w:rsidRPr="00CA1A43">
        <w:rPr>
          <w:rFonts w:eastAsia="標楷體" w:cstheme="minorHAnsi"/>
        </w:rPr>
        <w:t>的價差計算</w:t>
      </w:r>
      <w:r w:rsidRPr="00CA1A43">
        <w:rPr>
          <w:rFonts w:eastAsia="標楷體" w:cstheme="minorHAnsi"/>
        </w:rPr>
        <w:t>delta</w:t>
      </w:r>
      <w:r w:rsidRPr="00CA1A43">
        <w:rPr>
          <w:rFonts w:eastAsia="標楷體" w:cstheme="minorHAnsi"/>
        </w:rPr>
        <w:t>風險因子的敏感性部位</w:t>
      </w:r>
      <w:r w:rsidRPr="00CA1A43">
        <w:rPr>
          <w:rFonts w:eastAsia="標楷體" w:cstheme="minorHAnsi"/>
        </w:rPr>
        <w:t>(</w:t>
      </w:r>
      <w:r w:rsidRPr="00CA1A43">
        <w:rPr>
          <w:rFonts w:eastAsia="標楷體" w:cstheme="minorHAnsi"/>
        </w:rPr>
        <w:t>即</w:t>
      </w:r>
      <w:r w:rsidRPr="00CA1A43">
        <w:rPr>
          <w:rFonts w:eastAsia="標楷體" w:cstheme="minorHAnsi"/>
        </w:rPr>
        <w:t>CS01)</w:t>
      </w:r>
      <w:r w:rsidRPr="00CA1A43">
        <w:rPr>
          <w:rFonts w:eastAsia="標楷體" w:cstheme="minorHAnsi"/>
        </w:rPr>
        <w:t>，而不是被證券化之標的物價差。</w:t>
      </w:r>
    </w:p>
    <w:p w14:paraId="22F94BE5" w14:textId="77777777" w:rsidR="007B3BF2" w:rsidRPr="00CA1A43" w:rsidRDefault="007B3BF2" w:rsidP="00605B1D">
      <w:pPr>
        <w:pStyle w:val="a7"/>
        <w:numPr>
          <w:ilvl w:val="0"/>
          <w:numId w:val="60"/>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(non-CTP) CSR Delta</w:t>
      </w:r>
      <w:r w:rsidRPr="00CA1A43">
        <w:rPr>
          <w:rFonts w:eastAsia="標楷體" w:cstheme="minorHAnsi"/>
        </w:rPr>
        <w:t>：證券化</w:t>
      </w:r>
      <w:r w:rsidRPr="00CA1A43">
        <w:rPr>
          <w:rFonts w:eastAsia="標楷體" w:cstheme="minorHAnsi"/>
        </w:rPr>
        <w:t xml:space="preserve">CSR delta </w:t>
      </w:r>
      <w:r w:rsidRPr="00CA1A43">
        <w:rPr>
          <w:rFonts w:eastAsia="標楷體" w:cstheme="minorHAnsi"/>
        </w:rPr>
        <w:t>風險因子應依</w:t>
      </w:r>
      <w:proofErr w:type="gramStart"/>
      <w:r w:rsidRPr="00CA1A43">
        <w:rPr>
          <w:rFonts w:eastAsia="標楷體" w:cstheme="minorHAnsi"/>
        </w:rPr>
        <w:t>下列維</w:t>
      </w:r>
      <w:proofErr w:type="gramEnd"/>
      <w:r w:rsidRPr="00CA1A43">
        <w:rPr>
          <w:rFonts w:eastAsia="標楷體" w:cstheme="minorHAnsi"/>
        </w:rPr>
        <w:t>度計算：</w:t>
      </w:r>
    </w:p>
    <w:p w14:paraId="50E15AE5" w14:textId="77777777" w:rsidR="007B3BF2" w:rsidRPr="00CA1A43" w:rsidRDefault="007B3BF2" w:rsidP="00605B1D">
      <w:pPr>
        <w:pStyle w:val="a7"/>
        <w:numPr>
          <w:ilvl w:val="0"/>
          <w:numId w:val="61"/>
        </w:numPr>
        <w:spacing w:beforeLines="50" w:before="180"/>
        <w:ind w:leftChars="0"/>
        <w:jc w:val="both"/>
        <w:rPr>
          <w:rFonts w:eastAsia="標楷體" w:cstheme="minorHAnsi"/>
        </w:rPr>
      </w:pPr>
      <w:r w:rsidRPr="00CA1A43">
        <w:rPr>
          <w:rFonts w:eastAsia="標楷體" w:cstheme="minorHAnsi"/>
        </w:rPr>
        <w:t>分</w:t>
      </w:r>
      <w:proofErr w:type="gramStart"/>
      <w:r w:rsidRPr="00CA1A43">
        <w:rPr>
          <w:rFonts w:eastAsia="標楷體" w:cstheme="minorHAnsi"/>
        </w:rPr>
        <w:t>券</w:t>
      </w:r>
      <w:proofErr w:type="gramEnd"/>
      <w:r w:rsidRPr="00CA1A43">
        <w:rPr>
          <w:rFonts w:eastAsia="標楷體" w:cstheme="minorHAnsi"/>
        </w:rPr>
        <w:t>(tranche)</w:t>
      </w:r>
      <w:r w:rsidRPr="00CA1A43">
        <w:rPr>
          <w:rFonts w:eastAsia="標楷體" w:cstheme="minorHAnsi"/>
        </w:rPr>
        <w:t>信用價差曲線；</w:t>
      </w:r>
    </w:p>
    <w:p w14:paraId="7068E0B3" w14:textId="77777777" w:rsidR="007B3BF2" w:rsidRPr="00CA1A43" w:rsidRDefault="007B3BF2" w:rsidP="00605B1D">
      <w:pPr>
        <w:pStyle w:val="a7"/>
        <w:numPr>
          <w:ilvl w:val="0"/>
          <w:numId w:val="61"/>
        </w:numPr>
        <w:spacing w:beforeLines="50" w:before="180"/>
        <w:ind w:leftChars="0"/>
        <w:jc w:val="both"/>
        <w:rPr>
          <w:rFonts w:eastAsia="標楷體" w:cstheme="minorHAnsi"/>
        </w:rPr>
      </w:pPr>
      <w:r w:rsidRPr="00CA1A43">
        <w:rPr>
          <w:rFonts w:eastAsia="標楷體" w:cstheme="minorHAnsi"/>
        </w:rPr>
        <w:t>delta</w:t>
      </w:r>
      <w:r w:rsidRPr="00CA1A43">
        <w:rPr>
          <w:rFonts w:eastAsia="標楷體" w:cstheme="minorHAnsi"/>
        </w:rPr>
        <w:t>風險因子的期限結構：</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0281273F" w14:textId="77777777" w:rsidR="007B3BF2" w:rsidRPr="00CA1A43" w:rsidRDefault="007B3BF2" w:rsidP="00605B1D">
      <w:pPr>
        <w:pStyle w:val="a7"/>
        <w:numPr>
          <w:ilvl w:val="0"/>
          <w:numId w:val="60"/>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(non-CTP)CSR Vega</w:t>
      </w:r>
      <w:r w:rsidRPr="00CA1A43">
        <w:rPr>
          <w:rFonts w:eastAsia="標楷體" w:cstheme="minorHAnsi"/>
        </w:rPr>
        <w:t>：</w:t>
      </w:r>
      <w:r w:rsidRPr="00CA1A43">
        <w:rPr>
          <w:rFonts w:eastAsia="標楷體" w:cstheme="minorHAnsi"/>
        </w:rPr>
        <w:t xml:space="preserve">Vega </w:t>
      </w:r>
      <w:r w:rsidRPr="00CA1A43">
        <w:rPr>
          <w:rFonts w:eastAsia="標楷體" w:cstheme="minorHAnsi"/>
        </w:rPr>
        <w:t>風險因子是以非相關性交易組合之信用價差</w:t>
      </w:r>
      <w:r w:rsidRPr="00CA1A43">
        <w:rPr>
          <w:rFonts w:eastAsia="標楷體" w:cstheme="minorHAnsi"/>
        </w:rPr>
        <w:t>(</w:t>
      </w:r>
      <w:r w:rsidRPr="00CA1A43">
        <w:rPr>
          <w:rFonts w:eastAsia="標楷體" w:cstheme="minorHAnsi"/>
        </w:rPr>
        <w:t>債券和信用違約交換</w:t>
      </w:r>
      <w:r w:rsidRPr="00CA1A43">
        <w:rPr>
          <w:rFonts w:eastAsia="標楷體" w:cstheme="minorHAnsi"/>
        </w:rPr>
        <w:t>)</w:t>
      </w:r>
      <w:r w:rsidRPr="00CA1A43">
        <w:rPr>
          <w:rFonts w:eastAsia="標楷體" w:cstheme="minorHAnsi"/>
        </w:rPr>
        <w:t>為標的之選擇權隱含波動度，並將對應到以下一個或多個選擇權到期期間：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2FCB44E0" w14:textId="77777777" w:rsidR="007B3BF2" w:rsidRPr="00CA1A43" w:rsidRDefault="007B3BF2" w:rsidP="00605B1D">
      <w:pPr>
        <w:pStyle w:val="a7"/>
        <w:numPr>
          <w:ilvl w:val="0"/>
          <w:numId w:val="60"/>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(non-CTP) CSR Curvature</w:t>
      </w:r>
      <w:r w:rsidRPr="00CA1A43">
        <w:rPr>
          <w:rFonts w:eastAsia="標楷體" w:cstheme="minorHAnsi"/>
        </w:rPr>
        <w:t>：證券化</w:t>
      </w:r>
      <w:r w:rsidRPr="00CA1A43">
        <w:rPr>
          <w:rFonts w:eastAsia="標楷體" w:cstheme="minorHAnsi"/>
        </w:rPr>
        <w:t xml:space="preserve">CSR curvature </w:t>
      </w:r>
      <w:r w:rsidRPr="00CA1A43">
        <w:rPr>
          <w:rFonts w:eastAsia="標楷體" w:cstheme="minorHAnsi"/>
        </w:rPr>
        <w:t>風險因子應依相關分</w:t>
      </w:r>
      <w:proofErr w:type="gramStart"/>
      <w:r w:rsidRPr="00CA1A43">
        <w:rPr>
          <w:rFonts w:eastAsia="標楷體" w:cstheme="minorHAnsi"/>
        </w:rPr>
        <w:t>券</w:t>
      </w:r>
      <w:proofErr w:type="gramEnd"/>
      <w:r w:rsidRPr="00CA1A43">
        <w:rPr>
          <w:rFonts w:eastAsia="標楷體" w:cstheme="minorHAnsi"/>
        </w:rPr>
        <w:t>(tranche)</w:t>
      </w:r>
      <w:r w:rsidRPr="00CA1A43">
        <w:rPr>
          <w:rFonts w:eastAsia="標楷體" w:cstheme="minorHAnsi"/>
        </w:rPr>
        <w:t>的信用價差曲線</w:t>
      </w:r>
      <w:r w:rsidRPr="00CA1A43">
        <w:rPr>
          <w:rFonts w:eastAsia="標楷體" w:cstheme="minorHAnsi"/>
        </w:rPr>
        <w:t>(</w:t>
      </w:r>
      <w:r w:rsidRPr="00CA1A43">
        <w:rPr>
          <w:rFonts w:eastAsia="標楷體" w:cstheme="minorHAnsi"/>
        </w:rPr>
        <w:t>債券和信用違約交換</w:t>
      </w:r>
      <w:r w:rsidRPr="00CA1A43">
        <w:rPr>
          <w:rFonts w:eastAsia="標楷體" w:cstheme="minorHAnsi"/>
        </w:rPr>
        <w:t>)</w:t>
      </w:r>
      <w:r w:rsidRPr="00CA1A43">
        <w:rPr>
          <w:rFonts w:eastAsia="標楷體" w:cstheme="minorHAnsi"/>
        </w:rPr>
        <w:t>定義。為了計算敏感性部位，曲線上所有的天期必須平行移動。</w:t>
      </w:r>
      <w:r w:rsidR="002D0ADF" w:rsidRPr="00CA1A43">
        <w:rPr>
          <w:rStyle w:val="a5"/>
          <w:rFonts w:eastAsia="標楷體" w:cstheme="minorHAnsi"/>
        </w:rPr>
        <w:footnoteReference w:id="18"/>
      </w:r>
    </w:p>
    <w:p w14:paraId="241E0691" w14:textId="77777777" w:rsidR="001509C4" w:rsidRPr="00CA1A43" w:rsidRDefault="001509C4" w:rsidP="00605B1D">
      <w:pPr>
        <w:pStyle w:val="a7"/>
        <w:numPr>
          <w:ilvl w:val="0"/>
          <w:numId w:val="57"/>
        </w:numPr>
        <w:spacing w:beforeLines="50" w:before="180"/>
        <w:ind w:leftChars="0" w:left="964" w:hanging="482"/>
        <w:jc w:val="both"/>
        <w:rPr>
          <w:rFonts w:eastAsia="標楷體" w:cstheme="minorHAnsi"/>
        </w:rPr>
      </w:pPr>
      <w:r w:rsidRPr="00CA1A43">
        <w:rPr>
          <w:rFonts w:eastAsia="標楷體" w:cstheme="minorHAnsi"/>
        </w:rPr>
        <w:lastRenderedPageBreak/>
        <w:t>證券化</w:t>
      </w:r>
      <w:r w:rsidRPr="00CA1A43">
        <w:rPr>
          <w:rFonts w:eastAsia="標楷體" w:cstheme="minorHAnsi"/>
        </w:rPr>
        <w:t>CSR</w:t>
      </w:r>
      <w:r w:rsidRPr="00CA1A43">
        <w:rPr>
          <w:rFonts w:eastAsia="標楷體" w:cstheme="minorHAnsi"/>
        </w:rPr>
        <w:t>：相關性交易組合風險因子</w:t>
      </w:r>
    </w:p>
    <w:p w14:paraId="2EEEB434" w14:textId="4811EDC5" w:rsidR="001509C4" w:rsidRPr="00CA1A43" w:rsidRDefault="001509C4" w:rsidP="00605B1D">
      <w:pPr>
        <w:pStyle w:val="a7"/>
        <w:numPr>
          <w:ilvl w:val="0"/>
          <w:numId w:val="62"/>
        </w:numPr>
        <w:spacing w:beforeLines="50" w:before="180"/>
        <w:ind w:leftChars="0" w:left="1446" w:hanging="482"/>
        <w:jc w:val="both"/>
        <w:rPr>
          <w:rFonts w:eastAsia="標楷體" w:cstheme="minorHAnsi"/>
        </w:rPr>
      </w:pPr>
      <w:r w:rsidRPr="00CA1A43">
        <w:rPr>
          <w:rFonts w:eastAsia="標楷體" w:cstheme="minorHAnsi"/>
        </w:rPr>
        <w:t>對於相關性交易組合之證券化</w:t>
      </w:r>
      <w:r w:rsidR="009653EE" w:rsidRPr="004F3FF9">
        <w:rPr>
          <w:rFonts w:eastAsia="標楷體" w:cstheme="minorHAnsi"/>
        </w:rPr>
        <w:t>工具</w:t>
      </w:r>
      <w:r w:rsidRPr="00CA1A43">
        <w:rPr>
          <w:rFonts w:eastAsia="標楷體" w:cstheme="minorHAnsi"/>
        </w:rPr>
        <w:t>(</w:t>
      </w:r>
      <w:r w:rsidRPr="00CA1A43">
        <w:rPr>
          <w:rFonts w:eastAsia="標楷體" w:cstheme="minorHAnsi"/>
        </w:rPr>
        <w:t>下稱「證券化</w:t>
      </w:r>
      <w:r w:rsidRPr="00CA1A43">
        <w:rPr>
          <w:rFonts w:eastAsia="標楷體" w:cstheme="minorHAnsi"/>
        </w:rPr>
        <w:t>(CTP)</w:t>
      </w:r>
      <w:r w:rsidRPr="00CA1A43">
        <w:rPr>
          <w:rFonts w:eastAsia="標楷體" w:cstheme="minorHAnsi"/>
        </w:rPr>
        <w:t>」</w:t>
      </w:r>
      <w:r w:rsidRPr="00CA1A43">
        <w:rPr>
          <w:rFonts w:eastAsia="標楷體" w:cstheme="minorHAnsi"/>
        </w:rPr>
        <w:t>)</w:t>
      </w:r>
      <w:r w:rsidRPr="00CA1A43">
        <w:rPr>
          <w:rFonts w:eastAsia="標楷體" w:cstheme="minorHAnsi"/>
        </w:rPr>
        <w:t>，</w:t>
      </w:r>
      <w:r w:rsidRPr="00CA1A43">
        <w:rPr>
          <w:rFonts w:eastAsia="標楷體" w:cstheme="minorHAnsi"/>
        </w:rPr>
        <w:t>delta</w:t>
      </w:r>
      <w:r w:rsidRPr="00CA1A43">
        <w:rPr>
          <w:rFonts w:eastAsia="標楷體" w:cstheme="minorHAnsi"/>
        </w:rPr>
        <w:t>風險因子的敏感性部位</w:t>
      </w:r>
      <w:r w:rsidRPr="00CA1A43">
        <w:rPr>
          <w:rFonts w:eastAsia="標楷體" w:cstheme="minorHAnsi"/>
        </w:rPr>
        <w:t>(</w:t>
      </w:r>
      <w:r w:rsidRPr="00CA1A43">
        <w:rPr>
          <w:rFonts w:eastAsia="標楷體" w:cstheme="minorHAnsi"/>
        </w:rPr>
        <w:t>即</w:t>
      </w:r>
      <w:r w:rsidRPr="00CA1A43">
        <w:rPr>
          <w:rFonts w:eastAsia="標楷體" w:cstheme="minorHAnsi"/>
        </w:rPr>
        <w:t>CS01)</w:t>
      </w:r>
      <w:r w:rsidRPr="00CA1A43">
        <w:rPr>
          <w:rFonts w:eastAsia="標楷體" w:cstheme="minorHAnsi"/>
        </w:rPr>
        <w:t>必須根據證券化商品或第</w:t>
      </w:r>
      <w:r w:rsidRPr="00CA1A43">
        <w:rPr>
          <w:rFonts w:eastAsia="標楷體" w:cstheme="minorHAnsi"/>
        </w:rPr>
        <w:t>n</w:t>
      </w:r>
      <w:r w:rsidRPr="00CA1A43">
        <w:rPr>
          <w:rFonts w:eastAsia="標楷體" w:cstheme="minorHAnsi"/>
        </w:rPr>
        <w:t>次違約</w:t>
      </w:r>
      <w:r w:rsidR="009653EE" w:rsidRPr="004F3FF9">
        <w:rPr>
          <w:rFonts w:eastAsia="標楷體" w:cstheme="minorHAnsi"/>
        </w:rPr>
        <w:t>工具</w:t>
      </w:r>
      <w:r w:rsidRPr="00CA1A43">
        <w:rPr>
          <w:rFonts w:eastAsia="標楷體" w:cstheme="minorHAnsi"/>
        </w:rPr>
        <w:t>之標的計算。</w:t>
      </w:r>
    </w:p>
    <w:p w14:paraId="16840C54" w14:textId="77777777" w:rsidR="001509C4" w:rsidRPr="00CA1A43" w:rsidRDefault="001509C4" w:rsidP="00605B1D">
      <w:pPr>
        <w:pStyle w:val="a7"/>
        <w:numPr>
          <w:ilvl w:val="0"/>
          <w:numId w:val="62"/>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(CTP)CSR Delta</w:t>
      </w:r>
      <w:r w:rsidRPr="00CA1A43">
        <w:rPr>
          <w:rFonts w:eastAsia="標楷體" w:cstheme="minorHAnsi"/>
        </w:rPr>
        <w:t>：證券化</w:t>
      </w:r>
      <w:r w:rsidRPr="00CA1A43">
        <w:rPr>
          <w:rFonts w:eastAsia="標楷體" w:cstheme="minorHAnsi"/>
        </w:rPr>
        <w:t xml:space="preserve">CSR </w:t>
      </w:r>
      <w:r w:rsidRPr="00CA1A43">
        <w:rPr>
          <w:rFonts w:eastAsia="標楷體" w:cstheme="minorHAnsi"/>
        </w:rPr>
        <w:t>相關性交易組合</w:t>
      </w:r>
      <w:r w:rsidRPr="00CA1A43">
        <w:rPr>
          <w:rFonts w:eastAsia="標楷體" w:cstheme="minorHAnsi"/>
        </w:rPr>
        <w:t xml:space="preserve">delta </w:t>
      </w:r>
      <w:r w:rsidRPr="00CA1A43">
        <w:rPr>
          <w:rFonts w:eastAsia="標楷體" w:cstheme="minorHAnsi"/>
        </w:rPr>
        <w:t>風險因子應依下列兩個面向定義：</w:t>
      </w:r>
    </w:p>
    <w:p w14:paraId="62D9B965" w14:textId="77777777" w:rsidR="001509C4" w:rsidRPr="00CA1A43" w:rsidRDefault="001509C4" w:rsidP="00605B1D">
      <w:pPr>
        <w:pStyle w:val="a7"/>
        <w:numPr>
          <w:ilvl w:val="0"/>
          <w:numId w:val="63"/>
        </w:numPr>
        <w:spacing w:beforeLines="50" w:before="180"/>
        <w:ind w:leftChars="0"/>
        <w:jc w:val="both"/>
        <w:rPr>
          <w:rFonts w:eastAsia="標楷體" w:cstheme="minorHAnsi"/>
        </w:rPr>
      </w:pPr>
      <w:r w:rsidRPr="00CA1A43">
        <w:rPr>
          <w:rFonts w:eastAsia="標楷體" w:cstheme="minorHAnsi"/>
        </w:rPr>
        <w:t>相關標的物的信用價差曲線</w:t>
      </w:r>
      <w:r w:rsidRPr="00CA1A43">
        <w:rPr>
          <w:rFonts w:eastAsia="標楷體" w:cstheme="minorHAnsi"/>
        </w:rPr>
        <w:t>(</w:t>
      </w:r>
      <w:r w:rsidRPr="00CA1A43">
        <w:rPr>
          <w:rFonts w:eastAsia="標楷體" w:cstheme="minorHAnsi"/>
        </w:rPr>
        <w:t>債券和信用違約交換</w:t>
      </w:r>
      <w:r w:rsidRPr="00CA1A43">
        <w:rPr>
          <w:rFonts w:eastAsia="標楷體" w:cstheme="minorHAnsi"/>
        </w:rPr>
        <w:t>)</w:t>
      </w:r>
      <w:r w:rsidRPr="00CA1A43">
        <w:rPr>
          <w:rFonts w:eastAsia="標楷體" w:cstheme="minorHAnsi"/>
        </w:rPr>
        <w:t>；</w:t>
      </w:r>
    </w:p>
    <w:p w14:paraId="55AA5173" w14:textId="77777777" w:rsidR="001509C4" w:rsidRPr="00CA1A43" w:rsidRDefault="001509C4" w:rsidP="00605B1D">
      <w:pPr>
        <w:pStyle w:val="a7"/>
        <w:numPr>
          <w:ilvl w:val="0"/>
          <w:numId w:val="63"/>
        </w:numPr>
        <w:spacing w:beforeLines="50" w:before="180"/>
        <w:ind w:leftChars="0"/>
        <w:jc w:val="both"/>
        <w:rPr>
          <w:rFonts w:eastAsia="標楷體" w:cstheme="minorHAnsi"/>
        </w:rPr>
      </w:pPr>
      <w:r w:rsidRPr="00CA1A43">
        <w:rPr>
          <w:rFonts w:eastAsia="標楷體" w:cstheme="minorHAnsi"/>
        </w:rPr>
        <w:t>delta</w:t>
      </w:r>
      <w:r w:rsidRPr="00CA1A43">
        <w:rPr>
          <w:rFonts w:eastAsia="標楷體" w:cstheme="minorHAnsi"/>
        </w:rPr>
        <w:t>風險因子的期限結構：</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020388FD" w14:textId="77777777" w:rsidR="001509C4" w:rsidRPr="00CA1A43" w:rsidRDefault="001509C4" w:rsidP="00605B1D">
      <w:pPr>
        <w:pStyle w:val="a7"/>
        <w:numPr>
          <w:ilvl w:val="0"/>
          <w:numId w:val="62"/>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(CTP) CSR Vega</w:t>
      </w:r>
      <w:r w:rsidRPr="00CA1A43">
        <w:rPr>
          <w:rFonts w:eastAsia="標楷體" w:cstheme="minorHAnsi"/>
        </w:rPr>
        <w:t>：</w:t>
      </w:r>
      <w:r w:rsidRPr="00CA1A43">
        <w:rPr>
          <w:rFonts w:eastAsia="標楷體" w:cstheme="minorHAnsi"/>
        </w:rPr>
        <w:t>Vega</w:t>
      </w:r>
      <w:r w:rsidRPr="00CA1A43">
        <w:rPr>
          <w:rFonts w:eastAsia="標楷體" w:cstheme="minorHAnsi"/>
        </w:rPr>
        <w:t>風險因子是相關性交易組合之信用價差</w:t>
      </w:r>
      <w:r w:rsidRPr="00CA1A43">
        <w:rPr>
          <w:rFonts w:eastAsia="標楷體" w:cstheme="minorHAnsi"/>
        </w:rPr>
        <w:t>(</w:t>
      </w:r>
      <w:r w:rsidRPr="00CA1A43">
        <w:rPr>
          <w:rFonts w:eastAsia="標楷體" w:cstheme="minorHAnsi"/>
        </w:rPr>
        <w:t>債券和信用違約交換</w:t>
      </w:r>
      <w:r w:rsidRPr="00CA1A43">
        <w:rPr>
          <w:rFonts w:eastAsia="標楷體" w:cstheme="minorHAnsi"/>
        </w:rPr>
        <w:t>)</w:t>
      </w:r>
      <w:r w:rsidRPr="00CA1A43">
        <w:rPr>
          <w:rFonts w:eastAsia="標楷體" w:cstheme="minorHAnsi"/>
        </w:rPr>
        <w:t>為標的之選擇權隱含波動度，並將對應到以下一個或多個選擇權到期期間：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5CAB0E13" w14:textId="77777777" w:rsidR="001509C4" w:rsidRPr="00CA1A43" w:rsidRDefault="001509C4" w:rsidP="00605B1D">
      <w:pPr>
        <w:pStyle w:val="a7"/>
        <w:numPr>
          <w:ilvl w:val="0"/>
          <w:numId w:val="62"/>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(CTP) CSR Curvature</w:t>
      </w:r>
      <w:r w:rsidRPr="00CA1A43">
        <w:rPr>
          <w:rFonts w:eastAsia="標楷體" w:cstheme="minorHAnsi"/>
        </w:rPr>
        <w:t>：</w:t>
      </w:r>
      <w:r w:rsidRPr="00CA1A43">
        <w:rPr>
          <w:rFonts w:eastAsia="標楷體" w:cstheme="minorHAnsi"/>
        </w:rPr>
        <w:t xml:space="preserve">CSR </w:t>
      </w:r>
      <w:r w:rsidRPr="00CA1A43">
        <w:rPr>
          <w:rFonts w:eastAsia="標楷體" w:cstheme="minorHAnsi"/>
        </w:rPr>
        <w:t>相關性交易組合的</w:t>
      </w:r>
      <w:r w:rsidRPr="00CA1A43">
        <w:rPr>
          <w:rFonts w:eastAsia="標楷體" w:cstheme="minorHAnsi"/>
        </w:rPr>
        <w:t xml:space="preserve">curvature </w:t>
      </w:r>
      <w:r w:rsidRPr="00CA1A43">
        <w:rPr>
          <w:rFonts w:eastAsia="標楷體" w:cstheme="minorHAnsi"/>
        </w:rPr>
        <w:t>風險因子應依相關標的物的信用價差曲線</w:t>
      </w:r>
      <w:r w:rsidRPr="00CA1A43">
        <w:rPr>
          <w:rFonts w:eastAsia="標楷體" w:cstheme="minorHAnsi"/>
        </w:rPr>
        <w:t>(</w:t>
      </w:r>
      <w:r w:rsidRPr="00CA1A43">
        <w:rPr>
          <w:rFonts w:eastAsia="標楷體" w:cstheme="minorHAnsi"/>
        </w:rPr>
        <w:t>債券和信用違約交換</w:t>
      </w:r>
      <w:r w:rsidRPr="00CA1A43">
        <w:rPr>
          <w:rFonts w:eastAsia="標楷體" w:cstheme="minorHAnsi"/>
        </w:rPr>
        <w:t>)</w:t>
      </w:r>
      <w:r w:rsidRPr="00CA1A43">
        <w:rPr>
          <w:rFonts w:eastAsia="標楷體" w:cstheme="minorHAnsi"/>
        </w:rPr>
        <w:t>定義。為了計算敏感性部位，曲線上所有的天期必須平行移動。</w:t>
      </w:r>
      <w:r w:rsidR="0074574E" w:rsidRPr="00CA1A43">
        <w:rPr>
          <w:rStyle w:val="a5"/>
          <w:rFonts w:eastAsia="標楷體" w:cstheme="minorHAnsi"/>
        </w:rPr>
        <w:footnoteReference w:id="19"/>
      </w:r>
    </w:p>
    <w:p w14:paraId="2947E9A4" w14:textId="77777777" w:rsidR="001509C4" w:rsidRPr="00CA1A43" w:rsidRDefault="001509C4" w:rsidP="00605B1D">
      <w:pPr>
        <w:pStyle w:val="a7"/>
        <w:numPr>
          <w:ilvl w:val="0"/>
          <w:numId w:val="57"/>
        </w:numPr>
        <w:spacing w:beforeLines="50" w:before="180"/>
        <w:ind w:leftChars="0" w:left="964" w:hanging="482"/>
        <w:jc w:val="both"/>
        <w:rPr>
          <w:rFonts w:eastAsia="標楷體" w:cstheme="minorHAnsi"/>
        </w:rPr>
      </w:pPr>
      <w:r w:rsidRPr="00CA1A43">
        <w:rPr>
          <w:rFonts w:eastAsia="標楷體" w:cstheme="minorHAnsi"/>
        </w:rPr>
        <w:t>權益證券風險因子</w:t>
      </w:r>
    </w:p>
    <w:p w14:paraId="46DAF0ED" w14:textId="77777777" w:rsidR="001509C4" w:rsidRPr="00CA1A43" w:rsidRDefault="001509C4" w:rsidP="00605B1D">
      <w:pPr>
        <w:pStyle w:val="a7"/>
        <w:numPr>
          <w:ilvl w:val="0"/>
          <w:numId w:val="64"/>
        </w:numPr>
        <w:spacing w:beforeLines="50" w:before="180"/>
        <w:ind w:leftChars="0" w:left="1446" w:hanging="482"/>
        <w:jc w:val="both"/>
        <w:rPr>
          <w:rFonts w:eastAsia="標楷體" w:cstheme="minorHAnsi"/>
        </w:rPr>
      </w:pPr>
      <w:r w:rsidRPr="00CA1A43">
        <w:rPr>
          <w:rFonts w:eastAsia="標楷體" w:cstheme="minorHAnsi"/>
        </w:rPr>
        <w:t>權益證券</w:t>
      </w:r>
      <w:r w:rsidRPr="00CA1A43">
        <w:rPr>
          <w:rFonts w:eastAsia="標楷體" w:cstheme="minorHAnsi"/>
        </w:rPr>
        <w:t xml:space="preserve"> Delta</w:t>
      </w:r>
      <w:r w:rsidRPr="00CA1A43">
        <w:rPr>
          <w:rFonts w:eastAsia="標楷體" w:cstheme="minorHAnsi"/>
        </w:rPr>
        <w:t>：權益證券</w:t>
      </w:r>
      <w:r w:rsidRPr="00CA1A43">
        <w:rPr>
          <w:rFonts w:eastAsia="標楷體" w:cstheme="minorHAnsi"/>
        </w:rPr>
        <w:t xml:space="preserve">delta </w:t>
      </w:r>
      <w:r w:rsidRPr="00CA1A43">
        <w:rPr>
          <w:rFonts w:eastAsia="標楷體" w:cstheme="minorHAnsi"/>
        </w:rPr>
        <w:t>風險因子包含：</w:t>
      </w:r>
    </w:p>
    <w:p w14:paraId="58597E5A" w14:textId="77777777" w:rsidR="001509C4" w:rsidRPr="00CA1A43" w:rsidRDefault="001509C4" w:rsidP="00605B1D">
      <w:pPr>
        <w:pStyle w:val="a7"/>
        <w:numPr>
          <w:ilvl w:val="0"/>
          <w:numId w:val="65"/>
        </w:numPr>
        <w:spacing w:beforeLines="50" w:before="180"/>
        <w:ind w:leftChars="0"/>
        <w:jc w:val="both"/>
        <w:rPr>
          <w:rFonts w:eastAsia="標楷體" w:cstheme="minorHAnsi"/>
        </w:rPr>
      </w:pPr>
      <w:r w:rsidRPr="00CA1A43">
        <w:rPr>
          <w:rFonts w:eastAsia="標楷體" w:cstheme="minorHAnsi"/>
        </w:rPr>
        <w:t>所有權益證券現貨價格；</w:t>
      </w:r>
    </w:p>
    <w:p w14:paraId="7C511CC1" w14:textId="77777777" w:rsidR="001509C4" w:rsidRPr="00CA1A43" w:rsidRDefault="001509C4" w:rsidP="00605B1D">
      <w:pPr>
        <w:pStyle w:val="a7"/>
        <w:numPr>
          <w:ilvl w:val="0"/>
          <w:numId w:val="65"/>
        </w:numPr>
        <w:spacing w:beforeLines="50" w:before="180"/>
        <w:ind w:leftChars="0"/>
        <w:jc w:val="both"/>
        <w:rPr>
          <w:rFonts w:eastAsia="標楷體" w:cstheme="minorHAnsi"/>
        </w:rPr>
      </w:pPr>
      <w:r w:rsidRPr="00CA1A43">
        <w:rPr>
          <w:rFonts w:eastAsia="標楷體" w:cstheme="minorHAnsi"/>
        </w:rPr>
        <w:t>所有權益證券附買回協議利率</w:t>
      </w:r>
      <w:r w:rsidRPr="00CA1A43">
        <w:rPr>
          <w:rFonts w:eastAsia="標楷體" w:cstheme="minorHAnsi"/>
        </w:rPr>
        <w:t>(equity repo rates)</w:t>
      </w:r>
    </w:p>
    <w:p w14:paraId="4EC9250E" w14:textId="77777777" w:rsidR="001509C4" w:rsidRPr="00CA1A43" w:rsidRDefault="001509C4" w:rsidP="00605B1D">
      <w:pPr>
        <w:pStyle w:val="a7"/>
        <w:numPr>
          <w:ilvl w:val="0"/>
          <w:numId w:val="64"/>
        </w:numPr>
        <w:spacing w:beforeLines="50" w:before="180"/>
        <w:ind w:leftChars="0" w:left="1446" w:hanging="482"/>
        <w:jc w:val="both"/>
        <w:rPr>
          <w:rFonts w:eastAsia="標楷體" w:cstheme="minorHAnsi"/>
        </w:rPr>
      </w:pPr>
      <w:r w:rsidRPr="00CA1A43">
        <w:rPr>
          <w:rFonts w:eastAsia="標楷體" w:cstheme="minorHAnsi"/>
        </w:rPr>
        <w:t>權益證券</w:t>
      </w:r>
      <w:r w:rsidRPr="00CA1A43">
        <w:rPr>
          <w:rFonts w:eastAsia="標楷體" w:cstheme="minorHAnsi"/>
        </w:rPr>
        <w:t>Vega</w:t>
      </w:r>
      <w:r w:rsidRPr="00CA1A43">
        <w:rPr>
          <w:rFonts w:eastAsia="標楷體" w:cstheme="minorHAnsi"/>
        </w:rPr>
        <w:t>：</w:t>
      </w:r>
    </w:p>
    <w:p w14:paraId="159F5731" w14:textId="77777777" w:rsidR="001509C4" w:rsidRPr="00CA1A43" w:rsidRDefault="001509C4" w:rsidP="00605B1D">
      <w:pPr>
        <w:pStyle w:val="a7"/>
        <w:numPr>
          <w:ilvl w:val="0"/>
          <w:numId w:val="66"/>
        </w:numPr>
        <w:spacing w:beforeLines="50" w:before="180"/>
        <w:ind w:leftChars="0"/>
        <w:jc w:val="both"/>
        <w:rPr>
          <w:rFonts w:eastAsia="標楷體" w:cstheme="minorHAnsi"/>
        </w:rPr>
      </w:pPr>
      <w:r w:rsidRPr="00CA1A43">
        <w:rPr>
          <w:rFonts w:eastAsia="標楷體" w:cstheme="minorHAnsi"/>
        </w:rPr>
        <w:t>權益證券</w:t>
      </w:r>
      <w:proofErr w:type="spellStart"/>
      <w:r w:rsidRPr="00CA1A43">
        <w:rPr>
          <w:rFonts w:eastAsia="標楷體" w:cstheme="minorHAnsi"/>
        </w:rPr>
        <w:t>vega</w:t>
      </w:r>
      <w:proofErr w:type="spellEnd"/>
      <w:r w:rsidRPr="00CA1A43">
        <w:rPr>
          <w:rFonts w:eastAsia="標楷體" w:cstheme="minorHAnsi"/>
        </w:rPr>
        <w:t>風險因子是以權益證券現貨價格為標的之選擇權隱含波動度，並將對應到以下一個或多個選擇權到期期間：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1CE0A2C2" w14:textId="77777777" w:rsidR="001509C4" w:rsidRPr="00CA1A43" w:rsidRDefault="001509C4" w:rsidP="00605B1D">
      <w:pPr>
        <w:pStyle w:val="a7"/>
        <w:numPr>
          <w:ilvl w:val="0"/>
          <w:numId w:val="66"/>
        </w:numPr>
        <w:spacing w:beforeLines="50" w:before="180"/>
        <w:ind w:leftChars="0"/>
        <w:jc w:val="both"/>
        <w:rPr>
          <w:rFonts w:eastAsia="標楷體" w:cstheme="minorHAnsi"/>
        </w:rPr>
      </w:pPr>
      <w:r w:rsidRPr="00CA1A43">
        <w:rPr>
          <w:rFonts w:eastAsia="標楷體" w:cstheme="minorHAnsi"/>
        </w:rPr>
        <w:t>權益證券附買回協議利率不需考量</w:t>
      </w:r>
      <w:proofErr w:type="spellStart"/>
      <w:r w:rsidRPr="00CA1A43">
        <w:rPr>
          <w:rFonts w:eastAsia="標楷體" w:cstheme="minorHAnsi"/>
        </w:rPr>
        <w:t>vega</w:t>
      </w:r>
      <w:proofErr w:type="spellEnd"/>
      <w:r w:rsidRPr="00CA1A43">
        <w:rPr>
          <w:rFonts w:eastAsia="標楷體" w:cstheme="minorHAnsi"/>
        </w:rPr>
        <w:t>風險資本要求。</w:t>
      </w:r>
    </w:p>
    <w:p w14:paraId="70D0A98A" w14:textId="77777777" w:rsidR="001509C4" w:rsidRPr="00CA1A43" w:rsidRDefault="001509C4" w:rsidP="00605B1D">
      <w:pPr>
        <w:pStyle w:val="a7"/>
        <w:numPr>
          <w:ilvl w:val="0"/>
          <w:numId w:val="64"/>
        </w:numPr>
        <w:spacing w:beforeLines="50" w:before="180"/>
        <w:ind w:leftChars="0" w:left="1446" w:hanging="482"/>
        <w:jc w:val="both"/>
        <w:rPr>
          <w:rFonts w:eastAsia="標楷體" w:cstheme="minorHAnsi"/>
        </w:rPr>
      </w:pPr>
      <w:r w:rsidRPr="00CA1A43">
        <w:rPr>
          <w:rFonts w:eastAsia="標楷體" w:cstheme="minorHAnsi"/>
        </w:rPr>
        <w:t>權益證券</w:t>
      </w:r>
      <w:r w:rsidRPr="00CA1A43">
        <w:rPr>
          <w:rFonts w:eastAsia="標楷體" w:cstheme="minorHAnsi"/>
        </w:rPr>
        <w:t>Curvature</w:t>
      </w:r>
      <w:r w:rsidRPr="00CA1A43">
        <w:rPr>
          <w:rFonts w:eastAsia="標楷體" w:cstheme="minorHAnsi"/>
        </w:rPr>
        <w:t>：</w:t>
      </w:r>
    </w:p>
    <w:p w14:paraId="100514C3" w14:textId="77777777" w:rsidR="001509C4" w:rsidRPr="00CA1A43" w:rsidRDefault="001509C4" w:rsidP="00605B1D">
      <w:pPr>
        <w:pStyle w:val="a7"/>
        <w:numPr>
          <w:ilvl w:val="0"/>
          <w:numId w:val="67"/>
        </w:numPr>
        <w:spacing w:beforeLines="50" w:before="180"/>
        <w:ind w:leftChars="0"/>
        <w:jc w:val="both"/>
        <w:rPr>
          <w:rFonts w:eastAsia="標楷體" w:cstheme="minorHAnsi"/>
        </w:rPr>
      </w:pPr>
      <w:r w:rsidRPr="00CA1A43">
        <w:rPr>
          <w:rFonts w:eastAsia="標楷體" w:cstheme="minorHAnsi"/>
        </w:rPr>
        <w:t>權益證券</w:t>
      </w:r>
      <w:r w:rsidRPr="00CA1A43">
        <w:rPr>
          <w:rFonts w:eastAsia="標楷體" w:cstheme="minorHAnsi"/>
        </w:rPr>
        <w:t xml:space="preserve">curvature </w:t>
      </w:r>
      <w:r w:rsidRPr="00CA1A43">
        <w:rPr>
          <w:rFonts w:eastAsia="標楷體" w:cstheme="minorHAnsi"/>
        </w:rPr>
        <w:t>風險因子是所有權益現貨價格。</w:t>
      </w:r>
    </w:p>
    <w:p w14:paraId="2DFA399C" w14:textId="77777777" w:rsidR="007B3BF2" w:rsidRPr="00CA1A43" w:rsidRDefault="001509C4" w:rsidP="00605B1D">
      <w:pPr>
        <w:pStyle w:val="a7"/>
        <w:numPr>
          <w:ilvl w:val="0"/>
          <w:numId w:val="67"/>
        </w:numPr>
        <w:spacing w:beforeLines="50" w:before="180"/>
        <w:ind w:leftChars="0"/>
        <w:jc w:val="both"/>
        <w:rPr>
          <w:rFonts w:eastAsia="標楷體" w:cstheme="minorHAnsi"/>
        </w:rPr>
      </w:pPr>
      <w:r w:rsidRPr="00CA1A43">
        <w:rPr>
          <w:rFonts w:eastAsia="標楷體" w:cstheme="minorHAnsi"/>
        </w:rPr>
        <w:t>權益證券附買回協議利率不需考量</w:t>
      </w:r>
      <w:r w:rsidRPr="00CA1A43">
        <w:rPr>
          <w:rFonts w:eastAsia="標楷體" w:cstheme="minorHAnsi"/>
        </w:rPr>
        <w:t xml:space="preserve">curvature </w:t>
      </w:r>
      <w:r w:rsidRPr="00CA1A43">
        <w:rPr>
          <w:rFonts w:eastAsia="標楷體" w:cstheme="minorHAnsi"/>
        </w:rPr>
        <w:t>風險資本要求。</w:t>
      </w:r>
    </w:p>
    <w:p w14:paraId="7380D50F" w14:textId="77777777" w:rsidR="00E850EC" w:rsidRPr="00CA1A43" w:rsidRDefault="00E850EC" w:rsidP="00605B1D">
      <w:pPr>
        <w:pStyle w:val="a7"/>
        <w:numPr>
          <w:ilvl w:val="0"/>
          <w:numId w:val="57"/>
        </w:numPr>
        <w:spacing w:beforeLines="50" w:before="180"/>
        <w:ind w:leftChars="0" w:left="964" w:hanging="482"/>
        <w:jc w:val="both"/>
        <w:rPr>
          <w:rFonts w:eastAsia="標楷體" w:cstheme="minorHAnsi"/>
        </w:rPr>
      </w:pPr>
      <w:r w:rsidRPr="00CA1A43">
        <w:rPr>
          <w:rFonts w:eastAsia="標楷體" w:cstheme="minorHAnsi"/>
        </w:rPr>
        <w:t>商品風險因子</w:t>
      </w:r>
    </w:p>
    <w:p w14:paraId="307A93EA" w14:textId="77777777" w:rsidR="00E850EC" w:rsidRPr="00CA1A43" w:rsidRDefault="00E850EC" w:rsidP="00605B1D">
      <w:pPr>
        <w:pStyle w:val="a7"/>
        <w:numPr>
          <w:ilvl w:val="0"/>
          <w:numId w:val="68"/>
        </w:numPr>
        <w:spacing w:beforeLines="50" w:before="180"/>
        <w:ind w:leftChars="0" w:left="1446" w:hanging="482"/>
        <w:jc w:val="both"/>
        <w:rPr>
          <w:rFonts w:eastAsia="標楷體" w:cstheme="minorHAnsi"/>
        </w:rPr>
      </w:pPr>
      <w:r w:rsidRPr="00CA1A43">
        <w:rPr>
          <w:rFonts w:eastAsia="標楷體" w:cstheme="minorHAnsi"/>
        </w:rPr>
        <w:lastRenderedPageBreak/>
        <w:t>商品</w:t>
      </w:r>
      <w:r w:rsidRPr="00CA1A43">
        <w:rPr>
          <w:rFonts w:eastAsia="標楷體" w:cstheme="minorHAnsi"/>
        </w:rPr>
        <w:t>Delta</w:t>
      </w:r>
      <w:r w:rsidRPr="00CA1A43">
        <w:rPr>
          <w:rFonts w:eastAsia="標楷體" w:cstheme="minorHAnsi"/>
        </w:rPr>
        <w:t>：商品</w:t>
      </w:r>
      <w:r w:rsidRPr="00CA1A43">
        <w:rPr>
          <w:rFonts w:eastAsia="標楷體" w:cstheme="minorHAnsi"/>
        </w:rPr>
        <w:t xml:space="preserve">delta </w:t>
      </w:r>
      <w:r w:rsidRPr="00CA1A43">
        <w:rPr>
          <w:rFonts w:eastAsia="標楷體" w:cstheme="minorHAnsi"/>
        </w:rPr>
        <w:t>風險因子是所有商品的即期價格。若遠期交易較現貨交易頻繁之商品</w:t>
      </w:r>
      <w:r w:rsidRPr="00CA1A43">
        <w:rPr>
          <w:rFonts w:eastAsia="標楷體" w:cstheme="minorHAnsi"/>
        </w:rPr>
        <w:t>(</w:t>
      </w:r>
      <w:r w:rsidRPr="00CA1A43">
        <w:rPr>
          <w:rFonts w:eastAsia="標楷體" w:cstheme="minorHAnsi"/>
        </w:rPr>
        <w:t>如電力</w:t>
      </w:r>
      <w:r w:rsidRPr="00CA1A43">
        <w:rPr>
          <w:rFonts w:eastAsia="標楷體" w:cstheme="minorHAnsi"/>
        </w:rPr>
        <w:t>)</w:t>
      </w:r>
      <w:r w:rsidRPr="00CA1A43">
        <w:rPr>
          <w:rFonts w:eastAsia="標楷體" w:cstheme="minorHAnsi"/>
        </w:rPr>
        <w:t>，亦可採取遠期價格作為相關風險因子。商品</w:t>
      </w:r>
      <w:r w:rsidRPr="00CA1A43">
        <w:rPr>
          <w:rFonts w:eastAsia="標楷體" w:cstheme="minorHAnsi"/>
        </w:rPr>
        <w:t>Delta</w:t>
      </w:r>
      <w:r w:rsidRPr="00CA1A43">
        <w:rPr>
          <w:rFonts w:eastAsia="標楷體" w:cstheme="minorHAnsi"/>
        </w:rPr>
        <w:t>風險因子應依</w:t>
      </w:r>
      <w:proofErr w:type="gramStart"/>
      <w:r w:rsidRPr="00CA1A43">
        <w:rPr>
          <w:rFonts w:eastAsia="標楷體" w:cstheme="minorHAnsi"/>
        </w:rPr>
        <w:t>下列維</w:t>
      </w:r>
      <w:proofErr w:type="gramEnd"/>
      <w:r w:rsidRPr="00CA1A43">
        <w:rPr>
          <w:rFonts w:eastAsia="標楷體" w:cstheme="minorHAnsi"/>
        </w:rPr>
        <w:t>度計算：</w:t>
      </w:r>
    </w:p>
    <w:p w14:paraId="69894E66" w14:textId="77777777" w:rsidR="00E850EC" w:rsidRPr="00CA1A43" w:rsidRDefault="00E850EC" w:rsidP="00605B1D">
      <w:pPr>
        <w:pStyle w:val="a7"/>
        <w:numPr>
          <w:ilvl w:val="0"/>
          <w:numId w:val="69"/>
        </w:numPr>
        <w:spacing w:beforeLines="50" w:before="180"/>
        <w:ind w:leftChars="0"/>
        <w:jc w:val="both"/>
        <w:rPr>
          <w:rFonts w:eastAsia="標楷體" w:cstheme="minorHAnsi"/>
        </w:rPr>
      </w:pPr>
      <w:r w:rsidRPr="00CA1A43">
        <w:rPr>
          <w:rFonts w:eastAsia="標楷體" w:cstheme="minorHAnsi"/>
        </w:rPr>
        <w:t>商品的法定交割地點；</w:t>
      </w:r>
    </w:p>
    <w:p w14:paraId="53918974" w14:textId="4DDA3F6A" w:rsidR="00E850EC" w:rsidRPr="00CA1A43" w:rsidRDefault="00E850EC" w:rsidP="00605B1D">
      <w:pPr>
        <w:pStyle w:val="a7"/>
        <w:numPr>
          <w:ilvl w:val="0"/>
          <w:numId w:val="69"/>
        </w:numPr>
        <w:spacing w:beforeLines="50" w:before="180"/>
        <w:ind w:leftChars="0"/>
        <w:jc w:val="both"/>
        <w:rPr>
          <w:rFonts w:eastAsia="標楷體" w:cstheme="minorHAnsi"/>
        </w:rPr>
      </w:pPr>
      <w:r w:rsidRPr="00CA1A43">
        <w:rPr>
          <w:rFonts w:eastAsia="標楷體" w:cstheme="minorHAnsi"/>
        </w:rPr>
        <w:t>商品</w:t>
      </w:r>
      <w:r w:rsidR="009653EE" w:rsidRPr="008907FB">
        <w:rPr>
          <w:rFonts w:eastAsia="標楷體" w:cstheme="minorHAnsi"/>
        </w:rPr>
        <w:t>工具</w:t>
      </w:r>
      <w:r w:rsidRPr="00CA1A43">
        <w:rPr>
          <w:rFonts w:eastAsia="標楷體" w:cstheme="minorHAnsi"/>
        </w:rPr>
        <w:t>的剩餘年期：</w:t>
      </w:r>
      <w:r w:rsidRPr="00CA1A43">
        <w:rPr>
          <w:rFonts w:eastAsia="標楷體" w:cstheme="minorHAnsi"/>
        </w:rPr>
        <w:t>0</w:t>
      </w:r>
      <w:r w:rsidRPr="00CA1A43">
        <w:rPr>
          <w:rFonts w:eastAsia="標楷體" w:cstheme="minorHAnsi"/>
        </w:rPr>
        <w:t>、</w:t>
      </w:r>
      <w:r w:rsidRPr="00CA1A43">
        <w:rPr>
          <w:rFonts w:eastAsia="標楷體" w:cstheme="minorHAnsi"/>
        </w:rPr>
        <w:t>0.25</w:t>
      </w:r>
      <w:r w:rsidRPr="00CA1A43">
        <w:rPr>
          <w:rFonts w:eastAsia="標楷體" w:cstheme="minorHAnsi"/>
        </w:rPr>
        <w:t>、</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2</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5</w:t>
      </w:r>
      <w:r w:rsidRPr="00CA1A43">
        <w:rPr>
          <w:rFonts w:eastAsia="標楷體" w:cstheme="minorHAnsi"/>
        </w:rPr>
        <w:t>、</w:t>
      </w:r>
      <w:r w:rsidRPr="00CA1A43">
        <w:rPr>
          <w:rFonts w:eastAsia="標楷體" w:cstheme="minorHAnsi"/>
        </w:rPr>
        <w:t>10</w:t>
      </w:r>
      <w:r w:rsidRPr="00CA1A43">
        <w:rPr>
          <w:rFonts w:eastAsia="標楷體" w:cstheme="minorHAnsi"/>
        </w:rPr>
        <w:t>、</w:t>
      </w:r>
      <w:r w:rsidRPr="00CA1A43">
        <w:rPr>
          <w:rFonts w:eastAsia="標楷體" w:cstheme="minorHAnsi"/>
        </w:rPr>
        <w:t>15</w:t>
      </w:r>
      <w:r w:rsidRPr="00CA1A43">
        <w:rPr>
          <w:rFonts w:eastAsia="標楷體" w:cstheme="minorHAnsi"/>
        </w:rPr>
        <w:t>、</w:t>
      </w:r>
      <w:r w:rsidRPr="00CA1A43">
        <w:rPr>
          <w:rFonts w:eastAsia="標楷體" w:cstheme="minorHAnsi"/>
        </w:rPr>
        <w:t xml:space="preserve">20 </w:t>
      </w:r>
      <w:r w:rsidRPr="00CA1A43">
        <w:rPr>
          <w:rFonts w:eastAsia="標楷體" w:cstheme="minorHAnsi"/>
        </w:rPr>
        <w:t>和</w:t>
      </w:r>
      <w:r w:rsidRPr="00CA1A43">
        <w:rPr>
          <w:rFonts w:eastAsia="標楷體" w:cstheme="minorHAnsi"/>
        </w:rPr>
        <w:t xml:space="preserve">30 </w:t>
      </w:r>
      <w:r w:rsidRPr="00CA1A43">
        <w:rPr>
          <w:rFonts w:eastAsia="標楷體" w:cstheme="minorHAnsi"/>
        </w:rPr>
        <w:t>年。</w:t>
      </w:r>
    </w:p>
    <w:p w14:paraId="1152FE49" w14:textId="77777777" w:rsidR="00E850EC" w:rsidRPr="00CA1A43" w:rsidRDefault="00E850EC" w:rsidP="00605B1D">
      <w:pPr>
        <w:pStyle w:val="a7"/>
        <w:numPr>
          <w:ilvl w:val="0"/>
          <w:numId w:val="68"/>
        </w:numPr>
        <w:spacing w:beforeLines="50" w:before="180"/>
        <w:ind w:leftChars="0" w:left="1446" w:hanging="482"/>
        <w:jc w:val="both"/>
        <w:rPr>
          <w:rFonts w:eastAsia="標楷體" w:cstheme="minorHAnsi"/>
        </w:rPr>
      </w:pPr>
      <w:r w:rsidRPr="00CA1A43">
        <w:rPr>
          <w:rFonts w:eastAsia="標楷體" w:cstheme="minorHAnsi"/>
        </w:rPr>
        <w:t>商品</w:t>
      </w:r>
      <w:r w:rsidRPr="00CA1A43">
        <w:rPr>
          <w:rFonts w:eastAsia="標楷體" w:cstheme="minorHAnsi"/>
        </w:rPr>
        <w:t>Vega</w:t>
      </w:r>
      <w:r w:rsidRPr="00CA1A43">
        <w:rPr>
          <w:rFonts w:eastAsia="標楷體" w:cstheme="minorHAnsi"/>
        </w:rPr>
        <w:t>：商品</w:t>
      </w:r>
      <w:proofErr w:type="spellStart"/>
      <w:r w:rsidRPr="00CA1A43">
        <w:rPr>
          <w:rFonts w:eastAsia="標楷體" w:cstheme="minorHAnsi"/>
        </w:rPr>
        <w:t>vega</w:t>
      </w:r>
      <w:proofErr w:type="spellEnd"/>
      <w:r w:rsidRPr="00CA1A43">
        <w:rPr>
          <w:rFonts w:eastAsia="標楷體" w:cstheme="minorHAnsi"/>
        </w:rPr>
        <w:t xml:space="preserve"> </w:t>
      </w:r>
      <w:r w:rsidRPr="00CA1A43">
        <w:rPr>
          <w:rFonts w:eastAsia="標楷體" w:cstheme="minorHAnsi"/>
        </w:rPr>
        <w:t>風險因子是以商品即期價格為標的之選擇權隱含波動度。商品即期價格不需依到期日或交割地點而有所區分。商品</w:t>
      </w:r>
      <w:r w:rsidRPr="00CA1A43">
        <w:rPr>
          <w:rFonts w:eastAsia="標楷體" w:cstheme="minorHAnsi"/>
        </w:rPr>
        <w:t xml:space="preserve">Vega </w:t>
      </w:r>
      <w:r w:rsidRPr="00CA1A43">
        <w:rPr>
          <w:rFonts w:eastAsia="標楷體" w:cstheme="minorHAnsi"/>
        </w:rPr>
        <w:t>風險因子應將對應到以下一個或多個選擇權到期期間：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37F1F383" w14:textId="77777777" w:rsidR="001509C4" w:rsidRPr="00CA1A43" w:rsidRDefault="00E850EC" w:rsidP="00605B1D">
      <w:pPr>
        <w:pStyle w:val="a7"/>
        <w:numPr>
          <w:ilvl w:val="0"/>
          <w:numId w:val="68"/>
        </w:numPr>
        <w:spacing w:beforeLines="50" w:before="180"/>
        <w:ind w:leftChars="0" w:left="1446" w:hanging="482"/>
        <w:jc w:val="both"/>
        <w:rPr>
          <w:rFonts w:eastAsia="標楷體" w:cstheme="minorHAnsi"/>
        </w:rPr>
      </w:pPr>
      <w:r w:rsidRPr="00CA1A43">
        <w:rPr>
          <w:rFonts w:eastAsia="標楷體" w:cstheme="minorHAnsi"/>
        </w:rPr>
        <w:t>商品</w:t>
      </w:r>
      <w:r w:rsidRPr="00CA1A43">
        <w:rPr>
          <w:rFonts w:eastAsia="標楷體" w:cstheme="minorHAnsi"/>
        </w:rPr>
        <w:t>Curvature</w:t>
      </w:r>
      <w:r w:rsidRPr="00CA1A43">
        <w:rPr>
          <w:rFonts w:eastAsia="標楷體" w:cstheme="minorHAnsi"/>
        </w:rPr>
        <w:t>：商品</w:t>
      </w:r>
      <w:r w:rsidRPr="00CA1A43">
        <w:rPr>
          <w:rFonts w:eastAsia="標楷體" w:cstheme="minorHAnsi"/>
        </w:rPr>
        <w:t xml:space="preserve">curvature </w:t>
      </w:r>
      <w:r w:rsidRPr="00CA1A43">
        <w:rPr>
          <w:rFonts w:eastAsia="標楷體" w:cstheme="minorHAnsi"/>
        </w:rPr>
        <w:t>風險因子應依每一個商品即期價格所建構的曲線定義。為了計算敏感性部位，曲線上所有的節點</w:t>
      </w:r>
      <w:r w:rsidRPr="00CA1A43">
        <w:rPr>
          <w:rFonts w:eastAsia="標楷體" w:cstheme="minorHAnsi"/>
        </w:rPr>
        <w:t>(</w:t>
      </w:r>
      <w:r w:rsidRPr="00CA1A43">
        <w:rPr>
          <w:rFonts w:eastAsia="標楷體" w:cstheme="minorHAnsi"/>
        </w:rPr>
        <w:t>如</w:t>
      </w:r>
      <w:r w:rsidRPr="00CA1A43">
        <w:rPr>
          <w:rFonts w:eastAsia="標楷體" w:cstheme="minorHAnsi"/>
        </w:rPr>
        <w:t>delta</w:t>
      </w:r>
      <w:r w:rsidRPr="00CA1A43">
        <w:rPr>
          <w:rFonts w:eastAsia="標楷體" w:cstheme="minorHAnsi"/>
        </w:rPr>
        <w:t>商品所定義</w:t>
      </w:r>
      <w:r w:rsidRPr="00CA1A43">
        <w:rPr>
          <w:rFonts w:eastAsia="標楷體" w:cstheme="minorHAnsi"/>
        </w:rPr>
        <w:t>)</w:t>
      </w:r>
      <w:r w:rsidRPr="00CA1A43">
        <w:rPr>
          <w:rFonts w:eastAsia="標楷體" w:cstheme="minorHAnsi"/>
        </w:rPr>
        <w:t>必須平行移動。</w:t>
      </w:r>
    </w:p>
    <w:p w14:paraId="5817BCE2" w14:textId="77777777" w:rsidR="00E850EC" w:rsidRPr="00CA1A43" w:rsidRDefault="00E850EC" w:rsidP="00605B1D">
      <w:pPr>
        <w:pStyle w:val="a7"/>
        <w:numPr>
          <w:ilvl w:val="0"/>
          <w:numId w:val="57"/>
        </w:numPr>
        <w:spacing w:beforeLines="50" w:before="180"/>
        <w:ind w:leftChars="0" w:left="964" w:hanging="482"/>
        <w:jc w:val="both"/>
        <w:rPr>
          <w:rFonts w:eastAsia="標楷體" w:cstheme="minorHAnsi"/>
        </w:rPr>
      </w:pPr>
      <w:r w:rsidRPr="00CA1A43">
        <w:rPr>
          <w:rFonts w:eastAsia="標楷體" w:cstheme="minorHAnsi"/>
        </w:rPr>
        <w:t>外匯風險因子</w:t>
      </w:r>
    </w:p>
    <w:p w14:paraId="21B61134" w14:textId="77777777" w:rsidR="00E850EC" w:rsidRPr="00CA1A43" w:rsidRDefault="00E850EC" w:rsidP="00605B1D">
      <w:pPr>
        <w:pStyle w:val="a7"/>
        <w:numPr>
          <w:ilvl w:val="0"/>
          <w:numId w:val="70"/>
        </w:numPr>
        <w:spacing w:beforeLines="50" w:before="180"/>
        <w:ind w:leftChars="0" w:left="1446" w:hanging="482"/>
        <w:jc w:val="both"/>
        <w:rPr>
          <w:rFonts w:eastAsia="標楷體" w:cstheme="minorHAnsi"/>
        </w:rPr>
      </w:pPr>
      <w:r w:rsidRPr="00CA1A43">
        <w:rPr>
          <w:rFonts w:eastAsia="標楷體" w:cstheme="minorHAnsi"/>
        </w:rPr>
        <w:t>外匯</w:t>
      </w:r>
      <w:r w:rsidRPr="00CA1A43">
        <w:rPr>
          <w:rFonts w:eastAsia="標楷體" w:cstheme="minorHAnsi"/>
        </w:rPr>
        <w:t>Delta</w:t>
      </w:r>
      <w:r w:rsidRPr="00CA1A43">
        <w:rPr>
          <w:rFonts w:eastAsia="標楷體" w:cstheme="minorHAnsi"/>
        </w:rPr>
        <w:t>：</w:t>
      </w:r>
    </w:p>
    <w:p w14:paraId="60BECF55" w14:textId="22185269" w:rsidR="00E850EC" w:rsidRPr="00CA1A43" w:rsidRDefault="00E850EC" w:rsidP="00605B1D">
      <w:pPr>
        <w:pStyle w:val="a7"/>
        <w:numPr>
          <w:ilvl w:val="0"/>
          <w:numId w:val="71"/>
        </w:numPr>
        <w:spacing w:beforeLines="50" w:before="180"/>
        <w:ind w:leftChars="0"/>
        <w:jc w:val="both"/>
        <w:rPr>
          <w:rFonts w:eastAsia="標楷體" w:cstheme="minorHAnsi"/>
        </w:rPr>
      </w:pPr>
      <w:r w:rsidRPr="00CA1A43">
        <w:rPr>
          <w:rFonts w:eastAsia="標楷體" w:cstheme="minorHAnsi"/>
        </w:rPr>
        <w:t>外匯</w:t>
      </w:r>
      <w:r w:rsidRPr="00CA1A43">
        <w:rPr>
          <w:rFonts w:eastAsia="標楷體" w:cstheme="minorHAnsi"/>
        </w:rPr>
        <w:t>delta</w:t>
      </w:r>
      <w:r w:rsidRPr="00CA1A43">
        <w:rPr>
          <w:rFonts w:eastAsia="標楷體" w:cstheme="minorHAnsi"/>
        </w:rPr>
        <w:t>風險因子指</w:t>
      </w:r>
      <w:r w:rsidR="009653EE" w:rsidRPr="00337957">
        <w:rPr>
          <w:rFonts w:eastAsia="標楷體" w:cstheme="minorHAnsi"/>
        </w:rPr>
        <w:t>工具</w:t>
      </w:r>
      <w:r w:rsidRPr="00337957">
        <w:rPr>
          <w:rFonts w:eastAsia="標楷體" w:cstheme="minorHAnsi"/>
        </w:rPr>
        <w:t>計價幣別與本位幣的兌換匯率。未涉及本位幣的外匯交易，外匯</w:t>
      </w:r>
      <w:r w:rsidRPr="00337957">
        <w:rPr>
          <w:rFonts w:eastAsia="標楷體" w:cstheme="minorHAnsi"/>
        </w:rPr>
        <w:t>Delta</w:t>
      </w:r>
      <w:r w:rsidRPr="00337957">
        <w:rPr>
          <w:rFonts w:eastAsia="標楷體" w:cstheme="minorHAnsi"/>
        </w:rPr>
        <w:t>風險因子則為</w:t>
      </w:r>
      <w:r w:rsidR="009653EE" w:rsidRPr="00337957">
        <w:rPr>
          <w:rFonts w:eastAsia="標楷體" w:cstheme="minorHAnsi"/>
        </w:rPr>
        <w:t>工具</w:t>
      </w:r>
      <w:r w:rsidRPr="00CA1A43">
        <w:rPr>
          <w:rFonts w:eastAsia="標楷體" w:cstheme="minorHAnsi"/>
        </w:rPr>
        <w:t>計價幣別及其所參照之其他</w:t>
      </w:r>
      <w:proofErr w:type="gramStart"/>
      <w:r w:rsidRPr="00CA1A43">
        <w:rPr>
          <w:rFonts w:eastAsia="標楷體" w:cstheme="minorHAnsi"/>
        </w:rPr>
        <w:t>幣別兌本位</w:t>
      </w:r>
      <w:proofErr w:type="gramEnd"/>
      <w:r w:rsidRPr="00CA1A43">
        <w:rPr>
          <w:rFonts w:eastAsia="標楷體" w:cstheme="minorHAnsi"/>
        </w:rPr>
        <w:t>幣之匯率</w:t>
      </w:r>
      <w:r w:rsidR="00294FEA" w:rsidRPr="00CA1A43">
        <w:rPr>
          <w:rStyle w:val="a5"/>
          <w:rFonts w:eastAsia="標楷體" w:cstheme="minorHAnsi"/>
        </w:rPr>
        <w:footnoteReference w:id="20"/>
      </w:r>
      <w:r w:rsidRPr="00CA1A43">
        <w:rPr>
          <w:rFonts w:eastAsia="標楷體" w:cstheme="minorHAnsi"/>
        </w:rPr>
        <w:t>。</w:t>
      </w:r>
    </w:p>
    <w:p w14:paraId="1324C8BF" w14:textId="77777777" w:rsidR="00E850EC" w:rsidRPr="00CA1A43" w:rsidRDefault="00E850EC" w:rsidP="00605B1D">
      <w:pPr>
        <w:pStyle w:val="a7"/>
        <w:numPr>
          <w:ilvl w:val="0"/>
          <w:numId w:val="71"/>
        </w:numPr>
        <w:spacing w:beforeLines="50" w:before="180"/>
        <w:ind w:leftChars="0"/>
        <w:jc w:val="both"/>
        <w:rPr>
          <w:rFonts w:eastAsia="標楷體" w:cstheme="minorHAnsi"/>
        </w:rPr>
      </w:pPr>
      <w:r w:rsidRPr="00CA1A43">
        <w:rPr>
          <w:rFonts w:eastAsia="標楷體" w:cstheme="minorHAnsi"/>
        </w:rPr>
        <w:t>如銀行欲使用基準貨幣取代本位幣以計算資本，銀行應向本會提出，依其提出之基準貨幣所計算的外匯風險，可適當反映其投資組合風險，並已納入基準貨幣與本位幣間之轉換風險的說明文件，經本會核准後，銀行始得適用單一幣別為其基準貨幣。惟以基準貨幣計算的外匯風險仍應透過本位幣</w:t>
      </w:r>
      <w:r w:rsidRPr="00CA1A43">
        <w:rPr>
          <w:rFonts w:eastAsia="標楷體" w:cstheme="minorHAnsi"/>
        </w:rPr>
        <w:t>/</w:t>
      </w:r>
      <w:r w:rsidRPr="00CA1A43">
        <w:rPr>
          <w:rFonts w:eastAsia="標楷體" w:cstheme="minorHAnsi"/>
        </w:rPr>
        <w:t>基準貨幣的即期匯率轉換為本位幣之資本要求，以反映基準貨幣與本位</w:t>
      </w:r>
      <w:proofErr w:type="gramStart"/>
      <w:r w:rsidRPr="00CA1A43">
        <w:rPr>
          <w:rFonts w:eastAsia="標楷體" w:cstheme="minorHAnsi"/>
        </w:rPr>
        <w:t>幣間的外匯</w:t>
      </w:r>
      <w:proofErr w:type="gramEnd"/>
      <w:r w:rsidRPr="00CA1A43">
        <w:rPr>
          <w:rFonts w:eastAsia="標楷體" w:cstheme="minorHAnsi"/>
        </w:rPr>
        <w:t>風險</w:t>
      </w:r>
      <w:r w:rsidR="00294FEA" w:rsidRPr="00CA1A43">
        <w:rPr>
          <w:rStyle w:val="a5"/>
          <w:rFonts w:eastAsia="標楷體" w:cstheme="minorHAnsi"/>
        </w:rPr>
        <w:footnoteReference w:id="21"/>
      </w:r>
      <w:r w:rsidRPr="00CA1A43">
        <w:rPr>
          <w:rFonts w:eastAsia="標楷體" w:cstheme="minorHAnsi"/>
        </w:rPr>
        <w:t>。</w:t>
      </w:r>
    </w:p>
    <w:p w14:paraId="05360B33" w14:textId="77777777" w:rsidR="00E850EC" w:rsidRPr="00CA1A43" w:rsidRDefault="00E850EC" w:rsidP="00605B1D">
      <w:pPr>
        <w:pStyle w:val="a7"/>
        <w:numPr>
          <w:ilvl w:val="0"/>
          <w:numId w:val="70"/>
        </w:numPr>
        <w:spacing w:beforeLines="50" w:before="180"/>
        <w:ind w:leftChars="0" w:left="1446" w:hanging="482"/>
        <w:jc w:val="both"/>
        <w:rPr>
          <w:rFonts w:eastAsia="標楷體" w:cstheme="minorHAnsi"/>
        </w:rPr>
      </w:pPr>
      <w:r w:rsidRPr="00CA1A43">
        <w:rPr>
          <w:rFonts w:eastAsia="標楷體" w:cstheme="minorHAnsi"/>
        </w:rPr>
        <w:t>外匯</w:t>
      </w:r>
      <w:r w:rsidRPr="00CA1A43">
        <w:rPr>
          <w:rFonts w:eastAsia="標楷體" w:cstheme="minorHAnsi"/>
        </w:rPr>
        <w:t>Vega</w:t>
      </w:r>
      <w:r w:rsidRPr="00CA1A43">
        <w:rPr>
          <w:rFonts w:eastAsia="標楷體" w:cstheme="minorHAnsi"/>
        </w:rPr>
        <w:t>：外匯</w:t>
      </w:r>
      <w:r w:rsidRPr="00CA1A43">
        <w:rPr>
          <w:rFonts w:eastAsia="標楷體" w:cstheme="minorHAnsi"/>
        </w:rPr>
        <w:t xml:space="preserve">Vega </w:t>
      </w:r>
      <w:r w:rsidRPr="00CA1A43">
        <w:rPr>
          <w:rFonts w:eastAsia="標楷體" w:cstheme="minorHAnsi"/>
        </w:rPr>
        <w:t>風險因子應為匯率選擇權的隱含波動度，並對應到以下一個或多個選擇權到期期間：</w:t>
      </w:r>
      <w:r w:rsidRPr="00CA1A43">
        <w:rPr>
          <w:rFonts w:eastAsia="標楷體" w:cstheme="minorHAnsi"/>
        </w:rPr>
        <w:t>0.5</w:t>
      </w:r>
      <w:r w:rsidRPr="00CA1A43">
        <w:rPr>
          <w:rFonts w:eastAsia="標楷體" w:cstheme="minorHAnsi"/>
        </w:rPr>
        <w:t>、</w:t>
      </w:r>
      <w:r w:rsidRPr="00CA1A43">
        <w:rPr>
          <w:rFonts w:eastAsia="標楷體" w:cstheme="minorHAnsi"/>
        </w:rPr>
        <w:t>1</w:t>
      </w:r>
      <w:r w:rsidRPr="00CA1A43">
        <w:rPr>
          <w:rFonts w:eastAsia="標楷體" w:cstheme="minorHAnsi"/>
        </w:rPr>
        <w:t>、</w:t>
      </w:r>
      <w:r w:rsidRPr="00CA1A43">
        <w:rPr>
          <w:rFonts w:eastAsia="標楷體" w:cstheme="minorHAnsi"/>
        </w:rPr>
        <w:t>3</w:t>
      </w:r>
      <w:r w:rsidRPr="00CA1A43">
        <w:rPr>
          <w:rFonts w:eastAsia="標楷體" w:cstheme="minorHAnsi"/>
        </w:rPr>
        <w:t>、</w:t>
      </w:r>
      <w:r w:rsidRPr="00CA1A43">
        <w:rPr>
          <w:rFonts w:eastAsia="標楷體" w:cstheme="minorHAnsi"/>
        </w:rPr>
        <w:t xml:space="preserve">5 </w:t>
      </w:r>
      <w:r w:rsidRPr="00CA1A43">
        <w:rPr>
          <w:rFonts w:eastAsia="標楷體" w:cstheme="minorHAnsi"/>
        </w:rPr>
        <w:t>和</w:t>
      </w:r>
      <w:r w:rsidRPr="00CA1A43">
        <w:rPr>
          <w:rFonts w:eastAsia="標楷體" w:cstheme="minorHAnsi"/>
        </w:rPr>
        <w:t xml:space="preserve">10 </w:t>
      </w:r>
      <w:r w:rsidRPr="00CA1A43">
        <w:rPr>
          <w:rFonts w:eastAsia="標楷體" w:cstheme="minorHAnsi"/>
        </w:rPr>
        <w:t>年。</w:t>
      </w:r>
    </w:p>
    <w:p w14:paraId="055865C5" w14:textId="77777777" w:rsidR="00E850EC" w:rsidRPr="00CA1A43" w:rsidRDefault="00E850EC" w:rsidP="00605B1D">
      <w:pPr>
        <w:pStyle w:val="a7"/>
        <w:numPr>
          <w:ilvl w:val="0"/>
          <w:numId w:val="70"/>
        </w:numPr>
        <w:spacing w:beforeLines="50" w:before="180"/>
        <w:ind w:leftChars="0" w:left="1446" w:hanging="482"/>
        <w:jc w:val="both"/>
        <w:rPr>
          <w:rFonts w:eastAsia="標楷體" w:cstheme="minorHAnsi"/>
        </w:rPr>
      </w:pPr>
      <w:r w:rsidRPr="00CA1A43">
        <w:rPr>
          <w:rFonts w:eastAsia="標楷體" w:cstheme="minorHAnsi"/>
        </w:rPr>
        <w:t>外匯</w:t>
      </w:r>
      <w:r w:rsidRPr="00CA1A43">
        <w:rPr>
          <w:rFonts w:eastAsia="標楷體" w:cstheme="minorHAnsi"/>
        </w:rPr>
        <w:t>Curvature</w:t>
      </w:r>
      <w:r w:rsidRPr="00CA1A43">
        <w:rPr>
          <w:rFonts w:eastAsia="標楷體" w:cstheme="minorHAnsi"/>
        </w:rPr>
        <w:t>：外匯</w:t>
      </w:r>
      <w:r w:rsidRPr="00CA1A43">
        <w:rPr>
          <w:rFonts w:eastAsia="標楷體" w:cstheme="minorHAnsi"/>
        </w:rPr>
        <w:t>Curvature</w:t>
      </w:r>
      <w:r w:rsidRPr="00CA1A43">
        <w:rPr>
          <w:rFonts w:eastAsia="標楷體" w:cstheme="minorHAnsi"/>
        </w:rPr>
        <w:t>風險因子定義如下：</w:t>
      </w:r>
    </w:p>
    <w:p w14:paraId="2B44D98F" w14:textId="3B02B58D" w:rsidR="00E850EC" w:rsidRPr="00CA1A43" w:rsidRDefault="00E850EC" w:rsidP="00605B1D">
      <w:pPr>
        <w:pStyle w:val="a7"/>
        <w:numPr>
          <w:ilvl w:val="0"/>
          <w:numId w:val="72"/>
        </w:numPr>
        <w:spacing w:beforeLines="50" w:before="180"/>
        <w:ind w:leftChars="0"/>
        <w:jc w:val="both"/>
        <w:rPr>
          <w:rFonts w:eastAsia="標楷體" w:cstheme="minorHAnsi"/>
        </w:rPr>
      </w:pPr>
      <w:r w:rsidRPr="00CA1A43">
        <w:rPr>
          <w:rFonts w:eastAsia="標楷體" w:cstheme="minorHAnsi"/>
        </w:rPr>
        <w:lastRenderedPageBreak/>
        <w:t>外匯</w:t>
      </w:r>
      <w:r w:rsidRPr="00CA1A43">
        <w:rPr>
          <w:rFonts w:eastAsia="標楷體" w:cstheme="minorHAnsi"/>
        </w:rPr>
        <w:t>Curvature</w:t>
      </w:r>
      <w:r w:rsidRPr="00CA1A43">
        <w:rPr>
          <w:rFonts w:eastAsia="標楷體" w:cstheme="minorHAnsi"/>
        </w:rPr>
        <w:t>風險因子指</w:t>
      </w:r>
      <w:r w:rsidR="009653EE" w:rsidRPr="0021284D">
        <w:rPr>
          <w:rFonts w:eastAsia="標楷體" w:cstheme="minorHAnsi"/>
        </w:rPr>
        <w:t>工具</w:t>
      </w:r>
      <w:r w:rsidRPr="0021284D">
        <w:rPr>
          <w:rFonts w:eastAsia="標楷體" w:cstheme="minorHAnsi"/>
        </w:rPr>
        <w:t>計價幣別與本位幣的兌換匯率。未涉及本位幣的外匯交易，外匯風險因子則為</w:t>
      </w:r>
      <w:r w:rsidR="009653EE" w:rsidRPr="0021284D">
        <w:rPr>
          <w:rFonts w:eastAsia="標楷體" w:cstheme="minorHAnsi"/>
        </w:rPr>
        <w:t>工具</w:t>
      </w:r>
      <w:r w:rsidRPr="0021284D">
        <w:rPr>
          <w:rFonts w:eastAsia="標楷體" w:cstheme="minorHAnsi"/>
        </w:rPr>
        <w:t>計</w:t>
      </w:r>
      <w:r w:rsidRPr="00CA1A43">
        <w:rPr>
          <w:rFonts w:eastAsia="標楷體" w:cstheme="minorHAnsi"/>
        </w:rPr>
        <w:t>價幣別及其所參照之其他</w:t>
      </w:r>
      <w:proofErr w:type="gramStart"/>
      <w:r w:rsidRPr="00CA1A43">
        <w:rPr>
          <w:rFonts w:eastAsia="標楷體" w:cstheme="minorHAnsi"/>
        </w:rPr>
        <w:t>幣別兌本位</w:t>
      </w:r>
      <w:proofErr w:type="gramEnd"/>
      <w:r w:rsidRPr="00CA1A43">
        <w:rPr>
          <w:rFonts w:eastAsia="標楷體" w:cstheme="minorHAnsi"/>
        </w:rPr>
        <w:t>幣之匯率。</w:t>
      </w:r>
    </w:p>
    <w:p w14:paraId="0B5B1620" w14:textId="77777777" w:rsidR="00E850EC" w:rsidRPr="00CA1A43" w:rsidRDefault="00E850EC" w:rsidP="00605B1D">
      <w:pPr>
        <w:pStyle w:val="a7"/>
        <w:numPr>
          <w:ilvl w:val="0"/>
          <w:numId w:val="72"/>
        </w:numPr>
        <w:spacing w:beforeLines="50" w:before="180"/>
        <w:ind w:leftChars="0"/>
        <w:jc w:val="both"/>
        <w:rPr>
          <w:rFonts w:eastAsia="標楷體" w:cstheme="minorHAnsi"/>
        </w:rPr>
      </w:pPr>
      <w:r w:rsidRPr="00CA1A43">
        <w:rPr>
          <w:rFonts w:eastAsia="標楷體" w:cstheme="minorHAnsi"/>
        </w:rPr>
        <w:t>經本會核准得</w:t>
      </w:r>
      <w:proofErr w:type="gramStart"/>
      <w:r w:rsidRPr="00CA1A43">
        <w:rPr>
          <w:rFonts w:eastAsia="標楷體" w:cstheme="minorHAnsi"/>
        </w:rPr>
        <w:t>採</w:t>
      </w:r>
      <w:proofErr w:type="gramEnd"/>
      <w:r w:rsidRPr="00CA1A43">
        <w:rPr>
          <w:rFonts w:eastAsia="標楷體" w:cstheme="minorHAnsi"/>
        </w:rPr>
        <w:t>行以非本位幣作為基準貨幣計算</w:t>
      </w:r>
      <w:r w:rsidRPr="00CA1A43">
        <w:rPr>
          <w:rFonts w:eastAsia="標楷體" w:cstheme="minorHAnsi"/>
        </w:rPr>
        <w:t>delta</w:t>
      </w:r>
      <w:r w:rsidRPr="00CA1A43">
        <w:rPr>
          <w:rFonts w:eastAsia="標楷體" w:cstheme="minorHAnsi"/>
        </w:rPr>
        <w:t>風險時，亦應以該基準貨幣計算外匯</w:t>
      </w:r>
      <w:r w:rsidRPr="00CA1A43">
        <w:rPr>
          <w:rFonts w:eastAsia="標楷體" w:cstheme="minorHAnsi"/>
        </w:rPr>
        <w:t>Curvature</w:t>
      </w:r>
      <w:r w:rsidRPr="00CA1A43">
        <w:rPr>
          <w:rFonts w:eastAsia="標楷體" w:cstheme="minorHAnsi"/>
        </w:rPr>
        <w:t>風險，然後再透過本位幣</w:t>
      </w:r>
      <w:r w:rsidRPr="00CA1A43">
        <w:rPr>
          <w:rFonts w:eastAsia="標楷體" w:cstheme="minorHAnsi"/>
        </w:rPr>
        <w:t>/</w:t>
      </w:r>
      <w:r w:rsidRPr="00CA1A43">
        <w:rPr>
          <w:rFonts w:eastAsia="標楷體" w:cstheme="minorHAnsi"/>
        </w:rPr>
        <w:t>基準貨幣的即期匯率轉換為本位幣資本要求。</w:t>
      </w:r>
    </w:p>
    <w:p w14:paraId="406C6E91" w14:textId="77777777" w:rsidR="00E850EC" w:rsidRPr="00CA1A43" w:rsidRDefault="00E850EC" w:rsidP="00605B1D">
      <w:pPr>
        <w:pStyle w:val="a7"/>
        <w:numPr>
          <w:ilvl w:val="0"/>
          <w:numId w:val="70"/>
        </w:numPr>
        <w:spacing w:beforeLines="50" w:before="180"/>
        <w:ind w:leftChars="0" w:left="1446" w:hanging="482"/>
        <w:jc w:val="both"/>
        <w:rPr>
          <w:rFonts w:eastAsia="標楷體" w:cstheme="minorHAnsi"/>
        </w:rPr>
      </w:pPr>
      <w:r w:rsidRPr="00CA1A43">
        <w:rPr>
          <w:rFonts w:eastAsia="標楷體" w:cstheme="minorHAnsi"/>
        </w:rPr>
        <w:t>對於所有的外匯</w:t>
      </w:r>
      <w:r w:rsidRPr="00CA1A43">
        <w:rPr>
          <w:rFonts w:eastAsia="標楷體" w:cstheme="minorHAnsi"/>
        </w:rPr>
        <w:t>Delta</w:t>
      </w:r>
      <w:r w:rsidRPr="00CA1A43">
        <w:rPr>
          <w:rFonts w:eastAsia="標楷體" w:cstheme="minorHAnsi"/>
        </w:rPr>
        <w:t>、</w:t>
      </w:r>
      <w:r w:rsidRPr="00CA1A43">
        <w:rPr>
          <w:rFonts w:eastAsia="標楷體" w:cstheme="minorHAnsi"/>
        </w:rPr>
        <w:t xml:space="preserve">Vega </w:t>
      </w:r>
      <w:r w:rsidRPr="00CA1A43">
        <w:rPr>
          <w:rFonts w:eastAsia="標楷體" w:cstheme="minorHAnsi"/>
        </w:rPr>
        <w:t>和</w:t>
      </w:r>
      <w:r w:rsidRPr="00CA1A43">
        <w:rPr>
          <w:rFonts w:eastAsia="標楷體" w:cstheme="minorHAnsi"/>
        </w:rPr>
        <w:t xml:space="preserve">Curvature </w:t>
      </w:r>
      <w:r w:rsidRPr="00CA1A43">
        <w:rPr>
          <w:rFonts w:eastAsia="標楷體" w:cstheme="minorHAnsi"/>
        </w:rPr>
        <w:t>風險因子，不需區分其境內和離岸</w:t>
      </w:r>
      <w:proofErr w:type="gramStart"/>
      <w:r w:rsidRPr="00CA1A43">
        <w:rPr>
          <w:rFonts w:eastAsia="標楷體" w:cstheme="minorHAnsi"/>
        </w:rPr>
        <w:t>貨幣間的差異</w:t>
      </w:r>
      <w:proofErr w:type="gramEnd"/>
      <w:r w:rsidRPr="00CA1A43">
        <w:rPr>
          <w:rFonts w:eastAsia="標楷體" w:cstheme="minorHAnsi"/>
        </w:rPr>
        <w:t>。</w:t>
      </w:r>
    </w:p>
    <w:p w14:paraId="1ADA7935" w14:textId="5C9BC48D" w:rsidR="005B25B1" w:rsidRPr="00CA1A43" w:rsidRDefault="005B25B1"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敏感性部位定義及</w:t>
      </w:r>
      <w:r w:rsidR="009653EE" w:rsidRPr="00643CDD">
        <w:rPr>
          <w:rFonts w:eastAsia="標楷體" w:cstheme="minorHAnsi"/>
        </w:rPr>
        <w:t>工具</w:t>
      </w:r>
      <w:r w:rsidRPr="00643CDD">
        <w:rPr>
          <w:rFonts w:eastAsia="標楷體" w:cstheme="minorHAnsi"/>
        </w:rPr>
        <w:t>價</w:t>
      </w:r>
      <w:r w:rsidRPr="00CA1A43">
        <w:rPr>
          <w:rFonts w:eastAsia="標楷體" w:cstheme="minorHAnsi"/>
        </w:rPr>
        <w:t>格或評價模型要求</w:t>
      </w:r>
    </w:p>
    <w:p w14:paraId="4A68B980" w14:textId="650B0A36" w:rsidR="005B25B1" w:rsidRPr="00CA1A43" w:rsidRDefault="005B25B1" w:rsidP="00605B1D">
      <w:pPr>
        <w:pStyle w:val="a7"/>
        <w:numPr>
          <w:ilvl w:val="0"/>
          <w:numId w:val="73"/>
        </w:numPr>
        <w:spacing w:beforeLines="50" w:before="180"/>
        <w:ind w:leftChars="0" w:left="964" w:hanging="482"/>
        <w:jc w:val="both"/>
        <w:rPr>
          <w:rFonts w:eastAsia="標楷體" w:cstheme="minorHAnsi"/>
          <w:szCs w:val="24"/>
        </w:rPr>
      </w:pPr>
      <w:r w:rsidRPr="00CA1A43">
        <w:rPr>
          <w:rFonts w:eastAsia="標楷體" w:cstheme="minorHAnsi"/>
          <w:szCs w:val="24"/>
        </w:rPr>
        <w:t>敏感性部位係指假設</w:t>
      </w:r>
      <w:r w:rsidRPr="00CA1A43">
        <w:rPr>
          <w:rFonts w:eastAsia="標楷體" w:cstheme="minorHAnsi"/>
          <w:szCs w:val="28"/>
        </w:rPr>
        <w:t>其他</w:t>
      </w:r>
      <w:r w:rsidRPr="00CA1A43">
        <w:rPr>
          <w:rFonts w:eastAsia="標楷體" w:cstheme="minorHAnsi"/>
          <w:szCs w:val="24"/>
        </w:rPr>
        <w:t>相關風險因子維持不變之下，對每</w:t>
      </w:r>
      <w:r w:rsidRPr="00CA1A43">
        <w:rPr>
          <w:rFonts w:eastAsia="標楷體" w:cstheme="minorHAnsi"/>
        </w:rPr>
        <w:t>一</w:t>
      </w:r>
      <w:r w:rsidRPr="00CA1A43">
        <w:rPr>
          <w:rFonts w:eastAsia="標楷體" w:cstheme="minorHAnsi"/>
          <w:szCs w:val="24"/>
        </w:rPr>
        <w:t>個風險因子作特定的移動後計算該</w:t>
      </w:r>
      <w:r w:rsidR="009653EE" w:rsidRPr="000B05BA">
        <w:rPr>
          <w:rFonts w:eastAsia="標楷體" w:cstheme="minorHAnsi"/>
          <w:szCs w:val="24"/>
        </w:rPr>
        <w:t>工具</w:t>
      </w:r>
      <w:r w:rsidRPr="00CA1A43">
        <w:rPr>
          <w:rFonts w:eastAsia="標楷體" w:cstheme="minorHAnsi"/>
          <w:szCs w:val="24"/>
        </w:rPr>
        <w:t>市場價值的變化，且敏感性部位必須用銀行的本位幣來表達。</w:t>
      </w:r>
    </w:p>
    <w:p w14:paraId="2EA135C6" w14:textId="331A160F" w:rsidR="005B25B1" w:rsidRPr="00CA1A43" w:rsidRDefault="005B25B1" w:rsidP="00605B1D">
      <w:pPr>
        <w:pStyle w:val="a7"/>
        <w:numPr>
          <w:ilvl w:val="0"/>
          <w:numId w:val="73"/>
        </w:numPr>
        <w:spacing w:beforeLines="50" w:before="180"/>
        <w:ind w:leftChars="0" w:left="964" w:hanging="482"/>
        <w:jc w:val="both"/>
        <w:rPr>
          <w:rFonts w:eastAsia="標楷體" w:cstheme="minorHAnsi"/>
          <w:szCs w:val="28"/>
        </w:rPr>
      </w:pPr>
      <w:r w:rsidRPr="00CA1A43">
        <w:rPr>
          <w:rFonts w:eastAsia="標楷體" w:cstheme="minorHAnsi"/>
          <w:szCs w:val="28"/>
        </w:rPr>
        <w:t>銀行必須以其獨立風險控管單位用來與高階管理階層報告市場風險或實際損益時之</w:t>
      </w:r>
      <w:r w:rsidR="009653EE" w:rsidRPr="000B05BA">
        <w:rPr>
          <w:rFonts w:eastAsia="標楷體" w:cstheme="minorHAnsi"/>
          <w:szCs w:val="28"/>
        </w:rPr>
        <w:t>工具</w:t>
      </w:r>
      <w:r w:rsidRPr="000B05BA">
        <w:rPr>
          <w:rFonts w:eastAsia="標楷體" w:cstheme="minorHAnsi"/>
          <w:szCs w:val="28"/>
        </w:rPr>
        <w:t>價</w:t>
      </w:r>
      <w:r w:rsidRPr="00CA1A43">
        <w:rPr>
          <w:rFonts w:eastAsia="標楷體" w:cstheme="minorHAnsi"/>
          <w:szCs w:val="28"/>
        </w:rPr>
        <w:t>格或評價模型，進行敏感性部位之計算。</w:t>
      </w:r>
    </w:p>
    <w:p w14:paraId="7998B156" w14:textId="77777777" w:rsidR="005B25B1" w:rsidRPr="00CA1A43" w:rsidRDefault="005B25B1" w:rsidP="00605B1D">
      <w:pPr>
        <w:pStyle w:val="a7"/>
        <w:numPr>
          <w:ilvl w:val="0"/>
          <w:numId w:val="73"/>
        </w:numPr>
        <w:spacing w:beforeLines="50" w:before="180"/>
        <w:ind w:leftChars="0" w:left="964" w:hanging="482"/>
        <w:jc w:val="both"/>
        <w:rPr>
          <w:rFonts w:eastAsia="標楷體" w:cstheme="minorHAnsi"/>
          <w:szCs w:val="27"/>
        </w:rPr>
      </w:pPr>
      <w:r w:rsidRPr="00CA1A43">
        <w:rPr>
          <w:rFonts w:eastAsia="標楷體" w:cstheme="minorHAnsi"/>
          <w:szCs w:val="27"/>
        </w:rPr>
        <w:t>Delta</w:t>
      </w:r>
      <w:r w:rsidRPr="00CA1A43">
        <w:rPr>
          <w:rFonts w:eastAsia="標楷體" w:cstheme="minorHAnsi"/>
          <w:szCs w:val="27"/>
        </w:rPr>
        <w:t>風險</w:t>
      </w:r>
      <w:r w:rsidRPr="00CA1A43">
        <w:rPr>
          <w:rFonts w:eastAsia="標楷體" w:cstheme="minorHAnsi"/>
          <w:szCs w:val="28"/>
        </w:rPr>
        <w:t>敏感性</w:t>
      </w:r>
      <w:r w:rsidRPr="00CA1A43">
        <w:rPr>
          <w:rFonts w:eastAsia="標楷體" w:cstheme="minorHAnsi"/>
          <w:szCs w:val="27"/>
        </w:rPr>
        <w:t>部位的計算方式</w:t>
      </w:r>
    </w:p>
    <w:p w14:paraId="71D82A39" w14:textId="723A84E5" w:rsidR="005B25B1" w:rsidRPr="00CA1A43" w:rsidRDefault="005B25B1" w:rsidP="00605B1D">
      <w:pPr>
        <w:pStyle w:val="a7"/>
        <w:numPr>
          <w:ilvl w:val="0"/>
          <w:numId w:val="74"/>
        </w:numPr>
        <w:spacing w:beforeLines="50" w:before="180"/>
        <w:ind w:leftChars="0" w:left="1446" w:hanging="482"/>
        <w:jc w:val="both"/>
        <w:rPr>
          <w:rFonts w:eastAsia="標楷體" w:cstheme="minorHAnsi"/>
          <w:szCs w:val="24"/>
        </w:rPr>
      </w:pPr>
      <w:r w:rsidRPr="00CA1A43">
        <w:rPr>
          <w:rFonts w:eastAsia="標楷體" w:cstheme="minorHAnsi"/>
        </w:rPr>
        <w:t>GIRR Delta</w:t>
      </w:r>
      <w:r w:rsidRPr="00CA1A43">
        <w:rPr>
          <w:rFonts w:eastAsia="標楷體" w:cstheme="minorHAnsi"/>
        </w:rPr>
        <w:t>之敏感性部位為</w:t>
      </w:r>
      <w:r w:rsidRPr="00CA1A43">
        <w:rPr>
          <w:rFonts w:eastAsia="標楷體" w:cstheme="minorHAnsi"/>
        </w:rPr>
        <w:t>PV01</w:t>
      </w:r>
      <w:r w:rsidRPr="00CA1A43">
        <w:rPr>
          <w:rFonts w:eastAsia="標楷體" w:cstheme="minorHAnsi"/>
        </w:rPr>
        <w:t>。</w:t>
      </w:r>
      <w:r w:rsidR="009653EE" w:rsidRPr="002106A3">
        <w:rPr>
          <w:rFonts w:eastAsia="標楷體" w:cstheme="minorHAnsi"/>
        </w:rPr>
        <w:t>工具</w:t>
      </w:r>
      <w:r w:rsidRPr="00CA1A43">
        <w:rPr>
          <w:rFonts w:eastAsia="標楷體" w:cstheme="minorHAnsi"/>
        </w:rPr>
        <w:t>在</w:t>
      </w:r>
      <w:proofErr w:type="gramStart"/>
      <w:r w:rsidRPr="00CA1A43">
        <w:rPr>
          <w:rFonts w:eastAsia="標楷體" w:cstheme="minorHAnsi"/>
        </w:rPr>
        <w:t>給定幣別</w:t>
      </w:r>
      <w:proofErr w:type="gramEnd"/>
      <w:r w:rsidRPr="00CA1A43">
        <w:rPr>
          <w:rFonts w:eastAsia="標楷體" w:cstheme="minorHAnsi"/>
        </w:rPr>
        <w:t>無風險</w:t>
      </w:r>
      <w:proofErr w:type="gramStart"/>
      <w:r w:rsidRPr="00CA1A43">
        <w:rPr>
          <w:rFonts w:eastAsia="標楷體" w:cstheme="minorHAnsi"/>
        </w:rPr>
        <w:t>殖</w:t>
      </w:r>
      <w:proofErr w:type="gramEnd"/>
      <w:r w:rsidRPr="00CA1A43">
        <w:rPr>
          <w:rFonts w:eastAsia="標楷體" w:cstheme="minorHAnsi"/>
        </w:rPr>
        <w:t>利率曲線之天期</w:t>
      </w:r>
      <w:r w:rsidRPr="00CA1A43">
        <w:rPr>
          <w:rFonts w:eastAsia="標楷體" w:cstheme="minorHAnsi"/>
        </w:rPr>
        <w:t>(t</w:t>
      </w:r>
      <w:r w:rsidRPr="00CA1A43">
        <w:rPr>
          <w:rFonts w:eastAsia="標楷體" w:cstheme="minorHAnsi"/>
          <w:szCs w:val="24"/>
        </w:rPr>
        <w:t>(</w:t>
      </w:r>
      <w:proofErr w:type="spellStart"/>
      <w:r w:rsidRPr="00CA1A43">
        <w:rPr>
          <w:rFonts w:eastAsia="標楷體" w:cstheme="minorHAnsi"/>
          <w:szCs w:val="24"/>
        </w:rPr>
        <w:t>r</w:t>
      </w:r>
      <w:r w:rsidRPr="00CA1A43">
        <w:rPr>
          <w:rFonts w:eastAsia="標楷體" w:cstheme="minorHAnsi"/>
          <w:szCs w:val="24"/>
          <w:vertAlign w:val="subscript"/>
        </w:rPr>
        <w:t>t</w:t>
      </w:r>
      <w:proofErr w:type="spellEnd"/>
      <w:r w:rsidRPr="00CA1A43">
        <w:rPr>
          <w:rFonts w:eastAsia="標楷體" w:cstheme="minorHAnsi"/>
          <w:szCs w:val="24"/>
        </w:rPr>
        <w:t>))</w:t>
      </w:r>
      <w:r w:rsidRPr="00CA1A43">
        <w:rPr>
          <w:rFonts w:eastAsia="標楷體" w:cstheme="minorHAnsi"/>
        </w:rPr>
        <w:t>變動一個</w:t>
      </w:r>
      <w:r w:rsidRPr="00CA1A43">
        <w:rPr>
          <w:rFonts w:eastAsia="標楷體" w:cstheme="minorHAnsi"/>
        </w:rPr>
        <w:t>bp</w:t>
      </w:r>
      <w:r w:rsidRPr="00CA1A43">
        <w:rPr>
          <w:rFonts w:eastAsia="標楷體" w:cstheme="minorHAnsi"/>
          <w:szCs w:val="24"/>
        </w:rPr>
        <w:t>(</w:t>
      </w:r>
      <w:r w:rsidRPr="00CA1A43">
        <w:rPr>
          <w:rFonts w:eastAsia="標楷體" w:cstheme="minorHAnsi"/>
          <w:szCs w:val="24"/>
        </w:rPr>
        <w:t>即絕對數</w:t>
      </w:r>
      <w:r w:rsidRPr="00CA1A43">
        <w:rPr>
          <w:rFonts w:eastAsia="標楷體" w:cstheme="minorHAnsi"/>
        </w:rPr>
        <w:t>0.0001</w:t>
      </w:r>
      <w:r w:rsidRPr="00CA1A43">
        <w:rPr>
          <w:rFonts w:eastAsia="標楷體" w:cstheme="minorHAnsi"/>
          <w:szCs w:val="24"/>
        </w:rPr>
        <w:t>)</w:t>
      </w:r>
      <w:r w:rsidRPr="00CA1A43">
        <w:rPr>
          <w:rFonts w:eastAsia="標楷體" w:cstheme="minorHAnsi"/>
          <w:szCs w:val="24"/>
        </w:rPr>
        <w:t>時所</w:t>
      </w:r>
      <w:r w:rsidRPr="00CA1A43">
        <w:rPr>
          <w:rFonts w:eastAsia="標楷體" w:cstheme="minorHAnsi"/>
        </w:rPr>
        <w:t>造成其市值</w:t>
      </w: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szCs w:val="24"/>
        </w:rPr>
        <w:t>的</w:t>
      </w:r>
      <w:proofErr w:type="gramStart"/>
      <w:r w:rsidRPr="00CA1A43">
        <w:rPr>
          <w:rFonts w:eastAsia="標楷體" w:cstheme="minorHAnsi"/>
        </w:rPr>
        <w:t>變動量除以</w:t>
      </w:r>
      <w:proofErr w:type="gramEnd"/>
      <w:r w:rsidRPr="00CA1A43">
        <w:rPr>
          <w:rFonts w:eastAsia="標楷體" w:cstheme="minorHAnsi"/>
        </w:rPr>
        <w:t>0.0001</w:t>
      </w:r>
      <w:r w:rsidRPr="00CA1A43">
        <w:rPr>
          <w:rFonts w:eastAsia="標楷體" w:cstheme="minorHAnsi"/>
          <w:szCs w:val="24"/>
        </w:rPr>
        <w:t>(</w:t>
      </w:r>
      <w:r w:rsidRPr="00CA1A43">
        <w:rPr>
          <w:rFonts w:eastAsia="標楷體" w:cstheme="minorHAnsi"/>
          <w:szCs w:val="24"/>
        </w:rPr>
        <w:t>即</w:t>
      </w:r>
      <w:r w:rsidRPr="00CA1A43">
        <w:rPr>
          <w:rFonts w:eastAsia="標楷體" w:cstheme="minorHAnsi"/>
          <w:szCs w:val="24"/>
        </w:rPr>
        <w:t xml:space="preserve"> 0.01%)</w:t>
      </w:r>
      <w:r w:rsidRPr="00CA1A43">
        <w:rPr>
          <w:rFonts w:eastAsia="標楷體" w:cstheme="minorHAnsi"/>
          <w:szCs w:val="24"/>
        </w:rPr>
        <w:t>即為</w:t>
      </w:r>
      <w:r w:rsidRPr="00CA1A43">
        <w:rPr>
          <w:rFonts w:eastAsia="標楷體" w:cstheme="minorHAnsi"/>
        </w:rPr>
        <w:t>PV01</w:t>
      </w:r>
      <w:r w:rsidRPr="00CA1A43">
        <w:rPr>
          <w:rFonts w:eastAsia="標楷體" w:cstheme="minorHAnsi"/>
        </w:rPr>
        <w:t>。公式如下：</w:t>
      </w:r>
    </w:p>
    <w:p w14:paraId="0CD8C1D3" w14:textId="77777777" w:rsidR="005B25B1" w:rsidRPr="00CA1A43" w:rsidRDefault="00AA1117" w:rsidP="005B25B1">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t</m:t>
                  </m:r>
                </m:sub>
              </m:sSub>
            </m:sub>
          </m:sSub>
          <m:r>
            <m:rPr>
              <m:sty m:val="p"/>
            </m:rPr>
            <w:rPr>
              <w:rFonts w:ascii="Cambria Math" w:eastAsia="標楷體" w:hAnsi="Cambria Math" w:cstheme="minorHAnsi"/>
              <w:szCs w:val="24"/>
            </w:rPr>
            <m:t>=</m:t>
          </m:r>
          <m:f>
            <m:fPr>
              <m:ctrlPr>
                <w:rPr>
                  <w:rFonts w:ascii="Cambria Math" w:eastAsia="標楷體" w:hAnsi="Cambria Math" w:cstheme="minorHAns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t</m:t>
                      </m:r>
                    </m:sub>
                  </m:sSub>
                  <m:r>
                    <w:rPr>
                      <w:rFonts w:ascii="Cambria Math" w:eastAsia="標楷體" w:hAnsi="Cambria Math" w:cstheme="minorHAnsi"/>
                      <w:szCs w:val="24"/>
                    </w:rPr>
                    <m:t xml:space="preserve">+0.0001, </m:t>
                  </m:r>
                  <m:sSub>
                    <m:sSubPr>
                      <m:ctrlPr>
                        <w:rPr>
                          <w:rFonts w:ascii="Cambria Math" w:eastAsia="標楷體" w:hAnsi="Cambria Math" w:cstheme="minorHAnsi"/>
                          <w:i/>
                          <w:szCs w:val="24"/>
                        </w:rPr>
                      </m:ctrlPr>
                    </m:sSubPr>
                    <m:e>
                      <m:r>
                        <w:rPr>
                          <w:rFonts w:ascii="Cambria Math" w:eastAsia="標楷體" w:hAnsi="Cambria Math" w:cstheme="minorHAnsi"/>
                          <w:szCs w:val="24"/>
                        </w:rPr>
                        <m:t>cs</m:t>
                      </m:r>
                    </m:e>
                    <m:sub>
                      <m:r>
                        <w:rPr>
                          <w:rFonts w:ascii="Cambria Math" w:eastAsia="標楷體" w:hAnsi="Cambria Math" w:cstheme="minorHAnsi"/>
                          <w:szCs w:val="24"/>
                        </w:rPr>
                        <m:t>t</m:t>
                      </m:r>
                    </m:sub>
                  </m:sSub>
                </m:e>
              </m:d>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t</m:t>
                      </m:r>
                    </m:sub>
                  </m:sSub>
                  <m:r>
                    <w:rPr>
                      <w:rFonts w:ascii="Cambria Math" w:eastAsia="標楷體" w:hAnsi="Cambria Math" w:cstheme="minorHAnsi"/>
                      <w:szCs w:val="24"/>
                    </w:rPr>
                    <m:t xml:space="preserve">, </m:t>
                  </m:r>
                  <m:sSub>
                    <m:sSubPr>
                      <m:ctrlPr>
                        <w:rPr>
                          <w:rFonts w:ascii="Cambria Math" w:eastAsia="標楷體" w:hAnsi="Cambria Math" w:cstheme="minorHAnsi"/>
                          <w:i/>
                          <w:szCs w:val="24"/>
                        </w:rPr>
                      </m:ctrlPr>
                    </m:sSubPr>
                    <m:e>
                      <m:r>
                        <w:rPr>
                          <w:rFonts w:ascii="Cambria Math" w:eastAsia="標楷體" w:hAnsi="Cambria Math" w:cstheme="minorHAnsi"/>
                          <w:szCs w:val="24"/>
                        </w:rPr>
                        <m:t>cs</m:t>
                      </m:r>
                    </m:e>
                    <m:sub>
                      <m:r>
                        <w:rPr>
                          <w:rFonts w:ascii="Cambria Math" w:eastAsia="標楷體" w:hAnsi="Cambria Math" w:cstheme="minorHAnsi"/>
                          <w:szCs w:val="24"/>
                        </w:rPr>
                        <m:t>t</m:t>
                      </m:r>
                    </m:sub>
                  </m:sSub>
                </m:e>
              </m:d>
            </m:num>
            <m:den>
              <m:r>
                <w:rPr>
                  <w:rFonts w:ascii="Cambria Math" w:eastAsia="標楷體" w:hAnsi="Cambria Math" w:cstheme="minorHAnsi"/>
                  <w:szCs w:val="24"/>
                </w:rPr>
                <m:t>0.0001</m:t>
              </m:r>
            </m:den>
          </m:f>
        </m:oMath>
      </m:oMathPara>
    </w:p>
    <w:p w14:paraId="72906B87" w14:textId="77777777" w:rsidR="005B25B1" w:rsidRPr="00CA1A43" w:rsidRDefault="005B25B1" w:rsidP="005B25B1">
      <w:pPr>
        <w:pStyle w:val="a7"/>
        <w:spacing w:beforeLines="50" w:before="180"/>
        <w:ind w:leftChars="0" w:left="1446"/>
        <w:jc w:val="both"/>
        <w:rPr>
          <w:rFonts w:eastAsia="標楷體" w:cstheme="minorHAnsi"/>
          <w:szCs w:val="24"/>
        </w:rPr>
      </w:pPr>
      <w:r w:rsidRPr="00CA1A43">
        <w:rPr>
          <w:rFonts w:eastAsia="標楷體" w:cstheme="minorHAnsi"/>
          <w:szCs w:val="24"/>
        </w:rPr>
        <w:t>其中：</w:t>
      </w:r>
    </w:p>
    <w:p w14:paraId="297A1CDF" w14:textId="77777777" w:rsidR="005B25B1" w:rsidRPr="00CA1A43" w:rsidRDefault="005B25B1" w:rsidP="00605B1D">
      <w:pPr>
        <w:pStyle w:val="a7"/>
        <w:numPr>
          <w:ilvl w:val="0"/>
          <w:numId w:val="75"/>
        </w:numPr>
        <w:spacing w:beforeLines="50" w:before="180"/>
        <w:ind w:leftChars="0"/>
        <w:jc w:val="both"/>
        <w:rPr>
          <w:rFonts w:eastAsia="標楷體" w:cstheme="minorHAnsi"/>
          <w:szCs w:val="24"/>
        </w:rPr>
      </w:pPr>
      <w:r w:rsidRPr="00CA1A43">
        <w:rPr>
          <w:rFonts w:eastAsia="標楷體" w:cstheme="minorHAnsi"/>
          <w:szCs w:val="24"/>
        </w:rPr>
        <w:t>r</w:t>
      </w:r>
      <w:r w:rsidRPr="00CA1A43">
        <w:rPr>
          <w:rFonts w:eastAsia="標楷體" w:cstheme="minorHAnsi"/>
          <w:szCs w:val="24"/>
          <w:vertAlign w:val="subscript"/>
        </w:rPr>
        <w:t>t</w:t>
      </w:r>
      <w:r w:rsidRPr="00CA1A43">
        <w:rPr>
          <w:rFonts w:eastAsia="標楷體" w:cstheme="minorHAnsi"/>
          <w:szCs w:val="24"/>
        </w:rPr>
        <w:t>為無風險</w:t>
      </w:r>
      <w:proofErr w:type="gramStart"/>
      <w:r w:rsidRPr="00CA1A43">
        <w:rPr>
          <w:rFonts w:eastAsia="標楷體" w:cstheme="minorHAnsi"/>
          <w:szCs w:val="24"/>
        </w:rPr>
        <w:t>殖</w:t>
      </w:r>
      <w:proofErr w:type="gramEnd"/>
      <w:r w:rsidRPr="00CA1A43">
        <w:rPr>
          <w:rFonts w:eastAsia="標楷體" w:cstheme="minorHAnsi"/>
          <w:szCs w:val="24"/>
        </w:rPr>
        <w:t>利率</w:t>
      </w:r>
      <w:r w:rsidRPr="00CA1A43">
        <w:rPr>
          <w:rFonts w:eastAsia="標楷體" w:cstheme="minorHAnsi"/>
        </w:rPr>
        <w:t>曲線</w:t>
      </w:r>
      <w:r w:rsidRPr="00CA1A43">
        <w:rPr>
          <w:rFonts w:eastAsia="標楷體" w:cstheme="minorHAnsi"/>
          <w:szCs w:val="24"/>
        </w:rPr>
        <w:t>在</w:t>
      </w:r>
      <w:r w:rsidRPr="00CA1A43">
        <w:rPr>
          <w:rFonts w:eastAsia="標楷體" w:cstheme="minorHAnsi"/>
        </w:rPr>
        <w:t>天期</w:t>
      </w:r>
      <w:r w:rsidRPr="00CA1A43">
        <w:rPr>
          <w:rFonts w:eastAsia="標楷體" w:cstheme="minorHAnsi"/>
          <w:szCs w:val="24"/>
        </w:rPr>
        <w:t>t</w:t>
      </w:r>
      <w:r w:rsidRPr="00CA1A43">
        <w:rPr>
          <w:rFonts w:eastAsia="標楷體" w:cstheme="minorHAnsi"/>
          <w:szCs w:val="24"/>
        </w:rPr>
        <w:t>的值；</w:t>
      </w:r>
    </w:p>
    <w:p w14:paraId="4CB2502E" w14:textId="77777777" w:rsidR="005B25B1" w:rsidRPr="00CA1A43" w:rsidRDefault="005B25B1" w:rsidP="00605B1D">
      <w:pPr>
        <w:pStyle w:val="a7"/>
        <w:numPr>
          <w:ilvl w:val="0"/>
          <w:numId w:val="75"/>
        </w:numPr>
        <w:spacing w:beforeLines="50" w:before="180"/>
        <w:ind w:leftChars="0"/>
        <w:jc w:val="both"/>
        <w:rPr>
          <w:rFonts w:eastAsia="標楷體" w:cstheme="minorHAnsi"/>
          <w:szCs w:val="24"/>
        </w:rPr>
      </w:pPr>
      <w:proofErr w:type="spellStart"/>
      <w:r w:rsidRPr="00CA1A43">
        <w:rPr>
          <w:rFonts w:eastAsia="標楷體" w:cstheme="minorHAnsi"/>
          <w:szCs w:val="24"/>
        </w:rPr>
        <w:t>cs</w:t>
      </w:r>
      <w:r w:rsidRPr="00CA1A43">
        <w:rPr>
          <w:rFonts w:eastAsia="標楷體" w:cstheme="minorHAnsi"/>
          <w:szCs w:val="24"/>
          <w:vertAlign w:val="subscript"/>
        </w:rPr>
        <w:t>t</w:t>
      </w:r>
      <w:proofErr w:type="spellEnd"/>
      <w:r w:rsidRPr="00CA1A43">
        <w:rPr>
          <w:rFonts w:eastAsia="標楷體" w:cstheme="minorHAnsi"/>
          <w:szCs w:val="24"/>
        </w:rPr>
        <w:t>為信用價差曲線在天期</w:t>
      </w:r>
      <w:r w:rsidRPr="00CA1A43">
        <w:rPr>
          <w:rFonts w:eastAsia="標楷體" w:cstheme="minorHAnsi"/>
          <w:szCs w:val="24"/>
        </w:rPr>
        <w:t>t</w:t>
      </w:r>
      <w:r w:rsidRPr="00CA1A43">
        <w:rPr>
          <w:rFonts w:eastAsia="標楷體" w:cstheme="minorHAnsi"/>
          <w:szCs w:val="24"/>
        </w:rPr>
        <w:t>的值；</w:t>
      </w:r>
    </w:p>
    <w:p w14:paraId="6FBAE540" w14:textId="660CC85C" w:rsidR="005B25B1" w:rsidRPr="00CA1A43" w:rsidRDefault="005B25B1" w:rsidP="00605B1D">
      <w:pPr>
        <w:pStyle w:val="a7"/>
        <w:numPr>
          <w:ilvl w:val="0"/>
          <w:numId w:val="75"/>
        </w:numPr>
        <w:spacing w:beforeLines="50" w:before="180"/>
        <w:ind w:leftChars="0"/>
        <w:jc w:val="both"/>
        <w:rPr>
          <w:rFonts w:eastAsia="標楷體" w:cstheme="minorHAnsi"/>
          <w:szCs w:val="24"/>
        </w:rPr>
      </w:pP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為</w:t>
      </w:r>
      <w:r w:rsidR="009653EE" w:rsidRPr="002106A3">
        <w:rPr>
          <w:rFonts w:eastAsia="標楷體" w:cstheme="minorHAnsi"/>
          <w:szCs w:val="24"/>
        </w:rPr>
        <w:t>工具</w:t>
      </w:r>
      <w:proofErr w:type="spellStart"/>
      <w:r w:rsidRPr="002106A3">
        <w:rPr>
          <w:rFonts w:eastAsia="標楷體" w:cstheme="minorHAnsi"/>
          <w:szCs w:val="24"/>
        </w:rPr>
        <w:t>i</w:t>
      </w:r>
      <w:proofErr w:type="spellEnd"/>
      <w:r w:rsidRPr="00CA1A43">
        <w:rPr>
          <w:rFonts w:eastAsia="標楷體" w:cstheme="minorHAnsi"/>
          <w:szCs w:val="24"/>
        </w:rPr>
        <w:t>的市價，為無風險利率曲線和信用價差曲線的函數。</w:t>
      </w:r>
    </w:p>
    <w:p w14:paraId="6FF9C1B5" w14:textId="7E758F05" w:rsidR="005B25B1" w:rsidRPr="00CA1A43" w:rsidRDefault="005B25B1" w:rsidP="00605B1D">
      <w:pPr>
        <w:pStyle w:val="a7"/>
        <w:numPr>
          <w:ilvl w:val="0"/>
          <w:numId w:val="74"/>
        </w:numPr>
        <w:spacing w:beforeLines="50" w:before="180"/>
        <w:ind w:leftChars="0" w:left="1446" w:hanging="482"/>
        <w:jc w:val="both"/>
        <w:rPr>
          <w:rFonts w:eastAsia="標楷體" w:cstheme="minorHAnsi"/>
          <w:szCs w:val="24"/>
        </w:rPr>
      </w:pPr>
      <w:r w:rsidRPr="00CA1A43">
        <w:rPr>
          <w:rFonts w:eastAsia="標楷體" w:cstheme="minorHAnsi"/>
        </w:rPr>
        <w:t>非證券化</w:t>
      </w:r>
      <w:r w:rsidRPr="00CA1A43">
        <w:rPr>
          <w:rFonts w:eastAsia="標楷體" w:cstheme="minorHAnsi"/>
        </w:rPr>
        <w:t>CSR</w:t>
      </w:r>
      <w:r w:rsidRPr="00CA1A43">
        <w:rPr>
          <w:rFonts w:eastAsia="標楷體" w:cstheme="minorHAnsi"/>
        </w:rPr>
        <w:t>、證券化</w:t>
      </w:r>
      <w:r w:rsidRPr="00CA1A43">
        <w:rPr>
          <w:rFonts w:eastAsia="標楷體" w:cstheme="minorHAnsi"/>
          <w:szCs w:val="24"/>
        </w:rPr>
        <w:t>(non-CTP)</w:t>
      </w:r>
      <w:r w:rsidRPr="00CA1A43">
        <w:rPr>
          <w:rFonts w:eastAsia="標楷體" w:cstheme="minorHAnsi"/>
          <w:szCs w:val="24"/>
        </w:rPr>
        <w:t>和證券化</w:t>
      </w:r>
      <w:r w:rsidRPr="00CA1A43">
        <w:rPr>
          <w:rFonts w:eastAsia="標楷體" w:cstheme="minorHAnsi"/>
          <w:szCs w:val="24"/>
        </w:rPr>
        <w:t>(CTP)</w:t>
      </w:r>
      <w:r w:rsidRPr="00CA1A43">
        <w:rPr>
          <w:rFonts w:eastAsia="標楷體" w:cstheme="minorHAnsi"/>
        </w:rPr>
        <w:t>的</w:t>
      </w:r>
      <w:r w:rsidRPr="00CA1A43">
        <w:rPr>
          <w:rFonts w:eastAsia="標楷體" w:cstheme="minorHAnsi"/>
        </w:rPr>
        <w:t>Delta</w:t>
      </w:r>
      <w:r w:rsidRPr="00CA1A43">
        <w:rPr>
          <w:rFonts w:eastAsia="標楷體" w:cstheme="minorHAnsi"/>
        </w:rPr>
        <w:t>之敏感性部位為</w:t>
      </w:r>
      <w:r w:rsidRPr="00CA1A43">
        <w:rPr>
          <w:rFonts w:eastAsia="標楷體" w:cstheme="minorHAnsi"/>
        </w:rPr>
        <w:t>CS01</w:t>
      </w:r>
      <w:r w:rsidRPr="00CA1A43">
        <w:rPr>
          <w:rFonts w:eastAsia="標楷體" w:cstheme="minorHAnsi"/>
        </w:rPr>
        <w:t>。</w:t>
      </w:r>
      <w:r w:rsidR="009653EE" w:rsidRPr="00673377">
        <w:rPr>
          <w:rFonts w:eastAsia="標楷體" w:cstheme="minorHAnsi"/>
        </w:rPr>
        <w:t>工具</w:t>
      </w:r>
      <w:proofErr w:type="spellStart"/>
      <w:r w:rsidRPr="00673377">
        <w:rPr>
          <w:rFonts w:eastAsia="標楷體" w:cstheme="minorHAnsi"/>
        </w:rPr>
        <w:t>i</w:t>
      </w:r>
      <w:proofErr w:type="spellEnd"/>
      <w:r w:rsidRPr="00CA1A43">
        <w:rPr>
          <w:rFonts w:eastAsia="標楷體" w:cstheme="minorHAnsi"/>
          <w:szCs w:val="24"/>
        </w:rPr>
        <w:t>在</w:t>
      </w:r>
      <w:r w:rsidRPr="00CA1A43">
        <w:rPr>
          <w:rFonts w:eastAsia="標楷體" w:cstheme="minorHAnsi"/>
        </w:rPr>
        <w:t>天期</w:t>
      </w:r>
      <w:r w:rsidRPr="00CA1A43">
        <w:rPr>
          <w:rFonts w:eastAsia="標楷體" w:cstheme="minorHAnsi"/>
        </w:rPr>
        <w:t>t</w:t>
      </w:r>
      <w:r w:rsidRPr="00CA1A43">
        <w:rPr>
          <w:rFonts w:eastAsia="標楷體" w:cstheme="minorHAnsi"/>
          <w:szCs w:val="24"/>
        </w:rPr>
        <w:t xml:space="preserve"> (</w:t>
      </w:r>
      <w:proofErr w:type="spellStart"/>
      <w:r w:rsidRPr="00CA1A43">
        <w:rPr>
          <w:rFonts w:eastAsia="標楷體" w:cstheme="minorHAnsi"/>
          <w:szCs w:val="24"/>
        </w:rPr>
        <w:t>cs</w:t>
      </w:r>
      <w:r w:rsidRPr="00CA1A43">
        <w:rPr>
          <w:rFonts w:eastAsia="標楷體" w:cstheme="minorHAnsi"/>
          <w:szCs w:val="24"/>
          <w:vertAlign w:val="subscript"/>
        </w:rPr>
        <w:t>t</w:t>
      </w:r>
      <w:proofErr w:type="spellEnd"/>
      <w:r w:rsidRPr="00CA1A43">
        <w:rPr>
          <w:rFonts w:eastAsia="標楷體" w:cstheme="minorHAnsi"/>
          <w:szCs w:val="24"/>
        </w:rPr>
        <w:t>)</w:t>
      </w:r>
      <w:r w:rsidRPr="00CA1A43">
        <w:rPr>
          <w:rFonts w:eastAsia="標楷體" w:cstheme="minorHAnsi"/>
        </w:rPr>
        <w:t>之信用價差</w:t>
      </w:r>
      <w:r w:rsidRPr="00CA1A43">
        <w:rPr>
          <w:rFonts w:eastAsia="標楷體" w:cstheme="minorHAnsi"/>
          <w:szCs w:val="24"/>
        </w:rPr>
        <w:t>cs</w:t>
      </w:r>
      <w:r w:rsidRPr="00CA1A43">
        <w:rPr>
          <w:rFonts w:eastAsia="標楷體" w:cstheme="minorHAnsi"/>
        </w:rPr>
        <w:t>變動一個</w:t>
      </w:r>
      <w:r w:rsidRPr="00CA1A43">
        <w:rPr>
          <w:rFonts w:eastAsia="標楷體" w:cstheme="minorHAnsi"/>
        </w:rPr>
        <w:t>bp</w:t>
      </w:r>
      <w:r w:rsidRPr="00CA1A43">
        <w:rPr>
          <w:rFonts w:eastAsia="標楷體" w:cstheme="minorHAnsi"/>
          <w:szCs w:val="24"/>
        </w:rPr>
        <w:t>(</w:t>
      </w:r>
      <w:r w:rsidRPr="00CA1A43">
        <w:rPr>
          <w:rFonts w:eastAsia="標楷體" w:cstheme="minorHAnsi"/>
          <w:szCs w:val="24"/>
        </w:rPr>
        <w:t>即絕對數</w:t>
      </w:r>
      <w:r w:rsidRPr="00CA1A43">
        <w:rPr>
          <w:rFonts w:eastAsia="標楷體" w:cstheme="minorHAnsi"/>
        </w:rPr>
        <w:t>0.0001</w:t>
      </w:r>
      <w:r w:rsidRPr="00CA1A43">
        <w:rPr>
          <w:rFonts w:eastAsia="標楷體" w:cstheme="minorHAnsi"/>
          <w:szCs w:val="24"/>
        </w:rPr>
        <w:t>)</w:t>
      </w:r>
      <w:r w:rsidRPr="00CA1A43">
        <w:rPr>
          <w:rFonts w:eastAsia="標楷體" w:cstheme="minorHAnsi"/>
          <w:szCs w:val="24"/>
        </w:rPr>
        <w:t>時所</w:t>
      </w:r>
      <w:r w:rsidRPr="00CA1A43">
        <w:rPr>
          <w:rFonts w:eastAsia="標楷體" w:cstheme="minorHAnsi"/>
        </w:rPr>
        <w:t>造成其市值</w:t>
      </w: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rPr>
        <w:t>的</w:t>
      </w:r>
      <w:proofErr w:type="gramStart"/>
      <w:r w:rsidRPr="00CA1A43">
        <w:rPr>
          <w:rFonts w:eastAsia="標楷體" w:cstheme="minorHAnsi"/>
        </w:rPr>
        <w:t>變動量除以</w:t>
      </w:r>
      <w:proofErr w:type="gramEnd"/>
      <w:r w:rsidRPr="00CA1A43">
        <w:rPr>
          <w:rFonts w:eastAsia="標楷體" w:cstheme="minorHAnsi"/>
        </w:rPr>
        <w:t>0.0001</w:t>
      </w:r>
      <w:r w:rsidRPr="00CA1A43">
        <w:rPr>
          <w:rFonts w:eastAsia="標楷體" w:cstheme="minorHAnsi"/>
          <w:szCs w:val="24"/>
        </w:rPr>
        <w:t>(</w:t>
      </w:r>
      <w:r w:rsidRPr="00CA1A43">
        <w:rPr>
          <w:rFonts w:eastAsia="標楷體" w:cstheme="minorHAnsi"/>
          <w:szCs w:val="24"/>
        </w:rPr>
        <w:t>即</w:t>
      </w:r>
      <w:r w:rsidRPr="00CA1A43">
        <w:rPr>
          <w:rFonts w:eastAsia="標楷體" w:cstheme="minorHAnsi"/>
          <w:szCs w:val="24"/>
        </w:rPr>
        <w:t>0.01%)</w:t>
      </w:r>
      <w:r w:rsidRPr="00CA1A43">
        <w:rPr>
          <w:rFonts w:eastAsia="標楷體" w:cstheme="minorHAnsi"/>
        </w:rPr>
        <w:t>即為</w:t>
      </w:r>
      <w:r w:rsidRPr="00CA1A43">
        <w:rPr>
          <w:rFonts w:eastAsia="標楷體" w:cstheme="minorHAnsi"/>
        </w:rPr>
        <w:t>CS01</w:t>
      </w:r>
      <w:r w:rsidRPr="00CA1A43">
        <w:rPr>
          <w:rFonts w:eastAsia="標楷體" w:cstheme="minorHAnsi"/>
        </w:rPr>
        <w:t>。公式如下：</w:t>
      </w:r>
    </w:p>
    <w:p w14:paraId="5B892786" w14:textId="77777777" w:rsidR="005B25B1" w:rsidRPr="00CA1A43" w:rsidRDefault="00AA1117" w:rsidP="005B25B1">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Sub>
                <m:sSubPr>
                  <m:ctrlPr>
                    <w:rPr>
                      <w:rFonts w:ascii="Cambria Math" w:eastAsia="標楷體" w:hAnsi="Cambria Math" w:cstheme="minorHAnsi"/>
                      <w:i/>
                      <w:szCs w:val="24"/>
                    </w:rPr>
                  </m:ctrlPr>
                </m:sSubPr>
                <m:e>
                  <m:r>
                    <w:rPr>
                      <w:rFonts w:ascii="Cambria Math" w:eastAsia="標楷體" w:hAnsi="Cambria Math" w:cstheme="minorHAnsi"/>
                      <w:szCs w:val="24"/>
                    </w:rPr>
                    <m:t>cs</m:t>
                  </m:r>
                </m:e>
                <m:sub>
                  <m:r>
                    <w:rPr>
                      <w:rFonts w:ascii="Cambria Math" w:eastAsia="標楷體" w:hAnsi="Cambria Math" w:cstheme="minorHAnsi"/>
                      <w:szCs w:val="24"/>
                    </w:rPr>
                    <m:t>t</m:t>
                  </m:r>
                </m:sub>
              </m:sSub>
            </m:sub>
          </m:sSub>
          <m:r>
            <m:rPr>
              <m:sty m:val="p"/>
            </m:rPr>
            <w:rPr>
              <w:rFonts w:ascii="Cambria Math" w:eastAsia="標楷體" w:hAnsi="Cambria Math" w:cstheme="minorHAnsi"/>
              <w:szCs w:val="24"/>
            </w:rPr>
            <m:t>=</m:t>
          </m:r>
          <m:f>
            <m:fPr>
              <m:ctrlPr>
                <w:rPr>
                  <w:rFonts w:ascii="Cambria Math" w:eastAsia="標楷體" w:hAnsi="Cambria Math" w:cstheme="minorHAns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t</m:t>
                      </m:r>
                    </m:sub>
                  </m:sSub>
                  <m:r>
                    <w:rPr>
                      <w:rFonts w:ascii="Cambria Math" w:eastAsia="標楷體" w:hAnsi="Cambria Math" w:cstheme="minorHAnsi"/>
                      <w:szCs w:val="24"/>
                    </w:rPr>
                    <m:t xml:space="preserve">, </m:t>
                  </m:r>
                  <m:sSub>
                    <m:sSubPr>
                      <m:ctrlPr>
                        <w:rPr>
                          <w:rFonts w:ascii="Cambria Math" w:eastAsia="標楷體" w:hAnsi="Cambria Math" w:cstheme="minorHAnsi"/>
                          <w:i/>
                          <w:szCs w:val="24"/>
                        </w:rPr>
                      </m:ctrlPr>
                    </m:sSubPr>
                    <m:e>
                      <m:r>
                        <w:rPr>
                          <w:rFonts w:ascii="Cambria Math" w:eastAsia="標楷體" w:hAnsi="Cambria Math" w:cstheme="minorHAnsi"/>
                          <w:szCs w:val="24"/>
                        </w:rPr>
                        <m:t>cs</m:t>
                      </m:r>
                    </m:e>
                    <m:sub>
                      <m:r>
                        <w:rPr>
                          <w:rFonts w:ascii="Cambria Math" w:eastAsia="標楷體" w:hAnsi="Cambria Math" w:cstheme="minorHAnsi"/>
                          <w:szCs w:val="24"/>
                        </w:rPr>
                        <m:t>t</m:t>
                      </m:r>
                    </m:sub>
                  </m:sSub>
                  <m:r>
                    <w:rPr>
                      <w:rFonts w:ascii="Cambria Math" w:eastAsia="標楷體" w:hAnsi="Cambria Math" w:cstheme="minorHAnsi"/>
                      <w:szCs w:val="24"/>
                    </w:rPr>
                    <m:t>+0.0001</m:t>
                  </m:r>
                </m:e>
              </m:d>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t</m:t>
                      </m:r>
                    </m:sub>
                  </m:sSub>
                  <m:r>
                    <w:rPr>
                      <w:rFonts w:ascii="Cambria Math" w:eastAsia="標楷體" w:hAnsi="Cambria Math" w:cstheme="minorHAnsi"/>
                      <w:szCs w:val="24"/>
                    </w:rPr>
                    <m:t xml:space="preserve">, </m:t>
                  </m:r>
                  <m:sSub>
                    <m:sSubPr>
                      <m:ctrlPr>
                        <w:rPr>
                          <w:rFonts w:ascii="Cambria Math" w:eastAsia="標楷體" w:hAnsi="Cambria Math" w:cstheme="minorHAnsi"/>
                          <w:i/>
                          <w:szCs w:val="24"/>
                        </w:rPr>
                      </m:ctrlPr>
                    </m:sSubPr>
                    <m:e>
                      <m:r>
                        <w:rPr>
                          <w:rFonts w:ascii="Cambria Math" w:eastAsia="標楷體" w:hAnsi="Cambria Math" w:cstheme="minorHAnsi"/>
                          <w:szCs w:val="24"/>
                        </w:rPr>
                        <m:t>cs</m:t>
                      </m:r>
                    </m:e>
                    <m:sub>
                      <m:r>
                        <w:rPr>
                          <w:rFonts w:ascii="Cambria Math" w:eastAsia="標楷體" w:hAnsi="Cambria Math" w:cstheme="minorHAnsi"/>
                          <w:szCs w:val="24"/>
                        </w:rPr>
                        <m:t>t</m:t>
                      </m:r>
                    </m:sub>
                  </m:sSub>
                </m:e>
              </m:d>
            </m:num>
            <m:den>
              <m:r>
                <w:rPr>
                  <w:rFonts w:ascii="Cambria Math" w:eastAsia="標楷體" w:hAnsi="Cambria Math" w:cstheme="minorHAnsi"/>
                  <w:szCs w:val="24"/>
                </w:rPr>
                <m:t>0.0001</m:t>
              </m:r>
            </m:den>
          </m:f>
        </m:oMath>
      </m:oMathPara>
    </w:p>
    <w:p w14:paraId="37BE39BD" w14:textId="77777777" w:rsidR="005B25B1" w:rsidRPr="00CA1A43" w:rsidRDefault="005B25B1" w:rsidP="005B25B1">
      <w:pPr>
        <w:pStyle w:val="a7"/>
        <w:spacing w:beforeLines="50" w:before="180"/>
        <w:ind w:leftChars="0" w:left="1446"/>
        <w:jc w:val="both"/>
        <w:rPr>
          <w:rFonts w:eastAsia="標楷體" w:cstheme="minorHAnsi"/>
          <w:szCs w:val="24"/>
        </w:rPr>
      </w:pPr>
      <w:r w:rsidRPr="00CA1A43">
        <w:rPr>
          <w:rFonts w:eastAsia="標楷體" w:cstheme="minorHAnsi"/>
          <w:szCs w:val="24"/>
        </w:rPr>
        <w:t>其中：</w:t>
      </w:r>
    </w:p>
    <w:p w14:paraId="17B9DD62" w14:textId="77777777" w:rsidR="005B25B1" w:rsidRPr="00CA1A43" w:rsidRDefault="00557ECB" w:rsidP="00605B1D">
      <w:pPr>
        <w:pStyle w:val="a7"/>
        <w:numPr>
          <w:ilvl w:val="0"/>
          <w:numId w:val="76"/>
        </w:numPr>
        <w:spacing w:beforeLines="50" w:before="180"/>
        <w:ind w:leftChars="0"/>
        <w:jc w:val="both"/>
        <w:rPr>
          <w:rFonts w:eastAsia="標楷體" w:cstheme="minorHAnsi"/>
          <w:szCs w:val="24"/>
        </w:rPr>
      </w:pPr>
      <w:r w:rsidRPr="00CA1A43">
        <w:rPr>
          <w:rFonts w:eastAsia="標楷體" w:cstheme="minorHAnsi"/>
          <w:szCs w:val="24"/>
        </w:rPr>
        <w:lastRenderedPageBreak/>
        <w:t>r</w:t>
      </w:r>
      <w:r w:rsidRPr="00CA1A43">
        <w:rPr>
          <w:rFonts w:eastAsia="標楷體" w:cstheme="minorHAnsi"/>
          <w:szCs w:val="24"/>
          <w:vertAlign w:val="subscript"/>
        </w:rPr>
        <w:t>t</w:t>
      </w:r>
      <w:r w:rsidRPr="00CA1A43">
        <w:rPr>
          <w:rFonts w:eastAsia="標楷體" w:cstheme="minorHAnsi"/>
          <w:szCs w:val="24"/>
        </w:rPr>
        <w:t>為無風險</w:t>
      </w:r>
      <w:proofErr w:type="gramStart"/>
      <w:r w:rsidRPr="00CA1A43">
        <w:rPr>
          <w:rFonts w:eastAsia="標楷體" w:cstheme="minorHAnsi"/>
          <w:szCs w:val="24"/>
        </w:rPr>
        <w:t>殖</w:t>
      </w:r>
      <w:proofErr w:type="gramEnd"/>
      <w:r w:rsidRPr="00CA1A43">
        <w:rPr>
          <w:rFonts w:eastAsia="標楷體" w:cstheme="minorHAnsi"/>
          <w:szCs w:val="24"/>
        </w:rPr>
        <w:t>利率曲線在天期</w:t>
      </w:r>
      <w:r w:rsidRPr="00CA1A43">
        <w:rPr>
          <w:rFonts w:eastAsia="標楷體" w:cstheme="minorHAnsi"/>
          <w:szCs w:val="24"/>
        </w:rPr>
        <w:t>t</w:t>
      </w:r>
      <w:r w:rsidRPr="00CA1A43">
        <w:rPr>
          <w:rFonts w:eastAsia="標楷體" w:cstheme="minorHAnsi"/>
          <w:szCs w:val="24"/>
        </w:rPr>
        <w:t>的值；</w:t>
      </w:r>
    </w:p>
    <w:p w14:paraId="506EA449" w14:textId="77777777" w:rsidR="00557ECB" w:rsidRPr="00CA1A43" w:rsidRDefault="00557ECB" w:rsidP="00605B1D">
      <w:pPr>
        <w:pStyle w:val="a7"/>
        <w:numPr>
          <w:ilvl w:val="0"/>
          <w:numId w:val="76"/>
        </w:numPr>
        <w:spacing w:beforeLines="50" w:before="180"/>
        <w:ind w:leftChars="0"/>
        <w:jc w:val="both"/>
        <w:rPr>
          <w:rFonts w:eastAsia="標楷體" w:cstheme="minorHAnsi"/>
          <w:szCs w:val="24"/>
        </w:rPr>
      </w:pPr>
      <w:proofErr w:type="spellStart"/>
      <w:r w:rsidRPr="00CA1A43">
        <w:rPr>
          <w:rFonts w:eastAsia="標楷體" w:cstheme="minorHAnsi"/>
          <w:szCs w:val="24"/>
        </w:rPr>
        <w:t>cs</w:t>
      </w:r>
      <w:r w:rsidRPr="00CA1A43">
        <w:rPr>
          <w:rFonts w:eastAsia="標楷體" w:cstheme="minorHAnsi"/>
          <w:szCs w:val="24"/>
          <w:vertAlign w:val="subscript"/>
        </w:rPr>
        <w:t>t</w:t>
      </w:r>
      <w:proofErr w:type="spellEnd"/>
      <w:r w:rsidRPr="00CA1A43">
        <w:rPr>
          <w:rFonts w:eastAsia="標楷體" w:cstheme="minorHAnsi"/>
          <w:szCs w:val="24"/>
        </w:rPr>
        <w:t>為信用價差曲線在天期</w:t>
      </w:r>
      <w:r w:rsidRPr="00CA1A43">
        <w:rPr>
          <w:rFonts w:eastAsia="標楷體" w:cstheme="minorHAnsi"/>
          <w:szCs w:val="24"/>
        </w:rPr>
        <w:t>t</w:t>
      </w:r>
      <w:r w:rsidRPr="00CA1A43">
        <w:rPr>
          <w:rFonts w:eastAsia="標楷體" w:cstheme="minorHAnsi"/>
          <w:szCs w:val="24"/>
        </w:rPr>
        <w:t>的值；</w:t>
      </w:r>
    </w:p>
    <w:p w14:paraId="3FA15A63" w14:textId="243AD203" w:rsidR="00557ECB" w:rsidRPr="00CA1A43" w:rsidRDefault="00557ECB" w:rsidP="00605B1D">
      <w:pPr>
        <w:pStyle w:val="a7"/>
        <w:numPr>
          <w:ilvl w:val="0"/>
          <w:numId w:val="76"/>
        </w:numPr>
        <w:spacing w:beforeLines="50" w:before="180"/>
        <w:ind w:leftChars="0"/>
        <w:jc w:val="both"/>
        <w:rPr>
          <w:rFonts w:eastAsia="標楷體" w:cstheme="minorHAnsi"/>
          <w:szCs w:val="24"/>
        </w:rPr>
      </w:pP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為</w:t>
      </w:r>
      <w:r w:rsidR="009653EE" w:rsidRPr="00673377">
        <w:rPr>
          <w:rFonts w:eastAsia="標楷體" w:cstheme="minorHAnsi"/>
          <w:szCs w:val="24"/>
        </w:rPr>
        <w:t>工具</w:t>
      </w:r>
      <w:proofErr w:type="spellStart"/>
      <w:r w:rsidRPr="00673377">
        <w:rPr>
          <w:rFonts w:eastAsia="標楷體" w:cstheme="minorHAnsi"/>
          <w:szCs w:val="24"/>
        </w:rPr>
        <w:t>i</w:t>
      </w:r>
      <w:proofErr w:type="spellEnd"/>
      <w:r w:rsidRPr="00673377">
        <w:rPr>
          <w:rFonts w:eastAsia="標楷體" w:cstheme="minorHAnsi"/>
          <w:szCs w:val="24"/>
        </w:rPr>
        <w:t>的</w:t>
      </w:r>
      <w:r w:rsidRPr="00CA1A43">
        <w:rPr>
          <w:rFonts w:eastAsia="標楷體" w:cstheme="minorHAnsi"/>
          <w:szCs w:val="24"/>
        </w:rPr>
        <w:t>市價，為無風險利率曲線和信用價差曲線的函數。</w:t>
      </w:r>
    </w:p>
    <w:p w14:paraId="2C1567F3" w14:textId="6ECFEA94" w:rsidR="00166348" w:rsidRPr="00CA1A43" w:rsidRDefault="00166348" w:rsidP="00605B1D">
      <w:pPr>
        <w:pStyle w:val="a7"/>
        <w:numPr>
          <w:ilvl w:val="0"/>
          <w:numId w:val="74"/>
        </w:numPr>
        <w:spacing w:beforeLines="50" w:before="180"/>
        <w:ind w:leftChars="0" w:left="1446" w:hanging="482"/>
        <w:jc w:val="both"/>
        <w:rPr>
          <w:rFonts w:eastAsia="標楷體" w:cstheme="minorHAnsi"/>
          <w:szCs w:val="24"/>
        </w:rPr>
      </w:pPr>
      <w:r w:rsidRPr="00CA1A43">
        <w:rPr>
          <w:rFonts w:eastAsia="標楷體" w:cstheme="minorHAnsi"/>
        </w:rPr>
        <w:t>權益證券即期</w:t>
      </w:r>
      <w:r w:rsidRPr="00CA1A43">
        <w:rPr>
          <w:rFonts w:eastAsia="標楷體" w:cstheme="minorHAnsi"/>
        </w:rPr>
        <w:t>Delta</w:t>
      </w:r>
      <w:r w:rsidRPr="00CA1A43">
        <w:rPr>
          <w:rFonts w:eastAsia="標楷體" w:cstheme="minorHAnsi"/>
        </w:rPr>
        <w:t>係指</w:t>
      </w:r>
      <w:r w:rsidR="009653EE" w:rsidRPr="006160E4">
        <w:rPr>
          <w:rFonts w:eastAsia="標楷體" w:cstheme="minorHAnsi"/>
        </w:rPr>
        <w:t>工具</w:t>
      </w:r>
      <w:r w:rsidRPr="00CA1A43">
        <w:rPr>
          <w:rFonts w:eastAsia="標楷體" w:cstheme="minorHAnsi"/>
          <w:szCs w:val="24"/>
        </w:rPr>
        <w:t>在</w:t>
      </w:r>
      <w:r w:rsidRPr="00CA1A43">
        <w:rPr>
          <w:rFonts w:eastAsia="標楷體" w:cstheme="minorHAnsi"/>
        </w:rPr>
        <w:t>權益證券即期價格變動</w:t>
      </w:r>
      <w:r w:rsidRPr="00CA1A43">
        <w:rPr>
          <w:rFonts w:eastAsia="標楷體" w:cstheme="minorHAnsi"/>
        </w:rPr>
        <w:t>1%(</w:t>
      </w:r>
      <w:r w:rsidRPr="00CA1A43">
        <w:rPr>
          <w:rFonts w:eastAsia="標楷體" w:cstheme="minorHAnsi"/>
          <w:szCs w:val="24"/>
        </w:rPr>
        <w:t>即相對數</w:t>
      </w:r>
      <w:r w:rsidRPr="00CA1A43">
        <w:rPr>
          <w:rFonts w:eastAsia="標楷體" w:cstheme="minorHAnsi"/>
          <w:szCs w:val="24"/>
        </w:rPr>
        <w:t>0.01</w:t>
      </w:r>
      <w:r w:rsidRPr="00CA1A43">
        <w:rPr>
          <w:rFonts w:eastAsia="標楷體" w:cstheme="minorHAnsi"/>
        </w:rPr>
        <w:t>)</w:t>
      </w:r>
      <w:r w:rsidRPr="00CA1A43">
        <w:rPr>
          <w:rFonts w:eastAsia="標楷體" w:cstheme="minorHAnsi"/>
          <w:szCs w:val="24"/>
        </w:rPr>
        <w:t>時所</w:t>
      </w:r>
      <w:r w:rsidRPr="00CA1A43">
        <w:rPr>
          <w:rFonts w:eastAsia="標楷體" w:cstheme="minorHAnsi"/>
        </w:rPr>
        <w:t>造成其市值</w:t>
      </w: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rPr>
        <w:t>的</w:t>
      </w:r>
      <w:proofErr w:type="gramStart"/>
      <w:r w:rsidRPr="00CA1A43">
        <w:rPr>
          <w:rFonts w:eastAsia="標楷體" w:cstheme="minorHAnsi"/>
        </w:rPr>
        <w:t>變動量除以</w:t>
      </w:r>
      <w:proofErr w:type="gramEnd"/>
      <w:r w:rsidRPr="00CA1A43">
        <w:rPr>
          <w:rFonts w:eastAsia="標楷體" w:cstheme="minorHAnsi"/>
        </w:rPr>
        <w:t xml:space="preserve"> 0.01</w:t>
      </w:r>
      <w:r w:rsidRPr="00CA1A43">
        <w:rPr>
          <w:rFonts w:eastAsia="標楷體" w:cstheme="minorHAnsi"/>
        </w:rPr>
        <w:t>即為敏感性部位。公式如下：</w:t>
      </w:r>
    </w:p>
    <w:p w14:paraId="4C41A2E7" w14:textId="77777777" w:rsidR="00166348" w:rsidRPr="00CA1A43" w:rsidRDefault="00AA1117" w:rsidP="00166348">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ub>
          </m:sSub>
          <m:r>
            <w:rPr>
              <w:rFonts w:ascii="Cambria Math" w:eastAsia="標楷體" w:hAnsi="Cambria Math" w:cstheme="minorHAnsi"/>
              <w:szCs w:val="24"/>
            </w:rPr>
            <m:t>=</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r>
                    <w:rPr>
                      <w:rFonts w:ascii="Cambria Math" w:eastAsia="標楷體" w:hAnsi="Cambria Math" w:cstheme="minorHAnsi"/>
                      <w:szCs w:val="24"/>
                    </w:rPr>
                    <m:t>1.01</m:t>
                  </m:r>
                  <m:sSub>
                    <m:sSubPr>
                      <m:ctrlPr>
                        <w:rPr>
                          <w:rFonts w:ascii="Cambria Math" w:eastAsia="標楷體" w:hAnsi="Cambria Math" w:cstheme="minorHAnsi"/>
                          <w:i/>
                          <w:szCs w:val="24"/>
                        </w:rPr>
                      </m:ctrlPr>
                    </m:sSubPr>
                    <m:e>
                      <m:r>
                        <w:rPr>
                          <w:rFonts w:ascii="Cambria Math" w:eastAsia="標楷體" w:hAnsi="Cambria Math" w:cstheme="minorHAnsi"/>
                          <w:szCs w:val="24"/>
                        </w:rPr>
                        <m:t>EQ</m:t>
                      </m:r>
                    </m:e>
                    <m:sub>
                      <m:r>
                        <w:rPr>
                          <w:rFonts w:ascii="Cambria Math" w:eastAsia="標楷體" w:hAnsi="Cambria Math" w:cstheme="minorHAnsi"/>
                          <w:szCs w:val="24"/>
                        </w:rPr>
                        <m:t>k</m:t>
                      </m:r>
                    </m:sub>
                  </m:sSub>
                </m:e>
              </m:d>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EQ</m:t>
                      </m:r>
                    </m:e>
                    <m:sub>
                      <m:r>
                        <w:rPr>
                          <w:rFonts w:ascii="Cambria Math" w:eastAsia="標楷體" w:hAnsi="Cambria Math" w:cstheme="minorHAnsi"/>
                          <w:szCs w:val="24"/>
                        </w:rPr>
                        <m:t>k</m:t>
                      </m:r>
                    </m:sub>
                  </m:sSub>
                </m:e>
              </m:d>
            </m:num>
            <m:den>
              <m:r>
                <w:rPr>
                  <w:rFonts w:ascii="Cambria Math" w:eastAsia="標楷體" w:hAnsi="Cambria Math" w:cstheme="minorHAnsi"/>
                  <w:szCs w:val="24"/>
                </w:rPr>
                <m:t>0.01</m:t>
              </m:r>
            </m:den>
          </m:f>
        </m:oMath>
      </m:oMathPara>
    </w:p>
    <w:p w14:paraId="0D1358A7" w14:textId="77777777" w:rsidR="00166348" w:rsidRPr="00CA1A43" w:rsidRDefault="00166348" w:rsidP="00166348">
      <w:pPr>
        <w:pStyle w:val="a7"/>
        <w:spacing w:beforeLines="50" w:before="180"/>
        <w:ind w:leftChars="0" w:left="1446"/>
        <w:jc w:val="both"/>
        <w:rPr>
          <w:rFonts w:eastAsia="標楷體" w:cstheme="minorHAnsi"/>
        </w:rPr>
      </w:pPr>
      <w:r w:rsidRPr="00CA1A43">
        <w:rPr>
          <w:rFonts w:eastAsia="標楷體" w:cstheme="minorHAnsi"/>
          <w:szCs w:val="24"/>
        </w:rPr>
        <w:t>其中</w:t>
      </w:r>
      <w:r w:rsidRPr="00CA1A43">
        <w:rPr>
          <w:rFonts w:eastAsia="標楷體" w:cstheme="minorHAnsi"/>
        </w:rPr>
        <w:t>：</w:t>
      </w:r>
    </w:p>
    <w:p w14:paraId="3A3CC540" w14:textId="77777777" w:rsidR="00166348" w:rsidRPr="00CA1A43" w:rsidRDefault="00166348" w:rsidP="00605B1D">
      <w:pPr>
        <w:pStyle w:val="a7"/>
        <w:numPr>
          <w:ilvl w:val="0"/>
          <w:numId w:val="77"/>
        </w:numPr>
        <w:spacing w:beforeLines="50" w:before="180"/>
        <w:ind w:leftChars="0"/>
        <w:jc w:val="both"/>
        <w:rPr>
          <w:rFonts w:eastAsia="標楷體" w:cstheme="minorHAnsi"/>
          <w:szCs w:val="24"/>
        </w:rPr>
      </w:pPr>
      <w:r w:rsidRPr="00CA1A43">
        <w:rPr>
          <w:rFonts w:eastAsia="標楷體" w:cstheme="minorHAnsi"/>
          <w:szCs w:val="24"/>
        </w:rPr>
        <w:t>k</w:t>
      </w:r>
      <w:r w:rsidRPr="00CA1A43">
        <w:rPr>
          <w:rFonts w:eastAsia="標楷體" w:cstheme="minorHAnsi"/>
        </w:rPr>
        <w:t>為</w:t>
      </w:r>
      <w:r w:rsidRPr="00CA1A43">
        <w:rPr>
          <w:rFonts w:eastAsia="標楷體" w:cstheme="minorHAnsi"/>
          <w:szCs w:val="24"/>
        </w:rPr>
        <w:t>給定的權益證券；</w:t>
      </w:r>
    </w:p>
    <w:p w14:paraId="48680623" w14:textId="77777777" w:rsidR="00166348" w:rsidRPr="00CA1A43" w:rsidRDefault="00166348" w:rsidP="00605B1D">
      <w:pPr>
        <w:pStyle w:val="a7"/>
        <w:numPr>
          <w:ilvl w:val="0"/>
          <w:numId w:val="77"/>
        </w:numPr>
        <w:spacing w:beforeLines="50" w:before="180"/>
        <w:ind w:leftChars="0"/>
        <w:jc w:val="both"/>
        <w:rPr>
          <w:rFonts w:eastAsia="標楷體" w:cstheme="minorHAnsi"/>
          <w:szCs w:val="24"/>
        </w:rPr>
      </w:pPr>
      <w:proofErr w:type="spellStart"/>
      <w:r w:rsidRPr="00CA1A43">
        <w:rPr>
          <w:rFonts w:eastAsia="標楷體" w:cstheme="minorHAnsi"/>
          <w:szCs w:val="24"/>
        </w:rPr>
        <w:t>EQ</w:t>
      </w:r>
      <w:r w:rsidRPr="00CA1A43">
        <w:rPr>
          <w:rFonts w:eastAsia="標楷體" w:cstheme="minorHAnsi"/>
          <w:szCs w:val="24"/>
          <w:vertAlign w:val="subscript"/>
        </w:rPr>
        <w:t>k</w:t>
      </w:r>
      <w:proofErr w:type="spellEnd"/>
      <w:r w:rsidRPr="00CA1A43">
        <w:rPr>
          <w:rFonts w:eastAsia="標楷體" w:cstheme="minorHAnsi"/>
          <w:szCs w:val="24"/>
        </w:rPr>
        <w:t>為權益證券</w:t>
      </w:r>
      <w:r w:rsidRPr="00CA1A43">
        <w:rPr>
          <w:rFonts w:eastAsia="標楷體" w:cstheme="minorHAnsi"/>
          <w:szCs w:val="24"/>
        </w:rPr>
        <w:t xml:space="preserve">k </w:t>
      </w:r>
      <w:r w:rsidRPr="00CA1A43">
        <w:rPr>
          <w:rFonts w:eastAsia="標楷體" w:cstheme="minorHAnsi"/>
          <w:szCs w:val="24"/>
        </w:rPr>
        <w:t>的市值；</w:t>
      </w:r>
    </w:p>
    <w:p w14:paraId="59C0370B" w14:textId="539D94A2" w:rsidR="00166348" w:rsidRPr="00CA1A43" w:rsidRDefault="00166348" w:rsidP="00605B1D">
      <w:pPr>
        <w:pStyle w:val="a7"/>
        <w:numPr>
          <w:ilvl w:val="0"/>
          <w:numId w:val="77"/>
        </w:numPr>
        <w:spacing w:beforeLines="50" w:before="180"/>
        <w:ind w:leftChars="0"/>
        <w:jc w:val="both"/>
        <w:rPr>
          <w:rFonts w:eastAsia="標楷體" w:cstheme="minorHAnsi"/>
          <w:szCs w:val="24"/>
        </w:rPr>
      </w:pP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為</w:t>
      </w:r>
      <w:r w:rsidR="009653EE" w:rsidRPr="006160E4">
        <w:rPr>
          <w:rFonts w:eastAsia="標楷體" w:cstheme="minorHAnsi"/>
          <w:szCs w:val="24"/>
        </w:rPr>
        <w:t>工具</w:t>
      </w:r>
      <w:proofErr w:type="spellStart"/>
      <w:r w:rsidRPr="006160E4">
        <w:rPr>
          <w:rFonts w:eastAsia="標楷體" w:cstheme="minorHAnsi"/>
          <w:szCs w:val="24"/>
        </w:rPr>
        <w:t>i</w:t>
      </w:r>
      <w:proofErr w:type="spellEnd"/>
      <w:r w:rsidRPr="00CA1A43">
        <w:rPr>
          <w:rFonts w:eastAsia="標楷體" w:cstheme="minorHAnsi"/>
          <w:szCs w:val="24"/>
        </w:rPr>
        <w:t xml:space="preserve"> </w:t>
      </w:r>
      <w:r w:rsidRPr="00CA1A43">
        <w:rPr>
          <w:rFonts w:eastAsia="標楷體" w:cstheme="minorHAnsi"/>
          <w:szCs w:val="24"/>
        </w:rPr>
        <w:t>的市值，為權益證券</w:t>
      </w:r>
      <w:r w:rsidRPr="00CA1A43">
        <w:rPr>
          <w:rFonts w:eastAsia="標楷體" w:cstheme="minorHAnsi"/>
          <w:szCs w:val="24"/>
        </w:rPr>
        <w:t>k</w:t>
      </w:r>
      <w:r w:rsidRPr="00CA1A43">
        <w:rPr>
          <w:rFonts w:eastAsia="標楷體" w:cstheme="minorHAnsi"/>
          <w:szCs w:val="24"/>
        </w:rPr>
        <w:t>的價格函數。</w:t>
      </w:r>
    </w:p>
    <w:p w14:paraId="3E0C8207" w14:textId="66019DD4" w:rsidR="00166348" w:rsidRPr="00CA1A43" w:rsidRDefault="00166348" w:rsidP="00605B1D">
      <w:pPr>
        <w:pStyle w:val="a7"/>
        <w:numPr>
          <w:ilvl w:val="0"/>
          <w:numId w:val="74"/>
        </w:numPr>
        <w:spacing w:beforeLines="50" w:before="180"/>
        <w:ind w:leftChars="0" w:left="1446" w:hanging="482"/>
        <w:jc w:val="both"/>
        <w:rPr>
          <w:rFonts w:eastAsia="標楷體" w:cstheme="minorHAnsi"/>
          <w:szCs w:val="24"/>
        </w:rPr>
      </w:pPr>
      <w:r w:rsidRPr="00CA1A43">
        <w:rPr>
          <w:rFonts w:eastAsia="標楷體" w:cstheme="minorHAnsi"/>
        </w:rPr>
        <w:t>權益證券</w:t>
      </w:r>
      <w:r w:rsidRPr="00CA1A43">
        <w:rPr>
          <w:rFonts w:eastAsia="標楷體" w:cstheme="minorHAnsi"/>
          <w:szCs w:val="24"/>
        </w:rPr>
        <w:t>附買回協議利率</w:t>
      </w:r>
      <w:r w:rsidRPr="00CA1A43">
        <w:rPr>
          <w:rFonts w:eastAsia="標楷體" w:cstheme="minorHAnsi"/>
          <w:szCs w:val="24"/>
        </w:rPr>
        <w:t>Delta</w:t>
      </w:r>
      <w:r w:rsidRPr="00CA1A43">
        <w:rPr>
          <w:rFonts w:eastAsia="標楷體" w:cstheme="minorHAnsi"/>
        </w:rPr>
        <w:t>係指</w:t>
      </w:r>
      <w:r w:rsidR="009653EE" w:rsidRPr="00E63323">
        <w:rPr>
          <w:rFonts w:eastAsia="標楷體" w:cstheme="minorHAnsi"/>
        </w:rPr>
        <w:t>工具</w:t>
      </w:r>
      <w:r w:rsidRPr="00CA1A43">
        <w:rPr>
          <w:rFonts w:eastAsia="標楷體" w:cstheme="minorHAnsi"/>
        </w:rPr>
        <w:t>在權益證券附買回利率期限結構平移</w:t>
      </w:r>
      <w:r w:rsidRPr="00CA1A43">
        <w:rPr>
          <w:rFonts w:eastAsia="標楷體" w:cstheme="minorHAnsi"/>
        </w:rPr>
        <w:t>1bp</w:t>
      </w:r>
      <w:r w:rsidRPr="00CA1A43">
        <w:rPr>
          <w:rFonts w:eastAsia="標楷體" w:cstheme="minorHAnsi"/>
          <w:szCs w:val="24"/>
        </w:rPr>
        <w:t>(</w:t>
      </w:r>
      <w:r w:rsidRPr="00CA1A43">
        <w:rPr>
          <w:rFonts w:eastAsia="標楷體" w:cstheme="minorHAnsi"/>
          <w:szCs w:val="24"/>
        </w:rPr>
        <w:t>即絕對數</w:t>
      </w:r>
      <w:r w:rsidRPr="00CA1A43">
        <w:rPr>
          <w:rFonts w:eastAsia="標楷體" w:cstheme="minorHAnsi"/>
        </w:rPr>
        <w:t>0.0001</w:t>
      </w:r>
      <w:r w:rsidRPr="00CA1A43">
        <w:rPr>
          <w:rFonts w:eastAsia="標楷體" w:cstheme="minorHAnsi"/>
          <w:szCs w:val="24"/>
        </w:rPr>
        <w:t>)</w:t>
      </w:r>
      <w:r w:rsidRPr="00CA1A43">
        <w:rPr>
          <w:rFonts w:eastAsia="標楷體" w:cstheme="minorHAnsi"/>
          <w:szCs w:val="24"/>
        </w:rPr>
        <w:t>時所</w:t>
      </w:r>
      <w:r w:rsidRPr="00CA1A43">
        <w:rPr>
          <w:rFonts w:eastAsia="標楷體" w:cstheme="minorHAnsi"/>
        </w:rPr>
        <w:t>造成其市值</w:t>
      </w:r>
      <w:r w:rsidRPr="00CA1A43">
        <w:rPr>
          <w:rFonts w:eastAsia="標楷體" w:cstheme="minorHAnsi"/>
        </w:rPr>
        <w:t>(</w:t>
      </w: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rPr>
        <w:t>的</w:t>
      </w:r>
      <w:proofErr w:type="gramStart"/>
      <w:r w:rsidRPr="00CA1A43">
        <w:rPr>
          <w:rFonts w:eastAsia="標楷體" w:cstheme="minorHAnsi"/>
        </w:rPr>
        <w:t>變動量除以</w:t>
      </w:r>
      <w:proofErr w:type="gramEnd"/>
      <w:r w:rsidRPr="00CA1A43">
        <w:rPr>
          <w:rFonts w:eastAsia="標楷體" w:cstheme="minorHAnsi"/>
        </w:rPr>
        <w:t>0.0001</w:t>
      </w:r>
      <w:r w:rsidRPr="00CA1A43">
        <w:rPr>
          <w:rFonts w:eastAsia="標楷體" w:cstheme="minorHAnsi"/>
          <w:szCs w:val="24"/>
        </w:rPr>
        <w:t>(</w:t>
      </w:r>
      <w:r w:rsidRPr="00CA1A43">
        <w:rPr>
          <w:rFonts w:eastAsia="標楷體" w:cstheme="minorHAnsi"/>
          <w:szCs w:val="24"/>
        </w:rPr>
        <w:t>即</w:t>
      </w:r>
      <w:r w:rsidRPr="00CA1A43">
        <w:rPr>
          <w:rFonts w:eastAsia="標楷體" w:cstheme="minorHAnsi"/>
        </w:rPr>
        <w:t>0.01%</w:t>
      </w:r>
      <w:r w:rsidRPr="00CA1A43">
        <w:rPr>
          <w:rFonts w:eastAsia="標楷體" w:cstheme="minorHAnsi"/>
          <w:szCs w:val="24"/>
        </w:rPr>
        <w:t>)</w:t>
      </w:r>
      <w:r w:rsidRPr="00CA1A43">
        <w:rPr>
          <w:rFonts w:eastAsia="標楷體" w:cstheme="minorHAnsi"/>
        </w:rPr>
        <w:t>即為敏感性部位，公式如下：</w:t>
      </w:r>
    </w:p>
    <w:p w14:paraId="00E52901" w14:textId="77777777" w:rsidR="00166348" w:rsidRPr="00CA1A43" w:rsidRDefault="00AA1117" w:rsidP="00166348">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ub>
          </m:sSub>
          <m:r>
            <w:rPr>
              <w:rFonts w:ascii="Cambria Math" w:eastAsia="標楷體" w:hAnsi="Cambria Math" w:cstheme="minorHAnsi"/>
              <w:szCs w:val="24"/>
            </w:rPr>
            <m:t>=</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RTS</m:t>
                      </m:r>
                    </m:e>
                    <m:sub>
                      <m:r>
                        <w:rPr>
                          <w:rFonts w:ascii="Cambria Math" w:eastAsia="標楷體" w:hAnsi="Cambria Math" w:cstheme="minorHAnsi"/>
                          <w:szCs w:val="24"/>
                        </w:rPr>
                        <m:t>k</m:t>
                      </m:r>
                    </m:sub>
                  </m:sSub>
                  <m:r>
                    <w:rPr>
                      <w:rFonts w:ascii="Cambria Math" w:eastAsia="標楷體" w:hAnsi="Cambria Math" w:cstheme="minorHAnsi"/>
                      <w:szCs w:val="24"/>
                    </w:rPr>
                    <m:t>+0.0001</m:t>
                  </m:r>
                </m:e>
              </m:d>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RTS</m:t>
                      </m:r>
                    </m:e>
                    <m:sub>
                      <m:r>
                        <w:rPr>
                          <w:rFonts w:ascii="Cambria Math" w:eastAsia="標楷體" w:hAnsi="Cambria Math" w:cstheme="minorHAnsi"/>
                          <w:szCs w:val="24"/>
                        </w:rPr>
                        <m:t>k</m:t>
                      </m:r>
                    </m:sub>
                  </m:sSub>
                </m:e>
              </m:d>
            </m:num>
            <m:den>
              <m:r>
                <w:rPr>
                  <w:rFonts w:ascii="Cambria Math" w:eastAsia="標楷體" w:hAnsi="Cambria Math" w:cstheme="minorHAnsi"/>
                  <w:szCs w:val="24"/>
                </w:rPr>
                <m:t>0.0001</m:t>
              </m:r>
            </m:den>
          </m:f>
        </m:oMath>
      </m:oMathPara>
    </w:p>
    <w:p w14:paraId="7262B266" w14:textId="77777777" w:rsidR="00166348" w:rsidRPr="00CA1A43" w:rsidRDefault="00166348" w:rsidP="00166348">
      <w:pPr>
        <w:pStyle w:val="a7"/>
        <w:spacing w:beforeLines="50" w:before="180"/>
        <w:ind w:leftChars="0" w:left="1446"/>
        <w:jc w:val="both"/>
        <w:rPr>
          <w:rFonts w:eastAsia="標楷體" w:cstheme="minorHAnsi"/>
          <w:szCs w:val="24"/>
        </w:rPr>
      </w:pPr>
      <w:r w:rsidRPr="00CA1A43">
        <w:rPr>
          <w:rFonts w:eastAsia="標楷體" w:cstheme="minorHAnsi"/>
          <w:szCs w:val="24"/>
        </w:rPr>
        <w:t>其中：</w:t>
      </w:r>
    </w:p>
    <w:p w14:paraId="4F62E53F" w14:textId="77777777" w:rsidR="00166348" w:rsidRPr="00CA1A43" w:rsidRDefault="00166348" w:rsidP="00605B1D">
      <w:pPr>
        <w:pStyle w:val="a7"/>
        <w:numPr>
          <w:ilvl w:val="0"/>
          <w:numId w:val="78"/>
        </w:numPr>
        <w:spacing w:beforeLines="50" w:before="180"/>
        <w:ind w:leftChars="0"/>
        <w:jc w:val="both"/>
        <w:rPr>
          <w:rFonts w:eastAsia="標楷體" w:cstheme="minorHAnsi"/>
          <w:szCs w:val="24"/>
        </w:rPr>
      </w:pPr>
      <w:r w:rsidRPr="00CA1A43">
        <w:rPr>
          <w:rFonts w:eastAsia="標楷體" w:cstheme="minorHAnsi"/>
          <w:szCs w:val="24"/>
        </w:rPr>
        <w:t>k</w:t>
      </w:r>
      <w:r w:rsidRPr="00CA1A43">
        <w:rPr>
          <w:rFonts w:eastAsia="標楷體" w:cstheme="minorHAnsi"/>
          <w:szCs w:val="24"/>
        </w:rPr>
        <w:t>為給定的權益證券。</w:t>
      </w:r>
    </w:p>
    <w:p w14:paraId="20018060" w14:textId="77777777" w:rsidR="00166348" w:rsidRPr="00CA1A43" w:rsidRDefault="00166348" w:rsidP="00605B1D">
      <w:pPr>
        <w:pStyle w:val="a7"/>
        <w:numPr>
          <w:ilvl w:val="0"/>
          <w:numId w:val="78"/>
        </w:numPr>
        <w:spacing w:beforeLines="50" w:before="180"/>
        <w:ind w:leftChars="0"/>
        <w:jc w:val="both"/>
        <w:rPr>
          <w:rFonts w:eastAsia="標楷體" w:cstheme="minorHAnsi"/>
          <w:szCs w:val="24"/>
        </w:rPr>
      </w:pPr>
      <w:proofErr w:type="spellStart"/>
      <w:r w:rsidRPr="00CA1A43">
        <w:rPr>
          <w:rFonts w:eastAsia="標楷體" w:cstheme="minorHAnsi"/>
          <w:szCs w:val="24"/>
        </w:rPr>
        <w:t>RTS</w:t>
      </w:r>
      <w:r w:rsidRPr="00CA1A43">
        <w:rPr>
          <w:rFonts w:eastAsia="標楷體" w:cstheme="minorHAnsi"/>
          <w:szCs w:val="24"/>
          <w:vertAlign w:val="subscript"/>
        </w:rPr>
        <w:t>k</w:t>
      </w:r>
      <w:proofErr w:type="spellEnd"/>
      <w:r w:rsidRPr="00CA1A43">
        <w:rPr>
          <w:rFonts w:eastAsia="標楷體" w:cstheme="minorHAnsi"/>
          <w:szCs w:val="24"/>
        </w:rPr>
        <w:t>為權益證券</w:t>
      </w:r>
      <w:r w:rsidRPr="00CA1A43">
        <w:rPr>
          <w:rFonts w:eastAsia="標楷體" w:cstheme="minorHAnsi"/>
          <w:szCs w:val="24"/>
        </w:rPr>
        <w:t>k</w:t>
      </w:r>
      <w:r w:rsidRPr="00CA1A43">
        <w:rPr>
          <w:rFonts w:eastAsia="標楷體" w:cstheme="minorHAnsi"/>
          <w:szCs w:val="24"/>
        </w:rPr>
        <w:t>的附買回期限結構。</w:t>
      </w:r>
    </w:p>
    <w:p w14:paraId="74A69839" w14:textId="60E45FB2" w:rsidR="00166348" w:rsidRPr="00CA1A43" w:rsidRDefault="00166348" w:rsidP="00605B1D">
      <w:pPr>
        <w:pStyle w:val="a7"/>
        <w:numPr>
          <w:ilvl w:val="0"/>
          <w:numId w:val="78"/>
        </w:numPr>
        <w:spacing w:beforeLines="50" w:before="180"/>
        <w:ind w:leftChars="0"/>
        <w:jc w:val="both"/>
        <w:rPr>
          <w:rFonts w:eastAsia="標楷體" w:cstheme="minorHAnsi"/>
          <w:szCs w:val="24"/>
        </w:rPr>
      </w:pP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為</w:t>
      </w:r>
      <w:r w:rsidR="009653EE" w:rsidRPr="00E63323">
        <w:rPr>
          <w:rFonts w:eastAsia="標楷體" w:cstheme="minorHAnsi"/>
          <w:szCs w:val="24"/>
        </w:rPr>
        <w:t>工具</w:t>
      </w:r>
      <w:proofErr w:type="spellStart"/>
      <w:r w:rsidRPr="00E63323">
        <w:rPr>
          <w:rFonts w:eastAsia="標楷體" w:cstheme="minorHAnsi"/>
          <w:szCs w:val="24"/>
        </w:rPr>
        <w:t>i</w:t>
      </w:r>
      <w:proofErr w:type="spellEnd"/>
      <w:r w:rsidRPr="00CA1A43">
        <w:rPr>
          <w:rFonts w:eastAsia="標楷體" w:cstheme="minorHAnsi"/>
          <w:szCs w:val="24"/>
        </w:rPr>
        <w:t>的市值，為權益證券</w:t>
      </w:r>
      <w:r w:rsidRPr="00CA1A43">
        <w:rPr>
          <w:rFonts w:eastAsia="標楷體" w:cstheme="minorHAnsi"/>
          <w:szCs w:val="24"/>
        </w:rPr>
        <w:t xml:space="preserve">k </w:t>
      </w:r>
      <w:r w:rsidRPr="00CA1A43">
        <w:rPr>
          <w:rFonts w:eastAsia="標楷體" w:cstheme="minorHAnsi"/>
          <w:szCs w:val="24"/>
        </w:rPr>
        <w:t>附買回期限結構的函數。</w:t>
      </w:r>
    </w:p>
    <w:p w14:paraId="362AA923" w14:textId="3AC39138" w:rsidR="00166348" w:rsidRPr="00CA1A43" w:rsidRDefault="00166348" w:rsidP="00605B1D">
      <w:pPr>
        <w:pStyle w:val="a7"/>
        <w:numPr>
          <w:ilvl w:val="0"/>
          <w:numId w:val="74"/>
        </w:numPr>
        <w:spacing w:beforeLines="50" w:before="180"/>
        <w:ind w:leftChars="0" w:left="1446" w:hanging="482"/>
        <w:jc w:val="both"/>
        <w:rPr>
          <w:rFonts w:eastAsia="標楷體" w:cstheme="minorHAnsi"/>
          <w:szCs w:val="24"/>
        </w:rPr>
      </w:pPr>
      <w:r w:rsidRPr="00CA1A43">
        <w:rPr>
          <w:rFonts w:eastAsia="標楷體" w:cstheme="minorHAnsi"/>
        </w:rPr>
        <w:t>商品</w:t>
      </w:r>
      <w:r w:rsidRPr="00CA1A43">
        <w:rPr>
          <w:rFonts w:eastAsia="標楷體" w:cstheme="minorHAnsi"/>
        </w:rPr>
        <w:t>Delta</w:t>
      </w:r>
      <w:r w:rsidRPr="00CA1A43">
        <w:rPr>
          <w:rFonts w:eastAsia="標楷體" w:cstheme="minorHAnsi"/>
        </w:rPr>
        <w:t>係指</w:t>
      </w:r>
      <w:r w:rsidR="009653EE" w:rsidRPr="00E63323">
        <w:rPr>
          <w:rFonts w:eastAsia="標楷體" w:cstheme="minorHAnsi"/>
        </w:rPr>
        <w:t>工具</w:t>
      </w:r>
      <w:r w:rsidRPr="00CA1A43">
        <w:rPr>
          <w:rFonts w:eastAsia="標楷體" w:cstheme="minorHAnsi"/>
          <w:szCs w:val="24"/>
        </w:rPr>
        <w:t>在商品</w:t>
      </w:r>
      <w:r w:rsidRPr="00CA1A43">
        <w:rPr>
          <w:rFonts w:eastAsia="標楷體" w:cstheme="minorHAnsi"/>
        </w:rPr>
        <w:t>即期價格變動</w:t>
      </w:r>
      <w:r w:rsidRPr="00CA1A43">
        <w:rPr>
          <w:rFonts w:eastAsia="標楷體" w:cstheme="minorHAnsi"/>
        </w:rPr>
        <w:t xml:space="preserve"> 1%(</w:t>
      </w:r>
      <w:r w:rsidRPr="00CA1A43">
        <w:rPr>
          <w:rFonts w:eastAsia="標楷體" w:cstheme="minorHAnsi"/>
          <w:szCs w:val="24"/>
        </w:rPr>
        <w:t>即相對數</w:t>
      </w:r>
      <w:r w:rsidRPr="00CA1A43">
        <w:rPr>
          <w:rFonts w:eastAsia="標楷體" w:cstheme="minorHAnsi"/>
          <w:szCs w:val="24"/>
        </w:rPr>
        <w:t>0.01</w:t>
      </w:r>
      <w:r w:rsidRPr="00CA1A43">
        <w:rPr>
          <w:rFonts w:eastAsia="標楷體" w:cstheme="minorHAnsi"/>
        </w:rPr>
        <w:t>)</w:t>
      </w:r>
      <w:r w:rsidRPr="00CA1A43">
        <w:rPr>
          <w:rFonts w:eastAsia="標楷體" w:cstheme="minorHAnsi"/>
          <w:szCs w:val="24"/>
        </w:rPr>
        <w:t>時所</w:t>
      </w:r>
      <w:r w:rsidRPr="00CA1A43">
        <w:rPr>
          <w:rFonts w:eastAsia="標楷體" w:cstheme="minorHAnsi"/>
        </w:rPr>
        <w:t>造成其市值</w:t>
      </w: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rPr>
        <w:t>的</w:t>
      </w:r>
      <w:proofErr w:type="gramStart"/>
      <w:r w:rsidRPr="00CA1A43">
        <w:rPr>
          <w:rFonts w:eastAsia="標楷體" w:cstheme="minorHAnsi"/>
        </w:rPr>
        <w:t>變動量除以</w:t>
      </w:r>
      <w:proofErr w:type="gramEnd"/>
      <w:r w:rsidRPr="00CA1A43">
        <w:rPr>
          <w:rFonts w:eastAsia="標楷體" w:cstheme="minorHAnsi"/>
        </w:rPr>
        <w:t xml:space="preserve"> 0.01</w:t>
      </w:r>
      <w:r w:rsidRPr="00CA1A43">
        <w:rPr>
          <w:rFonts w:eastAsia="標楷體" w:cstheme="minorHAnsi"/>
        </w:rPr>
        <w:t>即為敏感性部位。公式如下：</w:t>
      </w:r>
    </w:p>
    <w:p w14:paraId="1DA762E2" w14:textId="77777777" w:rsidR="00166348" w:rsidRPr="00CA1A43" w:rsidRDefault="00AA1117" w:rsidP="00166348">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ub>
          </m:sSub>
          <m:r>
            <w:rPr>
              <w:rFonts w:ascii="Cambria Math" w:eastAsia="標楷體" w:hAnsi="Cambria Math" w:cstheme="minorHAnsi"/>
              <w:szCs w:val="24"/>
            </w:rPr>
            <m:t>=</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r>
                    <w:rPr>
                      <w:rFonts w:ascii="Cambria Math" w:eastAsia="標楷體" w:hAnsi="Cambria Math" w:cstheme="minorHAnsi"/>
                      <w:szCs w:val="24"/>
                    </w:rPr>
                    <m:t>1.01</m:t>
                  </m:r>
                  <m:sSub>
                    <m:sSubPr>
                      <m:ctrlPr>
                        <w:rPr>
                          <w:rFonts w:ascii="Cambria Math" w:eastAsia="標楷體" w:hAnsi="Cambria Math" w:cstheme="minorHAnsi"/>
                          <w:i/>
                          <w:szCs w:val="24"/>
                        </w:rPr>
                      </m:ctrlPr>
                    </m:sSubPr>
                    <m:e>
                      <m:r>
                        <w:rPr>
                          <w:rFonts w:ascii="Cambria Math" w:eastAsia="標楷體" w:hAnsi="Cambria Math" w:cstheme="minorHAnsi"/>
                          <w:szCs w:val="24"/>
                        </w:rPr>
                        <m:t>CTY</m:t>
                      </m:r>
                    </m:e>
                    <m:sub>
                      <m:r>
                        <w:rPr>
                          <w:rFonts w:ascii="Cambria Math" w:eastAsia="標楷體" w:hAnsi="Cambria Math" w:cstheme="minorHAnsi"/>
                          <w:szCs w:val="24"/>
                        </w:rPr>
                        <m:t>k</m:t>
                      </m:r>
                    </m:sub>
                  </m:sSub>
                </m:e>
              </m:d>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CTY</m:t>
                      </m:r>
                    </m:e>
                    <m:sub>
                      <m:r>
                        <w:rPr>
                          <w:rFonts w:ascii="Cambria Math" w:eastAsia="標楷體" w:hAnsi="Cambria Math" w:cstheme="minorHAnsi"/>
                          <w:szCs w:val="24"/>
                        </w:rPr>
                        <m:t>k</m:t>
                      </m:r>
                    </m:sub>
                  </m:sSub>
                </m:e>
              </m:d>
            </m:num>
            <m:den>
              <m:r>
                <w:rPr>
                  <w:rFonts w:ascii="Cambria Math" w:eastAsia="標楷體" w:hAnsi="Cambria Math" w:cstheme="minorHAnsi"/>
                  <w:szCs w:val="24"/>
                </w:rPr>
                <m:t>0.01</m:t>
              </m:r>
            </m:den>
          </m:f>
        </m:oMath>
      </m:oMathPara>
    </w:p>
    <w:p w14:paraId="3989304C" w14:textId="77777777" w:rsidR="00166348" w:rsidRPr="00CA1A43" w:rsidRDefault="00166348" w:rsidP="00166348">
      <w:pPr>
        <w:pStyle w:val="a7"/>
        <w:spacing w:beforeLines="50" w:before="180"/>
        <w:ind w:leftChars="0" w:left="1446"/>
        <w:jc w:val="both"/>
        <w:rPr>
          <w:rFonts w:eastAsia="標楷體" w:cstheme="minorHAnsi"/>
          <w:szCs w:val="24"/>
        </w:rPr>
      </w:pPr>
      <w:r w:rsidRPr="00CA1A43">
        <w:rPr>
          <w:rFonts w:eastAsia="標楷體" w:cstheme="minorHAnsi"/>
          <w:szCs w:val="24"/>
        </w:rPr>
        <w:t>其中：</w:t>
      </w:r>
    </w:p>
    <w:p w14:paraId="5F0EB64A" w14:textId="77777777" w:rsidR="00166348" w:rsidRPr="00CA1A43" w:rsidRDefault="00166348" w:rsidP="00605B1D">
      <w:pPr>
        <w:pStyle w:val="a7"/>
        <w:numPr>
          <w:ilvl w:val="0"/>
          <w:numId w:val="79"/>
        </w:numPr>
        <w:spacing w:beforeLines="50" w:before="180"/>
        <w:ind w:leftChars="0"/>
        <w:jc w:val="both"/>
        <w:rPr>
          <w:rFonts w:eastAsia="標楷體" w:cstheme="minorHAnsi"/>
          <w:szCs w:val="24"/>
        </w:rPr>
      </w:pPr>
      <w:r w:rsidRPr="00CA1A43">
        <w:rPr>
          <w:rFonts w:eastAsia="標楷體" w:cstheme="minorHAnsi"/>
          <w:szCs w:val="24"/>
        </w:rPr>
        <w:t>k</w:t>
      </w:r>
      <w:r w:rsidRPr="00CA1A43">
        <w:rPr>
          <w:rFonts w:eastAsia="標楷體" w:cstheme="minorHAnsi"/>
          <w:szCs w:val="24"/>
        </w:rPr>
        <w:t>為給定的商品；</w:t>
      </w:r>
    </w:p>
    <w:p w14:paraId="52741730" w14:textId="77777777" w:rsidR="00166348" w:rsidRPr="00CA1A43" w:rsidRDefault="00166348" w:rsidP="00605B1D">
      <w:pPr>
        <w:pStyle w:val="a7"/>
        <w:numPr>
          <w:ilvl w:val="0"/>
          <w:numId w:val="79"/>
        </w:numPr>
        <w:spacing w:beforeLines="50" w:before="180"/>
        <w:ind w:leftChars="0"/>
        <w:jc w:val="both"/>
        <w:rPr>
          <w:rFonts w:eastAsia="標楷體" w:cstheme="minorHAnsi"/>
          <w:szCs w:val="24"/>
        </w:rPr>
      </w:pPr>
      <w:proofErr w:type="spellStart"/>
      <w:r w:rsidRPr="00CA1A43">
        <w:rPr>
          <w:rFonts w:eastAsia="標楷體" w:cstheme="minorHAnsi"/>
          <w:szCs w:val="24"/>
        </w:rPr>
        <w:t>CTY</w:t>
      </w:r>
      <w:r w:rsidRPr="00CA1A43">
        <w:rPr>
          <w:rFonts w:eastAsia="標楷體" w:cstheme="minorHAnsi"/>
          <w:szCs w:val="24"/>
          <w:vertAlign w:val="subscript"/>
        </w:rPr>
        <w:t>k</w:t>
      </w:r>
      <w:proofErr w:type="spellEnd"/>
      <w:r w:rsidRPr="00CA1A43">
        <w:rPr>
          <w:rFonts w:eastAsia="標楷體" w:cstheme="minorHAnsi"/>
          <w:szCs w:val="24"/>
        </w:rPr>
        <w:t>為商品</w:t>
      </w:r>
      <w:r w:rsidRPr="00CA1A43">
        <w:rPr>
          <w:rFonts w:eastAsia="標楷體" w:cstheme="minorHAnsi"/>
          <w:szCs w:val="24"/>
        </w:rPr>
        <w:t xml:space="preserve">k </w:t>
      </w:r>
      <w:r w:rsidRPr="00CA1A43">
        <w:rPr>
          <w:rFonts w:eastAsia="標楷體" w:cstheme="minorHAnsi"/>
          <w:szCs w:val="24"/>
        </w:rPr>
        <w:t>的市場價值；</w:t>
      </w:r>
    </w:p>
    <w:p w14:paraId="4AAA7244" w14:textId="06342EA4" w:rsidR="00E850EC" w:rsidRPr="00CA1A43" w:rsidRDefault="00166348" w:rsidP="00605B1D">
      <w:pPr>
        <w:pStyle w:val="a7"/>
        <w:numPr>
          <w:ilvl w:val="0"/>
          <w:numId w:val="79"/>
        </w:numPr>
        <w:spacing w:beforeLines="50" w:before="180"/>
        <w:ind w:leftChars="0"/>
        <w:jc w:val="both"/>
        <w:rPr>
          <w:rFonts w:eastAsia="標楷體" w:cstheme="minorHAnsi"/>
        </w:rPr>
      </w:pPr>
      <w:r w:rsidRPr="00CA1A43">
        <w:rPr>
          <w:rFonts w:eastAsia="標楷體" w:cstheme="minorHAnsi"/>
          <w:szCs w:val="24"/>
        </w:rPr>
        <w:lastRenderedPageBreak/>
        <w:t>V</w:t>
      </w:r>
      <w:r w:rsidRPr="00CA1A43">
        <w:rPr>
          <w:rFonts w:eastAsia="標楷體" w:cstheme="minorHAnsi"/>
          <w:szCs w:val="24"/>
          <w:vertAlign w:val="subscript"/>
        </w:rPr>
        <w:t>i</w:t>
      </w:r>
      <w:r w:rsidRPr="00CA1A43">
        <w:rPr>
          <w:rFonts w:eastAsia="標楷體" w:cstheme="minorHAnsi"/>
          <w:szCs w:val="24"/>
        </w:rPr>
        <w:t>為</w:t>
      </w:r>
      <w:r w:rsidR="009653EE" w:rsidRPr="00E63323">
        <w:rPr>
          <w:rFonts w:eastAsia="標楷體" w:cstheme="minorHAnsi"/>
          <w:szCs w:val="24"/>
        </w:rPr>
        <w:t>工具</w:t>
      </w:r>
      <w:proofErr w:type="spellStart"/>
      <w:r w:rsidRPr="00E63323">
        <w:rPr>
          <w:rFonts w:eastAsia="標楷體" w:cstheme="minorHAnsi"/>
          <w:szCs w:val="24"/>
        </w:rPr>
        <w:t>i</w:t>
      </w:r>
      <w:proofErr w:type="spellEnd"/>
      <w:r w:rsidRPr="00CA1A43">
        <w:rPr>
          <w:rFonts w:eastAsia="標楷體" w:cstheme="minorHAnsi"/>
          <w:szCs w:val="24"/>
        </w:rPr>
        <w:t xml:space="preserve"> </w:t>
      </w:r>
      <w:r w:rsidRPr="00CA1A43">
        <w:rPr>
          <w:rFonts w:eastAsia="標楷體" w:cstheme="minorHAnsi"/>
          <w:szCs w:val="24"/>
        </w:rPr>
        <w:t>的市場價值，且為商品</w:t>
      </w:r>
      <w:r w:rsidRPr="00CA1A43">
        <w:rPr>
          <w:rFonts w:eastAsia="標楷體" w:cstheme="minorHAnsi"/>
          <w:szCs w:val="24"/>
        </w:rPr>
        <w:t>k</w:t>
      </w:r>
      <w:r w:rsidRPr="00CA1A43">
        <w:rPr>
          <w:rFonts w:eastAsia="標楷體" w:cstheme="minorHAnsi"/>
          <w:szCs w:val="24"/>
        </w:rPr>
        <w:t>之即期價格函數。</w:t>
      </w:r>
    </w:p>
    <w:p w14:paraId="07EE6EC7" w14:textId="6F6B118D" w:rsidR="00E240AD" w:rsidRPr="00CA1A43" w:rsidRDefault="00E240AD" w:rsidP="00605B1D">
      <w:pPr>
        <w:pStyle w:val="a7"/>
        <w:numPr>
          <w:ilvl w:val="0"/>
          <w:numId w:val="74"/>
        </w:numPr>
        <w:spacing w:beforeLines="50" w:before="180"/>
        <w:ind w:leftChars="0" w:left="1446" w:hanging="482"/>
        <w:jc w:val="both"/>
        <w:rPr>
          <w:rFonts w:eastAsia="標楷體" w:cstheme="minorHAnsi"/>
          <w:szCs w:val="24"/>
        </w:rPr>
      </w:pPr>
      <w:r w:rsidRPr="00CA1A43">
        <w:rPr>
          <w:rFonts w:eastAsia="標楷體" w:cstheme="minorHAnsi"/>
        </w:rPr>
        <w:t>外匯</w:t>
      </w:r>
      <w:r w:rsidRPr="00CA1A43">
        <w:rPr>
          <w:rFonts w:eastAsia="標楷體" w:cstheme="minorHAnsi"/>
        </w:rPr>
        <w:t xml:space="preserve"> Delta</w:t>
      </w:r>
      <w:r w:rsidRPr="00CA1A43">
        <w:rPr>
          <w:rFonts w:eastAsia="標楷體" w:cstheme="minorHAnsi"/>
        </w:rPr>
        <w:t>係指</w:t>
      </w:r>
      <w:r w:rsidR="009653EE" w:rsidRPr="00E63323">
        <w:rPr>
          <w:rFonts w:eastAsia="標楷體" w:cstheme="minorHAnsi"/>
        </w:rPr>
        <w:t>工具</w:t>
      </w:r>
      <w:r w:rsidRPr="00CA1A43">
        <w:rPr>
          <w:rFonts w:eastAsia="標楷體" w:cstheme="minorHAnsi"/>
          <w:szCs w:val="24"/>
        </w:rPr>
        <w:t>在匯率</w:t>
      </w:r>
      <w:r w:rsidRPr="00CA1A43">
        <w:rPr>
          <w:rFonts w:eastAsia="標楷體" w:cstheme="minorHAnsi"/>
        </w:rPr>
        <w:t>變動</w:t>
      </w:r>
      <w:r w:rsidRPr="00CA1A43">
        <w:rPr>
          <w:rFonts w:eastAsia="標楷體" w:cstheme="minorHAnsi"/>
        </w:rPr>
        <w:t>1%(</w:t>
      </w:r>
      <w:r w:rsidRPr="00CA1A43">
        <w:rPr>
          <w:rFonts w:eastAsia="標楷體" w:cstheme="minorHAnsi"/>
          <w:szCs w:val="24"/>
        </w:rPr>
        <w:t>即相對數</w:t>
      </w:r>
      <w:r w:rsidRPr="00CA1A43">
        <w:rPr>
          <w:rFonts w:eastAsia="標楷體" w:cstheme="minorHAnsi"/>
          <w:szCs w:val="24"/>
        </w:rPr>
        <w:t>0.01</w:t>
      </w:r>
      <w:r w:rsidRPr="00CA1A43">
        <w:rPr>
          <w:rFonts w:eastAsia="標楷體" w:cstheme="minorHAnsi"/>
        </w:rPr>
        <w:t>)</w:t>
      </w:r>
      <w:r w:rsidRPr="00CA1A43">
        <w:rPr>
          <w:rFonts w:eastAsia="標楷體" w:cstheme="minorHAnsi"/>
          <w:szCs w:val="24"/>
        </w:rPr>
        <w:t>時所</w:t>
      </w:r>
      <w:r w:rsidRPr="00CA1A43">
        <w:rPr>
          <w:rFonts w:eastAsia="標楷體" w:cstheme="minorHAnsi"/>
        </w:rPr>
        <w:t>造成其市值</w:t>
      </w: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rPr>
        <w:t>的</w:t>
      </w:r>
      <w:proofErr w:type="gramStart"/>
      <w:r w:rsidRPr="00CA1A43">
        <w:rPr>
          <w:rFonts w:eastAsia="標楷體" w:cstheme="minorHAnsi"/>
        </w:rPr>
        <w:t>變動量除以</w:t>
      </w:r>
      <w:proofErr w:type="gramEnd"/>
      <w:r w:rsidRPr="00CA1A43">
        <w:rPr>
          <w:rFonts w:eastAsia="標楷體" w:cstheme="minorHAnsi"/>
        </w:rPr>
        <w:t>0.01(</w:t>
      </w:r>
      <w:r w:rsidRPr="00CA1A43">
        <w:rPr>
          <w:rFonts w:eastAsia="標楷體" w:cstheme="minorHAnsi"/>
          <w:szCs w:val="24"/>
        </w:rPr>
        <w:t>即</w:t>
      </w:r>
      <w:r w:rsidRPr="00CA1A43">
        <w:rPr>
          <w:rFonts w:eastAsia="標楷體" w:cstheme="minorHAnsi"/>
        </w:rPr>
        <w:t>1%)</w:t>
      </w:r>
      <w:r w:rsidRPr="00CA1A43">
        <w:rPr>
          <w:rFonts w:eastAsia="標楷體" w:cstheme="minorHAnsi"/>
        </w:rPr>
        <w:t>即為</w:t>
      </w:r>
      <w:r w:rsidRPr="00CA1A43">
        <w:rPr>
          <w:rFonts w:eastAsia="標楷體" w:cstheme="minorHAnsi"/>
        </w:rPr>
        <w:t>Delta</w:t>
      </w:r>
      <w:r w:rsidRPr="00CA1A43">
        <w:rPr>
          <w:rFonts w:eastAsia="標楷體" w:cstheme="minorHAnsi"/>
        </w:rPr>
        <w:t>敏感性部位。公式如下：</w:t>
      </w:r>
    </w:p>
    <w:p w14:paraId="611C7420" w14:textId="77777777" w:rsidR="00E240AD" w:rsidRPr="00CA1A43" w:rsidRDefault="00AA1117" w:rsidP="00E240AD">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ub>
          </m:sSub>
          <m:r>
            <w:rPr>
              <w:rFonts w:ascii="Cambria Math" w:eastAsia="標楷體" w:hAnsi="Cambria Math" w:cstheme="minorHAnsi"/>
              <w:szCs w:val="24"/>
            </w:rPr>
            <m:t>=</m:t>
          </m:r>
          <m:f>
            <m:fPr>
              <m:ctrlPr>
                <w:rPr>
                  <w:rFonts w:ascii="Cambria Math" w:eastAsia="標楷體" w:hAnsi="Cambria Math" w:cstheme="minorHAnsi"/>
                  <w:i/>
                  <w:szCs w:val="24"/>
                </w:rPr>
              </m:ctrlPr>
            </m:fPr>
            <m:num>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r>
                    <w:rPr>
                      <w:rFonts w:ascii="Cambria Math" w:eastAsia="標楷體" w:hAnsi="Cambria Math" w:cstheme="minorHAnsi"/>
                      <w:szCs w:val="24"/>
                    </w:rPr>
                    <m:t>1.01</m:t>
                  </m:r>
                  <m:sSub>
                    <m:sSubPr>
                      <m:ctrlPr>
                        <w:rPr>
                          <w:rFonts w:ascii="Cambria Math" w:eastAsia="標楷體" w:hAnsi="Cambria Math" w:cstheme="minorHAnsi"/>
                          <w:i/>
                          <w:szCs w:val="24"/>
                        </w:rPr>
                      </m:ctrlPr>
                    </m:sSubPr>
                    <m:e>
                      <m:r>
                        <w:rPr>
                          <w:rFonts w:ascii="Cambria Math" w:eastAsia="標楷體" w:hAnsi="Cambria Math" w:cstheme="minorHAnsi"/>
                          <w:szCs w:val="24"/>
                        </w:rPr>
                        <m:t>FX</m:t>
                      </m:r>
                    </m:e>
                    <m:sub>
                      <m:r>
                        <w:rPr>
                          <w:rFonts w:ascii="Cambria Math" w:eastAsia="標楷體" w:hAnsi="Cambria Math" w:cstheme="minorHAnsi"/>
                          <w:szCs w:val="24"/>
                        </w:rPr>
                        <m:t>k</m:t>
                      </m:r>
                    </m:sub>
                  </m:sSub>
                </m:e>
              </m:d>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FX</m:t>
                      </m:r>
                    </m:e>
                    <m:sub>
                      <m:r>
                        <w:rPr>
                          <w:rFonts w:ascii="Cambria Math" w:eastAsia="標楷體" w:hAnsi="Cambria Math" w:cstheme="minorHAnsi"/>
                          <w:szCs w:val="24"/>
                        </w:rPr>
                        <m:t>k</m:t>
                      </m:r>
                    </m:sub>
                  </m:sSub>
                </m:e>
              </m:d>
            </m:num>
            <m:den>
              <m:r>
                <w:rPr>
                  <w:rFonts w:ascii="Cambria Math" w:eastAsia="標楷體" w:hAnsi="Cambria Math" w:cstheme="minorHAnsi"/>
                  <w:szCs w:val="24"/>
                </w:rPr>
                <m:t>0.01</m:t>
              </m:r>
            </m:den>
          </m:f>
        </m:oMath>
      </m:oMathPara>
    </w:p>
    <w:p w14:paraId="1B9FD36F" w14:textId="77777777" w:rsidR="00E240AD" w:rsidRPr="00CA1A43" w:rsidRDefault="00E240AD" w:rsidP="00E240AD">
      <w:pPr>
        <w:pStyle w:val="a7"/>
        <w:spacing w:beforeLines="50" w:before="180"/>
        <w:ind w:leftChars="0" w:left="1446"/>
        <w:jc w:val="both"/>
        <w:rPr>
          <w:rFonts w:eastAsia="標楷體" w:cstheme="minorHAnsi"/>
          <w:szCs w:val="24"/>
        </w:rPr>
      </w:pPr>
      <w:r w:rsidRPr="00CA1A43">
        <w:rPr>
          <w:rFonts w:eastAsia="標楷體" w:cstheme="minorHAnsi"/>
          <w:szCs w:val="24"/>
        </w:rPr>
        <w:t>其中：</w:t>
      </w:r>
    </w:p>
    <w:p w14:paraId="5D7EFAB3" w14:textId="77777777" w:rsidR="00E240AD" w:rsidRPr="00CA1A43" w:rsidRDefault="00E240AD" w:rsidP="00605B1D">
      <w:pPr>
        <w:pStyle w:val="a7"/>
        <w:numPr>
          <w:ilvl w:val="0"/>
          <w:numId w:val="80"/>
        </w:numPr>
        <w:spacing w:beforeLines="50" w:before="180"/>
        <w:ind w:leftChars="0"/>
        <w:jc w:val="both"/>
        <w:rPr>
          <w:rFonts w:eastAsia="標楷體" w:cstheme="minorHAnsi"/>
          <w:szCs w:val="24"/>
        </w:rPr>
      </w:pPr>
      <w:r w:rsidRPr="00CA1A43">
        <w:rPr>
          <w:rFonts w:eastAsia="標楷體" w:cstheme="minorHAnsi"/>
          <w:szCs w:val="24"/>
        </w:rPr>
        <w:t>k</w:t>
      </w:r>
      <w:r w:rsidRPr="00CA1A43">
        <w:rPr>
          <w:rFonts w:eastAsia="標楷體" w:cstheme="minorHAnsi"/>
          <w:szCs w:val="24"/>
        </w:rPr>
        <w:t>為給定的幣別；</w:t>
      </w:r>
    </w:p>
    <w:p w14:paraId="6B6499C3" w14:textId="77777777" w:rsidR="00E240AD" w:rsidRPr="00CA1A43" w:rsidRDefault="00E240AD" w:rsidP="00605B1D">
      <w:pPr>
        <w:pStyle w:val="a7"/>
        <w:numPr>
          <w:ilvl w:val="0"/>
          <w:numId w:val="80"/>
        </w:numPr>
        <w:spacing w:beforeLines="50" w:before="180"/>
        <w:ind w:leftChars="0"/>
        <w:jc w:val="both"/>
        <w:rPr>
          <w:rFonts w:eastAsia="標楷體" w:cstheme="minorHAnsi"/>
          <w:szCs w:val="24"/>
        </w:rPr>
      </w:pPr>
      <w:proofErr w:type="spellStart"/>
      <w:r w:rsidRPr="00CA1A43">
        <w:rPr>
          <w:rFonts w:eastAsia="標楷體" w:cstheme="minorHAnsi"/>
          <w:szCs w:val="24"/>
        </w:rPr>
        <w:t>FX</w:t>
      </w:r>
      <w:r w:rsidRPr="00CA1A43">
        <w:rPr>
          <w:rFonts w:eastAsia="標楷體" w:cstheme="minorHAnsi"/>
          <w:szCs w:val="24"/>
          <w:vertAlign w:val="subscript"/>
        </w:rPr>
        <w:t>k</w:t>
      </w:r>
      <w:proofErr w:type="spellEnd"/>
      <w:r w:rsidRPr="00CA1A43">
        <w:rPr>
          <w:rFonts w:eastAsia="標楷體" w:cstheme="minorHAnsi"/>
          <w:szCs w:val="24"/>
        </w:rPr>
        <w:t>為</w:t>
      </w:r>
      <w:proofErr w:type="gramStart"/>
      <w:r w:rsidRPr="00CA1A43">
        <w:rPr>
          <w:rFonts w:eastAsia="標楷體" w:cstheme="minorHAnsi"/>
          <w:szCs w:val="24"/>
        </w:rPr>
        <w:t>給定幣別</w:t>
      </w:r>
      <w:proofErr w:type="gramEnd"/>
      <w:r w:rsidRPr="00CA1A43">
        <w:rPr>
          <w:rFonts w:eastAsia="標楷體" w:cstheme="minorHAnsi"/>
          <w:szCs w:val="24"/>
        </w:rPr>
        <w:t>與銀行本位幣或基準</w:t>
      </w:r>
      <w:proofErr w:type="gramStart"/>
      <w:r w:rsidRPr="00CA1A43">
        <w:rPr>
          <w:rFonts w:eastAsia="標楷體" w:cstheme="minorHAnsi"/>
          <w:szCs w:val="24"/>
        </w:rPr>
        <w:t>貨幣間的兌換</w:t>
      </w:r>
      <w:proofErr w:type="gramEnd"/>
      <w:r w:rsidRPr="00CA1A43">
        <w:rPr>
          <w:rFonts w:eastAsia="標楷體" w:cstheme="minorHAnsi"/>
          <w:szCs w:val="24"/>
        </w:rPr>
        <w:t>匯率，其中外匯即期匯率是以銀行本位幣或基準貨幣所表示另一種貨幣的當前市場價格；</w:t>
      </w:r>
    </w:p>
    <w:p w14:paraId="0D6BCDE5" w14:textId="61C09044" w:rsidR="00E240AD" w:rsidRPr="00CA1A43" w:rsidRDefault="00E240AD" w:rsidP="00605B1D">
      <w:pPr>
        <w:pStyle w:val="a7"/>
        <w:numPr>
          <w:ilvl w:val="0"/>
          <w:numId w:val="80"/>
        </w:numPr>
        <w:spacing w:beforeLines="50" w:before="180"/>
        <w:ind w:leftChars="0"/>
        <w:jc w:val="both"/>
        <w:rPr>
          <w:rFonts w:eastAsia="標楷體" w:cstheme="minorHAnsi"/>
          <w:szCs w:val="24"/>
        </w:rPr>
      </w:pPr>
      <w:r w:rsidRPr="00CA1A43">
        <w:rPr>
          <w:rFonts w:eastAsia="標楷體" w:cstheme="minorHAnsi"/>
          <w:szCs w:val="24"/>
        </w:rPr>
        <w:t>V</w:t>
      </w:r>
      <w:r w:rsidRPr="00CA1A43">
        <w:rPr>
          <w:rFonts w:eastAsia="標楷體" w:cstheme="minorHAnsi"/>
          <w:szCs w:val="24"/>
          <w:vertAlign w:val="subscript"/>
        </w:rPr>
        <w:t>i</w:t>
      </w:r>
      <w:r w:rsidRPr="00CA1A43">
        <w:rPr>
          <w:rFonts w:eastAsia="標楷體" w:cstheme="minorHAnsi"/>
          <w:szCs w:val="24"/>
        </w:rPr>
        <w:t>為</w:t>
      </w:r>
      <w:r w:rsidR="009653EE" w:rsidRPr="00E63323">
        <w:rPr>
          <w:rFonts w:eastAsia="標楷體" w:cstheme="minorHAnsi"/>
          <w:szCs w:val="24"/>
        </w:rPr>
        <w:t>工具</w:t>
      </w:r>
      <w:proofErr w:type="spellStart"/>
      <w:r w:rsidRPr="00E63323">
        <w:rPr>
          <w:rFonts w:eastAsia="標楷體" w:cstheme="minorHAnsi"/>
          <w:szCs w:val="24"/>
        </w:rPr>
        <w:t>i</w:t>
      </w:r>
      <w:proofErr w:type="spellEnd"/>
      <w:r w:rsidRPr="00CA1A43">
        <w:rPr>
          <w:rFonts w:eastAsia="標楷體" w:cstheme="minorHAnsi"/>
          <w:szCs w:val="24"/>
        </w:rPr>
        <w:t>的市場價格，且為匯率</w:t>
      </w:r>
      <w:r w:rsidRPr="00CA1A43">
        <w:rPr>
          <w:rFonts w:eastAsia="標楷體" w:cstheme="minorHAnsi"/>
          <w:szCs w:val="24"/>
        </w:rPr>
        <w:t>k</w:t>
      </w:r>
      <w:r w:rsidRPr="00CA1A43">
        <w:rPr>
          <w:rFonts w:eastAsia="標楷體" w:cstheme="minorHAnsi"/>
          <w:szCs w:val="24"/>
        </w:rPr>
        <w:t>的函數。</w:t>
      </w:r>
    </w:p>
    <w:p w14:paraId="7BC68E00" w14:textId="77777777" w:rsidR="00E240AD" w:rsidRPr="00CA1A43" w:rsidRDefault="00E240AD" w:rsidP="00605B1D">
      <w:pPr>
        <w:pStyle w:val="a7"/>
        <w:numPr>
          <w:ilvl w:val="0"/>
          <w:numId w:val="73"/>
        </w:numPr>
        <w:spacing w:beforeLines="50" w:before="180"/>
        <w:ind w:leftChars="0" w:left="964" w:hanging="482"/>
        <w:jc w:val="both"/>
        <w:rPr>
          <w:rFonts w:eastAsia="標楷體" w:cstheme="minorHAnsi"/>
          <w:szCs w:val="27"/>
        </w:rPr>
      </w:pPr>
      <w:r w:rsidRPr="00CA1A43">
        <w:rPr>
          <w:rFonts w:eastAsia="標楷體" w:cstheme="minorHAnsi"/>
          <w:szCs w:val="27"/>
        </w:rPr>
        <w:t xml:space="preserve">Vega </w:t>
      </w:r>
      <w:r w:rsidRPr="00CA1A43">
        <w:rPr>
          <w:rFonts w:eastAsia="標楷體" w:cstheme="minorHAnsi"/>
          <w:szCs w:val="27"/>
        </w:rPr>
        <w:t>風險敏感性部位的計算方式</w:t>
      </w:r>
    </w:p>
    <w:p w14:paraId="0B427E9A" w14:textId="77777777" w:rsidR="00E240AD" w:rsidRPr="00CA1A43" w:rsidRDefault="00E240AD" w:rsidP="00605B1D">
      <w:pPr>
        <w:pStyle w:val="a7"/>
        <w:numPr>
          <w:ilvl w:val="0"/>
          <w:numId w:val="81"/>
        </w:numPr>
        <w:spacing w:beforeLines="50" w:before="180"/>
        <w:ind w:leftChars="0" w:left="1446" w:hanging="482"/>
        <w:jc w:val="both"/>
        <w:rPr>
          <w:rFonts w:eastAsia="標楷體" w:cstheme="minorHAnsi"/>
          <w:szCs w:val="24"/>
        </w:rPr>
      </w:pPr>
      <w:r w:rsidRPr="00CA1A43">
        <w:rPr>
          <w:rFonts w:eastAsia="標楷體" w:cstheme="minorHAnsi"/>
          <w:szCs w:val="24"/>
        </w:rPr>
        <w:t>本計算說明之</w:t>
      </w:r>
      <w:proofErr w:type="spellStart"/>
      <w:r w:rsidRPr="00CA1A43">
        <w:rPr>
          <w:rFonts w:eastAsia="標楷體" w:cstheme="minorHAnsi"/>
          <w:szCs w:val="24"/>
        </w:rPr>
        <w:t>vega</w:t>
      </w:r>
      <w:proofErr w:type="spellEnd"/>
      <w:r w:rsidRPr="00CA1A43">
        <w:rPr>
          <w:rFonts w:eastAsia="標楷體" w:cstheme="minorHAnsi"/>
          <w:szCs w:val="24"/>
        </w:rPr>
        <w:t>風險敏感性部位，為</w:t>
      </w:r>
      <w:proofErr w:type="spellStart"/>
      <w:r w:rsidRPr="00CA1A43">
        <w:rPr>
          <w:rFonts w:eastAsia="標楷體" w:cstheme="minorHAnsi"/>
          <w:szCs w:val="24"/>
        </w:rPr>
        <w:t>vega</w:t>
      </w:r>
      <w:proofErr w:type="spellEnd"/>
      <w:r w:rsidRPr="00CA1A43">
        <w:rPr>
          <w:rFonts w:eastAsia="標楷體" w:cstheme="minorHAnsi"/>
          <w:szCs w:val="24"/>
        </w:rPr>
        <w:t>與選擇權隱含波動度之相乘積，選擇權的隱含波動度必須對應到一個或多個選擇權到期</w:t>
      </w:r>
      <w:proofErr w:type="gramStart"/>
      <w:r w:rsidRPr="00CA1A43">
        <w:rPr>
          <w:rFonts w:eastAsia="標楷體" w:cstheme="minorHAnsi"/>
          <w:szCs w:val="24"/>
        </w:rPr>
        <w:t>期間，</w:t>
      </w:r>
      <w:proofErr w:type="gramEnd"/>
      <w:r w:rsidRPr="00CA1A43">
        <w:rPr>
          <w:rFonts w:eastAsia="標楷體" w:cstheme="minorHAnsi"/>
          <w:szCs w:val="24"/>
        </w:rPr>
        <w:t>公式如下：</w:t>
      </w:r>
    </w:p>
    <w:p w14:paraId="10FFA34E" w14:textId="77777777" w:rsidR="004F2F68" w:rsidRPr="00CA1A43" w:rsidRDefault="00AA1117" w:rsidP="004F2F68">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ub>
          </m:sSub>
          <m:r>
            <w:rPr>
              <w:rFonts w:ascii="Cambria Math" w:eastAsia="標楷體" w:hAnsi="Cambria Math" w:cstheme="minorHAnsi"/>
              <w:szCs w:val="24"/>
            </w:rPr>
            <m:t>=vega×implied volatility</m:t>
          </m:r>
        </m:oMath>
      </m:oMathPara>
    </w:p>
    <w:p w14:paraId="3A289425" w14:textId="77777777" w:rsidR="00E240AD" w:rsidRPr="00CA1A43" w:rsidRDefault="00E240AD" w:rsidP="004F2F68">
      <w:pPr>
        <w:pStyle w:val="a7"/>
        <w:spacing w:beforeLines="50" w:before="180"/>
        <w:ind w:leftChars="0" w:left="1446"/>
        <w:jc w:val="both"/>
        <w:rPr>
          <w:rFonts w:eastAsia="標楷體" w:cstheme="minorHAnsi"/>
          <w:szCs w:val="24"/>
        </w:rPr>
      </w:pPr>
      <w:r w:rsidRPr="00CA1A43">
        <w:rPr>
          <w:rFonts w:eastAsia="標楷體" w:cstheme="minorHAnsi"/>
          <w:szCs w:val="24"/>
        </w:rPr>
        <w:t>其中：</w:t>
      </w:r>
    </w:p>
    <w:p w14:paraId="41C81ABF" w14:textId="77777777" w:rsidR="00E240AD" w:rsidRPr="00CA1A43" w:rsidRDefault="00E240AD" w:rsidP="00605B1D">
      <w:pPr>
        <w:pStyle w:val="a7"/>
        <w:numPr>
          <w:ilvl w:val="0"/>
          <w:numId w:val="82"/>
        </w:numPr>
        <w:spacing w:beforeLines="50" w:before="180"/>
        <w:ind w:leftChars="0"/>
        <w:jc w:val="both"/>
        <w:rPr>
          <w:rFonts w:eastAsia="標楷體" w:cstheme="minorHAnsi"/>
          <w:szCs w:val="24"/>
        </w:rPr>
      </w:pPr>
      <w:proofErr w:type="spellStart"/>
      <w:r w:rsidRPr="00CA1A43">
        <w:rPr>
          <w:rFonts w:eastAsia="標楷體" w:cstheme="minorHAnsi"/>
          <w:szCs w:val="24"/>
        </w:rPr>
        <w:t>vega</w:t>
      </w:r>
      <w:proofErr w:type="spellEnd"/>
      <w:r w:rsidRPr="00CA1A43">
        <w:rPr>
          <w:rFonts w:eastAsia="標楷體" w:cstheme="minorHAnsi"/>
          <w:szCs w:val="24"/>
        </w:rPr>
        <w:t xml:space="preserve">, </w:t>
      </w:r>
      <m:oMath>
        <m:f>
          <m:fPr>
            <m:ctrlPr>
              <w:rPr>
                <w:rFonts w:ascii="Cambria Math" w:eastAsia="標楷體" w:hAnsi="Cambria Math" w:cstheme="minorHAnsi"/>
                <w:szCs w:val="24"/>
              </w:rPr>
            </m:ctrlPr>
          </m:fPr>
          <m:num>
            <m:r>
              <m:rPr>
                <m:sty m:val="p"/>
              </m:rPr>
              <w:rPr>
                <w:rFonts w:ascii="Cambria Math" w:eastAsia="標楷體" w:hAnsi="Cambria Math" w:cstheme="minorHAnsi"/>
                <w:szCs w:val="24"/>
              </w:rPr>
              <m:t xml:space="preserve"> ∂</m:t>
            </m:r>
            <m:sSub>
              <m:sSubPr>
                <m:ctrlPr>
                  <w:rPr>
                    <w:rFonts w:ascii="Cambria Math" w:eastAsia="標楷體" w:hAnsi="Cambria Math" w:cstheme="minorHAns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num>
          <m:den>
            <m:r>
              <m:rPr>
                <m:sty m:val="p"/>
              </m:rPr>
              <w:rPr>
                <w:rFonts w:ascii="Cambria Math" w:eastAsia="標楷體" w:hAnsi="Cambria Math" w:cstheme="minorHAnsi"/>
                <w:szCs w:val="24"/>
              </w:rPr>
              <m:t>∂</m:t>
            </m:r>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σ</m:t>
                </m:r>
              </m:e>
              <m:sub>
                <m:r>
                  <w:rPr>
                    <w:rFonts w:ascii="Cambria Math" w:eastAsia="標楷體" w:hAnsi="Cambria Math" w:cstheme="minorHAnsi"/>
                    <w:szCs w:val="24"/>
                  </w:rPr>
                  <m:t>i</m:t>
                </m:r>
              </m:sub>
            </m:sSub>
          </m:den>
        </m:f>
      </m:oMath>
      <w:r w:rsidRPr="00CA1A43">
        <w:rPr>
          <w:rFonts w:eastAsia="標楷體" w:cstheme="minorHAnsi"/>
          <w:szCs w:val="24"/>
        </w:rPr>
        <w:t xml:space="preserve">, </w:t>
      </w:r>
      <w:r w:rsidRPr="00CA1A43">
        <w:rPr>
          <w:rFonts w:eastAsia="標楷體" w:cstheme="minorHAnsi"/>
          <w:szCs w:val="24"/>
        </w:rPr>
        <w:t>是隱含波動度</w:t>
      </w:r>
      <w:r w:rsidRPr="00CA1A43">
        <w:rPr>
          <w:rFonts w:eastAsia="標楷體" w:cstheme="minorHAnsi"/>
          <w:szCs w:val="24"/>
        </w:rPr>
        <w:t>(</w:t>
      </w:r>
      <w:r w:rsidRPr="00CA1A43">
        <w:rPr>
          <w:rFonts w:ascii="Cambria Math" w:eastAsia="標楷體" w:hAnsi="Cambria Math" w:cs="Cambria Math"/>
          <w:szCs w:val="24"/>
        </w:rPr>
        <w:t>𝜎</w:t>
      </w:r>
      <w:r w:rsidRPr="00CA1A43">
        <w:rPr>
          <w:rFonts w:ascii="Cambria Math" w:eastAsia="標楷體" w:hAnsi="Cambria Math" w:cs="Cambria Math"/>
          <w:szCs w:val="24"/>
          <w:vertAlign w:val="subscript"/>
        </w:rPr>
        <w:t>𝑖</w:t>
      </w:r>
      <w:r w:rsidRPr="00CA1A43">
        <w:rPr>
          <w:rFonts w:eastAsia="標楷體" w:cstheme="minorHAnsi"/>
          <w:szCs w:val="24"/>
        </w:rPr>
        <w:t>)</w:t>
      </w:r>
      <w:r w:rsidRPr="00CA1A43">
        <w:rPr>
          <w:rFonts w:eastAsia="標楷體" w:cstheme="minorHAnsi"/>
          <w:szCs w:val="24"/>
        </w:rPr>
        <w:t>些微變動所造成選擇權市值</w:t>
      </w:r>
      <w:r w:rsidRPr="00CA1A43">
        <w:rPr>
          <w:rFonts w:eastAsia="標楷體" w:cstheme="minorHAnsi"/>
          <w:szCs w:val="24"/>
        </w:rPr>
        <w:t>(</w:t>
      </w:r>
      <w:r w:rsidRPr="00CA1A43">
        <w:rPr>
          <w:rFonts w:ascii="Cambria Math" w:eastAsia="標楷體" w:hAnsi="Cambria Math" w:cs="Cambria Math"/>
          <w:szCs w:val="24"/>
        </w:rPr>
        <w:t>𝑉</w:t>
      </w:r>
      <w:r w:rsidRPr="00CA1A43">
        <w:rPr>
          <w:rFonts w:ascii="Cambria Math" w:eastAsia="標楷體" w:hAnsi="Cambria Math" w:cs="Cambria Math"/>
          <w:szCs w:val="24"/>
          <w:vertAlign w:val="subscript"/>
        </w:rPr>
        <w:t>𝑖</w:t>
      </w:r>
      <w:r w:rsidRPr="00CA1A43">
        <w:rPr>
          <w:rFonts w:eastAsia="標楷體" w:cstheme="minorHAnsi"/>
          <w:szCs w:val="24"/>
        </w:rPr>
        <w:t>)</w:t>
      </w:r>
      <w:r w:rsidRPr="00CA1A43">
        <w:rPr>
          <w:rFonts w:eastAsia="標楷體" w:cstheme="minorHAnsi"/>
          <w:szCs w:val="24"/>
        </w:rPr>
        <w:t>的變動；</w:t>
      </w:r>
    </w:p>
    <w:p w14:paraId="34B6D9EB" w14:textId="3EAA07CE" w:rsidR="00E240AD" w:rsidRPr="00CA1A43" w:rsidRDefault="00E240AD" w:rsidP="00605B1D">
      <w:pPr>
        <w:pStyle w:val="a7"/>
        <w:numPr>
          <w:ilvl w:val="0"/>
          <w:numId w:val="82"/>
        </w:numPr>
        <w:spacing w:beforeLines="50" w:before="180"/>
        <w:ind w:leftChars="0"/>
        <w:jc w:val="both"/>
        <w:rPr>
          <w:rFonts w:eastAsia="標楷體" w:cstheme="minorHAnsi"/>
          <w:szCs w:val="24"/>
        </w:rPr>
      </w:pPr>
      <w:r w:rsidRPr="00CA1A43">
        <w:rPr>
          <w:rFonts w:eastAsia="標楷體" w:cstheme="minorHAnsi"/>
          <w:szCs w:val="24"/>
        </w:rPr>
        <w:t>計算</w:t>
      </w:r>
      <w:proofErr w:type="spellStart"/>
      <w:r w:rsidRPr="00CA1A43">
        <w:rPr>
          <w:rFonts w:eastAsia="標楷體" w:cstheme="minorHAnsi"/>
          <w:szCs w:val="24"/>
        </w:rPr>
        <w:t>vega</w:t>
      </w:r>
      <w:proofErr w:type="spellEnd"/>
      <w:r w:rsidRPr="00CA1A43">
        <w:rPr>
          <w:rFonts w:eastAsia="標楷體" w:cstheme="minorHAnsi"/>
          <w:szCs w:val="24"/>
        </w:rPr>
        <w:t>敏感性部位所使用之</w:t>
      </w:r>
      <w:r w:rsidR="009653EE" w:rsidRPr="00EF6B57">
        <w:rPr>
          <w:rFonts w:eastAsia="標楷體" w:cstheme="minorHAnsi"/>
          <w:szCs w:val="24"/>
        </w:rPr>
        <w:t>工具</w:t>
      </w:r>
      <w:proofErr w:type="spellStart"/>
      <w:r w:rsidRPr="00CA1A43">
        <w:rPr>
          <w:rFonts w:eastAsia="標楷體" w:cstheme="minorHAnsi"/>
          <w:szCs w:val="24"/>
        </w:rPr>
        <w:t>vega</w:t>
      </w:r>
      <w:proofErr w:type="spellEnd"/>
      <w:r w:rsidRPr="00CA1A43">
        <w:rPr>
          <w:rFonts w:eastAsia="標楷體" w:cstheme="minorHAnsi"/>
          <w:szCs w:val="24"/>
        </w:rPr>
        <w:t>與隱含波動度須來自銀行獨立風險控管單位所使用的評價模型。</w:t>
      </w:r>
    </w:p>
    <w:p w14:paraId="65D2DF9D" w14:textId="77777777" w:rsidR="00E240AD" w:rsidRPr="00CA1A43" w:rsidRDefault="00E240AD" w:rsidP="00605B1D">
      <w:pPr>
        <w:pStyle w:val="a7"/>
        <w:numPr>
          <w:ilvl w:val="0"/>
          <w:numId w:val="81"/>
        </w:numPr>
        <w:spacing w:beforeLines="50" w:before="180"/>
        <w:ind w:leftChars="0" w:left="1446" w:hanging="482"/>
        <w:jc w:val="both"/>
        <w:rPr>
          <w:rFonts w:eastAsia="標楷體" w:cstheme="minorHAnsi"/>
          <w:szCs w:val="24"/>
        </w:rPr>
      </w:pPr>
      <w:r w:rsidRPr="00CA1A43">
        <w:rPr>
          <w:rFonts w:eastAsia="標楷體" w:cstheme="minorHAnsi"/>
          <w:szCs w:val="24"/>
        </w:rPr>
        <w:t>對於沒有到期日的選擇權，則將到期日指派為規定中最長到期</w:t>
      </w:r>
      <w:proofErr w:type="gramStart"/>
      <w:r w:rsidRPr="00CA1A43">
        <w:rPr>
          <w:rFonts w:eastAsia="標楷體" w:cstheme="minorHAnsi"/>
          <w:szCs w:val="24"/>
        </w:rPr>
        <w:t>期間，</w:t>
      </w:r>
      <w:proofErr w:type="gramEnd"/>
      <w:r w:rsidRPr="00CA1A43">
        <w:rPr>
          <w:rFonts w:eastAsia="標楷體" w:cstheme="minorHAnsi"/>
          <w:szCs w:val="24"/>
        </w:rPr>
        <w:t>並將該類選擇權納入計算殘餘風險附加金額；</w:t>
      </w:r>
    </w:p>
    <w:p w14:paraId="65D982AB" w14:textId="77777777" w:rsidR="00E240AD" w:rsidRPr="00CA1A43" w:rsidRDefault="00E240AD" w:rsidP="00605B1D">
      <w:pPr>
        <w:pStyle w:val="a7"/>
        <w:numPr>
          <w:ilvl w:val="0"/>
          <w:numId w:val="81"/>
        </w:numPr>
        <w:spacing w:beforeLines="50" w:before="180"/>
        <w:ind w:leftChars="0" w:left="1446" w:hanging="482"/>
        <w:jc w:val="both"/>
        <w:rPr>
          <w:rFonts w:eastAsia="標楷體" w:cstheme="minorHAnsi"/>
          <w:szCs w:val="24"/>
        </w:rPr>
      </w:pPr>
      <w:r w:rsidRPr="00CA1A43">
        <w:rPr>
          <w:rFonts w:eastAsia="標楷體" w:cstheme="minorHAnsi"/>
          <w:szCs w:val="24"/>
        </w:rPr>
        <w:t>對於沒有履約價格或界限的選擇權，與擁有多個履約價或界限的選擇權，會被對應到內部評價選擇權所使用的履約價及到期天期，並將該類選擇權納入計算殘餘風險附加金額；</w:t>
      </w:r>
    </w:p>
    <w:p w14:paraId="6476C4E4" w14:textId="5BCA68BF" w:rsidR="00E850EC" w:rsidRPr="00CA1A43" w:rsidRDefault="00E240AD" w:rsidP="00605B1D">
      <w:pPr>
        <w:pStyle w:val="a7"/>
        <w:numPr>
          <w:ilvl w:val="0"/>
          <w:numId w:val="81"/>
        </w:numPr>
        <w:spacing w:beforeLines="50" w:before="180"/>
        <w:ind w:leftChars="0" w:left="1446" w:hanging="482"/>
        <w:jc w:val="both"/>
        <w:rPr>
          <w:rFonts w:eastAsia="標楷體" w:cstheme="minorHAnsi"/>
        </w:rPr>
      </w:pPr>
      <w:r w:rsidRPr="00CA1A43">
        <w:rPr>
          <w:rFonts w:eastAsia="標楷體" w:cstheme="minorHAnsi"/>
          <w:szCs w:val="24"/>
        </w:rPr>
        <w:t>對於沒有隱含波動度的</w:t>
      </w:r>
      <w:r w:rsidRPr="00CA1A43">
        <w:rPr>
          <w:rFonts w:eastAsia="標楷體" w:cstheme="minorHAnsi"/>
          <w:szCs w:val="24"/>
        </w:rPr>
        <w:t>CTP</w:t>
      </w:r>
      <w:r w:rsidRPr="00CA1A43">
        <w:rPr>
          <w:rFonts w:eastAsia="標楷體" w:cstheme="minorHAnsi"/>
          <w:szCs w:val="24"/>
        </w:rPr>
        <w:t>證券化分</w:t>
      </w:r>
      <w:proofErr w:type="gramStart"/>
      <w:r w:rsidRPr="00CA1A43">
        <w:rPr>
          <w:rFonts w:eastAsia="標楷體" w:cstheme="minorHAnsi"/>
          <w:szCs w:val="24"/>
        </w:rPr>
        <w:t>券</w:t>
      </w:r>
      <w:proofErr w:type="gramEnd"/>
      <w:r w:rsidRPr="00CA1A43">
        <w:rPr>
          <w:rFonts w:eastAsia="標楷體" w:cstheme="minorHAnsi"/>
          <w:szCs w:val="24"/>
        </w:rPr>
        <w:t>，毋需計算</w:t>
      </w:r>
      <w:proofErr w:type="spellStart"/>
      <w:r w:rsidRPr="00CA1A43">
        <w:rPr>
          <w:rFonts w:eastAsia="標楷體" w:cstheme="minorHAnsi"/>
          <w:szCs w:val="24"/>
        </w:rPr>
        <w:t>vega</w:t>
      </w:r>
      <w:proofErr w:type="spellEnd"/>
      <w:r w:rsidRPr="00CA1A43">
        <w:rPr>
          <w:rFonts w:eastAsia="標楷體" w:cstheme="minorHAnsi"/>
          <w:szCs w:val="24"/>
        </w:rPr>
        <w:t>風險資本要求，惟此類</w:t>
      </w:r>
      <w:r w:rsidR="009653EE" w:rsidRPr="00EF6B57">
        <w:rPr>
          <w:rFonts w:eastAsia="標楷體" w:cstheme="minorHAnsi"/>
          <w:szCs w:val="24"/>
        </w:rPr>
        <w:t>工具</w:t>
      </w:r>
      <w:r w:rsidRPr="00CA1A43">
        <w:rPr>
          <w:rFonts w:eastAsia="標楷體" w:cstheme="minorHAnsi"/>
          <w:szCs w:val="24"/>
        </w:rPr>
        <w:t>仍需計算</w:t>
      </w:r>
      <w:r w:rsidRPr="00CA1A43">
        <w:rPr>
          <w:rFonts w:eastAsia="標楷體" w:cstheme="minorHAnsi"/>
          <w:szCs w:val="24"/>
        </w:rPr>
        <w:t>delta</w:t>
      </w:r>
      <w:r w:rsidRPr="00CA1A43">
        <w:rPr>
          <w:rFonts w:eastAsia="標楷體" w:cstheme="minorHAnsi"/>
          <w:szCs w:val="24"/>
        </w:rPr>
        <w:t>和</w:t>
      </w:r>
      <w:r w:rsidRPr="00CA1A43">
        <w:rPr>
          <w:rFonts w:eastAsia="標楷體" w:cstheme="minorHAnsi"/>
          <w:szCs w:val="24"/>
        </w:rPr>
        <w:t>curvature</w:t>
      </w:r>
      <w:r w:rsidRPr="00CA1A43">
        <w:rPr>
          <w:rFonts w:eastAsia="標楷體" w:cstheme="minorHAnsi"/>
          <w:szCs w:val="24"/>
        </w:rPr>
        <w:t>風險資本要求。</w:t>
      </w:r>
    </w:p>
    <w:p w14:paraId="3B6C58D0" w14:textId="77777777" w:rsidR="006A2A1D" w:rsidRPr="00CA1A43" w:rsidRDefault="006A2A1D" w:rsidP="00605B1D">
      <w:pPr>
        <w:pStyle w:val="a7"/>
        <w:numPr>
          <w:ilvl w:val="0"/>
          <w:numId w:val="73"/>
        </w:numPr>
        <w:spacing w:beforeLines="50" w:before="180"/>
        <w:ind w:leftChars="0" w:left="964" w:hanging="482"/>
        <w:jc w:val="both"/>
        <w:rPr>
          <w:rFonts w:eastAsia="標楷體" w:cstheme="minorHAnsi"/>
        </w:rPr>
      </w:pPr>
      <w:r w:rsidRPr="00CA1A43">
        <w:rPr>
          <w:rFonts w:eastAsia="標楷體" w:cstheme="minorHAnsi"/>
        </w:rPr>
        <w:t>計算</w:t>
      </w:r>
      <w:r w:rsidRPr="00CA1A43">
        <w:rPr>
          <w:rFonts w:eastAsia="標楷體" w:cstheme="minorHAnsi"/>
          <w:szCs w:val="27"/>
        </w:rPr>
        <w:t>敏感性</w:t>
      </w:r>
      <w:r w:rsidRPr="00CA1A43">
        <w:rPr>
          <w:rFonts w:eastAsia="標楷體" w:cstheme="minorHAnsi"/>
        </w:rPr>
        <w:t>部位的其他要求</w:t>
      </w:r>
    </w:p>
    <w:p w14:paraId="4697F250" w14:textId="7807D13F" w:rsidR="006A2A1D" w:rsidRPr="00CA1A43" w:rsidRDefault="006A2A1D" w:rsidP="00605B1D">
      <w:pPr>
        <w:pStyle w:val="a7"/>
        <w:numPr>
          <w:ilvl w:val="0"/>
          <w:numId w:val="83"/>
        </w:numPr>
        <w:spacing w:beforeLines="50" w:before="180"/>
        <w:ind w:leftChars="0" w:left="1446" w:hanging="482"/>
        <w:jc w:val="both"/>
        <w:rPr>
          <w:rFonts w:eastAsia="標楷體" w:cstheme="minorHAnsi"/>
        </w:rPr>
      </w:pPr>
      <w:r w:rsidRPr="00CA1A43">
        <w:rPr>
          <w:rFonts w:eastAsia="標楷體" w:cstheme="minorHAnsi"/>
        </w:rPr>
        <w:lastRenderedPageBreak/>
        <w:t>計算具有選擇權特性</w:t>
      </w:r>
      <w:r w:rsidR="009653EE" w:rsidRPr="00EF6B57">
        <w:rPr>
          <w:rFonts w:eastAsia="標楷體" w:cstheme="minorHAnsi"/>
        </w:rPr>
        <w:t>工具</w:t>
      </w:r>
      <w:r w:rsidRPr="00CA1A43">
        <w:rPr>
          <w:rFonts w:eastAsia="標楷體" w:cstheme="minorHAnsi"/>
        </w:rPr>
        <w:t>的一階敏感性部位時，若採用</w:t>
      </w:r>
      <w:r w:rsidRPr="00CA1A43">
        <w:rPr>
          <w:rFonts w:eastAsia="標楷體" w:cstheme="minorHAnsi"/>
        </w:rPr>
        <w:t>“sticky strike”</w:t>
      </w:r>
      <w:r w:rsidRPr="00CA1A43">
        <w:rPr>
          <w:rFonts w:eastAsia="標楷體" w:cstheme="minorHAnsi"/>
        </w:rPr>
        <w:t>方法，必須假設隱含波動度為固定的。若採用</w:t>
      </w:r>
      <w:r w:rsidRPr="00CA1A43">
        <w:rPr>
          <w:rFonts w:eastAsia="標楷體" w:cstheme="minorHAnsi"/>
        </w:rPr>
        <w:t>“sticky delta”</w:t>
      </w:r>
      <w:r w:rsidRPr="00CA1A43">
        <w:rPr>
          <w:rFonts w:eastAsia="標楷體" w:cstheme="minorHAnsi"/>
        </w:rPr>
        <w:t>方法，則必須使得隱含波動度在給定的</w:t>
      </w:r>
      <w:r w:rsidRPr="00CA1A43">
        <w:rPr>
          <w:rFonts w:eastAsia="標楷體" w:cstheme="minorHAnsi"/>
        </w:rPr>
        <w:t>delta</w:t>
      </w:r>
      <w:r w:rsidRPr="00CA1A43">
        <w:rPr>
          <w:rFonts w:eastAsia="標楷體" w:cstheme="minorHAnsi"/>
        </w:rPr>
        <w:t>下將維持不變。</w:t>
      </w:r>
    </w:p>
    <w:p w14:paraId="4E37BD3B" w14:textId="77777777" w:rsidR="006A2A1D" w:rsidRPr="00CA1A43" w:rsidRDefault="006A2A1D" w:rsidP="00605B1D">
      <w:pPr>
        <w:pStyle w:val="a7"/>
        <w:numPr>
          <w:ilvl w:val="0"/>
          <w:numId w:val="83"/>
        </w:numPr>
        <w:spacing w:beforeLines="50" w:before="180"/>
        <w:ind w:leftChars="0" w:left="1446" w:hanging="482"/>
        <w:jc w:val="both"/>
        <w:rPr>
          <w:rFonts w:eastAsia="標楷體" w:cstheme="minorHAnsi"/>
        </w:rPr>
      </w:pPr>
      <w:r w:rsidRPr="00CA1A43">
        <w:rPr>
          <w:rFonts w:eastAsia="標楷體" w:cstheme="minorHAnsi"/>
        </w:rPr>
        <w:t>評價模型的分配假設方面，對於</w:t>
      </w:r>
      <w:r w:rsidRPr="00CA1A43">
        <w:rPr>
          <w:rFonts w:eastAsia="標楷體" w:cstheme="minorHAnsi"/>
        </w:rPr>
        <w:t xml:space="preserve">GIRR </w:t>
      </w:r>
      <w:r w:rsidRPr="00CA1A43">
        <w:rPr>
          <w:rFonts w:eastAsia="標楷體" w:cstheme="minorHAnsi"/>
        </w:rPr>
        <w:t>或</w:t>
      </w:r>
      <w:r w:rsidRPr="00CA1A43">
        <w:rPr>
          <w:rFonts w:eastAsia="標楷體" w:cstheme="minorHAnsi"/>
        </w:rPr>
        <w:t>CSR</w:t>
      </w:r>
      <w:r w:rsidRPr="00CA1A43">
        <w:rPr>
          <w:rFonts w:eastAsia="標楷體" w:cstheme="minorHAnsi"/>
        </w:rPr>
        <w:t>的</w:t>
      </w:r>
      <w:r w:rsidRPr="00CA1A43">
        <w:rPr>
          <w:rFonts w:eastAsia="標楷體" w:cstheme="minorHAnsi"/>
        </w:rPr>
        <w:t>Vega</w:t>
      </w:r>
      <w:r w:rsidRPr="00CA1A43">
        <w:rPr>
          <w:rFonts w:eastAsia="標楷體" w:cstheme="minorHAnsi"/>
        </w:rPr>
        <w:t>敏感性部位的計算，銀行可以使用對數常態或常態假設；對於權益證券、商品或外匯的</w:t>
      </w:r>
      <w:r w:rsidRPr="00CA1A43">
        <w:rPr>
          <w:rFonts w:eastAsia="標楷體" w:cstheme="minorHAnsi"/>
        </w:rPr>
        <w:t>Vega</w:t>
      </w:r>
      <w:r w:rsidRPr="00CA1A43">
        <w:rPr>
          <w:rFonts w:eastAsia="標楷體" w:cstheme="minorHAnsi"/>
        </w:rPr>
        <w:t>敏感性部位的計算，銀行必須使用對數常態假設。</w:t>
      </w:r>
    </w:p>
    <w:p w14:paraId="4B6355ED" w14:textId="77777777" w:rsidR="006A2A1D" w:rsidRPr="00CA1A43" w:rsidRDefault="006A2A1D" w:rsidP="00605B1D">
      <w:pPr>
        <w:pStyle w:val="a7"/>
        <w:numPr>
          <w:ilvl w:val="0"/>
          <w:numId w:val="83"/>
        </w:numPr>
        <w:spacing w:beforeLines="50" w:before="180"/>
        <w:ind w:leftChars="0" w:left="1446" w:hanging="482"/>
        <w:jc w:val="both"/>
        <w:rPr>
          <w:rFonts w:eastAsia="標楷體" w:cstheme="minorHAnsi"/>
        </w:rPr>
      </w:pPr>
      <w:r w:rsidRPr="00CA1A43">
        <w:rPr>
          <w:rFonts w:eastAsia="標楷體" w:cstheme="minorHAnsi"/>
        </w:rPr>
        <w:t>若銀行為了內部風險管理而使用與本計算說明不同計算方式計算</w:t>
      </w:r>
      <w:r w:rsidRPr="00CA1A43">
        <w:rPr>
          <w:rFonts w:eastAsia="標楷體" w:cstheme="minorHAnsi"/>
        </w:rPr>
        <w:t>Vega</w:t>
      </w:r>
      <w:r w:rsidRPr="00CA1A43">
        <w:rPr>
          <w:rFonts w:eastAsia="標楷體" w:cstheme="minorHAnsi"/>
        </w:rPr>
        <w:t>敏感性部位時，銀行得將該用以內部風險管理目的所計算之敏感性進行轉換，以推導出用於計算</w:t>
      </w:r>
      <w:r w:rsidRPr="00CA1A43">
        <w:rPr>
          <w:rFonts w:eastAsia="標楷體" w:cstheme="minorHAnsi"/>
        </w:rPr>
        <w:t>Vega</w:t>
      </w:r>
      <w:r w:rsidRPr="00CA1A43">
        <w:rPr>
          <w:rFonts w:eastAsia="標楷體" w:cstheme="minorHAnsi"/>
        </w:rPr>
        <w:t>風險之敏感性部位。</w:t>
      </w:r>
    </w:p>
    <w:p w14:paraId="3CE4489A" w14:textId="77777777" w:rsidR="00166348" w:rsidRPr="00CA1A43" w:rsidRDefault="006A2A1D" w:rsidP="00605B1D">
      <w:pPr>
        <w:pStyle w:val="a7"/>
        <w:numPr>
          <w:ilvl w:val="0"/>
          <w:numId w:val="83"/>
        </w:numPr>
        <w:spacing w:beforeLines="50" w:before="180"/>
        <w:ind w:leftChars="0" w:left="1446" w:hanging="482"/>
        <w:jc w:val="both"/>
        <w:rPr>
          <w:rFonts w:eastAsia="標楷體" w:cstheme="minorHAnsi"/>
        </w:rPr>
      </w:pPr>
      <w:r w:rsidRPr="00CA1A43">
        <w:rPr>
          <w:rFonts w:eastAsia="標楷體" w:cstheme="minorHAnsi"/>
        </w:rPr>
        <w:t>所有</w:t>
      </w:r>
      <w:r w:rsidRPr="00CA1A43">
        <w:rPr>
          <w:rFonts w:eastAsia="標楷體" w:cstheme="minorHAnsi"/>
        </w:rPr>
        <w:t>Vega</w:t>
      </w:r>
      <w:r w:rsidRPr="00CA1A43">
        <w:rPr>
          <w:rFonts w:eastAsia="標楷體" w:cstheme="minorHAnsi"/>
        </w:rPr>
        <w:t>敏感性部位的計算均無須考量信用評價調整</w:t>
      </w:r>
      <w:r w:rsidRPr="00CA1A43">
        <w:rPr>
          <w:rFonts w:eastAsia="標楷體" w:cstheme="minorHAnsi"/>
        </w:rPr>
        <w:t>(CVA)</w:t>
      </w:r>
      <w:r w:rsidRPr="00CA1A43">
        <w:rPr>
          <w:rFonts w:eastAsia="標楷體" w:cstheme="minorHAnsi"/>
        </w:rPr>
        <w:t>的影響。</w:t>
      </w:r>
    </w:p>
    <w:p w14:paraId="1CC21E2E" w14:textId="77777777" w:rsidR="00470582" w:rsidRPr="00CA1A43" w:rsidRDefault="00470582"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各風險類別之</w:t>
      </w:r>
      <w:r w:rsidRPr="00CA1A43">
        <w:rPr>
          <w:rFonts w:eastAsia="標楷體" w:cstheme="minorHAnsi"/>
        </w:rPr>
        <w:t>Delta</w:t>
      </w:r>
      <w:r w:rsidRPr="00CA1A43">
        <w:rPr>
          <w:rFonts w:eastAsia="標楷體" w:cstheme="minorHAnsi"/>
        </w:rPr>
        <w:t>與</w:t>
      </w:r>
      <w:r w:rsidRPr="00CA1A43">
        <w:rPr>
          <w:rFonts w:eastAsia="標楷體" w:cstheme="minorHAnsi"/>
        </w:rPr>
        <w:t>Vega</w:t>
      </w:r>
      <w:r w:rsidRPr="00CA1A43">
        <w:rPr>
          <w:rFonts w:eastAsia="標楷體" w:cstheme="minorHAnsi"/>
        </w:rPr>
        <w:t>風險資本要求計提方式</w:t>
      </w:r>
    </w:p>
    <w:p w14:paraId="5E0C8335" w14:textId="4706AF61" w:rsidR="00470582" w:rsidRPr="00CA1A43" w:rsidRDefault="00470582" w:rsidP="00605B1D">
      <w:pPr>
        <w:pStyle w:val="a7"/>
        <w:numPr>
          <w:ilvl w:val="0"/>
          <w:numId w:val="85"/>
        </w:numPr>
        <w:spacing w:beforeLines="50" w:before="180"/>
        <w:ind w:leftChars="0" w:left="964" w:hanging="482"/>
        <w:jc w:val="both"/>
        <w:rPr>
          <w:rFonts w:eastAsia="標楷體" w:cstheme="minorHAnsi"/>
          <w:szCs w:val="24"/>
        </w:rPr>
      </w:pPr>
      <w:r w:rsidRPr="00CA1A43">
        <w:rPr>
          <w:rFonts w:eastAsia="標楷體" w:cstheme="minorHAnsi"/>
        </w:rPr>
        <w:t>對於每一個風險類別，銀行必須確認其</w:t>
      </w:r>
      <w:r w:rsidR="009653EE" w:rsidRPr="00EF6B57">
        <w:rPr>
          <w:rFonts w:eastAsia="標楷體" w:cstheme="minorHAnsi"/>
        </w:rPr>
        <w:t>工具</w:t>
      </w:r>
      <w:r w:rsidRPr="00CA1A43">
        <w:rPr>
          <w:rFonts w:eastAsia="標楷體" w:cstheme="minorHAnsi"/>
        </w:rPr>
        <w:t>敏感性部位所對應之風險因子</w:t>
      </w:r>
      <w:r w:rsidRPr="00CA1A43">
        <w:rPr>
          <w:rFonts w:eastAsia="標楷體" w:cstheme="minorHAnsi"/>
          <w:szCs w:val="24"/>
        </w:rPr>
        <w:t>及</w:t>
      </w:r>
      <w:r w:rsidRPr="00CA1A43">
        <w:rPr>
          <w:rFonts w:eastAsia="標楷體" w:cstheme="minorHAnsi"/>
        </w:rPr>
        <w:t>風險權重，並依以下步驟分別加總加權敏感性部位以計算</w:t>
      </w:r>
      <w:r w:rsidRPr="00CA1A43">
        <w:rPr>
          <w:rFonts w:eastAsia="標楷體" w:cstheme="minorHAnsi"/>
        </w:rPr>
        <w:t>D</w:t>
      </w:r>
      <w:r w:rsidRPr="00CA1A43">
        <w:rPr>
          <w:rFonts w:eastAsia="標楷體" w:cstheme="minorHAnsi"/>
          <w:szCs w:val="24"/>
        </w:rPr>
        <w:t>elta</w:t>
      </w:r>
      <w:r w:rsidRPr="00CA1A43">
        <w:rPr>
          <w:rFonts w:eastAsia="標楷體" w:cstheme="minorHAnsi"/>
          <w:szCs w:val="24"/>
        </w:rPr>
        <w:t>和</w:t>
      </w:r>
      <w:r w:rsidRPr="00CA1A43">
        <w:rPr>
          <w:rFonts w:eastAsia="標楷體" w:cstheme="minorHAnsi"/>
          <w:szCs w:val="24"/>
        </w:rPr>
        <w:t>Vega</w:t>
      </w:r>
      <w:r w:rsidRPr="00CA1A43">
        <w:rPr>
          <w:rFonts w:eastAsia="標楷體" w:cstheme="minorHAnsi"/>
        </w:rPr>
        <w:t>風險資本要求：</w:t>
      </w:r>
    </w:p>
    <w:p w14:paraId="21126072" w14:textId="77777777" w:rsidR="00470582" w:rsidRPr="00CA1A43" w:rsidRDefault="00470582" w:rsidP="00605B1D">
      <w:pPr>
        <w:pStyle w:val="a7"/>
        <w:numPr>
          <w:ilvl w:val="0"/>
          <w:numId w:val="86"/>
        </w:numPr>
        <w:spacing w:beforeLines="50" w:before="180"/>
        <w:ind w:leftChars="0" w:left="1446" w:hanging="482"/>
        <w:jc w:val="both"/>
        <w:rPr>
          <w:rFonts w:eastAsia="標楷體" w:cstheme="minorHAnsi"/>
          <w:szCs w:val="24"/>
        </w:rPr>
      </w:pPr>
      <w:r w:rsidRPr="00CA1A43">
        <w:rPr>
          <w:rFonts w:eastAsia="標楷體" w:cstheme="minorHAnsi"/>
        </w:rPr>
        <w:t>計算每</w:t>
      </w:r>
      <w:r w:rsidRPr="00CA1A43">
        <w:rPr>
          <w:rFonts w:eastAsia="標楷體" w:cstheme="minorHAnsi"/>
          <w:szCs w:val="24"/>
        </w:rPr>
        <w:t>一個</w:t>
      </w:r>
      <w:r w:rsidRPr="00CA1A43">
        <w:rPr>
          <w:rFonts w:eastAsia="標楷體" w:cstheme="minorHAnsi"/>
        </w:rPr>
        <w:t>風險因子之敏感性部位</w:t>
      </w:r>
      <w:r w:rsidRPr="00CA1A43">
        <w:rPr>
          <w:rFonts w:eastAsia="標楷體" w:cstheme="minorHAnsi"/>
          <w:szCs w:val="24"/>
        </w:rPr>
        <w:t>。</w:t>
      </w:r>
    </w:p>
    <w:p w14:paraId="590AC73C" w14:textId="6392B94D" w:rsidR="00470582" w:rsidRPr="00CA1A43" w:rsidRDefault="00470582" w:rsidP="00605B1D">
      <w:pPr>
        <w:pStyle w:val="a7"/>
        <w:numPr>
          <w:ilvl w:val="0"/>
          <w:numId w:val="86"/>
        </w:numPr>
        <w:spacing w:beforeLines="50" w:before="180"/>
        <w:ind w:leftChars="0" w:left="1446" w:hanging="482"/>
        <w:jc w:val="both"/>
        <w:rPr>
          <w:rFonts w:eastAsia="標楷體" w:cstheme="minorHAnsi"/>
          <w:szCs w:val="24"/>
        </w:rPr>
      </w:pPr>
      <w:r w:rsidRPr="00CA1A43">
        <w:rPr>
          <w:rFonts w:eastAsia="標楷體" w:cstheme="minorHAnsi"/>
          <w:szCs w:val="24"/>
        </w:rPr>
        <w:t>在投資組合中，跨</w:t>
      </w:r>
      <w:r w:rsidR="009653EE" w:rsidRPr="00EF6B57">
        <w:rPr>
          <w:rFonts w:eastAsia="標楷體" w:cstheme="minorHAnsi"/>
          <w:szCs w:val="24"/>
        </w:rPr>
        <w:t>工具</w:t>
      </w:r>
      <w:r w:rsidRPr="00EF6B57">
        <w:rPr>
          <w:rFonts w:eastAsia="標楷體" w:cstheme="minorHAnsi"/>
          <w:szCs w:val="24"/>
        </w:rPr>
        <w:t>間相同風險因子之敏感性部位，必須針對每一個風險因子</w:t>
      </w:r>
      <w:r w:rsidRPr="00EF6B57">
        <w:rPr>
          <w:rFonts w:eastAsia="標楷體" w:cstheme="minorHAnsi"/>
          <w:szCs w:val="24"/>
        </w:rPr>
        <w:t>k</w:t>
      </w:r>
      <w:r w:rsidRPr="00EF6B57">
        <w:rPr>
          <w:rFonts w:eastAsia="標楷體" w:cstheme="minorHAnsi"/>
          <w:szCs w:val="24"/>
        </w:rPr>
        <w:t>計算部位相抵後之淨敏感性部位</w:t>
      </w:r>
      <w:r w:rsidRPr="00EF6B57">
        <w:rPr>
          <w:rFonts w:eastAsia="標楷體" w:cstheme="minorHAnsi"/>
          <w:szCs w:val="24"/>
        </w:rPr>
        <w:t>(</w:t>
      </w:r>
      <w:r w:rsidRPr="00EF6B57">
        <w:rPr>
          <w:rFonts w:ascii="Cambria Math" w:eastAsia="標楷體" w:hAnsi="Cambria Math" w:cs="Cambria Math"/>
          <w:szCs w:val="24"/>
        </w:rPr>
        <w:t>𝑠</w:t>
      </w:r>
      <w:r w:rsidRPr="00EF6B57">
        <w:rPr>
          <w:rFonts w:ascii="Cambria Math" w:eastAsia="標楷體" w:hAnsi="Cambria Math" w:cs="Cambria Math"/>
          <w:szCs w:val="24"/>
          <w:vertAlign w:val="subscript"/>
        </w:rPr>
        <w:t>𝑘</w:t>
      </w:r>
      <w:r w:rsidRPr="00EF6B57">
        <w:rPr>
          <w:rFonts w:eastAsia="標楷體" w:cstheme="minorHAnsi"/>
          <w:szCs w:val="24"/>
        </w:rPr>
        <w:t>)</w:t>
      </w:r>
      <w:r w:rsidRPr="00EF6B57">
        <w:rPr>
          <w:rFonts w:eastAsia="標楷體" w:cstheme="minorHAnsi"/>
          <w:szCs w:val="24"/>
        </w:rPr>
        <w:t>。在計算淨敏感性部位</w:t>
      </w:r>
      <w:r w:rsidRPr="00EF6B57">
        <w:rPr>
          <w:rFonts w:eastAsia="標楷體" w:cstheme="minorHAnsi"/>
          <w:szCs w:val="24"/>
        </w:rPr>
        <w:t>(</w:t>
      </w:r>
      <w:r w:rsidRPr="00EF6B57">
        <w:rPr>
          <w:rFonts w:ascii="Cambria Math" w:eastAsia="標楷體" w:hAnsi="Cambria Math" w:cs="Cambria Math"/>
          <w:szCs w:val="24"/>
        </w:rPr>
        <w:t>𝑠</w:t>
      </w:r>
      <w:r w:rsidRPr="00EF6B57">
        <w:rPr>
          <w:rFonts w:ascii="Cambria Math" w:eastAsia="標楷體" w:hAnsi="Cambria Math" w:cs="Cambria Math"/>
          <w:szCs w:val="24"/>
          <w:vertAlign w:val="subscript"/>
        </w:rPr>
        <w:t>𝑘</w:t>
      </w:r>
      <w:r w:rsidRPr="00EF6B57">
        <w:rPr>
          <w:rFonts w:eastAsia="標楷體" w:cstheme="minorHAnsi"/>
          <w:szCs w:val="24"/>
        </w:rPr>
        <w:t>)</w:t>
      </w:r>
      <w:r w:rsidRPr="00EF6B57">
        <w:rPr>
          <w:rFonts w:eastAsia="標楷體" w:cstheme="minorHAnsi"/>
          <w:szCs w:val="24"/>
        </w:rPr>
        <w:t>時，具有相同風險因子的</w:t>
      </w:r>
      <w:r w:rsidR="009653EE" w:rsidRPr="00EF6B57">
        <w:rPr>
          <w:rFonts w:eastAsia="標楷體" w:cstheme="minorHAnsi"/>
          <w:szCs w:val="24"/>
        </w:rPr>
        <w:t>工具</w:t>
      </w:r>
      <w:r w:rsidRPr="00EF6B57">
        <w:rPr>
          <w:rFonts w:eastAsia="標楷體" w:cstheme="minorHAnsi"/>
          <w:szCs w:val="24"/>
        </w:rPr>
        <w:t>，</w:t>
      </w:r>
      <w:r w:rsidRPr="00CA1A43">
        <w:rPr>
          <w:rFonts w:eastAsia="標楷體" w:cstheme="minorHAnsi"/>
          <w:szCs w:val="24"/>
        </w:rPr>
        <w:t>其相反方向的所有敏感性部位應互抵。</w:t>
      </w:r>
      <w:r w:rsidR="00BB481A" w:rsidRPr="00CA1A43">
        <w:rPr>
          <w:rStyle w:val="a5"/>
          <w:rFonts w:eastAsia="標楷體" w:cstheme="minorHAnsi"/>
        </w:rPr>
        <w:footnoteReference w:id="22"/>
      </w:r>
    </w:p>
    <w:p w14:paraId="0D8A3020" w14:textId="77777777" w:rsidR="00470582" w:rsidRPr="00CA1A43" w:rsidRDefault="00470582" w:rsidP="00605B1D">
      <w:pPr>
        <w:pStyle w:val="a7"/>
        <w:numPr>
          <w:ilvl w:val="0"/>
          <w:numId w:val="86"/>
        </w:numPr>
        <w:spacing w:beforeLines="50" w:before="180"/>
        <w:ind w:leftChars="0" w:left="1446" w:hanging="482"/>
        <w:jc w:val="both"/>
        <w:rPr>
          <w:rFonts w:eastAsia="標楷體" w:cstheme="minorHAnsi"/>
          <w:szCs w:val="24"/>
        </w:rPr>
      </w:pPr>
      <w:r w:rsidRPr="00CA1A43">
        <w:rPr>
          <w:rFonts w:eastAsia="標楷體" w:cstheme="minorHAnsi"/>
        </w:rPr>
        <w:t>加權敏感性</w:t>
      </w:r>
      <w:r w:rsidRPr="00CA1A43">
        <w:rPr>
          <w:rFonts w:eastAsia="標楷體" w:cstheme="minorHAnsi"/>
          <w:szCs w:val="24"/>
        </w:rPr>
        <w:t>部位</w:t>
      </w:r>
      <w:r w:rsidRPr="00CA1A43">
        <w:rPr>
          <w:rFonts w:eastAsia="標楷體" w:cstheme="minorHAnsi"/>
        </w:rPr>
        <w:t>(</w:t>
      </w:r>
      <w:r w:rsidRPr="00CA1A43">
        <w:rPr>
          <w:rFonts w:ascii="Cambria Math" w:eastAsia="標楷體" w:hAnsi="Cambria Math" w:cs="Cambria Math"/>
          <w:szCs w:val="24"/>
        </w:rPr>
        <w:t>𝑊</w:t>
      </w:r>
      <w:r w:rsidRPr="00CA1A43">
        <w:rPr>
          <w:rFonts w:eastAsia="標楷體" w:cstheme="minorHAnsi"/>
          <w:szCs w:val="24"/>
        </w:rPr>
        <w:t>S</w:t>
      </w:r>
      <w:r w:rsidRPr="00CA1A43">
        <w:rPr>
          <w:rFonts w:ascii="Cambria Math" w:eastAsia="標楷體" w:hAnsi="Cambria Math" w:cs="Cambria Math"/>
          <w:szCs w:val="24"/>
          <w:vertAlign w:val="subscript"/>
        </w:rPr>
        <w:t>𝑘</w:t>
      </w:r>
      <w:r w:rsidRPr="00CA1A43">
        <w:rPr>
          <w:rFonts w:eastAsia="標楷體" w:cstheme="minorHAnsi"/>
          <w:szCs w:val="24"/>
        </w:rPr>
        <w:t>)</w:t>
      </w:r>
      <w:r w:rsidRPr="00CA1A43">
        <w:rPr>
          <w:rFonts w:eastAsia="標楷體" w:cstheme="minorHAnsi"/>
          <w:szCs w:val="24"/>
        </w:rPr>
        <w:t>，為淨敏感性部位</w:t>
      </w:r>
      <w:r w:rsidRPr="00CA1A43">
        <w:rPr>
          <w:rFonts w:eastAsia="標楷體" w:cstheme="minorHAnsi"/>
          <w:szCs w:val="24"/>
        </w:rPr>
        <w:t>(</w:t>
      </w:r>
      <w:r w:rsidRPr="00CA1A43">
        <w:rPr>
          <w:rFonts w:ascii="Cambria Math" w:eastAsia="標楷體" w:hAnsi="Cambria Math" w:cs="Cambria Math"/>
          <w:szCs w:val="24"/>
        </w:rPr>
        <w:t>𝑠</w:t>
      </w:r>
      <w:r w:rsidRPr="00CA1A43">
        <w:rPr>
          <w:rFonts w:ascii="Cambria Math" w:eastAsia="標楷體" w:hAnsi="Cambria Math" w:cs="Cambria Math"/>
          <w:szCs w:val="24"/>
          <w:vertAlign w:val="subscript"/>
        </w:rPr>
        <w:t>𝑘</w:t>
      </w:r>
      <w:r w:rsidRPr="00CA1A43">
        <w:rPr>
          <w:rFonts w:eastAsia="標楷體" w:cstheme="minorHAnsi"/>
          <w:szCs w:val="24"/>
        </w:rPr>
        <w:t>)</w:t>
      </w:r>
      <w:r w:rsidRPr="00CA1A43">
        <w:rPr>
          <w:rFonts w:eastAsia="標楷體" w:cstheme="minorHAnsi"/>
          <w:szCs w:val="24"/>
        </w:rPr>
        <w:t>和相對應風險權重</w:t>
      </w:r>
      <w:r w:rsidRPr="00CA1A43">
        <w:rPr>
          <w:rFonts w:eastAsia="標楷體" w:cstheme="minorHAnsi"/>
        </w:rPr>
        <w:t>(</w:t>
      </w:r>
      <w:proofErr w:type="spellStart"/>
      <w:r w:rsidRPr="00CA1A43">
        <w:rPr>
          <w:rFonts w:eastAsia="標楷體" w:cstheme="minorHAnsi"/>
          <w:i/>
          <w:szCs w:val="24"/>
        </w:rPr>
        <w:t>RW</w:t>
      </w:r>
      <w:r w:rsidRPr="00CA1A43">
        <w:rPr>
          <w:rFonts w:eastAsia="標楷體" w:cstheme="minorHAnsi"/>
          <w:i/>
          <w:szCs w:val="24"/>
          <w:vertAlign w:val="subscript"/>
        </w:rPr>
        <w:t>k</w:t>
      </w:r>
      <w:proofErr w:type="spellEnd"/>
      <w:r w:rsidRPr="00CA1A43">
        <w:rPr>
          <w:rFonts w:eastAsia="標楷體" w:cstheme="minorHAnsi"/>
          <w:szCs w:val="24"/>
        </w:rPr>
        <w:t>)</w:t>
      </w:r>
      <w:r w:rsidRPr="00CA1A43">
        <w:rPr>
          <w:rFonts w:eastAsia="標楷體" w:cstheme="minorHAnsi"/>
          <w:szCs w:val="24"/>
        </w:rPr>
        <w:t>的乘積。</w:t>
      </w:r>
    </w:p>
    <w:p w14:paraId="0965019D" w14:textId="77777777" w:rsidR="00470582" w:rsidRPr="00CA1A43" w:rsidRDefault="00AA1117" w:rsidP="00470582">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WS</m:t>
              </m:r>
            </m:e>
            <m:sub>
              <m:r>
                <w:rPr>
                  <w:rFonts w:ascii="Cambria Math" w:eastAsia="標楷體" w:hAnsi="Cambria Math" w:cstheme="minorHAnsi"/>
                  <w:szCs w:val="24"/>
                </w:rPr>
                <m:t>k</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RW</m:t>
              </m:r>
            </m:e>
            <m:sub>
              <m:r>
                <w:rPr>
                  <w:rFonts w:ascii="Cambria Math" w:eastAsia="標楷體" w:hAnsi="Cambria Math" w:cstheme="minorHAnsi"/>
                  <w:szCs w:val="24"/>
                </w:rPr>
                <m:t>k</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k</m:t>
              </m:r>
            </m:sub>
          </m:sSub>
        </m:oMath>
      </m:oMathPara>
    </w:p>
    <w:p w14:paraId="02FB8A2D" w14:textId="77777777" w:rsidR="00470582" w:rsidRPr="00CA1A43" w:rsidRDefault="00470582" w:rsidP="00605B1D">
      <w:pPr>
        <w:pStyle w:val="a7"/>
        <w:numPr>
          <w:ilvl w:val="0"/>
          <w:numId w:val="86"/>
        </w:numPr>
        <w:spacing w:beforeLines="50" w:before="180"/>
        <w:ind w:leftChars="0" w:left="1446" w:hanging="482"/>
        <w:jc w:val="both"/>
        <w:rPr>
          <w:rFonts w:eastAsia="標楷體" w:cstheme="minorHAnsi"/>
          <w:szCs w:val="24"/>
        </w:rPr>
      </w:pPr>
      <w:proofErr w:type="gramStart"/>
      <w:r w:rsidRPr="00CA1A43">
        <w:rPr>
          <w:rFonts w:eastAsia="標楷體" w:cstheme="minorHAnsi"/>
          <w:szCs w:val="24"/>
        </w:rPr>
        <w:t>組別內加</w:t>
      </w:r>
      <w:proofErr w:type="gramEnd"/>
      <w:r w:rsidRPr="00CA1A43">
        <w:rPr>
          <w:rFonts w:eastAsia="標楷體" w:cstheme="minorHAnsi"/>
          <w:szCs w:val="24"/>
        </w:rPr>
        <w:t>總：以組別</w:t>
      </w:r>
      <w:r w:rsidRPr="00CA1A43">
        <w:rPr>
          <w:rFonts w:eastAsia="標楷體" w:cstheme="minorHAnsi"/>
          <w:szCs w:val="24"/>
        </w:rPr>
        <w:t>b</w:t>
      </w:r>
      <w:r w:rsidRPr="00CA1A43">
        <w:rPr>
          <w:rFonts w:eastAsia="標楷體" w:cstheme="minorHAnsi"/>
          <w:szCs w:val="24"/>
        </w:rPr>
        <w:t>為例，對於組別</w:t>
      </w:r>
      <w:r w:rsidRPr="00CA1A43">
        <w:rPr>
          <w:rFonts w:eastAsia="標楷體" w:cstheme="minorHAnsi"/>
          <w:szCs w:val="24"/>
        </w:rPr>
        <w:t>b</w:t>
      </w:r>
      <w:r w:rsidRPr="00CA1A43">
        <w:rPr>
          <w:rFonts w:eastAsia="標楷體" w:cstheme="minorHAnsi"/>
          <w:szCs w:val="24"/>
        </w:rPr>
        <w:t>的風險部位</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rPr>
        <w:t>)</w:t>
      </w:r>
      <w:r w:rsidRPr="00CA1A43">
        <w:rPr>
          <w:rFonts w:eastAsia="標楷體" w:cstheme="minorHAnsi"/>
          <w:szCs w:val="24"/>
        </w:rPr>
        <w:t>，其</w:t>
      </w:r>
      <w:r w:rsidRPr="00CA1A43">
        <w:rPr>
          <w:rFonts w:eastAsia="標楷體" w:cstheme="minorHAnsi"/>
          <w:szCs w:val="24"/>
        </w:rPr>
        <w:t>Delta</w:t>
      </w:r>
      <w:r w:rsidRPr="00CA1A43">
        <w:rPr>
          <w:rFonts w:eastAsia="標楷體" w:cstheme="minorHAnsi"/>
          <w:szCs w:val="24"/>
        </w:rPr>
        <w:t>、</w:t>
      </w:r>
      <w:r w:rsidRPr="00CA1A43">
        <w:rPr>
          <w:rFonts w:eastAsia="標楷體" w:cstheme="minorHAnsi"/>
          <w:szCs w:val="24"/>
        </w:rPr>
        <w:t>Vega</w:t>
      </w:r>
      <w:r w:rsidRPr="00CA1A43">
        <w:rPr>
          <w:rFonts w:eastAsia="標楷體" w:cstheme="minorHAnsi"/>
          <w:szCs w:val="24"/>
        </w:rPr>
        <w:t>的計算如以下公式所述，對於同一組別下的風險因子敏感度使用本計算說明規定的相關係數</w:t>
      </w:r>
      <w:r w:rsidRPr="00CA1A43">
        <w:rPr>
          <w:rFonts w:eastAsia="標楷體" w:cstheme="minorHAnsi"/>
          <w:szCs w:val="24"/>
        </w:rPr>
        <w:t>(</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w:t>
      </w:r>
      <w:r w:rsidRPr="00CA1A43">
        <w:rPr>
          <w:rFonts w:eastAsia="標楷體" w:cstheme="minorHAnsi"/>
          <w:szCs w:val="24"/>
          <w:vertAlign w:val="subscript"/>
        </w:rPr>
        <w:t>l</w:t>
      </w:r>
      <w:r w:rsidRPr="00CA1A43">
        <w:rPr>
          <w:rFonts w:eastAsia="標楷體" w:cstheme="minorHAnsi"/>
          <w:szCs w:val="24"/>
        </w:rPr>
        <w:t>)</w:t>
      </w:r>
      <w:r w:rsidRPr="00CA1A43">
        <w:rPr>
          <w:rFonts w:eastAsia="標楷體" w:cstheme="minorHAnsi"/>
          <w:szCs w:val="24"/>
        </w:rPr>
        <w:t>，將加權敏感性部位加總計算得之。</w:t>
      </w:r>
    </w:p>
    <w:p w14:paraId="06F0A549" w14:textId="77777777" w:rsidR="00470582" w:rsidRPr="00CA1A43" w:rsidRDefault="00AA1117" w:rsidP="00470582">
      <w:pPr>
        <w:pStyle w:val="a7"/>
        <w:spacing w:beforeLines="50" w:before="180"/>
        <w:ind w:leftChars="0" w:left="1446"/>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K</m:t>
              </m:r>
            </m:e>
            <m:sub>
              <m:r>
                <w:rPr>
                  <w:rFonts w:ascii="Cambria Math" w:eastAsia="標楷體" w:hAnsi="Cambria Math" w:cstheme="minorHAnsi"/>
                  <w:szCs w:val="24"/>
                </w:rPr>
                <m:t>b</m:t>
              </m:r>
            </m:sub>
          </m:sSub>
          <m:r>
            <w:rPr>
              <w:rFonts w:ascii="Cambria Math" w:eastAsia="標楷體" w:hAnsi="Cambria Math" w:cstheme="minorHAnsi"/>
              <w:szCs w:val="24"/>
            </w:rPr>
            <m:t>=</m:t>
          </m:r>
          <m:rad>
            <m:radPr>
              <m:degHide m:val="1"/>
              <m:ctrlPr>
                <w:rPr>
                  <w:rFonts w:ascii="Cambria Math" w:eastAsia="標楷體" w:hAnsi="Cambria Math" w:cstheme="minorHAnsi"/>
                  <w:i/>
                  <w:szCs w:val="24"/>
                </w:rPr>
              </m:ctrlPr>
            </m:radPr>
            <m:deg/>
            <m:e>
              <m:r>
                <m:rPr>
                  <m:sty m:val="p"/>
                </m:rPr>
                <w:rPr>
                  <w:rFonts w:ascii="Cambria Math" w:eastAsia="標楷體" w:hAnsi="Cambria Math" w:cstheme="minorHAnsi"/>
                  <w:szCs w:val="24"/>
                </w:rPr>
                <m:t>max⁡</m:t>
              </m:r>
              <m:r>
                <w:rPr>
                  <w:rFonts w:ascii="Cambria Math" w:eastAsia="標楷體" w:hAnsi="Cambria Math" w:cstheme="minorHAnsi"/>
                  <w:szCs w:val="24"/>
                </w:rPr>
                <m:t xml:space="preserve">(0, </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sSubSup>
                    <m:sSubSupPr>
                      <m:ctrlPr>
                        <w:rPr>
                          <w:rFonts w:ascii="Cambria Math" w:eastAsia="標楷體" w:hAnsi="Cambria Math" w:cstheme="minorHAnsi"/>
                          <w:i/>
                          <w:szCs w:val="24"/>
                        </w:rPr>
                      </m:ctrlPr>
                    </m:sSubSupPr>
                    <m:e>
                      <m:r>
                        <w:rPr>
                          <w:rFonts w:ascii="Cambria Math" w:eastAsia="標楷體" w:hAnsi="Cambria Math" w:cstheme="minorHAnsi"/>
                          <w:szCs w:val="24"/>
                        </w:rPr>
                        <m:t>WS</m:t>
                      </m:r>
                    </m:e>
                    <m:sub>
                      <m:r>
                        <w:rPr>
                          <w:rFonts w:ascii="Cambria Math" w:eastAsia="標楷體" w:hAnsi="Cambria Math" w:cstheme="minorHAnsi"/>
                          <w:szCs w:val="24"/>
                        </w:rPr>
                        <m:t>k</m:t>
                      </m:r>
                    </m:sub>
                    <m:sup>
                      <m:r>
                        <w:rPr>
                          <w:rFonts w:ascii="Cambria Math" w:eastAsia="標楷體" w:hAnsi="Cambria Math" w:cstheme="minorHAnsi"/>
                          <w:szCs w:val="24"/>
                        </w:rPr>
                        <m:t>2</m:t>
                      </m:r>
                    </m:sup>
                  </m:sSubSup>
                </m:e>
              </m:nary>
              <m:r>
                <w:rPr>
                  <w:rFonts w:ascii="Cambria Math" w:eastAsia="標楷體" w:hAnsi="Cambria Math" w:cstheme="minorHAnsi"/>
                  <w:szCs w:val="24"/>
                </w:rPr>
                <m:t>+</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k≠l</m:t>
                      </m:r>
                    </m:sub>
                    <m:sup/>
                    <m:e>
                      <m:sSub>
                        <m:sSubPr>
                          <m:ctrlPr>
                            <w:rPr>
                              <w:rFonts w:ascii="Cambria Math" w:eastAsia="標楷體" w:hAnsi="Cambria Math" w:cstheme="minorHAnsi"/>
                              <w:i/>
                              <w:szCs w:val="24"/>
                            </w:rPr>
                          </m:ctrlPr>
                        </m:sSubPr>
                        <m:e>
                          <m:r>
                            <w:rPr>
                              <w:rFonts w:ascii="Cambria Math" w:eastAsia="標楷體" w:hAnsi="Cambria Math" w:cstheme="minorHAnsi"/>
                              <w:szCs w:val="24"/>
                            </w:rPr>
                            <m:t>ρ</m:t>
                          </m:r>
                        </m:e>
                        <m:sub>
                          <m:r>
                            <w:rPr>
                              <w:rFonts w:ascii="Cambria Math" w:eastAsia="標楷體" w:hAnsi="Cambria Math" w:cstheme="minorHAnsi"/>
                              <w:szCs w:val="24"/>
                            </w:rPr>
                            <m:t>kl</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WS</m:t>
                          </m:r>
                        </m:e>
                        <m:sub>
                          <m:r>
                            <w:rPr>
                              <w:rFonts w:ascii="Cambria Math" w:eastAsia="標楷體" w:hAnsi="Cambria Math" w:cstheme="minorHAnsi"/>
                              <w:szCs w:val="24"/>
                            </w:rPr>
                            <m:t>k</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WS</m:t>
                          </m:r>
                        </m:e>
                        <m:sub>
                          <m:r>
                            <w:rPr>
                              <w:rFonts w:ascii="Cambria Math" w:eastAsia="標楷體" w:hAnsi="Cambria Math" w:cstheme="minorHAnsi"/>
                              <w:szCs w:val="24"/>
                            </w:rPr>
                            <m:t>l</m:t>
                          </m:r>
                        </m:sub>
                      </m:sSub>
                    </m:e>
                  </m:nary>
                </m:e>
              </m:nary>
              <m:r>
                <w:rPr>
                  <w:rFonts w:ascii="Cambria Math" w:eastAsia="標楷體" w:hAnsi="Cambria Math" w:cstheme="minorHAnsi"/>
                  <w:szCs w:val="24"/>
                </w:rPr>
                <m:t>)</m:t>
              </m:r>
            </m:e>
          </m:rad>
        </m:oMath>
      </m:oMathPara>
    </w:p>
    <w:p w14:paraId="59019931" w14:textId="77777777" w:rsidR="00470582" w:rsidRPr="00CA1A43" w:rsidRDefault="00470582" w:rsidP="00605B1D">
      <w:pPr>
        <w:pStyle w:val="a7"/>
        <w:numPr>
          <w:ilvl w:val="0"/>
          <w:numId w:val="86"/>
        </w:numPr>
        <w:spacing w:beforeLines="50" w:before="180"/>
        <w:ind w:leftChars="0" w:left="1446" w:hanging="482"/>
        <w:jc w:val="both"/>
        <w:rPr>
          <w:rFonts w:eastAsia="標楷體" w:cstheme="minorHAnsi"/>
          <w:szCs w:val="24"/>
        </w:rPr>
      </w:pPr>
      <w:r w:rsidRPr="00CA1A43">
        <w:rPr>
          <w:rFonts w:eastAsia="標楷體" w:cstheme="minorHAnsi"/>
          <w:szCs w:val="24"/>
        </w:rPr>
        <w:t>跨</w:t>
      </w:r>
      <w:proofErr w:type="gramStart"/>
      <w:r w:rsidRPr="00CA1A43">
        <w:rPr>
          <w:rFonts w:eastAsia="標楷體" w:cstheme="minorHAnsi"/>
          <w:szCs w:val="24"/>
        </w:rPr>
        <w:t>組別加總</w:t>
      </w:r>
      <w:proofErr w:type="gramEnd"/>
      <w:r w:rsidRPr="00CA1A43">
        <w:rPr>
          <w:rFonts w:eastAsia="標楷體" w:cstheme="minorHAnsi"/>
          <w:szCs w:val="24"/>
        </w:rPr>
        <w:t>：在每</w:t>
      </w:r>
      <w:proofErr w:type="gramStart"/>
      <w:r w:rsidRPr="00CA1A43">
        <w:rPr>
          <w:rFonts w:eastAsia="標楷體" w:cstheme="minorHAnsi"/>
          <w:szCs w:val="24"/>
        </w:rPr>
        <w:t>個</w:t>
      </w:r>
      <w:proofErr w:type="gramEnd"/>
      <w:r w:rsidRPr="00CA1A43">
        <w:rPr>
          <w:rFonts w:eastAsia="標楷體" w:cstheme="minorHAnsi"/>
          <w:szCs w:val="24"/>
        </w:rPr>
        <w:t>風險類別內，藉由下列公式</w:t>
      </w:r>
      <w:proofErr w:type="gramStart"/>
      <w:r w:rsidRPr="00CA1A43">
        <w:rPr>
          <w:rFonts w:eastAsia="標楷體" w:cstheme="minorHAnsi"/>
          <w:szCs w:val="24"/>
        </w:rPr>
        <w:t>加總跨組</w:t>
      </w:r>
      <w:proofErr w:type="gramEnd"/>
      <w:r w:rsidRPr="00CA1A43">
        <w:rPr>
          <w:rFonts w:eastAsia="標楷體" w:cstheme="minorHAnsi"/>
          <w:szCs w:val="24"/>
        </w:rPr>
        <w:t>別</w:t>
      </w:r>
      <w:proofErr w:type="gramStart"/>
      <w:r w:rsidRPr="00CA1A43">
        <w:rPr>
          <w:rFonts w:eastAsia="標楷體" w:cstheme="minorHAnsi"/>
          <w:szCs w:val="24"/>
        </w:rPr>
        <w:t>之</w:t>
      </w:r>
      <w:proofErr w:type="gramEnd"/>
      <w:r w:rsidRPr="00CA1A43">
        <w:rPr>
          <w:rFonts w:eastAsia="標楷體" w:cstheme="minorHAnsi"/>
          <w:szCs w:val="24"/>
        </w:rPr>
        <w:t>Delta</w:t>
      </w:r>
      <w:r w:rsidRPr="00CA1A43">
        <w:rPr>
          <w:rFonts w:eastAsia="標楷體" w:cstheme="minorHAnsi"/>
          <w:szCs w:val="24"/>
        </w:rPr>
        <w:t>、</w:t>
      </w:r>
      <w:r w:rsidRPr="00CA1A43">
        <w:rPr>
          <w:rFonts w:eastAsia="標楷體" w:cstheme="minorHAnsi"/>
          <w:szCs w:val="24"/>
        </w:rPr>
        <w:lastRenderedPageBreak/>
        <w:t>Vega</w:t>
      </w:r>
      <w:r w:rsidRPr="00CA1A43">
        <w:rPr>
          <w:rFonts w:eastAsia="標楷體" w:cstheme="minorHAnsi"/>
          <w:szCs w:val="24"/>
        </w:rPr>
        <w:t>風險部位來計算</w:t>
      </w:r>
      <w:r w:rsidRPr="00CA1A43">
        <w:rPr>
          <w:rFonts w:eastAsia="標楷體" w:cstheme="minorHAnsi"/>
          <w:szCs w:val="24"/>
        </w:rPr>
        <w:t>Delta</w:t>
      </w:r>
      <w:r w:rsidRPr="00CA1A43">
        <w:rPr>
          <w:rFonts w:eastAsia="標楷體" w:cstheme="minorHAnsi"/>
          <w:szCs w:val="24"/>
        </w:rPr>
        <w:t>、</w:t>
      </w:r>
      <w:r w:rsidRPr="00CA1A43">
        <w:rPr>
          <w:rFonts w:eastAsia="標楷體" w:cstheme="minorHAnsi"/>
          <w:szCs w:val="24"/>
        </w:rPr>
        <w:t>Vega</w:t>
      </w:r>
      <w:r w:rsidRPr="00CA1A43">
        <w:rPr>
          <w:rFonts w:eastAsia="標楷體" w:cstheme="minorHAnsi"/>
          <w:szCs w:val="24"/>
        </w:rPr>
        <w:t>風險資本要求，並使用本計算說明規定之相關係數</w:t>
      </w:r>
      <w:r w:rsidRPr="00CA1A43">
        <w:rPr>
          <w:rFonts w:eastAsia="標楷體" w:cstheme="minorHAnsi"/>
          <w:szCs w:val="24"/>
        </w:rPr>
        <w:t>(</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rPr>
        <w:t>)</w:t>
      </w:r>
      <w:r w:rsidRPr="00CA1A43">
        <w:rPr>
          <w:rFonts w:eastAsia="標楷體" w:cstheme="minorHAnsi"/>
          <w:szCs w:val="24"/>
        </w:rPr>
        <w:t>計算：</w:t>
      </w:r>
    </w:p>
    <w:p w14:paraId="2D5EDC10" w14:textId="77777777" w:rsidR="00470582" w:rsidRPr="00CA1A43" w:rsidRDefault="00470582" w:rsidP="00470582">
      <w:pPr>
        <w:pStyle w:val="a7"/>
        <w:spacing w:beforeLines="50" w:before="180"/>
        <w:ind w:leftChars="0" w:left="1446"/>
        <w:jc w:val="both"/>
        <w:rPr>
          <w:rFonts w:eastAsia="標楷體" w:cstheme="minorHAnsi"/>
          <w:szCs w:val="24"/>
        </w:rPr>
      </w:pPr>
      <m:oMathPara>
        <m:oMath>
          <m:r>
            <w:rPr>
              <w:rFonts w:ascii="Cambria Math" w:eastAsia="標楷體" w:hAnsi="Cambria Math" w:cstheme="minorHAnsi"/>
              <w:szCs w:val="24"/>
            </w:rPr>
            <m:t xml:space="preserve">Delta </m:t>
          </m:r>
          <m:d>
            <m:dPr>
              <m:ctrlPr>
                <w:rPr>
                  <w:rFonts w:ascii="Cambria Math" w:eastAsia="標楷體" w:hAnsi="Cambria Math" w:cstheme="minorHAnsi"/>
                  <w:szCs w:val="24"/>
                </w:rPr>
              </m:ctrlPr>
            </m:dPr>
            <m:e>
              <m:r>
                <w:rPr>
                  <w:rFonts w:ascii="Cambria Math" w:eastAsia="標楷體" w:hAnsi="Cambria Math" w:cstheme="minorHAnsi"/>
                  <w:szCs w:val="24"/>
                </w:rPr>
                <m:t>respectively vega</m:t>
              </m:r>
            </m:e>
          </m:d>
          <m:r>
            <m:rPr>
              <m:sty m:val="p"/>
            </m:rPr>
            <w:rPr>
              <w:rFonts w:ascii="Cambria Math" w:eastAsia="標楷體" w:hAnsi="Cambria Math" w:cstheme="minorHAnsi"/>
              <w:szCs w:val="24"/>
            </w:rPr>
            <m:t>=</m:t>
          </m:r>
          <m:rad>
            <m:radPr>
              <m:degHide m:val="1"/>
              <m:ctrlPr>
                <w:rPr>
                  <w:rFonts w:ascii="Cambria Math" w:eastAsia="標楷體" w:hAnsi="Cambria Math" w:cstheme="minorHAnsi"/>
                  <w:szCs w:val="24"/>
                </w:rPr>
              </m:ctrlPr>
            </m:radPr>
            <m:deg/>
            <m:e>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b</m:t>
                  </m:r>
                </m:sub>
                <m:sup/>
                <m:e>
                  <m:sSubSup>
                    <m:sSubSupPr>
                      <m:ctrlPr>
                        <w:rPr>
                          <w:rFonts w:ascii="Cambria Math" w:eastAsia="標楷體" w:hAnsi="Cambria Math" w:cstheme="minorHAnsi"/>
                          <w:i/>
                          <w:szCs w:val="24"/>
                        </w:rPr>
                      </m:ctrlPr>
                    </m:sSubSupPr>
                    <m:e>
                      <m:r>
                        <w:rPr>
                          <w:rFonts w:ascii="Cambria Math" w:eastAsia="標楷體" w:hAnsi="Cambria Math" w:cstheme="minorHAnsi"/>
                          <w:szCs w:val="24"/>
                        </w:rPr>
                        <m:t>K</m:t>
                      </m:r>
                    </m:e>
                    <m:sub>
                      <m:r>
                        <w:rPr>
                          <w:rFonts w:ascii="Cambria Math" w:eastAsia="標楷體" w:hAnsi="Cambria Math" w:cstheme="minorHAnsi"/>
                          <w:szCs w:val="24"/>
                        </w:rPr>
                        <m:t>b</m:t>
                      </m:r>
                    </m:sub>
                    <m:sup>
                      <m:r>
                        <w:rPr>
                          <w:rFonts w:ascii="Cambria Math" w:eastAsia="標楷體" w:hAnsi="Cambria Math" w:cstheme="minorHAnsi"/>
                          <w:szCs w:val="24"/>
                        </w:rPr>
                        <m:t>2</m:t>
                      </m:r>
                    </m:sup>
                  </m:sSubSup>
                </m:e>
              </m:nary>
              <m:r>
                <w:rPr>
                  <w:rFonts w:ascii="Cambria Math" w:eastAsia="標楷體" w:hAnsi="Cambria Math" w:cstheme="minorHAnsi"/>
                  <w:szCs w:val="24"/>
                </w:rPr>
                <m:t>+</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b</m:t>
                  </m:r>
                </m:sub>
                <m:sup/>
                <m:e>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c≠b</m:t>
                      </m:r>
                    </m:sub>
                    <m:sup/>
                    <m:e>
                      <m:sSub>
                        <m:sSubPr>
                          <m:ctrlPr>
                            <w:rPr>
                              <w:rFonts w:ascii="Cambria Math" w:eastAsia="標楷體" w:hAnsi="Cambria Math" w:cstheme="minorHAnsi"/>
                              <w:i/>
                              <w:szCs w:val="24"/>
                            </w:rPr>
                          </m:ctrlPr>
                        </m:sSubPr>
                        <m:e>
                          <m:r>
                            <w:rPr>
                              <w:rFonts w:ascii="Cambria Math" w:eastAsia="標楷體" w:hAnsi="Cambria Math" w:cstheme="minorHAnsi"/>
                              <w:szCs w:val="24"/>
                            </w:rPr>
                            <m:t>γ</m:t>
                          </m:r>
                        </m:e>
                        <m:sub>
                          <m:r>
                            <w:rPr>
                              <w:rFonts w:ascii="Cambria Math" w:eastAsia="標楷體" w:hAnsi="Cambria Math" w:cstheme="minorHAnsi"/>
                              <w:szCs w:val="24"/>
                            </w:rPr>
                            <m:t>bc</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b</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c</m:t>
                          </m:r>
                        </m:sub>
                      </m:sSub>
                    </m:e>
                  </m:nary>
                </m:e>
              </m:nary>
            </m:e>
          </m:rad>
        </m:oMath>
      </m:oMathPara>
    </w:p>
    <w:p w14:paraId="2B2D1241" w14:textId="77777777" w:rsidR="00470582" w:rsidRPr="00CA1A43" w:rsidRDefault="00470582" w:rsidP="00470582">
      <w:pPr>
        <w:pStyle w:val="a7"/>
        <w:spacing w:beforeLines="50" w:before="180"/>
        <w:ind w:leftChars="0" w:left="1446"/>
        <w:jc w:val="both"/>
        <w:rPr>
          <w:rFonts w:eastAsia="標楷體" w:cstheme="minorHAnsi"/>
          <w:szCs w:val="24"/>
          <w:bdr w:val="single" w:sz="4" w:space="0" w:color="auto"/>
        </w:rPr>
      </w:pPr>
      <w:r w:rsidRPr="00CA1A43">
        <w:rPr>
          <w:rFonts w:eastAsia="標楷體" w:cstheme="minorHAnsi"/>
          <w:szCs w:val="24"/>
        </w:rPr>
        <w:t>其中，以組別</w:t>
      </w:r>
      <w:r w:rsidRPr="00CA1A43">
        <w:rPr>
          <w:rFonts w:eastAsia="標楷體" w:cstheme="minorHAnsi"/>
          <w:szCs w:val="24"/>
        </w:rPr>
        <w:t>b</w:t>
      </w:r>
      <w:r w:rsidRPr="00CA1A43">
        <w:rPr>
          <w:rFonts w:eastAsia="標楷體" w:cstheme="minorHAnsi"/>
          <w:szCs w:val="24"/>
        </w:rPr>
        <w:t>和組別</w:t>
      </w:r>
      <w:r w:rsidRPr="00CA1A43">
        <w:rPr>
          <w:rFonts w:eastAsia="標楷體" w:cstheme="minorHAnsi"/>
          <w:szCs w:val="24"/>
        </w:rPr>
        <w:t>c</w:t>
      </w:r>
      <w:r w:rsidRPr="00CA1A43">
        <w:rPr>
          <w:rFonts w:eastAsia="標楷體" w:cstheme="minorHAnsi"/>
          <w:szCs w:val="24"/>
        </w:rPr>
        <w:t>為例，</w:t>
      </w:r>
    </w:p>
    <w:p w14:paraId="7B22032E" w14:textId="77777777" w:rsidR="00470582" w:rsidRPr="00CA1A43" w:rsidRDefault="00470582" w:rsidP="00605B1D">
      <w:pPr>
        <w:pStyle w:val="a7"/>
        <w:numPr>
          <w:ilvl w:val="0"/>
          <w:numId w:val="87"/>
        </w:numPr>
        <w:spacing w:beforeLines="50" w:before="180"/>
        <w:ind w:leftChars="0"/>
        <w:jc w:val="both"/>
        <w:rPr>
          <w:rFonts w:eastAsia="標楷體" w:cstheme="minorHAnsi"/>
          <w:szCs w:val="24"/>
        </w:rPr>
      </w:pPr>
      <w:r w:rsidRPr="00CA1A43">
        <w:rPr>
          <w:rFonts w:eastAsia="標楷體" w:cstheme="minorHAnsi"/>
          <w:szCs w:val="24"/>
        </w:rPr>
        <w:t>S</w:t>
      </w:r>
      <w:r w:rsidRPr="00CA1A43">
        <w:rPr>
          <w:rFonts w:eastAsia="標楷體" w:cstheme="minorHAnsi"/>
          <w:szCs w:val="24"/>
          <w:vertAlign w:val="subscript"/>
        </w:rPr>
        <w:t>b</w:t>
      </w:r>
      <w:r w:rsidRPr="00CA1A43">
        <w:rPr>
          <w:rFonts w:eastAsia="標楷體" w:cstheme="minorHAnsi"/>
          <w:szCs w:val="24"/>
        </w:rPr>
        <w:t>=</w:t>
      </w:r>
      <w:proofErr w:type="spellStart"/>
      <w:r w:rsidRPr="00CA1A43">
        <w:rPr>
          <w:rFonts w:eastAsia="標楷體" w:cstheme="minorHAnsi"/>
          <w:szCs w:val="24"/>
        </w:rPr>
        <w:t>Σ</w:t>
      </w:r>
      <w:r w:rsidRPr="00CA1A43">
        <w:rPr>
          <w:rFonts w:eastAsia="標楷體" w:cstheme="minorHAnsi"/>
          <w:szCs w:val="24"/>
          <w:vertAlign w:val="subscript"/>
        </w:rPr>
        <w:t>k</w:t>
      </w:r>
      <w:r w:rsidRPr="00CA1A43">
        <w:rPr>
          <w:rFonts w:eastAsia="標楷體" w:cstheme="minorHAnsi"/>
          <w:szCs w:val="24"/>
        </w:rPr>
        <w:t>WS</w:t>
      </w:r>
      <w:r w:rsidRPr="00CA1A43">
        <w:rPr>
          <w:rFonts w:eastAsia="標楷體" w:cstheme="minorHAnsi"/>
          <w:szCs w:val="24"/>
          <w:vertAlign w:val="subscript"/>
        </w:rPr>
        <w:t>k</w:t>
      </w:r>
      <w:proofErr w:type="spellEnd"/>
      <w:r w:rsidRPr="00CA1A43">
        <w:rPr>
          <w:rFonts w:eastAsia="標楷體" w:cstheme="minorHAnsi"/>
          <w:szCs w:val="24"/>
        </w:rPr>
        <w:t>適用於組別</w:t>
      </w:r>
      <w:r w:rsidRPr="00CA1A43">
        <w:rPr>
          <w:rFonts w:eastAsia="標楷體" w:cstheme="minorHAnsi"/>
          <w:szCs w:val="24"/>
        </w:rPr>
        <w:t>b</w:t>
      </w:r>
      <w:r w:rsidRPr="00CA1A43">
        <w:rPr>
          <w:rFonts w:eastAsia="標楷體" w:cstheme="minorHAnsi"/>
          <w:szCs w:val="24"/>
        </w:rPr>
        <w:t>中的所有風險因子；</w:t>
      </w:r>
      <w:proofErr w:type="spellStart"/>
      <w:r w:rsidRPr="00CA1A43">
        <w:rPr>
          <w:rFonts w:eastAsia="標楷體" w:cstheme="minorHAnsi"/>
          <w:szCs w:val="24"/>
        </w:rPr>
        <w:t>S</w:t>
      </w:r>
      <w:r w:rsidRPr="00CA1A43">
        <w:rPr>
          <w:rFonts w:eastAsia="標楷體" w:cstheme="minorHAnsi"/>
          <w:szCs w:val="24"/>
          <w:vertAlign w:val="subscript"/>
        </w:rPr>
        <w:t>c</w:t>
      </w:r>
      <w:proofErr w:type="spellEnd"/>
      <w:r w:rsidRPr="00CA1A43">
        <w:rPr>
          <w:rFonts w:eastAsia="標楷體" w:cstheme="minorHAnsi"/>
          <w:szCs w:val="24"/>
        </w:rPr>
        <w:t>=</w:t>
      </w:r>
      <w:proofErr w:type="spellStart"/>
      <w:r w:rsidRPr="00CA1A43">
        <w:rPr>
          <w:rFonts w:eastAsia="標楷體" w:cstheme="minorHAnsi"/>
          <w:szCs w:val="24"/>
        </w:rPr>
        <w:t>Σ</w:t>
      </w:r>
      <w:r w:rsidRPr="00CA1A43">
        <w:rPr>
          <w:rFonts w:eastAsia="標楷體" w:cstheme="minorHAnsi"/>
          <w:szCs w:val="24"/>
          <w:vertAlign w:val="subscript"/>
        </w:rPr>
        <w:t>k</w:t>
      </w:r>
      <w:r w:rsidRPr="00CA1A43">
        <w:rPr>
          <w:rFonts w:eastAsia="標楷體" w:cstheme="minorHAnsi"/>
          <w:szCs w:val="24"/>
        </w:rPr>
        <w:t>WS</w:t>
      </w:r>
      <w:r w:rsidRPr="00CA1A43">
        <w:rPr>
          <w:rFonts w:eastAsia="標楷體" w:cstheme="minorHAnsi"/>
          <w:szCs w:val="24"/>
          <w:vertAlign w:val="subscript"/>
        </w:rPr>
        <w:t>k</w:t>
      </w:r>
      <w:proofErr w:type="spellEnd"/>
      <w:r w:rsidRPr="00CA1A43">
        <w:rPr>
          <w:rFonts w:eastAsia="標楷體" w:cstheme="minorHAnsi"/>
          <w:szCs w:val="24"/>
        </w:rPr>
        <w:t>適用於組別</w:t>
      </w:r>
      <w:r w:rsidRPr="00CA1A43">
        <w:rPr>
          <w:rFonts w:eastAsia="標楷體" w:cstheme="minorHAnsi"/>
          <w:szCs w:val="24"/>
        </w:rPr>
        <w:t>c</w:t>
      </w:r>
      <w:r w:rsidRPr="00CA1A43">
        <w:rPr>
          <w:rFonts w:eastAsia="標楷體" w:cstheme="minorHAnsi"/>
          <w:szCs w:val="24"/>
        </w:rPr>
        <w:t>中的所有風險因子。</w:t>
      </w:r>
    </w:p>
    <w:p w14:paraId="62E0E50F" w14:textId="77777777" w:rsidR="00470582" w:rsidRPr="00CA1A43" w:rsidRDefault="00470582" w:rsidP="00605B1D">
      <w:pPr>
        <w:pStyle w:val="a7"/>
        <w:numPr>
          <w:ilvl w:val="0"/>
          <w:numId w:val="87"/>
        </w:numPr>
        <w:spacing w:beforeLines="50" w:before="180"/>
        <w:ind w:leftChars="0"/>
        <w:jc w:val="both"/>
        <w:rPr>
          <w:rFonts w:eastAsia="標楷體" w:cstheme="minorHAnsi"/>
          <w:szCs w:val="24"/>
        </w:rPr>
      </w:pPr>
      <w:r w:rsidRPr="00CA1A43">
        <w:rPr>
          <w:rFonts w:eastAsia="標楷體" w:cstheme="minorHAnsi"/>
          <w:szCs w:val="24"/>
        </w:rPr>
        <w:t>如果上述</w:t>
      </w:r>
      <w:r w:rsidRPr="00CA1A43">
        <w:rPr>
          <w:rFonts w:eastAsia="標楷體" w:cstheme="minorHAnsi"/>
          <w:szCs w:val="24"/>
        </w:rPr>
        <w:t>S</w:t>
      </w:r>
      <w:r w:rsidRPr="00CA1A43">
        <w:rPr>
          <w:rFonts w:eastAsia="標楷體" w:cstheme="minorHAnsi"/>
          <w:szCs w:val="24"/>
          <w:vertAlign w:val="subscript"/>
        </w:rPr>
        <w:t>b</w:t>
      </w:r>
      <w:r w:rsidRPr="00CA1A43">
        <w:rPr>
          <w:rFonts w:eastAsia="標楷體" w:cstheme="minorHAnsi"/>
          <w:szCs w:val="24"/>
        </w:rPr>
        <w:t>與</w:t>
      </w:r>
      <w:proofErr w:type="spellStart"/>
      <w:r w:rsidRPr="00CA1A43">
        <w:rPr>
          <w:rFonts w:eastAsia="標楷體" w:cstheme="minorHAnsi"/>
          <w:szCs w:val="24"/>
        </w:rPr>
        <w:t>S</w:t>
      </w:r>
      <w:r w:rsidRPr="00CA1A43">
        <w:rPr>
          <w:rFonts w:eastAsia="標楷體" w:cstheme="minorHAnsi"/>
          <w:szCs w:val="24"/>
          <w:vertAlign w:val="subscript"/>
        </w:rPr>
        <w:t>c</w:t>
      </w:r>
      <w:proofErr w:type="spellEnd"/>
      <w:r w:rsidRPr="00CA1A43">
        <w:rPr>
          <w:rFonts w:eastAsia="標楷體" w:cstheme="minorHAnsi"/>
          <w:szCs w:val="24"/>
        </w:rPr>
        <w:t>的值使得</w:t>
      </w:r>
      <w:proofErr w:type="spellStart"/>
      <w:r w:rsidRPr="00CA1A43">
        <w:rPr>
          <w:rFonts w:eastAsia="標楷體" w:cstheme="minorHAnsi"/>
          <w:szCs w:val="24"/>
        </w:rPr>
        <w:t>Σ</w:t>
      </w:r>
      <w:r w:rsidRPr="00CA1A43">
        <w:rPr>
          <w:rFonts w:eastAsia="標楷體" w:cstheme="minorHAnsi"/>
          <w:szCs w:val="24"/>
          <w:vertAlign w:val="subscript"/>
        </w:rPr>
        <w:t>b</w:t>
      </w:r>
      <w:proofErr w:type="spellEnd"/>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vertAlign w:val="superscript"/>
        </w:rPr>
        <w:t>2</w:t>
      </w:r>
      <w:r w:rsidRPr="00CA1A43">
        <w:rPr>
          <w:rFonts w:eastAsia="標楷體" w:cstheme="minorHAnsi"/>
          <w:szCs w:val="24"/>
        </w:rPr>
        <w:t>+Σ</w:t>
      </w:r>
      <w:r w:rsidRPr="00CA1A43">
        <w:rPr>
          <w:rFonts w:ascii="Cambria Math" w:eastAsia="標楷體" w:hAnsi="Cambria Math" w:cs="Cambria Math"/>
          <w:szCs w:val="24"/>
          <w:vertAlign w:val="subscript"/>
        </w:rPr>
        <w:t>𝑏</w:t>
      </w:r>
      <w:r w:rsidRPr="00CA1A43">
        <w:rPr>
          <w:rFonts w:eastAsia="標楷體" w:cstheme="minorHAnsi"/>
          <w:szCs w:val="24"/>
        </w:rPr>
        <w:t>Σ</w:t>
      </w:r>
      <w:r w:rsidRPr="00CA1A43">
        <w:rPr>
          <w:rFonts w:ascii="Cambria Math" w:eastAsia="標楷體" w:hAnsi="Cambria Math" w:cs="Cambria Math"/>
          <w:szCs w:val="24"/>
          <w:vertAlign w:val="subscript"/>
        </w:rPr>
        <w:t>𝑐</w:t>
      </w:r>
      <w:r w:rsidRPr="00CA1A43">
        <w:rPr>
          <w:rFonts w:eastAsia="標楷體" w:cstheme="minorHAnsi"/>
          <w:szCs w:val="24"/>
          <w:vertAlign w:val="subscript"/>
        </w:rPr>
        <w:t>≠</w:t>
      </w:r>
      <w:r w:rsidRPr="00CA1A43">
        <w:rPr>
          <w:rFonts w:ascii="Cambria Math" w:eastAsia="標楷體" w:hAnsi="Cambria Math" w:cs="Cambria Math"/>
          <w:szCs w:val="24"/>
          <w:vertAlign w:val="subscript"/>
        </w:rPr>
        <w:t>𝑏</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ascii="Cambria Math" w:eastAsia="標楷體" w:hAnsi="Cambria Math" w:cs="Cambria Math"/>
          <w:szCs w:val="24"/>
        </w:rPr>
        <w:t>𝑆</w:t>
      </w:r>
      <w:r w:rsidRPr="00CA1A43">
        <w:rPr>
          <w:rFonts w:ascii="Cambria Math" w:eastAsia="標楷體" w:hAnsi="Cambria Math" w:cs="Cambria Math"/>
          <w:szCs w:val="24"/>
          <w:vertAlign w:val="subscript"/>
        </w:rPr>
        <w:t>𝑏</w:t>
      </w:r>
      <w:r w:rsidRPr="00CA1A43">
        <w:rPr>
          <w:rFonts w:ascii="Cambria Math" w:eastAsia="標楷體" w:hAnsi="Cambria Math" w:cs="Cambria Math"/>
          <w:szCs w:val="24"/>
        </w:rPr>
        <w:t>𝑆</w:t>
      </w:r>
      <w:r w:rsidRPr="00CA1A43">
        <w:rPr>
          <w:rFonts w:eastAsia="標楷體" w:cstheme="minorHAnsi"/>
          <w:szCs w:val="24"/>
          <w:vertAlign w:val="subscript"/>
        </w:rPr>
        <w:t>c</w:t>
      </w:r>
      <w:r w:rsidRPr="00CA1A43">
        <w:rPr>
          <w:rFonts w:eastAsia="標楷體" w:cstheme="minorHAnsi"/>
          <w:szCs w:val="24"/>
        </w:rPr>
        <w:t>為負值時，則使用以下的替代方式計算</w:t>
      </w:r>
      <w:r w:rsidRPr="00CA1A43">
        <w:rPr>
          <w:rFonts w:eastAsia="標楷體" w:cstheme="minorHAnsi"/>
          <w:szCs w:val="24"/>
        </w:rPr>
        <w:t>S</w:t>
      </w:r>
      <w:r w:rsidRPr="00CA1A43">
        <w:rPr>
          <w:rFonts w:eastAsia="標楷體" w:cstheme="minorHAnsi"/>
          <w:szCs w:val="24"/>
          <w:vertAlign w:val="subscript"/>
        </w:rPr>
        <w:t>b</w:t>
      </w:r>
      <w:r w:rsidRPr="00CA1A43">
        <w:rPr>
          <w:rFonts w:eastAsia="標楷體" w:cstheme="minorHAnsi"/>
          <w:szCs w:val="24"/>
        </w:rPr>
        <w:t xml:space="preserve"> </w:t>
      </w:r>
      <w:r w:rsidRPr="00CA1A43">
        <w:rPr>
          <w:rFonts w:eastAsia="標楷體" w:cstheme="minorHAnsi"/>
          <w:szCs w:val="24"/>
        </w:rPr>
        <w:t>與</w:t>
      </w:r>
      <w:r w:rsidRPr="00CA1A43">
        <w:rPr>
          <w:rFonts w:eastAsia="標楷體" w:cstheme="minorHAnsi"/>
          <w:szCs w:val="24"/>
        </w:rPr>
        <w:t>S</w:t>
      </w:r>
      <w:r w:rsidRPr="00CA1A43">
        <w:rPr>
          <w:rFonts w:eastAsia="標楷體" w:cstheme="minorHAnsi"/>
          <w:szCs w:val="24"/>
          <w:vertAlign w:val="subscript"/>
        </w:rPr>
        <w:t>c</w:t>
      </w:r>
      <w:r w:rsidRPr="00CA1A43">
        <w:rPr>
          <w:rFonts w:eastAsia="標楷體" w:cstheme="minorHAnsi"/>
          <w:szCs w:val="24"/>
        </w:rPr>
        <w:t>：</w:t>
      </w:r>
    </w:p>
    <w:p w14:paraId="68C05946" w14:textId="77777777" w:rsidR="00470582" w:rsidRPr="00CA1A43" w:rsidRDefault="00470582" w:rsidP="00605B1D">
      <w:pPr>
        <w:pStyle w:val="a7"/>
        <w:numPr>
          <w:ilvl w:val="0"/>
          <w:numId w:val="84"/>
        </w:numPr>
        <w:ind w:leftChars="0" w:left="2421" w:hanging="493"/>
        <w:jc w:val="both"/>
        <w:rPr>
          <w:rFonts w:eastAsia="標楷體" w:cstheme="minorHAnsi"/>
          <w:szCs w:val="24"/>
        </w:rPr>
      </w:pPr>
      <w:r w:rsidRPr="00CA1A43">
        <w:rPr>
          <w:rFonts w:eastAsia="標楷體" w:cstheme="minorHAnsi"/>
          <w:szCs w:val="24"/>
        </w:rPr>
        <w:t>S</w:t>
      </w:r>
      <w:r w:rsidRPr="00CA1A43">
        <w:rPr>
          <w:rFonts w:eastAsia="標楷體" w:cstheme="minorHAnsi"/>
          <w:szCs w:val="24"/>
          <w:vertAlign w:val="subscript"/>
        </w:rPr>
        <w:t>b</w:t>
      </w:r>
      <w:r w:rsidRPr="00CA1A43">
        <w:rPr>
          <w:rFonts w:eastAsia="標楷體" w:cstheme="minorHAnsi"/>
          <w:szCs w:val="24"/>
        </w:rPr>
        <w:t>=max [min (</w:t>
      </w:r>
      <w:proofErr w:type="spellStart"/>
      <w:r w:rsidRPr="00CA1A43">
        <w:rPr>
          <w:rFonts w:eastAsia="標楷體" w:cstheme="minorHAnsi"/>
          <w:szCs w:val="24"/>
        </w:rPr>
        <w:t>Σ</w:t>
      </w:r>
      <w:r w:rsidRPr="00CA1A43">
        <w:rPr>
          <w:rFonts w:eastAsia="標楷體" w:cstheme="minorHAnsi"/>
          <w:szCs w:val="24"/>
          <w:vertAlign w:val="subscript"/>
        </w:rPr>
        <w:t>k</w:t>
      </w:r>
      <w:r w:rsidRPr="00CA1A43">
        <w:rPr>
          <w:rFonts w:eastAsia="標楷體" w:cstheme="minorHAnsi"/>
          <w:szCs w:val="24"/>
        </w:rPr>
        <w:t>WS</w:t>
      </w:r>
      <w:r w:rsidRPr="00CA1A43">
        <w:rPr>
          <w:rFonts w:eastAsia="標楷體" w:cstheme="minorHAnsi"/>
          <w:szCs w:val="24"/>
          <w:vertAlign w:val="subscript"/>
        </w:rPr>
        <w:t>k</w:t>
      </w:r>
      <w:r w:rsidRPr="00CA1A43">
        <w:rPr>
          <w:rFonts w:eastAsia="標楷體" w:cstheme="minorHAnsi"/>
          <w:szCs w:val="24"/>
        </w:rPr>
        <w:t>,K</w:t>
      </w:r>
      <w:r w:rsidRPr="00CA1A43">
        <w:rPr>
          <w:rFonts w:eastAsia="標楷體" w:cstheme="minorHAnsi"/>
          <w:szCs w:val="24"/>
          <w:vertAlign w:val="subscript"/>
        </w:rPr>
        <w:t>b</w:t>
      </w:r>
      <w:proofErr w:type="spellEnd"/>
      <w:r w:rsidRPr="00CA1A43">
        <w:rPr>
          <w:rFonts w:eastAsia="標楷體" w:cstheme="minorHAnsi"/>
          <w:szCs w:val="24"/>
        </w:rPr>
        <w:t>),</w:t>
      </w:r>
      <w:r w:rsidRPr="00CA1A43">
        <w:rPr>
          <w:rFonts w:eastAsia="MS Gothic" w:cstheme="minorHAnsi"/>
          <w:szCs w:val="24"/>
        </w:rPr>
        <w:t>−</w:t>
      </w:r>
      <w:r w:rsidRPr="00CA1A43">
        <w:rPr>
          <w:rFonts w:eastAsia="標楷體" w:cstheme="minorHAnsi"/>
          <w:szCs w:val="24"/>
        </w:rPr>
        <w:t>K</w:t>
      </w:r>
      <w:r w:rsidRPr="00CA1A43">
        <w:rPr>
          <w:rFonts w:eastAsia="標楷體" w:cstheme="minorHAnsi"/>
          <w:szCs w:val="24"/>
          <w:vertAlign w:val="subscript"/>
        </w:rPr>
        <w:t>b</w:t>
      </w:r>
      <w:r w:rsidRPr="00CA1A43">
        <w:rPr>
          <w:rFonts w:eastAsia="標楷體" w:cstheme="minorHAnsi"/>
          <w:szCs w:val="24"/>
        </w:rPr>
        <w:t>]</w:t>
      </w:r>
      <w:r w:rsidRPr="00CA1A43">
        <w:rPr>
          <w:rFonts w:eastAsia="標楷體" w:cstheme="minorHAnsi"/>
          <w:szCs w:val="24"/>
        </w:rPr>
        <w:t>適用於組別</w:t>
      </w:r>
      <w:r w:rsidRPr="00CA1A43">
        <w:rPr>
          <w:rFonts w:eastAsia="標楷體" w:cstheme="minorHAnsi"/>
          <w:szCs w:val="24"/>
        </w:rPr>
        <w:t>b</w:t>
      </w:r>
      <w:r w:rsidRPr="00CA1A43">
        <w:rPr>
          <w:rFonts w:eastAsia="標楷體" w:cstheme="minorHAnsi"/>
          <w:szCs w:val="24"/>
        </w:rPr>
        <w:t>中的所有風險因子。</w:t>
      </w:r>
    </w:p>
    <w:p w14:paraId="362DB0B1" w14:textId="77777777" w:rsidR="00166348" w:rsidRPr="00CA1A43" w:rsidRDefault="00470582" w:rsidP="00605B1D">
      <w:pPr>
        <w:pStyle w:val="a7"/>
        <w:numPr>
          <w:ilvl w:val="0"/>
          <w:numId w:val="84"/>
        </w:numPr>
        <w:ind w:leftChars="0" w:left="2421" w:hanging="493"/>
        <w:jc w:val="both"/>
        <w:rPr>
          <w:rFonts w:eastAsia="標楷體" w:cstheme="minorHAnsi"/>
        </w:rPr>
      </w:pPr>
      <w:proofErr w:type="spellStart"/>
      <w:r w:rsidRPr="00CA1A43">
        <w:rPr>
          <w:rFonts w:eastAsia="標楷體" w:cstheme="minorHAnsi"/>
          <w:szCs w:val="24"/>
        </w:rPr>
        <w:t>S</w:t>
      </w:r>
      <w:r w:rsidRPr="00CA1A43">
        <w:rPr>
          <w:rFonts w:eastAsia="標楷體" w:cstheme="minorHAnsi"/>
          <w:szCs w:val="24"/>
          <w:vertAlign w:val="subscript"/>
        </w:rPr>
        <w:t>c</w:t>
      </w:r>
      <w:proofErr w:type="spellEnd"/>
      <w:r w:rsidRPr="00CA1A43">
        <w:rPr>
          <w:rFonts w:eastAsia="標楷體" w:cstheme="minorHAnsi"/>
          <w:szCs w:val="24"/>
        </w:rPr>
        <w:t>=max [min (</w:t>
      </w:r>
      <w:proofErr w:type="spellStart"/>
      <w:r w:rsidRPr="00CA1A43">
        <w:rPr>
          <w:rFonts w:eastAsia="標楷體" w:cstheme="minorHAnsi"/>
          <w:szCs w:val="24"/>
        </w:rPr>
        <w:t>Σ</w:t>
      </w:r>
      <w:r w:rsidRPr="00CA1A43">
        <w:rPr>
          <w:rFonts w:eastAsia="標楷體" w:cstheme="minorHAnsi"/>
          <w:szCs w:val="24"/>
          <w:vertAlign w:val="subscript"/>
        </w:rPr>
        <w:t>k</w:t>
      </w:r>
      <w:r w:rsidRPr="00CA1A43">
        <w:rPr>
          <w:rFonts w:eastAsia="標楷體" w:cstheme="minorHAnsi"/>
          <w:szCs w:val="24"/>
        </w:rPr>
        <w:t>WS</w:t>
      </w:r>
      <w:r w:rsidRPr="00CA1A43">
        <w:rPr>
          <w:rFonts w:eastAsia="標楷體" w:cstheme="minorHAnsi"/>
          <w:szCs w:val="24"/>
          <w:vertAlign w:val="subscript"/>
        </w:rPr>
        <w:t>k</w:t>
      </w:r>
      <w:r w:rsidRPr="00CA1A43">
        <w:rPr>
          <w:rFonts w:eastAsia="標楷體" w:cstheme="minorHAnsi"/>
          <w:szCs w:val="24"/>
        </w:rPr>
        <w:t>,K</w:t>
      </w:r>
      <w:r w:rsidRPr="00CA1A43">
        <w:rPr>
          <w:rFonts w:eastAsia="標楷體" w:cstheme="minorHAnsi"/>
          <w:szCs w:val="24"/>
          <w:vertAlign w:val="subscript"/>
        </w:rPr>
        <w:t>c</w:t>
      </w:r>
      <w:proofErr w:type="spellEnd"/>
      <w:r w:rsidRPr="00CA1A43">
        <w:rPr>
          <w:rFonts w:eastAsia="標楷體" w:cstheme="minorHAnsi"/>
          <w:szCs w:val="24"/>
        </w:rPr>
        <w:t>),</w:t>
      </w:r>
      <w:r w:rsidRPr="00CA1A43">
        <w:rPr>
          <w:rFonts w:eastAsia="MS Gothic" w:cstheme="minorHAnsi"/>
          <w:szCs w:val="24"/>
        </w:rPr>
        <w:t>−</w:t>
      </w:r>
      <w:r w:rsidRPr="00CA1A43">
        <w:rPr>
          <w:rFonts w:eastAsia="標楷體" w:cstheme="minorHAnsi"/>
          <w:szCs w:val="24"/>
        </w:rPr>
        <w:t>K</w:t>
      </w:r>
      <w:r w:rsidRPr="00CA1A43">
        <w:rPr>
          <w:rFonts w:eastAsia="標楷體" w:cstheme="minorHAnsi"/>
          <w:szCs w:val="24"/>
          <w:vertAlign w:val="subscript"/>
        </w:rPr>
        <w:t>c</w:t>
      </w:r>
      <w:r w:rsidRPr="00CA1A43">
        <w:rPr>
          <w:rFonts w:eastAsia="標楷體" w:cstheme="minorHAnsi"/>
          <w:szCs w:val="24"/>
        </w:rPr>
        <w:t>]</w:t>
      </w:r>
      <w:r w:rsidRPr="00CA1A43">
        <w:rPr>
          <w:rFonts w:eastAsia="標楷體" w:cstheme="minorHAnsi"/>
          <w:szCs w:val="24"/>
        </w:rPr>
        <w:t>適用於組別</w:t>
      </w:r>
      <w:r w:rsidRPr="00CA1A43">
        <w:rPr>
          <w:rFonts w:eastAsia="標楷體" w:cstheme="minorHAnsi"/>
          <w:szCs w:val="24"/>
        </w:rPr>
        <w:t>c</w:t>
      </w:r>
      <w:r w:rsidRPr="00CA1A43">
        <w:rPr>
          <w:rFonts w:eastAsia="標楷體" w:cstheme="minorHAnsi"/>
          <w:szCs w:val="24"/>
        </w:rPr>
        <w:t>中的所有風險因子。</w:t>
      </w:r>
    </w:p>
    <w:p w14:paraId="11E03D1C" w14:textId="77777777" w:rsidR="00EE3A40" w:rsidRPr="00CA1A43" w:rsidRDefault="00EE3A40"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各風險類別之</w:t>
      </w:r>
      <w:r w:rsidRPr="00CA1A43">
        <w:rPr>
          <w:rFonts w:eastAsia="標楷體" w:cstheme="minorHAnsi"/>
        </w:rPr>
        <w:t>curvature</w:t>
      </w:r>
      <w:r w:rsidRPr="00CA1A43">
        <w:rPr>
          <w:rFonts w:eastAsia="標楷體" w:cstheme="minorHAnsi"/>
        </w:rPr>
        <w:t>風險資本要求計提方式</w:t>
      </w:r>
    </w:p>
    <w:p w14:paraId="62952799" w14:textId="2846ECE0" w:rsidR="00EE3A40" w:rsidRPr="00CA1A43" w:rsidRDefault="00EE3A40" w:rsidP="00605B1D">
      <w:pPr>
        <w:pStyle w:val="a7"/>
        <w:numPr>
          <w:ilvl w:val="0"/>
          <w:numId w:val="88"/>
        </w:numPr>
        <w:spacing w:beforeLines="50" w:before="180"/>
        <w:ind w:leftChars="0" w:left="964" w:hanging="482"/>
        <w:jc w:val="both"/>
        <w:rPr>
          <w:rFonts w:eastAsia="標楷體" w:cstheme="minorHAnsi"/>
        </w:rPr>
      </w:pPr>
      <w:r w:rsidRPr="00CA1A43">
        <w:rPr>
          <w:rFonts w:eastAsia="標楷體" w:cstheme="minorHAnsi"/>
        </w:rPr>
        <w:t>為計算</w:t>
      </w:r>
      <w:r w:rsidRPr="00CA1A43">
        <w:rPr>
          <w:rFonts w:eastAsia="標楷體" w:cstheme="minorHAnsi"/>
          <w:szCs w:val="24"/>
        </w:rPr>
        <w:t>各風險</w:t>
      </w:r>
      <w:r w:rsidRPr="00CA1A43">
        <w:rPr>
          <w:rFonts w:eastAsia="標楷體" w:cstheme="minorHAnsi"/>
        </w:rPr>
        <w:t>類別之</w:t>
      </w:r>
      <w:r w:rsidRPr="00CA1A43">
        <w:rPr>
          <w:rFonts w:eastAsia="標楷體" w:cstheme="minorHAnsi"/>
          <w:szCs w:val="24"/>
        </w:rPr>
        <w:t>curvature</w:t>
      </w:r>
      <w:r w:rsidRPr="00CA1A43">
        <w:rPr>
          <w:rFonts w:eastAsia="標楷體" w:cstheme="minorHAnsi"/>
        </w:rPr>
        <w:t>風險資本</w:t>
      </w:r>
      <w:r w:rsidRPr="00CA1A43">
        <w:rPr>
          <w:rFonts w:eastAsia="標楷體" w:cstheme="minorHAnsi"/>
          <w:szCs w:val="24"/>
        </w:rPr>
        <w:t>要求，銀行必須對本計算說明規定之各風險因子進行</w:t>
      </w:r>
      <w:r w:rsidRPr="00CA1A43">
        <w:rPr>
          <w:rFonts w:eastAsia="標楷體" w:cstheme="minorHAnsi"/>
        </w:rPr>
        <w:t>向上及向下衝擊</w:t>
      </w:r>
      <w:r w:rsidR="00F952E1" w:rsidRPr="00CA1A43">
        <w:rPr>
          <w:rStyle w:val="a5"/>
          <w:rFonts w:eastAsia="標楷體" w:cstheme="minorHAnsi"/>
        </w:rPr>
        <w:footnoteReference w:id="23"/>
      </w:r>
      <w:r w:rsidRPr="00CA1A43">
        <w:rPr>
          <w:rFonts w:eastAsia="標楷體" w:cstheme="minorHAnsi"/>
          <w:szCs w:val="24"/>
        </w:rPr>
        <w:t>，</w:t>
      </w:r>
      <w:r w:rsidRPr="00CA1A43">
        <w:rPr>
          <w:rFonts w:eastAsia="標楷體" w:cstheme="minorHAnsi"/>
        </w:rPr>
        <w:t>並依以下計算公式</w:t>
      </w:r>
      <w:r w:rsidRPr="00CA1A43">
        <w:rPr>
          <w:rFonts w:eastAsia="標楷體" w:cstheme="minorHAnsi"/>
          <w:szCs w:val="24"/>
        </w:rPr>
        <w:t>計算</w:t>
      </w:r>
      <w:r w:rsidR="009653EE" w:rsidRPr="009F70AE">
        <w:rPr>
          <w:rFonts w:eastAsia="標楷體" w:cstheme="minorHAnsi"/>
          <w:szCs w:val="24"/>
        </w:rPr>
        <w:t>工具</w:t>
      </w:r>
      <w:r w:rsidRPr="00CA1A43">
        <w:rPr>
          <w:rFonts w:eastAsia="標楷體" w:cstheme="minorHAnsi"/>
          <w:szCs w:val="24"/>
        </w:rPr>
        <w:t>因</w:t>
      </w:r>
      <w:r w:rsidRPr="00CA1A43">
        <w:rPr>
          <w:rFonts w:eastAsia="標楷體" w:cstheme="minorHAnsi"/>
        </w:rPr>
        <w:t>衝擊</w:t>
      </w:r>
      <w:r w:rsidRPr="00CA1A43">
        <w:rPr>
          <w:rFonts w:eastAsia="標楷體" w:cstheme="minorHAnsi"/>
          <w:szCs w:val="24"/>
        </w:rPr>
        <w:t>所產生高於已被計提</w:t>
      </w:r>
      <w:r w:rsidRPr="00CA1A43">
        <w:rPr>
          <w:rFonts w:eastAsia="標楷體" w:cstheme="minorHAnsi"/>
          <w:szCs w:val="24"/>
        </w:rPr>
        <w:t>Delta</w:t>
      </w:r>
      <w:r w:rsidRPr="00CA1A43">
        <w:rPr>
          <w:rFonts w:eastAsia="標楷體" w:cstheme="minorHAnsi"/>
          <w:szCs w:val="24"/>
        </w:rPr>
        <w:t>風險資本要求之增額損失</w:t>
      </w:r>
      <w:r w:rsidRPr="00CA1A43">
        <w:rPr>
          <w:rFonts w:eastAsia="標楷體" w:cstheme="minorHAnsi"/>
        </w:rPr>
        <w:t>，</w:t>
      </w:r>
      <w:r w:rsidRPr="00CA1A43">
        <w:rPr>
          <w:rFonts w:eastAsia="標楷體" w:cstheme="minorHAnsi"/>
          <w:szCs w:val="24"/>
        </w:rPr>
        <w:t>如果</w:t>
      </w:r>
      <w:r w:rsidR="009653EE" w:rsidRPr="009F70AE">
        <w:rPr>
          <w:rFonts w:eastAsia="標楷體" w:cstheme="minorHAnsi"/>
          <w:szCs w:val="24"/>
        </w:rPr>
        <w:t>工具</w:t>
      </w:r>
      <w:r w:rsidRPr="00CA1A43">
        <w:rPr>
          <w:rFonts w:eastAsia="標楷體" w:cstheme="minorHAnsi"/>
          <w:szCs w:val="24"/>
        </w:rPr>
        <w:t>價格會受到多個風險因子影響，對於每一個風險因子的</w:t>
      </w:r>
      <w:r w:rsidRPr="00CA1A43">
        <w:rPr>
          <w:rFonts w:eastAsia="標楷體" w:cstheme="minorHAnsi"/>
          <w:szCs w:val="24"/>
        </w:rPr>
        <w:t xml:space="preserve">curvature </w:t>
      </w:r>
      <w:r w:rsidRPr="00CA1A43">
        <w:rPr>
          <w:rFonts w:eastAsia="標楷體" w:cstheme="minorHAnsi"/>
          <w:szCs w:val="24"/>
        </w:rPr>
        <w:t>風險就必須分開計算，</w:t>
      </w:r>
      <w:r w:rsidRPr="00CA1A43">
        <w:rPr>
          <w:rFonts w:eastAsia="標楷體" w:cstheme="minorHAnsi"/>
        </w:rPr>
        <w:t>計算公式如下：</w:t>
      </w:r>
    </w:p>
    <w:p w14:paraId="0F1CFCEA" w14:textId="77777777" w:rsidR="00F952E1" w:rsidRPr="00CA1A43" w:rsidRDefault="00AA1117" w:rsidP="00F952E1">
      <w:pPr>
        <w:pStyle w:val="a7"/>
        <w:spacing w:beforeLines="50" w:before="180"/>
        <w:ind w:leftChars="0" w:left="964"/>
        <w:jc w:val="both"/>
        <w:rPr>
          <w:rFonts w:eastAsia="標楷體" w:cstheme="minorHAnsi"/>
          <w:szCs w:val="24"/>
        </w:rPr>
      </w:pPr>
      <m:oMathPara>
        <m:oMath>
          <m:sSubSup>
            <m:sSubSupPr>
              <m:ctrlPr>
                <w:rPr>
                  <w:rFonts w:ascii="Cambria Math" w:eastAsia="標楷體" w:hAnsi="Cambria Math" w:cstheme="minorHAnsi"/>
                  <w:szCs w:val="24"/>
                </w:rPr>
              </m:ctrlPr>
            </m:sSubSupPr>
            <m:e>
              <m:r>
                <w:rPr>
                  <w:rFonts w:ascii="Cambria Math" w:eastAsia="標楷體" w:hAnsi="Cambria Math" w:cstheme="minorHAnsi"/>
                  <w:szCs w:val="24"/>
                </w:rPr>
                <m:t>CVR</m:t>
              </m:r>
            </m:e>
            <m:sub>
              <m:r>
                <w:rPr>
                  <w:rFonts w:ascii="Cambria Math" w:eastAsia="標楷體" w:hAnsi="Cambria Math" w:cstheme="minorHAnsi"/>
                  <w:szCs w:val="24"/>
                </w:rPr>
                <m:t>k</m:t>
              </m:r>
            </m:sub>
            <m:sup>
              <m:r>
                <w:rPr>
                  <w:rFonts w:ascii="Cambria Math" w:eastAsia="標楷體" w:hAnsi="Cambria Math" w:cstheme="minorHAnsi"/>
                  <w:szCs w:val="24"/>
                </w:rPr>
                <m:t>+</m:t>
              </m:r>
            </m:sup>
          </m:sSubSup>
          <m:r>
            <m:rPr>
              <m:sty m:val="p"/>
            </m:rPr>
            <w:rPr>
              <w:rFonts w:ascii="Cambria Math" w:eastAsia="標楷體" w:hAnsi="Cambria Math" w:cstheme="minorHAnsi"/>
              <w:szCs w:val="24"/>
            </w:rPr>
            <m:t>=-</m:t>
          </m:r>
          <m:nary>
            <m:naryPr>
              <m:chr m:val="∑"/>
              <m:limLoc m:val="undOvr"/>
              <m:supHide m:val="1"/>
              <m:ctrlPr>
                <w:rPr>
                  <w:rFonts w:ascii="Cambria Math" w:eastAsia="標楷體" w:hAnsi="Cambria Math" w:cstheme="minorHAnsi"/>
                  <w:szCs w:val="24"/>
                </w:rPr>
              </m:ctrlPr>
            </m:naryPr>
            <m:sub>
              <m:r>
                <w:rPr>
                  <w:rFonts w:ascii="Cambria Math" w:eastAsia="標楷體" w:hAnsi="Cambria Math" w:cstheme="minorHAnsi"/>
                  <w:szCs w:val="24"/>
                </w:rPr>
                <m:t>i</m:t>
              </m:r>
            </m:sub>
            <m:sup/>
            <m:e>
              <m:d>
                <m:dPr>
                  <m:begChr m:val="{"/>
                  <m:endChr m:val="}"/>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x</m:t>
                          </m:r>
                        </m:e>
                        <m:sub>
                          <m:r>
                            <w:rPr>
                              <w:rFonts w:ascii="Cambria Math" w:eastAsia="標楷體" w:hAnsi="Cambria Math" w:cstheme="minorHAnsi"/>
                              <w:szCs w:val="24"/>
                            </w:rPr>
                            <m:t>k</m:t>
                          </m:r>
                        </m:sub>
                        <m:sup>
                          <m:sSup>
                            <m:sSupPr>
                              <m:ctrlPr>
                                <w:rPr>
                                  <w:rFonts w:ascii="Cambria Math" w:eastAsia="標楷體" w:hAnsi="Cambria Math" w:cstheme="minorHAnsi"/>
                                  <w:i/>
                                  <w:szCs w:val="24"/>
                                </w:rPr>
                              </m:ctrlPr>
                            </m:sSupPr>
                            <m:e>
                              <m:r>
                                <w:rPr>
                                  <w:rFonts w:ascii="Cambria Math" w:eastAsia="標楷體" w:hAnsi="Cambria Math" w:cstheme="minorHAnsi"/>
                                  <w:szCs w:val="24"/>
                                </w:rPr>
                                <m:t>RW</m:t>
                              </m:r>
                              <m:d>
                                <m:dPr>
                                  <m:ctrlPr>
                                    <w:rPr>
                                      <w:rFonts w:ascii="Cambria Math" w:eastAsia="標楷體" w:hAnsi="Cambria Math" w:cstheme="minorHAnsi"/>
                                      <w:i/>
                                      <w:szCs w:val="24"/>
                                    </w:rPr>
                                  </m:ctrlPr>
                                </m:dPr>
                                <m:e>
                                  <m:r>
                                    <w:rPr>
                                      <w:rFonts w:ascii="Cambria Math" w:eastAsia="標楷體" w:hAnsi="Cambria Math" w:cstheme="minorHAnsi"/>
                                      <w:szCs w:val="24"/>
                                    </w:rPr>
                                    <m:t>Curvature</m:t>
                                  </m:r>
                                </m:e>
                              </m:d>
                            </m:e>
                            <m:sup>
                              <m:r>
                                <w:rPr>
                                  <w:rFonts w:ascii="Cambria Math" w:eastAsia="標楷體" w:hAnsi="Cambria Math" w:cstheme="minorHAnsi"/>
                                  <w:szCs w:val="24"/>
                                </w:rPr>
                                <m:t>+</m:t>
                              </m:r>
                            </m:sup>
                          </m:sSup>
                        </m:sup>
                      </m:sSubSup>
                    </m:e>
                  </m:d>
                  <m:r>
                    <w:rPr>
                      <w:rFonts w:ascii="Cambria Math" w:eastAsia="標楷體" w:hAnsi="Cambria Math" w:cstheme="minorHAnsi"/>
                      <w:szCs w:val="24"/>
                    </w:rPr>
                    <m:t>-V</m:t>
                  </m:r>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x</m:t>
                          </m:r>
                        </m:e>
                        <m:sub>
                          <m:r>
                            <w:rPr>
                              <w:rFonts w:ascii="Cambria Math" w:eastAsia="標楷體" w:hAnsi="Cambria Math" w:cstheme="minorHAnsi"/>
                              <w:szCs w:val="24"/>
                            </w:rPr>
                            <m:t>k</m:t>
                          </m:r>
                        </m:sub>
                      </m:sSub>
                    </m:e>
                  </m:d>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RW</m:t>
                      </m:r>
                    </m:e>
                    <m:sub>
                      <m:r>
                        <w:rPr>
                          <w:rFonts w:ascii="Cambria Math" w:eastAsia="標楷體" w:hAnsi="Cambria Math" w:cstheme="minorHAnsi"/>
                          <w:szCs w:val="24"/>
                        </w:rPr>
                        <m:t>k</m:t>
                      </m:r>
                    </m:sub>
                    <m:sup>
                      <m:r>
                        <w:rPr>
                          <w:rFonts w:ascii="Cambria Math" w:eastAsia="標楷體" w:hAnsi="Cambria Math" w:cstheme="minorHAnsi"/>
                          <w:szCs w:val="24"/>
                        </w:rPr>
                        <m:t>Curvature</m:t>
                      </m:r>
                    </m:sup>
                  </m:sSubSup>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ik</m:t>
                      </m:r>
                    </m:sub>
                  </m:sSub>
                </m:e>
              </m:d>
            </m:e>
          </m:nary>
        </m:oMath>
      </m:oMathPara>
    </w:p>
    <w:p w14:paraId="661F58CC" w14:textId="77777777" w:rsidR="00EE3A40" w:rsidRPr="00CA1A43" w:rsidRDefault="00AA1117" w:rsidP="00EE3A40">
      <w:pPr>
        <w:pStyle w:val="a7"/>
        <w:spacing w:beforeLines="50" w:before="180"/>
        <w:ind w:leftChars="0" w:left="964"/>
        <w:jc w:val="both"/>
        <w:rPr>
          <w:rFonts w:eastAsia="標楷體" w:cstheme="minorHAnsi"/>
        </w:rPr>
      </w:pPr>
      <m:oMathPara>
        <m:oMath>
          <m:sSubSup>
            <m:sSubSupPr>
              <m:ctrlPr>
                <w:rPr>
                  <w:rFonts w:ascii="Cambria Math" w:eastAsia="標楷體" w:hAnsi="Cambria Math" w:cstheme="minorHAnsi"/>
                  <w:szCs w:val="24"/>
                </w:rPr>
              </m:ctrlPr>
            </m:sSubSupPr>
            <m:e>
              <m:r>
                <w:rPr>
                  <w:rFonts w:ascii="Cambria Math" w:eastAsia="標楷體" w:hAnsi="Cambria Math" w:cstheme="minorHAnsi"/>
                  <w:szCs w:val="24"/>
                </w:rPr>
                <m:t>CVR</m:t>
              </m:r>
            </m:e>
            <m:sub>
              <m:r>
                <w:rPr>
                  <w:rFonts w:ascii="Cambria Math" w:eastAsia="標楷體" w:hAnsi="Cambria Math" w:cstheme="minorHAnsi"/>
                  <w:szCs w:val="24"/>
                </w:rPr>
                <m:t>k</m:t>
              </m:r>
            </m:sub>
            <m:sup>
              <m:r>
                <w:rPr>
                  <w:rFonts w:ascii="Cambria Math" w:eastAsia="標楷體" w:hAnsi="Cambria Math" w:cstheme="minorHAnsi"/>
                  <w:szCs w:val="24"/>
                </w:rPr>
                <m:t>-</m:t>
              </m:r>
            </m:sup>
          </m:sSubSup>
          <m:r>
            <m:rPr>
              <m:sty m:val="p"/>
            </m:rPr>
            <w:rPr>
              <w:rFonts w:ascii="Cambria Math" w:eastAsia="標楷體" w:hAnsi="Cambria Math" w:cstheme="minorHAnsi"/>
              <w:szCs w:val="24"/>
            </w:rPr>
            <m:t>=-</m:t>
          </m:r>
          <m:nary>
            <m:naryPr>
              <m:chr m:val="∑"/>
              <m:limLoc m:val="undOvr"/>
              <m:supHide m:val="1"/>
              <m:ctrlPr>
                <w:rPr>
                  <w:rFonts w:ascii="Cambria Math" w:eastAsia="標楷體" w:hAnsi="Cambria Math" w:cstheme="minorHAnsi"/>
                  <w:szCs w:val="24"/>
                </w:rPr>
              </m:ctrlPr>
            </m:naryPr>
            <m:sub>
              <m:r>
                <w:rPr>
                  <w:rFonts w:ascii="Cambria Math" w:eastAsia="標楷體" w:hAnsi="Cambria Math" w:cstheme="minorHAnsi"/>
                  <w:szCs w:val="24"/>
                </w:rPr>
                <m:t>i</m:t>
              </m:r>
            </m:sub>
            <m:sup/>
            <m:e>
              <m:d>
                <m:dPr>
                  <m:begChr m:val="{"/>
                  <m:endChr m:val="}"/>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V</m:t>
                      </m:r>
                    </m:e>
                    <m:sub>
                      <m:r>
                        <w:rPr>
                          <w:rFonts w:ascii="Cambria Math" w:eastAsia="標楷體" w:hAnsi="Cambria Math" w:cstheme="minorHAnsi"/>
                          <w:szCs w:val="24"/>
                        </w:rPr>
                        <m:t>i</m:t>
                      </m:r>
                    </m:sub>
                  </m:sSub>
                  <m:d>
                    <m:dPr>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x</m:t>
                          </m:r>
                        </m:e>
                        <m:sub>
                          <m:r>
                            <w:rPr>
                              <w:rFonts w:ascii="Cambria Math" w:eastAsia="標楷體" w:hAnsi="Cambria Math" w:cstheme="minorHAnsi"/>
                              <w:szCs w:val="24"/>
                            </w:rPr>
                            <m:t>k</m:t>
                          </m:r>
                        </m:sub>
                        <m:sup>
                          <m:sSup>
                            <m:sSupPr>
                              <m:ctrlPr>
                                <w:rPr>
                                  <w:rFonts w:ascii="Cambria Math" w:eastAsia="標楷體" w:hAnsi="Cambria Math" w:cstheme="minorHAnsi"/>
                                  <w:i/>
                                  <w:szCs w:val="24"/>
                                </w:rPr>
                              </m:ctrlPr>
                            </m:sSupPr>
                            <m:e>
                              <m:r>
                                <w:rPr>
                                  <w:rFonts w:ascii="Cambria Math" w:eastAsia="標楷體" w:hAnsi="Cambria Math" w:cstheme="minorHAnsi"/>
                                  <w:szCs w:val="24"/>
                                </w:rPr>
                                <m:t>RW</m:t>
                              </m:r>
                              <m:d>
                                <m:dPr>
                                  <m:ctrlPr>
                                    <w:rPr>
                                      <w:rFonts w:ascii="Cambria Math" w:eastAsia="標楷體" w:hAnsi="Cambria Math" w:cstheme="minorHAnsi"/>
                                      <w:i/>
                                      <w:szCs w:val="24"/>
                                    </w:rPr>
                                  </m:ctrlPr>
                                </m:dPr>
                                <m:e>
                                  <m:r>
                                    <w:rPr>
                                      <w:rFonts w:ascii="Cambria Math" w:eastAsia="標楷體" w:hAnsi="Cambria Math" w:cstheme="minorHAnsi"/>
                                      <w:szCs w:val="24"/>
                                    </w:rPr>
                                    <m:t>Curvature</m:t>
                                  </m:r>
                                </m:e>
                              </m:d>
                            </m:e>
                            <m:sup>
                              <m:r>
                                <w:rPr>
                                  <w:rFonts w:ascii="Cambria Math" w:eastAsia="標楷體" w:hAnsi="Cambria Math" w:cstheme="minorHAnsi"/>
                                  <w:szCs w:val="24"/>
                                </w:rPr>
                                <m:t>-</m:t>
                              </m:r>
                            </m:sup>
                          </m:sSup>
                        </m:sup>
                      </m:sSubSup>
                    </m:e>
                  </m:d>
                  <m:r>
                    <w:rPr>
                      <w:rFonts w:ascii="Cambria Math" w:eastAsia="標楷體" w:hAnsi="Cambria Math" w:cstheme="minorHAnsi"/>
                      <w:szCs w:val="24"/>
                    </w:rPr>
                    <m:t>-V</m:t>
                  </m:r>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x</m:t>
                          </m:r>
                        </m:e>
                        <m:sub>
                          <m:r>
                            <w:rPr>
                              <w:rFonts w:ascii="Cambria Math" w:eastAsia="標楷體" w:hAnsi="Cambria Math" w:cstheme="minorHAnsi"/>
                              <w:szCs w:val="24"/>
                            </w:rPr>
                            <m:t>k</m:t>
                          </m:r>
                        </m:sub>
                      </m:sSub>
                    </m:e>
                  </m:d>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RW</m:t>
                      </m:r>
                    </m:e>
                    <m:sub>
                      <m:r>
                        <w:rPr>
                          <w:rFonts w:ascii="Cambria Math" w:eastAsia="標楷體" w:hAnsi="Cambria Math" w:cstheme="minorHAnsi"/>
                          <w:szCs w:val="24"/>
                        </w:rPr>
                        <m:t>k</m:t>
                      </m:r>
                    </m:sub>
                    <m:sup>
                      <m:r>
                        <w:rPr>
                          <w:rFonts w:ascii="Cambria Math" w:eastAsia="標楷體" w:hAnsi="Cambria Math" w:cstheme="minorHAnsi"/>
                          <w:szCs w:val="24"/>
                        </w:rPr>
                        <m:t>Curvature</m:t>
                      </m:r>
                    </m:sup>
                  </m:sSubSup>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ik</m:t>
                      </m:r>
                    </m:sub>
                  </m:sSub>
                </m:e>
              </m:d>
            </m:e>
          </m:nary>
        </m:oMath>
      </m:oMathPara>
    </w:p>
    <w:p w14:paraId="5B9E885D" w14:textId="77777777" w:rsidR="00EE3A40" w:rsidRPr="00CA1A43" w:rsidRDefault="00EE3A40" w:rsidP="00F952E1">
      <w:pPr>
        <w:pStyle w:val="a7"/>
        <w:spacing w:beforeLines="50" w:before="180"/>
        <w:ind w:leftChars="0" w:left="964"/>
        <w:jc w:val="both"/>
        <w:rPr>
          <w:rFonts w:eastAsia="標楷體" w:cstheme="minorHAnsi"/>
          <w:szCs w:val="24"/>
        </w:rPr>
      </w:pPr>
      <w:r w:rsidRPr="00CA1A43">
        <w:rPr>
          <w:rFonts w:eastAsia="標楷體" w:cstheme="minorHAnsi"/>
          <w:szCs w:val="24"/>
        </w:rPr>
        <w:t>其中，</w:t>
      </w:r>
    </w:p>
    <w:p w14:paraId="6BE23418" w14:textId="7243430D" w:rsidR="00EE3A40" w:rsidRPr="00CA1A43" w:rsidRDefault="00EE3A40" w:rsidP="00605B1D">
      <w:pPr>
        <w:pStyle w:val="a7"/>
        <w:numPr>
          <w:ilvl w:val="0"/>
          <w:numId w:val="89"/>
        </w:numPr>
        <w:spacing w:beforeLines="50" w:before="180"/>
        <w:ind w:leftChars="0" w:left="1446" w:hanging="482"/>
        <w:jc w:val="both"/>
        <w:rPr>
          <w:rFonts w:eastAsia="標楷體" w:cstheme="minorHAnsi"/>
          <w:szCs w:val="24"/>
        </w:rPr>
      </w:pPr>
      <w:proofErr w:type="spellStart"/>
      <w:r w:rsidRPr="00CA1A43">
        <w:rPr>
          <w:rFonts w:eastAsia="標楷體" w:cstheme="minorHAnsi"/>
          <w:szCs w:val="24"/>
        </w:rPr>
        <w:t>i</w:t>
      </w:r>
      <w:proofErr w:type="spellEnd"/>
      <w:r w:rsidRPr="00CA1A43">
        <w:rPr>
          <w:rFonts w:eastAsia="標楷體" w:cstheme="minorHAnsi"/>
          <w:szCs w:val="24"/>
        </w:rPr>
        <w:t>為受到風險因子</w:t>
      </w:r>
      <w:r w:rsidRPr="00CA1A43">
        <w:rPr>
          <w:rFonts w:eastAsia="標楷體" w:cstheme="minorHAnsi"/>
          <w:szCs w:val="24"/>
        </w:rPr>
        <w:t xml:space="preserve">k </w:t>
      </w:r>
      <w:r w:rsidRPr="00CA1A43">
        <w:rPr>
          <w:rFonts w:eastAsia="標楷體" w:cstheme="minorHAnsi"/>
          <w:szCs w:val="24"/>
        </w:rPr>
        <w:t>的</w:t>
      </w:r>
      <w:r w:rsidRPr="00CA1A43">
        <w:rPr>
          <w:rFonts w:eastAsia="標楷體" w:cstheme="minorHAnsi"/>
          <w:szCs w:val="24"/>
        </w:rPr>
        <w:t xml:space="preserve">curvature </w:t>
      </w:r>
      <w:r w:rsidRPr="00CA1A43">
        <w:rPr>
          <w:rFonts w:eastAsia="標楷體" w:cstheme="minorHAnsi"/>
          <w:szCs w:val="24"/>
        </w:rPr>
        <w:t>風險影響之</w:t>
      </w:r>
      <w:r w:rsidR="009653EE" w:rsidRPr="009F70AE">
        <w:rPr>
          <w:rFonts w:eastAsia="標楷體" w:cstheme="minorHAnsi"/>
          <w:szCs w:val="24"/>
        </w:rPr>
        <w:t>工具</w:t>
      </w:r>
      <w:r w:rsidRPr="00CA1A43">
        <w:rPr>
          <w:rFonts w:eastAsia="標楷體" w:cstheme="minorHAnsi"/>
          <w:szCs w:val="24"/>
        </w:rPr>
        <w:t>；</w:t>
      </w:r>
    </w:p>
    <w:p w14:paraId="5FF57487" w14:textId="77777777" w:rsidR="00EE3A40" w:rsidRPr="00CA1A43" w:rsidRDefault="00EE3A40" w:rsidP="00605B1D">
      <w:pPr>
        <w:pStyle w:val="a7"/>
        <w:numPr>
          <w:ilvl w:val="0"/>
          <w:numId w:val="89"/>
        </w:numPr>
        <w:spacing w:beforeLines="50" w:before="180"/>
        <w:ind w:leftChars="0" w:left="1446" w:hanging="482"/>
        <w:jc w:val="both"/>
        <w:rPr>
          <w:rFonts w:eastAsia="標楷體" w:cstheme="minorHAnsi"/>
          <w:szCs w:val="24"/>
        </w:rPr>
      </w:pPr>
      <w:r w:rsidRPr="00CA1A43">
        <w:rPr>
          <w:rFonts w:ascii="Cambria Math" w:eastAsia="標楷體" w:hAnsi="Cambria Math" w:cs="Cambria Math"/>
          <w:szCs w:val="24"/>
        </w:rPr>
        <w:t>𝑥</w:t>
      </w:r>
      <w:r w:rsidRPr="00CA1A43">
        <w:rPr>
          <w:rFonts w:ascii="Cambria Math" w:eastAsia="標楷體" w:hAnsi="Cambria Math" w:cs="Cambria Math"/>
          <w:szCs w:val="24"/>
          <w:vertAlign w:val="subscript"/>
        </w:rPr>
        <w:t>𝑘</w:t>
      </w:r>
      <w:r w:rsidRPr="00CA1A43">
        <w:rPr>
          <w:rFonts w:eastAsia="標楷體" w:cstheme="minorHAnsi"/>
          <w:szCs w:val="24"/>
        </w:rPr>
        <w:t>為風險因子</w:t>
      </w:r>
      <w:r w:rsidRPr="00CA1A43">
        <w:rPr>
          <w:rFonts w:eastAsia="標楷體" w:cstheme="minorHAnsi"/>
          <w:szCs w:val="24"/>
        </w:rPr>
        <w:t xml:space="preserve">k </w:t>
      </w:r>
      <w:r w:rsidRPr="00CA1A43">
        <w:rPr>
          <w:rFonts w:eastAsia="標楷體" w:cstheme="minorHAnsi"/>
          <w:szCs w:val="24"/>
        </w:rPr>
        <w:t>目前的值；</w:t>
      </w:r>
    </w:p>
    <w:p w14:paraId="668449F7" w14:textId="23AC5F67" w:rsidR="00EE3A40" w:rsidRPr="00CA1A43" w:rsidRDefault="00EE3A40" w:rsidP="00605B1D">
      <w:pPr>
        <w:pStyle w:val="a7"/>
        <w:numPr>
          <w:ilvl w:val="0"/>
          <w:numId w:val="89"/>
        </w:numPr>
        <w:spacing w:beforeLines="50" w:before="180"/>
        <w:ind w:leftChars="0" w:left="1446" w:hanging="482"/>
        <w:jc w:val="both"/>
        <w:rPr>
          <w:rFonts w:eastAsia="標楷體" w:cstheme="minorHAnsi"/>
          <w:szCs w:val="24"/>
        </w:rPr>
      </w:pPr>
      <w:r w:rsidRPr="00CA1A43">
        <w:rPr>
          <w:rFonts w:ascii="Cambria Math" w:eastAsia="標楷體" w:hAnsi="Cambria Math" w:cs="Cambria Math"/>
          <w:szCs w:val="24"/>
        </w:rPr>
        <w:t>𝑉</w:t>
      </w:r>
      <w:r w:rsidRPr="00CA1A43">
        <w:rPr>
          <w:rFonts w:ascii="Cambria Math" w:eastAsia="標楷體" w:hAnsi="Cambria Math" w:cs="Cambria Math"/>
          <w:szCs w:val="24"/>
          <w:vertAlign w:val="subscript"/>
        </w:rPr>
        <w:t>𝑖</w:t>
      </w:r>
      <w:r w:rsidRPr="00CA1A43">
        <w:rPr>
          <w:rFonts w:eastAsia="標楷體" w:cstheme="minorHAnsi"/>
          <w:szCs w:val="24"/>
        </w:rPr>
        <w:t>(</w:t>
      </w:r>
      <w:r w:rsidRPr="00CA1A43">
        <w:rPr>
          <w:rFonts w:ascii="Cambria Math" w:eastAsia="標楷體" w:hAnsi="Cambria Math" w:cs="Cambria Math"/>
          <w:szCs w:val="24"/>
        </w:rPr>
        <w:t>𝑥</w:t>
      </w:r>
      <w:r w:rsidRPr="00CA1A43">
        <w:rPr>
          <w:rFonts w:ascii="Cambria Math" w:eastAsia="標楷體" w:hAnsi="Cambria Math" w:cs="Cambria Math"/>
          <w:szCs w:val="24"/>
          <w:vertAlign w:val="subscript"/>
        </w:rPr>
        <w:t>𝑘</w:t>
      </w:r>
      <w:r w:rsidRPr="00CA1A43">
        <w:rPr>
          <w:rFonts w:eastAsia="標楷體" w:cstheme="minorHAnsi"/>
          <w:szCs w:val="24"/>
        </w:rPr>
        <w:t>)</w:t>
      </w:r>
      <w:r w:rsidRPr="00CA1A43">
        <w:rPr>
          <w:rFonts w:eastAsia="標楷體" w:cstheme="minorHAnsi"/>
          <w:szCs w:val="24"/>
        </w:rPr>
        <w:t>為</w:t>
      </w:r>
      <w:r w:rsidR="009653EE" w:rsidRPr="009F70AE">
        <w:rPr>
          <w:rFonts w:eastAsia="標楷體" w:cstheme="minorHAnsi"/>
          <w:szCs w:val="24"/>
        </w:rPr>
        <w:t>工具</w:t>
      </w:r>
      <w:proofErr w:type="spellStart"/>
      <w:r w:rsidRPr="009F70AE">
        <w:rPr>
          <w:rFonts w:eastAsia="標楷體" w:cstheme="minorHAnsi"/>
          <w:szCs w:val="24"/>
        </w:rPr>
        <w:t>i</w:t>
      </w:r>
      <w:proofErr w:type="spellEnd"/>
      <w:r w:rsidRPr="009F70AE">
        <w:rPr>
          <w:rFonts w:eastAsia="標楷體" w:cstheme="minorHAnsi"/>
          <w:szCs w:val="24"/>
        </w:rPr>
        <w:t xml:space="preserve"> </w:t>
      </w:r>
      <w:r w:rsidRPr="009F70AE">
        <w:rPr>
          <w:rFonts w:eastAsia="標楷體" w:cstheme="minorHAnsi"/>
          <w:szCs w:val="24"/>
        </w:rPr>
        <w:t>在</w:t>
      </w:r>
      <w:r w:rsidRPr="00CA1A43">
        <w:rPr>
          <w:rFonts w:eastAsia="標楷體" w:cstheme="minorHAnsi"/>
          <w:szCs w:val="24"/>
        </w:rPr>
        <w:t>目前層級風險因子</w:t>
      </w:r>
      <w:r w:rsidRPr="00CA1A43">
        <w:rPr>
          <w:rFonts w:eastAsia="標楷體" w:cstheme="minorHAnsi"/>
          <w:szCs w:val="24"/>
        </w:rPr>
        <w:t>k</w:t>
      </w:r>
      <w:r w:rsidRPr="00CA1A43">
        <w:rPr>
          <w:rFonts w:eastAsia="標楷體" w:cstheme="minorHAnsi"/>
          <w:szCs w:val="24"/>
        </w:rPr>
        <w:t>的價格；</w:t>
      </w:r>
    </w:p>
    <w:p w14:paraId="7C166A49" w14:textId="419D2A0F" w:rsidR="00EE3A40" w:rsidRPr="009F70AE" w:rsidRDefault="00AA1117" w:rsidP="00605B1D">
      <w:pPr>
        <w:pStyle w:val="a7"/>
        <w:numPr>
          <w:ilvl w:val="0"/>
          <w:numId w:val="89"/>
        </w:numPr>
        <w:spacing w:beforeLines="50" w:before="180"/>
        <w:ind w:leftChars="0" w:left="1446" w:hanging="482"/>
        <w:jc w:val="both"/>
        <w:rPr>
          <w:rFonts w:eastAsia="標楷體" w:cstheme="minorHAnsi"/>
          <w:szCs w:val="24"/>
        </w:rPr>
      </w:pP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V</m:t>
            </m:r>
          </m:e>
          <m:sub>
            <m:r>
              <m:rPr>
                <m:sty m:val="p"/>
              </m:rPr>
              <w:rPr>
                <w:rFonts w:ascii="Cambria Math" w:eastAsia="標楷體" w:hAnsi="Cambria Math" w:cstheme="minorHAnsi"/>
                <w:szCs w:val="24"/>
              </w:rPr>
              <m:t>i</m:t>
            </m:r>
          </m:sub>
        </m:sSub>
        <m:r>
          <m:rPr>
            <m:sty m:val="p"/>
          </m:rPr>
          <w:rPr>
            <w:rFonts w:ascii="Cambria Math" w:eastAsia="標楷體" w:hAnsi="Cambria Math" w:cstheme="minorHAnsi"/>
            <w:szCs w:val="24"/>
          </w:rPr>
          <m:t>(</m:t>
        </m:r>
        <m:sSubSup>
          <m:sSubSupPr>
            <m:ctrlPr>
              <w:rPr>
                <w:rFonts w:ascii="Cambria Math" w:eastAsia="標楷體" w:hAnsi="Cambria Math" w:cstheme="minorHAnsi"/>
                <w:szCs w:val="24"/>
              </w:rPr>
            </m:ctrlPr>
          </m:sSubSupPr>
          <m:e>
            <m:r>
              <m:rPr>
                <m:sty m:val="p"/>
              </m:rPr>
              <w:rPr>
                <w:rFonts w:ascii="Cambria Math" w:eastAsia="標楷體" w:hAnsi="Cambria Math" w:cstheme="minorHAnsi"/>
                <w:szCs w:val="24"/>
              </w:rPr>
              <m:t>x</m:t>
            </m:r>
          </m:e>
          <m:sub>
            <m:r>
              <m:rPr>
                <m:sty m:val="p"/>
              </m:rPr>
              <w:rPr>
                <w:rFonts w:ascii="Cambria Math" w:eastAsia="標楷體" w:hAnsi="Cambria Math" w:cstheme="minorHAnsi"/>
                <w:szCs w:val="24"/>
              </w:rPr>
              <m:t>k</m:t>
            </m:r>
          </m:sub>
          <m:sup>
            <m:r>
              <m:rPr>
                <m:sty m:val="p"/>
              </m:rPr>
              <w:rPr>
                <w:rFonts w:ascii="Cambria Math" w:eastAsia="標楷體" w:hAnsi="Cambria Math" w:cstheme="minorHAnsi"/>
                <w:szCs w:val="24"/>
              </w:rPr>
              <m:t>(</m:t>
            </m:r>
            <m:sSup>
              <m:sSupPr>
                <m:ctrlPr>
                  <w:rPr>
                    <w:rFonts w:ascii="Cambria Math" w:eastAsia="標楷體" w:hAnsi="Cambria Math" w:cstheme="minorHAnsi"/>
                    <w:szCs w:val="24"/>
                  </w:rPr>
                </m:ctrlPr>
              </m:sSupPr>
              <m:e>
                <m:r>
                  <m:rPr>
                    <m:sty m:val="p"/>
                  </m:rPr>
                  <w:rPr>
                    <w:rFonts w:ascii="Cambria Math" w:eastAsia="標楷體" w:hAnsi="Cambria Math" w:cstheme="minorHAnsi"/>
                    <w:szCs w:val="24"/>
                  </w:rPr>
                  <m:t>RW</m:t>
                </m:r>
              </m:e>
              <m:sup>
                <m:d>
                  <m:dPr>
                    <m:ctrlPr>
                      <w:rPr>
                        <w:rFonts w:ascii="Cambria Math" w:eastAsia="標楷體" w:hAnsi="Cambria Math" w:cstheme="minorHAnsi"/>
                        <w:szCs w:val="24"/>
                      </w:rPr>
                    </m:ctrlPr>
                  </m:dPr>
                  <m:e>
                    <m:r>
                      <m:rPr>
                        <m:sty m:val="p"/>
                      </m:rPr>
                      <w:rPr>
                        <w:rFonts w:ascii="Cambria Math" w:eastAsia="標楷體" w:hAnsi="Cambria Math" w:cstheme="minorHAnsi"/>
                        <w:szCs w:val="24"/>
                      </w:rPr>
                      <m:t>curvature</m:t>
                    </m:r>
                  </m:e>
                </m:d>
              </m:sup>
            </m:sSup>
            <m:r>
              <m:rPr>
                <m:sty m:val="p"/>
              </m:rPr>
              <w:rPr>
                <w:rFonts w:ascii="Cambria Math" w:eastAsia="標楷體" w:hAnsi="Cambria Math" w:cstheme="minorHAnsi"/>
                <w:szCs w:val="24"/>
              </w:rPr>
              <m:t>+)</m:t>
            </m:r>
          </m:sup>
        </m:sSubSup>
        <m:r>
          <m:rPr>
            <m:sty m:val="p"/>
          </m:rPr>
          <w:rPr>
            <w:rFonts w:ascii="Cambria Math" w:eastAsia="標楷體" w:hAnsi="Cambria Math" w:cstheme="minorHAnsi"/>
            <w:szCs w:val="24"/>
          </w:rPr>
          <m:t>)</m:t>
        </m:r>
      </m:oMath>
      <w:r w:rsidR="00EE3A40" w:rsidRPr="00CA1A43">
        <w:rPr>
          <w:rFonts w:eastAsia="標楷體" w:cstheme="minorHAnsi"/>
          <w:szCs w:val="24"/>
        </w:rPr>
        <w:t>和</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V</m:t>
            </m:r>
          </m:e>
          <m:sub>
            <m:r>
              <m:rPr>
                <m:sty m:val="p"/>
              </m:rPr>
              <w:rPr>
                <w:rFonts w:ascii="Cambria Math" w:eastAsia="標楷體" w:hAnsi="Cambria Math" w:cstheme="minorHAnsi"/>
                <w:szCs w:val="24"/>
              </w:rPr>
              <m:t>i</m:t>
            </m:r>
          </m:sub>
        </m:sSub>
        <m:r>
          <m:rPr>
            <m:sty m:val="p"/>
          </m:rPr>
          <w:rPr>
            <w:rFonts w:ascii="Cambria Math" w:eastAsia="標楷體" w:hAnsi="Cambria Math" w:cstheme="minorHAnsi"/>
            <w:szCs w:val="24"/>
          </w:rPr>
          <m:t>(</m:t>
        </m:r>
        <m:sSubSup>
          <m:sSubSupPr>
            <m:ctrlPr>
              <w:rPr>
                <w:rFonts w:ascii="Cambria Math" w:eastAsia="標楷體" w:hAnsi="Cambria Math" w:cstheme="minorHAnsi"/>
                <w:szCs w:val="24"/>
              </w:rPr>
            </m:ctrlPr>
          </m:sSubSupPr>
          <m:e>
            <m:r>
              <m:rPr>
                <m:sty m:val="p"/>
              </m:rPr>
              <w:rPr>
                <w:rFonts w:ascii="Cambria Math" w:eastAsia="標楷體" w:hAnsi="Cambria Math" w:cstheme="minorHAnsi"/>
                <w:szCs w:val="24"/>
              </w:rPr>
              <m:t>x</m:t>
            </m:r>
          </m:e>
          <m:sub>
            <m:r>
              <m:rPr>
                <m:sty m:val="p"/>
              </m:rPr>
              <w:rPr>
                <w:rFonts w:ascii="Cambria Math" w:eastAsia="標楷體" w:hAnsi="Cambria Math" w:cstheme="minorHAnsi"/>
                <w:szCs w:val="24"/>
              </w:rPr>
              <m:t>k</m:t>
            </m:r>
          </m:sub>
          <m:sup>
            <m:r>
              <m:rPr>
                <m:sty m:val="p"/>
              </m:rPr>
              <w:rPr>
                <w:rFonts w:ascii="Cambria Math" w:eastAsia="標楷體" w:hAnsi="Cambria Math" w:cstheme="minorHAnsi"/>
                <w:szCs w:val="24"/>
              </w:rPr>
              <m:t>(</m:t>
            </m:r>
            <m:sSup>
              <m:sSupPr>
                <m:ctrlPr>
                  <w:rPr>
                    <w:rFonts w:ascii="Cambria Math" w:eastAsia="標楷體" w:hAnsi="Cambria Math" w:cstheme="minorHAnsi"/>
                    <w:szCs w:val="24"/>
                  </w:rPr>
                </m:ctrlPr>
              </m:sSupPr>
              <m:e>
                <m:r>
                  <m:rPr>
                    <m:sty m:val="p"/>
                  </m:rPr>
                  <w:rPr>
                    <w:rFonts w:ascii="Cambria Math" w:eastAsia="標楷體" w:hAnsi="Cambria Math" w:cstheme="minorHAnsi"/>
                    <w:szCs w:val="24"/>
                  </w:rPr>
                  <m:t>RW</m:t>
                </m:r>
              </m:e>
              <m:sup>
                <m:d>
                  <m:dPr>
                    <m:ctrlPr>
                      <w:rPr>
                        <w:rFonts w:ascii="Cambria Math" w:eastAsia="標楷體" w:hAnsi="Cambria Math" w:cstheme="minorHAnsi"/>
                        <w:szCs w:val="24"/>
                      </w:rPr>
                    </m:ctrlPr>
                  </m:dPr>
                  <m:e>
                    <m:r>
                      <m:rPr>
                        <m:sty m:val="p"/>
                      </m:rPr>
                      <w:rPr>
                        <w:rFonts w:ascii="Cambria Math" w:eastAsia="標楷體" w:hAnsi="Cambria Math" w:cstheme="minorHAnsi"/>
                        <w:szCs w:val="24"/>
                      </w:rPr>
                      <m:t>curvature</m:t>
                    </m:r>
                  </m:e>
                </m:d>
              </m:sup>
            </m:sSup>
            <m:r>
              <m:rPr>
                <m:sty m:val="p"/>
              </m:rPr>
              <w:rPr>
                <w:rFonts w:ascii="Cambria Math" w:eastAsia="標楷體" w:hAnsi="Cambria Math" w:cstheme="minorHAnsi"/>
                <w:szCs w:val="24"/>
              </w:rPr>
              <m:t>-)</m:t>
            </m:r>
          </m:sup>
        </m:sSubSup>
        <m:r>
          <m:rPr>
            <m:sty m:val="p"/>
          </m:rPr>
          <w:rPr>
            <w:rFonts w:ascii="Cambria Math" w:eastAsia="標楷體" w:hAnsi="Cambria Math" w:cstheme="minorHAnsi"/>
            <w:szCs w:val="24"/>
          </w:rPr>
          <m:t>)</m:t>
        </m:r>
      </m:oMath>
      <w:r w:rsidR="00EE3A40" w:rsidRPr="00CA1A43">
        <w:rPr>
          <w:rFonts w:eastAsia="標楷體" w:cstheme="minorHAnsi"/>
          <w:szCs w:val="24"/>
        </w:rPr>
        <w:t>兩者分別表示</w:t>
      </w:r>
      <w:r w:rsidR="00EE3A40" w:rsidRPr="00CA1A43">
        <w:rPr>
          <w:rFonts w:ascii="Cambria Math" w:eastAsia="標楷體" w:hAnsi="Cambria Math" w:cs="Cambria Math"/>
          <w:szCs w:val="24"/>
        </w:rPr>
        <w:t>𝑥</w:t>
      </w:r>
      <w:r w:rsidR="00EE3A40" w:rsidRPr="00CA1A43">
        <w:rPr>
          <w:rFonts w:ascii="Cambria Math" w:eastAsia="標楷體" w:hAnsi="Cambria Math" w:cs="Cambria Math"/>
          <w:szCs w:val="24"/>
          <w:vertAlign w:val="subscript"/>
        </w:rPr>
        <w:t>𝑘</w:t>
      </w:r>
      <w:r w:rsidR="00EE3A40" w:rsidRPr="00CA1A43">
        <w:rPr>
          <w:rFonts w:eastAsia="標楷體" w:cstheme="minorHAnsi"/>
          <w:szCs w:val="24"/>
        </w:rPr>
        <w:t>向上移動與向下移動</w:t>
      </w:r>
      <w:r w:rsidR="00EE3A40" w:rsidRPr="009F70AE">
        <w:rPr>
          <w:rFonts w:eastAsia="標楷體" w:cstheme="minorHAnsi"/>
          <w:szCs w:val="24"/>
        </w:rPr>
        <w:t>後</w:t>
      </w:r>
      <w:r w:rsidR="009653EE" w:rsidRPr="009F70AE">
        <w:rPr>
          <w:rFonts w:eastAsia="標楷體" w:cstheme="minorHAnsi"/>
          <w:szCs w:val="24"/>
        </w:rPr>
        <w:t>工具</w:t>
      </w:r>
      <w:proofErr w:type="spellStart"/>
      <w:r w:rsidR="00EE3A40" w:rsidRPr="009F70AE">
        <w:rPr>
          <w:rFonts w:eastAsia="標楷體" w:cstheme="minorHAnsi"/>
          <w:szCs w:val="24"/>
        </w:rPr>
        <w:t>i</w:t>
      </w:r>
      <w:proofErr w:type="spellEnd"/>
      <w:r w:rsidR="00EE3A40" w:rsidRPr="009F70AE">
        <w:rPr>
          <w:rFonts w:eastAsia="標楷體" w:cstheme="minorHAnsi"/>
          <w:szCs w:val="24"/>
        </w:rPr>
        <w:t xml:space="preserve"> </w:t>
      </w:r>
      <w:r w:rsidR="00EE3A40" w:rsidRPr="009F70AE">
        <w:rPr>
          <w:rFonts w:eastAsia="標楷體" w:cstheme="minorHAnsi"/>
          <w:szCs w:val="24"/>
        </w:rPr>
        <w:t>的價格；</w:t>
      </w:r>
    </w:p>
    <w:p w14:paraId="02F85F65" w14:textId="222E8ADE" w:rsidR="00EE3A40" w:rsidRPr="009F70AE" w:rsidRDefault="00EE3A40" w:rsidP="00605B1D">
      <w:pPr>
        <w:pStyle w:val="a7"/>
        <w:numPr>
          <w:ilvl w:val="0"/>
          <w:numId w:val="89"/>
        </w:numPr>
        <w:spacing w:beforeLines="50" w:before="180"/>
        <w:ind w:leftChars="0" w:left="1446" w:hanging="482"/>
        <w:jc w:val="both"/>
        <w:rPr>
          <w:rFonts w:eastAsia="標楷體" w:cstheme="minorHAnsi"/>
          <w:szCs w:val="24"/>
        </w:rPr>
      </w:pPr>
      <w:r w:rsidRPr="009F70AE">
        <w:rPr>
          <w:rFonts w:ascii="Cambria Math" w:eastAsia="標楷體" w:hAnsi="Cambria Math" w:cs="Cambria Math"/>
          <w:szCs w:val="24"/>
        </w:rPr>
        <w:t>𝑅</w:t>
      </w:r>
      <w:r w:rsidRPr="009F70AE">
        <w:rPr>
          <w:rFonts w:eastAsia="標楷體" w:cstheme="minorHAnsi"/>
          <w:szCs w:val="24"/>
        </w:rPr>
        <w:t>W</w:t>
      </w:r>
      <w:r w:rsidRPr="009F70AE">
        <w:rPr>
          <w:rFonts w:ascii="Cambria Math" w:eastAsia="標楷體" w:hAnsi="Cambria Math" w:cs="Cambria Math"/>
          <w:szCs w:val="24"/>
          <w:vertAlign w:val="subscript"/>
        </w:rPr>
        <w:t>𝑘</w:t>
      </w:r>
      <w:r w:rsidRPr="009F70AE">
        <w:rPr>
          <w:rFonts w:eastAsia="標楷體" w:cstheme="minorHAnsi"/>
          <w:szCs w:val="24"/>
        </w:rPr>
        <w:t>(curvature)</w:t>
      </w:r>
      <w:r w:rsidRPr="009F70AE">
        <w:rPr>
          <w:rFonts w:eastAsia="標楷體" w:cstheme="minorHAnsi"/>
          <w:szCs w:val="24"/>
        </w:rPr>
        <w:t>為</w:t>
      </w:r>
      <w:r w:rsidR="009653EE" w:rsidRPr="009F70AE">
        <w:rPr>
          <w:rFonts w:eastAsia="標楷體" w:cstheme="minorHAnsi"/>
          <w:szCs w:val="24"/>
        </w:rPr>
        <w:t>工具</w:t>
      </w:r>
      <w:proofErr w:type="spellStart"/>
      <w:r w:rsidRPr="009F70AE">
        <w:rPr>
          <w:rFonts w:eastAsia="標楷體" w:cstheme="minorHAnsi"/>
          <w:szCs w:val="24"/>
        </w:rPr>
        <w:t>i</w:t>
      </w:r>
      <w:proofErr w:type="spellEnd"/>
      <w:r w:rsidRPr="009F70AE">
        <w:rPr>
          <w:rFonts w:eastAsia="標楷體" w:cstheme="minorHAnsi"/>
          <w:szCs w:val="24"/>
        </w:rPr>
        <w:t>之</w:t>
      </w:r>
      <w:r w:rsidRPr="009F70AE">
        <w:rPr>
          <w:rFonts w:eastAsia="標楷體" w:cstheme="minorHAnsi"/>
          <w:szCs w:val="24"/>
        </w:rPr>
        <w:t>curvature</w:t>
      </w:r>
      <w:r w:rsidRPr="009F70AE">
        <w:rPr>
          <w:rFonts w:eastAsia="標楷體" w:cstheme="minorHAnsi"/>
          <w:szCs w:val="24"/>
        </w:rPr>
        <w:t>風險因子</w:t>
      </w:r>
      <w:r w:rsidRPr="009F70AE">
        <w:rPr>
          <w:rFonts w:eastAsia="標楷體" w:cstheme="minorHAnsi"/>
          <w:szCs w:val="24"/>
        </w:rPr>
        <w:t>k</w:t>
      </w:r>
      <w:r w:rsidRPr="009F70AE">
        <w:rPr>
          <w:rFonts w:eastAsia="標楷體" w:cstheme="minorHAnsi"/>
          <w:szCs w:val="24"/>
        </w:rPr>
        <w:t>的風險權重；</w:t>
      </w:r>
    </w:p>
    <w:p w14:paraId="0D705653" w14:textId="4D067548" w:rsidR="00EE3A40" w:rsidRPr="009F70AE" w:rsidRDefault="00EE3A40" w:rsidP="00605B1D">
      <w:pPr>
        <w:pStyle w:val="a7"/>
        <w:numPr>
          <w:ilvl w:val="0"/>
          <w:numId w:val="89"/>
        </w:numPr>
        <w:spacing w:beforeLines="50" w:before="180"/>
        <w:ind w:leftChars="0" w:left="1446" w:hanging="482"/>
        <w:jc w:val="both"/>
        <w:rPr>
          <w:rFonts w:eastAsia="標楷體" w:cstheme="minorHAnsi"/>
          <w:szCs w:val="24"/>
        </w:rPr>
      </w:pPr>
      <w:r w:rsidRPr="009F70AE">
        <w:rPr>
          <w:rFonts w:ascii="Cambria Math" w:eastAsia="標楷體" w:hAnsi="Cambria Math" w:cs="Cambria Math"/>
          <w:szCs w:val="24"/>
        </w:rPr>
        <w:t>𝑠</w:t>
      </w:r>
      <w:r w:rsidRPr="009F70AE">
        <w:rPr>
          <w:rFonts w:ascii="Cambria Math" w:eastAsia="標楷體" w:hAnsi="Cambria Math" w:cs="Cambria Math"/>
          <w:szCs w:val="24"/>
          <w:vertAlign w:val="subscript"/>
        </w:rPr>
        <w:t>𝑖</w:t>
      </w:r>
      <w:r w:rsidRPr="009F70AE">
        <w:rPr>
          <w:rFonts w:eastAsia="標楷體" w:cstheme="minorHAnsi"/>
          <w:szCs w:val="24"/>
          <w:vertAlign w:val="subscript"/>
        </w:rPr>
        <w:t>k</w:t>
      </w:r>
      <w:r w:rsidRPr="009F70AE">
        <w:rPr>
          <w:rFonts w:eastAsia="標楷體" w:cstheme="minorHAnsi"/>
          <w:szCs w:val="24"/>
        </w:rPr>
        <w:t>是相應於</w:t>
      </w:r>
      <w:r w:rsidRPr="009F70AE">
        <w:rPr>
          <w:rFonts w:eastAsia="標楷體" w:cstheme="minorHAnsi"/>
          <w:szCs w:val="24"/>
        </w:rPr>
        <w:t xml:space="preserve">curvature </w:t>
      </w:r>
      <w:r w:rsidRPr="009F70AE">
        <w:rPr>
          <w:rFonts w:eastAsia="標楷體" w:cstheme="minorHAnsi"/>
          <w:szCs w:val="24"/>
        </w:rPr>
        <w:t>風險因子</w:t>
      </w:r>
      <w:r w:rsidRPr="009F70AE">
        <w:rPr>
          <w:rFonts w:eastAsia="標楷體" w:cstheme="minorHAnsi"/>
          <w:szCs w:val="24"/>
        </w:rPr>
        <w:t>k</w:t>
      </w:r>
      <w:r w:rsidRPr="009F70AE">
        <w:rPr>
          <w:rFonts w:eastAsia="標楷體" w:cstheme="minorHAnsi"/>
          <w:szCs w:val="24"/>
        </w:rPr>
        <w:t>，攸關</w:t>
      </w:r>
      <w:r w:rsidR="009653EE" w:rsidRPr="009F70AE">
        <w:rPr>
          <w:rFonts w:eastAsia="標楷體" w:cstheme="minorHAnsi"/>
          <w:szCs w:val="24"/>
        </w:rPr>
        <w:t>工具</w:t>
      </w:r>
      <w:proofErr w:type="spellStart"/>
      <w:r w:rsidRPr="009F70AE">
        <w:rPr>
          <w:rFonts w:eastAsia="標楷體" w:cstheme="minorHAnsi"/>
          <w:szCs w:val="24"/>
        </w:rPr>
        <w:t>i</w:t>
      </w:r>
      <w:proofErr w:type="spellEnd"/>
      <w:r w:rsidRPr="009F70AE">
        <w:rPr>
          <w:rFonts w:eastAsia="標楷體" w:cstheme="minorHAnsi"/>
          <w:szCs w:val="24"/>
        </w:rPr>
        <w:t>之</w:t>
      </w:r>
      <w:r w:rsidRPr="009F70AE">
        <w:rPr>
          <w:rFonts w:eastAsia="標楷體" w:cstheme="minorHAnsi"/>
          <w:szCs w:val="24"/>
        </w:rPr>
        <w:t xml:space="preserve">Delta </w:t>
      </w:r>
      <w:r w:rsidRPr="009F70AE">
        <w:rPr>
          <w:rFonts w:eastAsia="標楷體" w:cstheme="minorHAnsi"/>
          <w:szCs w:val="24"/>
        </w:rPr>
        <w:t>風險因子的</w:t>
      </w:r>
      <w:r w:rsidRPr="009F70AE">
        <w:rPr>
          <w:rFonts w:eastAsia="標楷體" w:cstheme="minorHAnsi"/>
          <w:szCs w:val="24"/>
        </w:rPr>
        <w:t xml:space="preserve">Delta </w:t>
      </w:r>
      <w:r w:rsidRPr="009F70AE">
        <w:rPr>
          <w:rFonts w:eastAsia="標楷體" w:cstheme="minorHAnsi"/>
          <w:szCs w:val="24"/>
        </w:rPr>
        <w:t>敏感性部位，其中：</w:t>
      </w:r>
    </w:p>
    <w:p w14:paraId="29AC5D36" w14:textId="38DE3432" w:rsidR="00EE3A40" w:rsidRPr="00CA1A43" w:rsidRDefault="00EE3A40" w:rsidP="00605B1D">
      <w:pPr>
        <w:pStyle w:val="a7"/>
        <w:numPr>
          <w:ilvl w:val="0"/>
          <w:numId w:val="90"/>
        </w:numPr>
        <w:spacing w:beforeLines="50" w:before="180"/>
        <w:ind w:leftChars="0"/>
        <w:jc w:val="both"/>
        <w:rPr>
          <w:rFonts w:eastAsia="標楷體" w:cstheme="minorHAnsi"/>
          <w:szCs w:val="24"/>
        </w:rPr>
      </w:pPr>
      <w:r w:rsidRPr="009F70AE">
        <w:rPr>
          <w:rFonts w:eastAsia="標楷體" w:cstheme="minorHAnsi"/>
          <w:szCs w:val="24"/>
        </w:rPr>
        <w:t>在外匯與權益證券風險類別，</w:t>
      </w:r>
      <w:r w:rsidRPr="009F70AE">
        <w:rPr>
          <w:rFonts w:eastAsia="標楷體" w:cstheme="minorHAnsi"/>
          <w:szCs w:val="24"/>
        </w:rPr>
        <w:t xml:space="preserve"> </w:t>
      </w:r>
      <w:r w:rsidRPr="009F70AE">
        <w:rPr>
          <w:rFonts w:ascii="Cambria Math" w:eastAsia="標楷體" w:hAnsi="Cambria Math" w:cs="Cambria Math"/>
          <w:szCs w:val="24"/>
        </w:rPr>
        <w:t>𝑠</w:t>
      </w:r>
      <w:r w:rsidRPr="009F70AE">
        <w:rPr>
          <w:rFonts w:ascii="Cambria Math" w:eastAsia="標楷體" w:hAnsi="Cambria Math" w:cs="Cambria Math"/>
          <w:szCs w:val="24"/>
          <w:vertAlign w:val="subscript"/>
        </w:rPr>
        <w:t>𝑖</w:t>
      </w:r>
      <w:r w:rsidRPr="009F70AE">
        <w:rPr>
          <w:rFonts w:eastAsia="標楷體" w:cstheme="minorHAnsi"/>
          <w:szCs w:val="24"/>
          <w:vertAlign w:val="subscript"/>
        </w:rPr>
        <w:t>k</w:t>
      </w:r>
      <w:r w:rsidRPr="009F70AE">
        <w:rPr>
          <w:rFonts w:eastAsia="標楷體" w:cstheme="minorHAnsi"/>
          <w:szCs w:val="24"/>
        </w:rPr>
        <w:t>是</w:t>
      </w:r>
      <w:r w:rsidR="009653EE" w:rsidRPr="009F70AE">
        <w:rPr>
          <w:rFonts w:eastAsia="標楷體" w:cstheme="minorHAnsi"/>
          <w:szCs w:val="24"/>
        </w:rPr>
        <w:t>工具</w:t>
      </w:r>
      <w:proofErr w:type="spellStart"/>
      <w:r w:rsidRPr="009F70AE">
        <w:rPr>
          <w:rFonts w:eastAsia="標楷體" w:cstheme="minorHAnsi"/>
          <w:szCs w:val="24"/>
        </w:rPr>
        <w:t>i</w:t>
      </w:r>
      <w:proofErr w:type="spellEnd"/>
      <w:r w:rsidRPr="009F70AE">
        <w:rPr>
          <w:rFonts w:eastAsia="標楷體" w:cstheme="minorHAnsi"/>
          <w:szCs w:val="24"/>
        </w:rPr>
        <w:t>的</w:t>
      </w:r>
      <w:r w:rsidRPr="00CA1A43">
        <w:rPr>
          <w:rFonts w:eastAsia="標楷體" w:cstheme="minorHAnsi"/>
          <w:szCs w:val="24"/>
        </w:rPr>
        <w:t xml:space="preserve">Delta </w:t>
      </w:r>
      <w:r w:rsidRPr="00CA1A43">
        <w:rPr>
          <w:rFonts w:eastAsia="標楷體" w:cstheme="minorHAnsi"/>
          <w:szCs w:val="24"/>
        </w:rPr>
        <w:t>敏感性部位；</w:t>
      </w:r>
    </w:p>
    <w:p w14:paraId="5480ADCB" w14:textId="10EBA695" w:rsidR="00EE3A40" w:rsidRPr="00CA1A43" w:rsidRDefault="00EE3A40" w:rsidP="00605B1D">
      <w:pPr>
        <w:pStyle w:val="a7"/>
        <w:numPr>
          <w:ilvl w:val="0"/>
          <w:numId w:val="90"/>
        </w:numPr>
        <w:spacing w:beforeLines="50" w:before="180"/>
        <w:ind w:leftChars="0"/>
        <w:jc w:val="both"/>
        <w:rPr>
          <w:rFonts w:eastAsia="標楷體" w:cstheme="minorHAnsi"/>
          <w:szCs w:val="24"/>
        </w:rPr>
      </w:pPr>
      <w:r w:rsidRPr="00CA1A43">
        <w:rPr>
          <w:rFonts w:eastAsia="標楷體" w:cstheme="minorHAnsi"/>
          <w:szCs w:val="24"/>
        </w:rPr>
        <w:t>在</w:t>
      </w:r>
      <w:r w:rsidRPr="00CA1A43">
        <w:rPr>
          <w:rFonts w:eastAsia="標楷體" w:cstheme="minorHAnsi"/>
          <w:szCs w:val="24"/>
        </w:rPr>
        <w:t>GIRR</w:t>
      </w:r>
      <w:r w:rsidRPr="00CA1A43">
        <w:rPr>
          <w:rFonts w:eastAsia="標楷體" w:cstheme="minorHAnsi"/>
          <w:szCs w:val="24"/>
        </w:rPr>
        <w:t>、</w:t>
      </w:r>
      <w:r w:rsidRPr="00CA1A43">
        <w:rPr>
          <w:rFonts w:eastAsia="標楷體" w:cstheme="minorHAnsi"/>
          <w:szCs w:val="24"/>
        </w:rPr>
        <w:t>CSR</w:t>
      </w:r>
      <w:r w:rsidRPr="00CA1A43">
        <w:rPr>
          <w:rFonts w:eastAsia="標楷體" w:cstheme="minorHAnsi"/>
          <w:szCs w:val="24"/>
        </w:rPr>
        <w:t>與商品風險類別，</w:t>
      </w:r>
      <w:r w:rsidRPr="00CA1A43">
        <w:rPr>
          <w:rFonts w:ascii="Cambria Math" w:eastAsia="標楷體" w:hAnsi="Cambria Math" w:cs="Cambria Math"/>
          <w:szCs w:val="24"/>
        </w:rPr>
        <w:t>𝑠</w:t>
      </w:r>
      <w:r w:rsidRPr="00CA1A43">
        <w:rPr>
          <w:rFonts w:ascii="Cambria Math" w:eastAsia="標楷體" w:hAnsi="Cambria Math" w:cs="Cambria Math"/>
          <w:szCs w:val="24"/>
          <w:vertAlign w:val="subscript"/>
        </w:rPr>
        <w:t>𝑖</w:t>
      </w:r>
      <w:r w:rsidRPr="00CA1A43">
        <w:rPr>
          <w:rFonts w:eastAsia="標楷體" w:cstheme="minorHAnsi"/>
          <w:szCs w:val="24"/>
          <w:vertAlign w:val="subscript"/>
        </w:rPr>
        <w:t>k</w:t>
      </w:r>
      <w:r w:rsidRPr="00CA1A43">
        <w:rPr>
          <w:rFonts w:eastAsia="標楷體" w:cstheme="minorHAnsi"/>
          <w:szCs w:val="24"/>
        </w:rPr>
        <w:t>是加總相應於</w:t>
      </w:r>
      <w:r w:rsidRPr="00CA1A43">
        <w:rPr>
          <w:rFonts w:eastAsia="標楷體" w:cstheme="minorHAnsi"/>
          <w:szCs w:val="24"/>
        </w:rPr>
        <w:t xml:space="preserve">curvature </w:t>
      </w:r>
      <w:r w:rsidRPr="00CA1A43">
        <w:rPr>
          <w:rFonts w:eastAsia="標楷體" w:cstheme="minorHAnsi"/>
          <w:szCs w:val="24"/>
        </w:rPr>
        <w:t>風險因子</w:t>
      </w:r>
      <w:r w:rsidRPr="00CA1A43">
        <w:rPr>
          <w:rFonts w:eastAsia="標楷體" w:cstheme="minorHAnsi"/>
          <w:szCs w:val="24"/>
        </w:rPr>
        <w:t>k</w:t>
      </w:r>
      <w:r w:rsidRPr="00CA1A43">
        <w:rPr>
          <w:rFonts w:eastAsia="標楷體" w:cstheme="minorHAnsi"/>
          <w:szCs w:val="24"/>
        </w:rPr>
        <w:t>之</w:t>
      </w:r>
      <w:r w:rsidR="009653EE" w:rsidRPr="009F70AE">
        <w:rPr>
          <w:rFonts w:eastAsia="標楷體" w:cstheme="minorHAnsi"/>
          <w:szCs w:val="24"/>
        </w:rPr>
        <w:t>工具</w:t>
      </w:r>
      <w:proofErr w:type="spellStart"/>
      <w:r w:rsidRPr="009F70AE">
        <w:rPr>
          <w:rFonts w:eastAsia="標楷體" w:cstheme="minorHAnsi"/>
          <w:szCs w:val="24"/>
        </w:rPr>
        <w:t>i</w:t>
      </w:r>
      <w:proofErr w:type="spellEnd"/>
      <w:r w:rsidRPr="009F70AE">
        <w:rPr>
          <w:rFonts w:eastAsia="標楷體" w:cstheme="minorHAnsi"/>
          <w:szCs w:val="24"/>
        </w:rPr>
        <w:t>相</w:t>
      </w:r>
      <w:r w:rsidRPr="00CA1A43">
        <w:rPr>
          <w:rFonts w:eastAsia="標楷體" w:cstheme="minorHAnsi"/>
          <w:szCs w:val="24"/>
        </w:rPr>
        <w:t>關曲線所有天期之</w:t>
      </w:r>
      <w:r w:rsidRPr="00CA1A43">
        <w:rPr>
          <w:rFonts w:eastAsia="標楷體" w:cstheme="minorHAnsi"/>
          <w:szCs w:val="24"/>
        </w:rPr>
        <w:t>Delta</w:t>
      </w:r>
      <w:r w:rsidRPr="00CA1A43">
        <w:rPr>
          <w:rFonts w:eastAsia="標楷體" w:cstheme="minorHAnsi"/>
          <w:szCs w:val="24"/>
        </w:rPr>
        <w:t>敏感性部位。</w:t>
      </w:r>
    </w:p>
    <w:p w14:paraId="67982208" w14:textId="77777777" w:rsidR="00CC721D" w:rsidRPr="00CA1A43" w:rsidRDefault="00CC721D" w:rsidP="00605B1D">
      <w:pPr>
        <w:pStyle w:val="a7"/>
        <w:numPr>
          <w:ilvl w:val="0"/>
          <w:numId w:val="88"/>
        </w:numPr>
        <w:spacing w:beforeLines="50" w:before="180"/>
        <w:ind w:leftChars="0" w:left="964" w:hanging="482"/>
        <w:jc w:val="both"/>
        <w:rPr>
          <w:rFonts w:eastAsia="標楷體" w:cstheme="minorHAnsi"/>
        </w:rPr>
      </w:pPr>
      <w:proofErr w:type="gramStart"/>
      <w:r w:rsidRPr="00CA1A43">
        <w:rPr>
          <w:rFonts w:eastAsia="標楷體" w:cstheme="minorHAnsi"/>
        </w:rPr>
        <w:t>組別內加</w:t>
      </w:r>
      <w:proofErr w:type="gramEnd"/>
      <w:r w:rsidRPr="00CA1A43">
        <w:rPr>
          <w:rFonts w:eastAsia="標楷體" w:cstheme="minorHAnsi"/>
        </w:rPr>
        <w:t>總：在每一個</w:t>
      </w:r>
      <w:proofErr w:type="gramStart"/>
      <w:r w:rsidRPr="00CA1A43">
        <w:rPr>
          <w:rFonts w:eastAsia="標楷體" w:cstheme="minorHAnsi"/>
        </w:rPr>
        <w:t>組別內的</w:t>
      </w:r>
      <w:proofErr w:type="gramEnd"/>
      <w:r w:rsidRPr="00CA1A43">
        <w:rPr>
          <w:rFonts w:eastAsia="標楷體" w:cstheme="minorHAnsi"/>
        </w:rPr>
        <w:t>curvature</w:t>
      </w:r>
      <w:r w:rsidRPr="00CA1A43">
        <w:rPr>
          <w:rFonts w:eastAsia="標楷體" w:cstheme="minorHAnsi"/>
        </w:rPr>
        <w:t>風險使用相關係數</w:t>
      </w:r>
      <w:r w:rsidRPr="00CA1A43">
        <w:rPr>
          <w:rFonts w:eastAsia="標楷體" w:cstheme="minorHAnsi"/>
        </w:rPr>
        <w:t>(</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w:t>
      </w:r>
      <w:r w:rsidRPr="00CA1A43">
        <w:rPr>
          <w:rFonts w:eastAsia="標楷體" w:cstheme="minorHAnsi"/>
          <w:szCs w:val="24"/>
          <w:vertAlign w:val="subscript"/>
        </w:rPr>
        <w:t>l</w:t>
      </w:r>
      <w:r w:rsidRPr="00CA1A43">
        <w:rPr>
          <w:rFonts w:eastAsia="標楷體" w:cstheme="minorHAnsi"/>
          <w:szCs w:val="24"/>
        </w:rPr>
        <w:t>)</w:t>
      </w:r>
      <w:r w:rsidRPr="00CA1A43">
        <w:rPr>
          <w:rFonts w:eastAsia="標楷體" w:cstheme="minorHAnsi"/>
        </w:rPr>
        <w:t>進行加總，以組別</w:t>
      </w:r>
      <w:r w:rsidRPr="00CA1A43">
        <w:rPr>
          <w:rFonts w:eastAsia="標楷體" w:cstheme="minorHAnsi"/>
        </w:rPr>
        <w:t>b</w:t>
      </w:r>
      <w:r w:rsidRPr="00CA1A43">
        <w:rPr>
          <w:rFonts w:eastAsia="標楷體" w:cstheme="minorHAnsi"/>
        </w:rPr>
        <w:t>為例，計算如下：</w:t>
      </w:r>
    </w:p>
    <w:p w14:paraId="525E6C37" w14:textId="77777777" w:rsidR="00CC721D" w:rsidRPr="00CA1A43" w:rsidRDefault="00AA1117" w:rsidP="00CC721D">
      <w:pPr>
        <w:pStyle w:val="a7"/>
        <w:spacing w:line="360" w:lineRule="auto"/>
        <w:ind w:leftChars="0" w:left="360"/>
        <w:jc w:val="center"/>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K</m:t>
              </m:r>
            </m:e>
            <m:sub>
              <m:r>
                <w:rPr>
                  <w:rFonts w:ascii="Cambria Math" w:eastAsia="標楷體" w:hAnsi="Cambria Math" w:cstheme="minorHAnsi"/>
                  <w:szCs w:val="24"/>
                </w:rPr>
                <m:t>b</m:t>
              </m:r>
            </m:sub>
          </m:sSub>
          <m:r>
            <w:rPr>
              <w:rFonts w:ascii="Cambria Math" w:eastAsia="標楷體" w:hAnsi="Cambria Math" w:cstheme="minorHAnsi"/>
              <w:szCs w:val="24"/>
            </w:rPr>
            <m:t>=max</m:t>
          </m:r>
          <m:d>
            <m:dPr>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K</m:t>
                  </m:r>
                </m:e>
                <m:sub>
                  <m:r>
                    <w:rPr>
                      <w:rFonts w:ascii="Cambria Math" w:eastAsia="標楷體" w:hAnsi="Cambria Math" w:cstheme="minorHAnsi"/>
                      <w:szCs w:val="24"/>
                    </w:rPr>
                    <m:t>b</m:t>
                  </m:r>
                </m:sub>
                <m:sup>
                  <m:r>
                    <w:rPr>
                      <w:rFonts w:ascii="Cambria Math" w:eastAsia="標楷體" w:hAnsi="Cambria Math" w:cstheme="minorHAnsi"/>
                      <w:szCs w:val="24"/>
                    </w:rPr>
                    <m:t>+</m:t>
                  </m:r>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K</m:t>
                  </m:r>
                </m:e>
                <m:sub>
                  <m:r>
                    <w:rPr>
                      <w:rFonts w:ascii="Cambria Math" w:eastAsia="標楷體" w:hAnsi="Cambria Math" w:cstheme="minorHAnsi"/>
                      <w:szCs w:val="24"/>
                    </w:rPr>
                    <m:t>b</m:t>
                  </m:r>
                </m:sub>
                <m:sup>
                  <m:r>
                    <w:rPr>
                      <w:rFonts w:ascii="Cambria Math" w:eastAsia="標楷體" w:hAnsi="Cambria Math" w:cstheme="minorHAnsi"/>
                      <w:szCs w:val="24"/>
                    </w:rPr>
                    <m:t>-</m:t>
                  </m:r>
                </m:sup>
              </m:sSubSup>
            </m:e>
          </m:d>
        </m:oMath>
      </m:oMathPara>
    </w:p>
    <w:p w14:paraId="0B6A559F" w14:textId="77777777" w:rsidR="00CC721D" w:rsidRPr="00CA1A43" w:rsidRDefault="00CC721D" w:rsidP="00CC721D">
      <w:pPr>
        <w:pStyle w:val="a7"/>
        <w:spacing w:line="360" w:lineRule="auto"/>
        <w:ind w:leftChars="0" w:left="360"/>
        <w:jc w:val="center"/>
        <w:rPr>
          <w:rFonts w:eastAsia="標楷體" w:cstheme="minorHAnsi"/>
          <w:sz w:val="22"/>
        </w:rPr>
      </w:pPr>
      <m:oMathPara>
        <m:oMath>
          <m:r>
            <w:rPr>
              <w:rFonts w:ascii="Cambria Math" w:eastAsia="標楷體" w:hAnsi="Cambria Math" w:cstheme="minorHAnsi"/>
              <w:sz w:val="22"/>
            </w:rPr>
            <m:t>where</m:t>
          </m:r>
          <m:d>
            <m:dPr>
              <m:begChr m:val="{"/>
              <m:endChr m:val=""/>
              <m:ctrlPr>
                <w:rPr>
                  <w:rFonts w:ascii="Cambria Math" w:eastAsia="標楷體" w:hAnsi="Cambria Math" w:cstheme="minorHAnsi"/>
                  <w:sz w:val="22"/>
                </w:rPr>
              </m:ctrlPr>
            </m:dPr>
            <m:e>
              <m:eqArr>
                <m:eqArrPr>
                  <m:ctrlPr>
                    <w:rPr>
                      <w:rFonts w:ascii="Cambria Math" w:eastAsia="標楷體" w:hAnsi="Cambria Math" w:cstheme="minorHAnsi"/>
                      <w:sz w:val="22"/>
                    </w:rPr>
                  </m:ctrlPr>
                </m:eqArrPr>
                <m:e>
                  <m:sSubSup>
                    <m:sSubSupPr>
                      <m:ctrlPr>
                        <w:rPr>
                          <w:rFonts w:ascii="Cambria Math" w:eastAsia="標楷體" w:hAnsi="Cambria Math" w:cstheme="minorHAnsi"/>
                          <w:i/>
                          <w:sz w:val="22"/>
                        </w:rPr>
                      </m:ctrlPr>
                    </m:sSubSupPr>
                    <m:e>
                      <m:r>
                        <w:rPr>
                          <w:rFonts w:ascii="Cambria Math" w:eastAsia="標楷體" w:hAnsi="Cambria Math" w:cstheme="minorHAnsi"/>
                          <w:sz w:val="22"/>
                        </w:rPr>
                        <m:t>K</m:t>
                      </m:r>
                    </m:e>
                    <m:sub>
                      <m:r>
                        <w:rPr>
                          <w:rFonts w:ascii="Cambria Math" w:eastAsia="標楷體" w:hAnsi="Cambria Math" w:cstheme="minorHAnsi"/>
                          <w:sz w:val="22"/>
                        </w:rPr>
                        <m:t>b</m:t>
                      </m:r>
                    </m:sub>
                    <m:sup>
                      <m:r>
                        <w:rPr>
                          <w:rFonts w:ascii="Cambria Math" w:eastAsia="標楷體" w:hAnsi="Cambria Math" w:cstheme="minorHAnsi"/>
                          <w:sz w:val="22"/>
                        </w:rPr>
                        <m:t>+</m:t>
                      </m:r>
                    </m:sup>
                  </m:sSubSup>
                  <m:r>
                    <w:rPr>
                      <w:rFonts w:ascii="Cambria Math" w:eastAsia="標楷體" w:hAnsi="Cambria Math" w:cstheme="minorHAnsi"/>
                      <w:sz w:val="22"/>
                    </w:rPr>
                    <m:t>=</m:t>
                  </m:r>
                  <m:rad>
                    <m:radPr>
                      <m:degHide m:val="1"/>
                      <m:ctrlPr>
                        <w:rPr>
                          <w:rFonts w:ascii="Cambria Math" w:eastAsia="標楷體" w:hAnsi="Cambria Math" w:cstheme="minorHAnsi"/>
                          <w:i/>
                          <w:sz w:val="22"/>
                        </w:rPr>
                      </m:ctrlPr>
                    </m:radPr>
                    <m:deg/>
                    <m:e>
                      <m:r>
                        <w:rPr>
                          <w:rFonts w:ascii="Cambria Math" w:eastAsia="標楷體" w:hAnsi="Cambria Math" w:cstheme="minorHAnsi"/>
                          <w:sz w:val="22"/>
                        </w:rPr>
                        <m:t>max</m:t>
                      </m:r>
                      <m:d>
                        <m:dPr>
                          <m:ctrlPr>
                            <w:rPr>
                              <w:rFonts w:ascii="Cambria Math" w:eastAsia="標楷體" w:hAnsi="Cambria Math" w:cstheme="minorHAnsi"/>
                              <w:i/>
                              <w:sz w:val="22"/>
                            </w:rPr>
                          </m:ctrlPr>
                        </m:dPr>
                        <m:e>
                          <m:r>
                            <w:rPr>
                              <w:rFonts w:ascii="Cambria Math" w:eastAsia="標楷體" w:hAnsi="Cambria Math" w:cstheme="minorHAnsi"/>
                              <w:sz w:val="22"/>
                            </w:rPr>
                            <m:t xml:space="preserve">0, </m:t>
                          </m:r>
                          <m:nary>
                            <m:naryPr>
                              <m:chr m:val="∑"/>
                              <m:limLoc m:val="undOvr"/>
                              <m:supHide m:val="1"/>
                              <m:ctrlPr>
                                <w:rPr>
                                  <w:rFonts w:ascii="Cambria Math" w:eastAsia="標楷體" w:hAnsi="Cambria Math" w:cstheme="minorHAnsi"/>
                                  <w:i/>
                                  <w:sz w:val="22"/>
                                </w:rPr>
                              </m:ctrlPr>
                            </m:naryPr>
                            <m:sub>
                              <m:r>
                                <w:rPr>
                                  <w:rFonts w:ascii="Cambria Math" w:eastAsia="標楷體" w:hAnsi="Cambria Math" w:cstheme="minorHAnsi"/>
                                  <w:sz w:val="22"/>
                                </w:rPr>
                                <m:t>k</m:t>
                              </m:r>
                            </m:sub>
                            <m:sup/>
                            <m:e>
                              <m:r>
                                <w:rPr>
                                  <w:rFonts w:ascii="Cambria Math" w:eastAsia="標楷體" w:hAnsi="Cambria Math" w:cstheme="minorHAnsi"/>
                                  <w:sz w:val="22"/>
                                </w:rPr>
                                <m:t>max</m:t>
                              </m:r>
                              <m:sSup>
                                <m:sSupPr>
                                  <m:ctrlPr>
                                    <w:rPr>
                                      <w:rFonts w:ascii="Cambria Math" w:eastAsia="標楷體" w:hAnsi="Cambria Math" w:cstheme="minorHAnsi"/>
                                      <w:i/>
                                      <w:sz w:val="22"/>
                                    </w:rPr>
                                  </m:ctrlPr>
                                </m:sSupPr>
                                <m:e>
                                  <m:d>
                                    <m:dPr>
                                      <m:ctrlPr>
                                        <w:rPr>
                                          <w:rFonts w:ascii="Cambria Math" w:eastAsia="標楷體" w:hAnsi="Cambria Math" w:cstheme="minorHAnsi"/>
                                          <w:i/>
                                          <w:sz w:val="22"/>
                                        </w:rPr>
                                      </m:ctrlPr>
                                    </m:dPr>
                                    <m:e>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k</m:t>
                                          </m:r>
                                        </m:sub>
                                        <m:sup>
                                          <m:r>
                                            <w:rPr>
                                              <w:rFonts w:ascii="Cambria Math" w:eastAsia="標楷體" w:hAnsi="Cambria Math" w:cstheme="minorHAnsi"/>
                                              <w:sz w:val="22"/>
                                            </w:rPr>
                                            <m:t>+</m:t>
                                          </m:r>
                                        </m:sup>
                                      </m:sSubSup>
                                      <m:r>
                                        <w:rPr>
                                          <w:rFonts w:ascii="Cambria Math" w:eastAsia="標楷體" w:hAnsi="Cambria Math" w:cstheme="minorHAnsi"/>
                                          <w:sz w:val="22"/>
                                        </w:rPr>
                                        <m:t>,0</m:t>
                                      </m:r>
                                    </m:e>
                                  </m:d>
                                </m:e>
                                <m:sup>
                                  <m:r>
                                    <w:rPr>
                                      <w:rFonts w:ascii="Cambria Math" w:eastAsia="標楷體" w:hAnsi="Cambria Math" w:cstheme="minorHAnsi"/>
                                      <w:sz w:val="22"/>
                                    </w:rPr>
                                    <m:t>2</m:t>
                                  </m:r>
                                </m:sup>
                              </m:sSup>
                            </m:e>
                          </m:nary>
                          <m:r>
                            <w:rPr>
                              <w:rFonts w:ascii="Cambria Math" w:eastAsia="標楷體" w:hAnsi="Cambria Math" w:cstheme="minorHAnsi"/>
                              <w:sz w:val="22"/>
                            </w:rPr>
                            <m:t>+</m:t>
                          </m:r>
                          <m:nary>
                            <m:naryPr>
                              <m:chr m:val="∑"/>
                              <m:limLoc m:val="undOvr"/>
                              <m:supHide m:val="1"/>
                              <m:ctrlPr>
                                <w:rPr>
                                  <w:rFonts w:ascii="Cambria Math" w:eastAsia="標楷體" w:hAnsi="Cambria Math" w:cstheme="minorHAnsi"/>
                                  <w:i/>
                                  <w:sz w:val="22"/>
                                </w:rPr>
                              </m:ctrlPr>
                            </m:naryPr>
                            <m:sub>
                              <m:r>
                                <w:rPr>
                                  <w:rFonts w:ascii="Cambria Math" w:eastAsia="標楷體" w:hAnsi="Cambria Math" w:cstheme="minorHAnsi"/>
                                  <w:sz w:val="22"/>
                                </w:rPr>
                                <m:t>l≠k</m:t>
                              </m:r>
                            </m:sub>
                            <m:sup/>
                            <m:e>
                              <m:nary>
                                <m:naryPr>
                                  <m:chr m:val="∑"/>
                                  <m:limLoc m:val="undOvr"/>
                                  <m:supHide m:val="1"/>
                                  <m:ctrlPr>
                                    <w:rPr>
                                      <w:rFonts w:ascii="Cambria Math" w:eastAsia="標楷體" w:hAnsi="Cambria Math" w:cstheme="minorHAnsi"/>
                                      <w:i/>
                                      <w:sz w:val="22"/>
                                    </w:rPr>
                                  </m:ctrlPr>
                                </m:naryPr>
                                <m:sub>
                                  <m:r>
                                    <w:rPr>
                                      <w:rFonts w:ascii="Cambria Math" w:eastAsia="標楷體" w:hAnsi="Cambria Math" w:cstheme="minorHAnsi"/>
                                      <w:sz w:val="22"/>
                                    </w:rPr>
                                    <m:t>k</m:t>
                                  </m:r>
                                </m:sub>
                                <m:sup/>
                                <m:e>
                                  <m:sSub>
                                    <m:sSubPr>
                                      <m:ctrlPr>
                                        <w:rPr>
                                          <w:rFonts w:ascii="Cambria Math" w:eastAsia="標楷體" w:hAnsi="Cambria Math" w:cstheme="minorHAnsi"/>
                                          <w:i/>
                                          <w:sz w:val="22"/>
                                        </w:rPr>
                                      </m:ctrlPr>
                                    </m:sSubPr>
                                    <m:e>
                                      <m:r>
                                        <w:rPr>
                                          <w:rFonts w:ascii="Cambria Math" w:eastAsia="標楷體" w:hAnsi="Cambria Math" w:cstheme="minorHAnsi"/>
                                          <w:sz w:val="22"/>
                                        </w:rPr>
                                        <m:t>ρ</m:t>
                                      </m:r>
                                    </m:e>
                                    <m:sub>
                                      <m:r>
                                        <w:rPr>
                                          <w:rFonts w:ascii="Cambria Math" w:eastAsia="標楷體" w:hAnsi="Cambria Math" w:cstheme="minorHAnsi"/>
                                          <w:sz w:val="22"/>
                                        </w:rPr>
                                        <m:t>kl</m:t>
                                      </m:r>
                                    </m:sub>
                                  </m:sSub>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k</m:t>
                                      </m:r>
                                    </m:sub>
                                    <m:sup>
                                      <m:r>
                                        <w:rPr>
                                          <w:rFonts w:ascii="Cambria Math" w:eastAsia="標楷體" w:hAnsi="Cambria Math" w:cstheme="minorHAnsi"/>
                                          <w:sz w:val="22"/>
                                        </w:rPr>
                                        <m:t>+</m:t>
                                      </m:r>
                                    </m:sup>
                                  </m:sSubSup>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l</m:t>
                                      </m:r>
                                    </m:sub>
                                    <m:sup>
                                      <m:r>
                                        <w:rPr>
                                          <w:rFonts w:ascii="Cambria Math" w:eastAsia="標楷體" w:hAnsi="Cambria Math" w:cstheme="minorHAnsi"/>
                                          <w:sz w:val="22"/>
                                        </w:rPr>
                                        <m:t>+</m:t>
                                      </m:r>
                                    </m:sup>
                                  </m:sSubSup>
                                  <m:r>
                                    <w:rPr>
                                      <w:rFonts w:ascii="Cambria Math" w:eastAsia="標楷體" w:hAnsi="Cambria Math" w:cstheme="minorHAnsi"/>
                                      <w:sz w:val="22"/>
                                    </w:rPr>
                                    <m:t>ψ</m:t>
                                  </m:r>
                                  <m:d>
                                    <m:dPr>
                                      <m:ctrlPr>
                                        <w:rPr>
                                          <w:rFonts w:ascii="Cambria Math" w:eastAsia="標楷體" w:hAnsi="Cambria Math" w:cstheme="minorHAnsi"/>
                                          <w:i/>
                                          <w:sz w:val="22"/>
                                        </w:rPr>
                                      </m:ctrlPr>
                                    </m:dPr>
                                    <m:e>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k</m:t>
                                          </m:r>
                                        </m:sub>
                                        <m:sup>
                                          <m:r>
                                            <w:rPr>
                                              <w:rFonts w:ascii="Cambria Math" w:eastAsia="標楷體" w:hAnsi="Cambria Math" w:cstheme="minorHAnsi"/>
                                              <w:sz w:val="22"/>
                                            </w:rPr>
                                            <m:t>+</m:t>
                                          </m:r>
                                        </m:sup>
                                      </m:sSubSup>
                                      <m:r>
                                        <w:rPr>
                                          <w:rFonts w:ascii="Cambria Math" w:eastAsia="標楷體" w:hAnsi="Cambria Math" w:cstheme="minorHAnsi"/>
                                          <w:sz w:val="22"/>
                                        </w:rPr>
                                        <m:t>,</m:t>
                                      </m:r>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l</m:t>
                                          </m:r>
                                        </m:sub>
                                        <m:sup>
                                          <m:r>
                                            <w:rPr>
                                              <w:rFonts w:ascii="Cambria Math" w:eastAsia="標楷體" w:hAnsi="Cambria Math" w:cstheme="minorHAnsi"/>
                                              <w:sz w:val="22"/>
                                            </w:rPr>
                                            <m:t>+</m:t>
                                          </m:r>
                                        </m:sup>
                                      </m:sSubSup>
                                    </m:e>
                                  </m:d>
                                </m:e>
                              </m:nary>
                            </m:e>
                          </m:nary>
                        </m:e>
                      </m:d>
                    </m:e>
                  </m:rad>
                </m:e>
                <m:e>
                  <m:sSubSup>
                    <m:sSubSupPr>
                      <m:ctrlPr>
                        <w:rPr>
                          <w:rFonts w:ascii="Cambria Math" w:eastAsia="標楷體" w:hAnsi="Cambria Math" w:cstheme="minorHAnsi"/>
                          <w:i/>
                          <w:sz w:val="22"/>
                        </w:rPr>
                      </m:ctrlPr>
                    </m:sSubSupPr>
                    <m:e>
                      <m:r>
                        <w:rPr>
                          <w:rFonts w:ascii="Cambria Math" w:eastAsia="標楷體" w:hAnsi="Cambria Math" w:cstheme="minorHAnsi"/>
                          <w:sz w:val="22"/>
                        </w:rPr>
                        <m:t>K</m:t>
                      </m:r>
                    </m:e>
                    <m:sub>
                      <m:r>
                        <w:rPr>
                          <w:rFonts w:ascii="Cambria Math" w:eastAsia="標楷體" w:hAnsi="Cambria Math" w:cstheme="minorHAnsi"/>
                          <w:sz w:val="22"/>
                        </w:rPr>
                        <m:t>b</m:t>
                      </m:r>
                    </m:sub>
                    <m:sup>
                      <m:r>
                        <w:rPr>
                          <w:rFonts w:ascii="Cambria Math" w:eastAsia="標楷體" w:hAnsi="Cambria Math" w:cstheme="minorHAnsi"/>
                          <w:sz w:val="22"/>
                        </w:rPr>
                        <m:t>-</m:t>
                      </m:r>
                    </m:sup>
                  </m:sSubSup>
                  <m:r>
                    <w:rPr>
                      <w:rFonts w:ascii="Cambria Math" w:eastAsia="標楷體" w:hAnsi="Cambria Math" w:cstheme="minorHAnsi"/>
                      <w:sz w:val="22"/>
                    </w:rPr>
                    <m:t>=</m:t>
                  </m:r>
                  <m:rad>
                    <m:radPr>
                      <m:degHide m:val="1"/>
                      <m:ctrlPr>
                        <w:rPr>
                          <w:rFonts w:ascii="Cambria Math" w:eastAsia="標楷體" w:hAnsi="Cambria Math" w:cstheme="minorHAnsi"/>
                          <w:i/>
                          <w:sz w:val="22"/>
                        </w:rPr>
                      </m:ctrlPr>
                    </m:radPr>
                    <m:deg/>
                    <m:e>
                      <m:r>
                        <w:rPr>
                          <w:rFonts w:ascii="Cambria Math" w:eastAsia="標楷體" w:hAnsi="Cambria Math" w:cstheme="minorHAnsi"/>
                          <w:sz w:val="22"/>
                        </w:rPr>
                        <m:t>max</m:t>
                      </m:r>
                      <m:d>
                        <m:dPr>
                          <m:ctrlPr>
                            <w:rPr>
                              <w:rFonts w:ascii="Cambria Math" w:eastAsia="標楷體" w:hAnsi="Cambria Math" w:cstheme="minorHAnsi"/>
                              <w:i/>
                              <w:sz w:val="22"/>
                            </w:rPr>
                          </m:ctrlPr>
                        </m:dPr>
                        <m:e>
                          <m:r>
                            <w:rPr>
                              <w:rFonts w:ascii="Cambria Math" w:eastAsia="標楷體" w:hAnsi="Cambria Math" w:cstheme="minorHAnsi"/>
                              <w:sz w:val="22"/>
                            </w:rPr>
                            <m:t xml:space="preserve">0, </m:t>
                          </m:r>
                          <m:nary>
                            <m:naryPr>
                              <m:chr m:val="∑"/>
                              <m:limLoc m:val="undOvr"/>
                              <m:supHide m:val="1"/>
                              <m:ctrlPr>
                                <w:rPr>
                                  <w:rFonts w:ascii="Cambria Math" w:eastAsia="標楷體" w:hAnsi="Cambria Math" w:cstheme="minorHAnsi"/>
                                  <w:i/>
                                  <w:sz w:val="22"/>
                                </w:rPr>
                              </m:ctrlPr>
                            </m:naryPr>
                            <m:sub>
                              <m:r>
                                <w:rPr>
                                  <w:rFonts w:ascii="Cambria Math" w:eastAsia="標楷體" w:hAnsi="Cambria Math" w:cstheme="minorHAnsi"/>
                                  <w:sz w:val="22"/>
                                </w:rPr>
                                <m:t>k</m:t>
                              </m:r>
                            </m:sub>
                            <m:sup/>
                            <m:e>
                              <m:r>
                                <w:rPr>
                                  <w:rFonts w:ascii="Cambria Math" w:eastAsia="標楷體" w:hAnsi="Cambria Math" w:cstheme="minorHAnsi"/>
                                  <w:sz w:val="22"/>
                                </w:rPr>
                                <m:t>max</m:t>
                              </m:r>
                              <m:sSup>
                                <m:sSupPr>
                                  <m:ctrlPr>
                                    <w:rPr>
                                      <w:rFonts w:ascii="Cambria Math" w:eastAsia="標楷體" w:hAnsi="Cambria Math" w:cstheme="minorHAnsi"/>
                                      <w:i/>
                                      <w:sz w:val="22"/>
                                    </w:rPr>
                                  </m:ctrlPr>
                                </m:sSupPr>
                                <m:e>
                                  <m:d>
                                    <m:dPr>
                                      <m:ctrlPr>
                                        <w:rPr>
                                          <w:rFonts w:ascii="Cambria Math" w:eastAsia="標楷體" w:hAnsi="Cambria Math" w:cstheme="minorHAnsi"/>
                                          <w:i/>
                                          <w:sz w:val="22"/>
                                        </w:rPr>
                                      </m:ctrlPr>
                                    </m:dPr>
                                    <m:e>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k</m:t>
                                          </m:r>
                                        </m:sub>
                                        <m:sup>
                                          <m:r>
                                            <w:rPr>
                                              <w:rFonts w:ascii="Cambria Math" w:eastAsia="標楷體" w:hAnsi="Cambria Math" w:cstheme="minorHAnsi"/>
                                              <w:sz w:val="22"/>
                                            </w:rPr>
                                            <m:t>-</m:t>
                                          </m:r>
                                        </m:sup>
                                      </m:sSubSup>
                                      <m:r>
                                        <w:rPr>
                                          <w:rFonts w:ascii="Cambria Math" w:eastAsia="標楷體" w:hAnsi="Cambria Math" w:cstheme="minorHAnsi"/>
                                          <w:sz w:val="22"/>
                                        </w:rPr>
                                        <m:t>,0</m:t>
                                      </m:r>
                                    </m:e>
                                  </m:d>
                                </m:e>
                                <m:sup>
                                  <m:r>
                                    <w:rPr>
                                      <w:rFonts w:ascii="Cambria Math" w:eastAsia="標楷體" w:hAnsi="Cambria Math" w:cstheme="minorHAnsi"/>
                                      <w:sz w:val="22"/>
                                    </w:rPr>
                                    <m:t>2</m:t>
                                  </m:r>
                                </m:sup>
                              </m:sSup>
                            </m:e>
                          </m:nary>
                          <m:r>
                            <w:rPr>
                              <w:rFonts w:ascii="Cambria Math" w:eastAsia="標楷體" w:hAnsi="Cambria Math" w:cstheme="minorHAnsi"/>
                              <w:sz w:val="22"/>
                            </w:rPr>
                            <m:t>+</m:t>
                          </m:r>
                          <m:nary>
                            <m:naryPr>
                              <m:chr m:val="∑"/>
                              <m:limLoc m:val="undOvr"/>
                              <m:supHide m:val="1"/>
                              <m:ctrlPr>
                                <w:rPr>
                                  <w:rFonts w:ascii="Cambria Math" w:eastAsia="標楷體" w:hAnsi="Cambria Math" w:cstheme="minorHAnsi"/>
                                  <w:i/>
                                  <w:sz w:val="22"/>
                                </w:rPr>
                              </m:ctrlPr>
                            </m:naryPr>
                            <m:sub>
                              <m:r>
                                <w:rPr>
                                  <w:rFonts w:ascii="Cambria Math" w:eastAsia="標楷體" w:hAnsi="Cambria Math" w:cstheme="minorHAnsi"/>
                                  <w:sz w:val="22"/>
                                </w:rPr>
                                <m:t>l≠k</m:t>
                              </m:r>
                            </m:sub>
                            <m:sup/>
                            <m:e>
                              <m:nary>
                                <m:naryPr>
                                  <m:chr m:val="∑"/>
                                  <m:limLoc m:val="undOvr"/>
                                  <m:supHide m:val="1"/>
                                  <m:ctrlPr>
                                    <w:rPr>
                                      <w:rFonts w:ascii="Cambria Math" w:eastAsia="標楷體" w:hAnsi="Cambria Math" w:cstheme="minorHAnsi"/>
                                      <w:i/>
                                      <w:sz w:val="22"/>
                                    </w:rPr>
                                  </m:ctrlPr>
                                </m:naryPr>
                                <m:sub>
                                  <m:r>
                                    <w:rPr>
                                      <w:rFonts w:ascii="Cambria Math" w:eastAsia="標楷體" w:hAnsi="Cambria Math" w:cstheme="minorHAnsi"/>
                                      <w:sz w:val="22"/>
                                    </w:rPr>
                                    <m:t>k</m:t>
                                  </m:r>
                                </m:sub>
                                <m:sup/>
                                <m:e>
                                  <m:sSub>
                                    <m:sSubPr>
                                      <m:ctrlPr>
                                        <w:rPr>
                                          <w:rFonts w:ascii="Cambria Math" w:eastAsia="標楷體" w:hAnsi="Cambria Math" w:cstheme="minorHAnsi"/>
                                          <w:i/>
                                          <w:sz w:val="22"/>
                                        </w:rPr>
                                      </m:ctrlPr>
                                    </m:sSubPr>
                                    <m:e>
                                      <m:r>
                                        <w:rPr>
                                          <w:rFonts w:ascii="Cambria Math" w:eastAsia="標楷體" w:hAnsi="Cambria Math" w:cstheme="minorHAnsi"/>
                                          <w:sz w:val="22"/>
                                        </w:rPr>
                                        <m:t>ρ</m:t>
                                      </m:r>
                                    </m:e>
                                    <m:sub>
                                      <m:r>
                                        <w:rPr>
                                          <w:rFonts w:ascii="Cambria Math" w:eastAsia="標楷體" w:hAnsi="Cambria Math" w:cstheme="minorHAnsi"/>
                                          <w:sz w:val="22"/>
                                        </w:rPr>
                                        <m:t>kl</m:t>
                                      </m:r>
                                    </m:sub>
                                  </m:sSub>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k</m:t>
                                      </m:r>
                                    </m:sub>
                                    <m:sup>
                                      <m:r>
                                        <w:rPr>
                                          <w:rFonts w:ascii="Cambria Math" w:eastAsia="標楷體" w:hAnsi="Cambria Math" w:cstheme="minorHAnsi"/>
                                          <w:sz w:val="22"/>
                                        </w:rPr>
                                        <m:t>-</m:t>
                                      </m:r>
                                    </m:sup>
                                  </m:sSubSup>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l</m:t>
                                      </m:r>
                                    </m:sub>
                                    <m:sup>
                                      <m:r>
                                        <w:rPr>
                                          <w:rFonts w:ascii="Cambria Math" w:eastAsia="標楷體" w:hAnsi="Cambria Math" w:cstheme="minorHAnsi"/>
                                          <w:sz w:val="22"/>
                                        </w:rPr>
                                        <m:t>-</m:t>
                                      </m:r>
                                    </m:sup>
                                  </m:sSubSup>
                                  <m:r>
                                    <w:rPr>
                                      <w:rFonts w:ascii="Cambria Math" w:eastAsia="標楷體" w:hAnsi="Cambria Math" w:cstheme="minorHAnsi"/>
                                      <w:sz w:val="22"/>
                                    </w:rPr>
                                    <m:t>ψ</m:t>
                                  </m:r>
                                  <m:d>
                                    <m:dPr>
                                      <m:ctrlPr>
                                        <w:rPr>
                                          <w:rFonts w:ascii="Cambria Math" w:eastAsia="標楷體" w:hAnsi="Cambria Math" w:cstheme="minorHAnsi"/>
                                          <w:i/>
                                          <w:sz w:val="22"/>
                                        </w:rPr>
                                      </m:ctrlPr>
                                    </m:dPr>
                                    <m:e>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k</m:t>
                                          </m:r>
                                        </m:sub>
                                        <m:sup>
                                          <m:r>
                                            <w:rPr>
                                              <w:rFonts w:ascii="Cambria Math" w:eastAsia="標楷體" w:hAnsi="Cambria Math" w:cstheme="minorHAnsi"/>
                                              <w:sz w:val="22"/>
                                            </w:rPr>
                                            <m:t>-</m:t>
                                          </m:r>
                                        </m:sup>
                                      </m:sSubSup>
                                      <m:r>
                                        <w:rPr>
                                          <w:rFonts w:ascii="Cambria Math" w:eastAsia="標楷體" w:hAnsi="Cambria Math" w:cstheme="minorHAnsi"/>
                                          <w:sz w:val="22"/>
                                        </w:rPr>
                                        <m:t>,</m:t>
                                      </m:r>
                                      <m:sSubSup>
                                        <m:sSubSupPr>
                                          <m:ctrlPr>
                                            <w:rPr>
                                              <w:rFonts w:ascii="Cambria Math" w:eastAsia="標楷體" w:hAnsi="Cambria Math" w:cstheme="minorHAnsi"/>
                                              <w:i/>
                                              <w:sz w:val="22"/>
                                            </w:rPr>
                                          </m:ctrlPr>
                                        </m:sSubSupPr>
                                        <m:e>
                                          <m:r>
                                            <w:rPr>
                                              <w:rFonts w:ascii="Cambria Math" w:eastAsia="標楷體" w:hAnsi="Cambria Math" w:cstheme="minorHAnsi"/>
                                              <w:sz w:val="22"/>
                                            </w:rPr>
                                            <m:t>CVR</m:t>
                                          </m:r>
                                        </m:e>
                                        <m:sub>
                                          <m:r>
                                            <w:rPr>
                                              <w:rFonts w:ascii="Cambria Math" w:eastAsia="標楷體" w:hAnsi="Cambria Math" w:cstheme="minorHAnsi"/>
                                              <w:sz w:val="22"/>
                                            </w:rPr>
                                            <m:t>l</m:t>
                                          </m:r>
                                        </m:sub>
                                        <m:sup>
                                          <m:r>
                                            <w:rPr>
                                              <w:rFonts w:ascii="Cambria Math" w:eastAsia="標楷體" w:hAnsi="Cambria Math" w:cstheme="minorHAnsi"/>
                                              <w:sz w:val="22"/>
                                            </w:rPr>
                                            <m:t>-</m:t>
                                          </m:r>
                                        </m:sup>
                                      </m:sSubSup>
                                    </m:e>
                                  </m:d>
                                </m:e>
                              </m:nary>
                            </m:e>
                          </m:nary>
                        </m:e>
                      </m:d>
                    </m:e>
                  </m:rad>
                </m:e>
              </m:eqArr>
            </m:e>
          </m:d>
        </m:oMath>
      </m:oMathPara>
    </w:p>
    <w:p w14:paraId="09636DDC" w14:textId="77777777" w:rsidR="00CC721D" w:rsidRPr="00CA1A43" w:rsidRDefault="00CC721D" w:rsidP="00E428E9">
      <w:pPr>
        <w:pStyle w:val="a7"/>
        <w:spacing w:beforeLines="50" w:before="180"/>
        <w:ind w:leftChars="0" w:left="964"/>
        <w:jc w:val="both"/>
        <w:rPr>
          <w:rFonts w:eastAsia="標楷體" w:cstheme="minorHAnsi"/>
        </w:rPr>
      </w:pPr>
      <w:r w:rsidRPr="00CA1A43">
        <w:rPr>
          <w:rFonts w:eastAsia="標楷體" w:cstheme="minorHAnsi"/>
          <w:szCs w:val="24"/>
        </w:rPr>
        <w:t xml:space="preserve">  </w:t>
      </w:r>
      <w:r w:rsidRPr="00CA1A43">
        <w:rPr>
          <w:rFonts w:eastAsia="標楷體" w:cstheme="minorHAnsi"/>
          <w:szCs w:val="24"/>
        </w:rPr>
        <w:t>其中</w:t>
      </w:r>
    </w:p>
    <w:p w14:paraId="467A5422" w14:textId="77777777" w:rsidR="00CC721D" w:rsidRPr="00CA1A43" w:rsidRDefault="00CC721D" w:rsidP="00605B1D">
      <w:pPr>
        <w:pStyle w:val="a7"/>
        <w:numPr>
          <w:ilvl w:val="0"/>
          <w:numId w:val="91"/>
        </w:numPr>
        <w:spacing w:beforeLines="50" w:before="180"/>
        <w:ind w:leftChars="0"/>
        <w:jc w:val="both"/>
        <w:rPr>
          <w:rFonts w:eastAsia="標楷體" w:cstheme="minorHAnsi"/>
          <w:szCs w:val="24"/>
        </w:rPr>
      </w:pPr>
      <w:r w:rsidRPr="00CA1A43">
        <w:rPr>
          <w:rFonts w:eastAsia="標楷體" w:cstheme="minorHAnsi"/>
        </w:rPr>
        <w:t>組別層級資本要求</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rPr>
        <w:t>)</w:t>
      </w:r>
      <w:r w:rsidRPr="00CA1A43">
        <w:rPr>
          <w:rFonts w:eastAsia="標楷體" w:cstheme="minorHAnsi"/>
          <w:szCs w:val="24"/>
        </w:rPr>
        <w:t>為向上情境</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vertAlign w:val="superscript"/>
        </w:rPr>
        <w:t>+</w:t>
      </w:r>
      <w:r w:rsidRPr="00CA1A43">
        <w:rPr>
          <w:rFonts w:eastAsia="標楷體" w:cstheme="minorHAnsi"/>
          <w:szCs w:val="24"/>
        </w:rPr>
        <w:t>)</w:t>
      </w:r>
      <w:r w:rsidRPr="00CA1A43">
        <w:rPr>
          <w:rFonts w:eastAsia="標楷體" w:cstheme="minorHAnsi"/>
          <w:szCs w:val="24"/>
        </w:rPr>
        <w:t>和向下情境</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MS Gothic" w:cstheme="minorHAnsi"/>
          <w:szCs w:val="24"/>
          <w:vertAlign w:val="superscript"/>
        </w:rPr>
        <w:t>−</w:t>
      </w:r>
      <w:r w:rsidRPr="00CA1A43">
        <w:rPr>
          <w:rFonts w:eastAsia="標楷體" w:cstheme="minorHAnsi"/>
          <w:szCs w:val="24"/>
        </w:rPr>
        <w:t>)</w:t>
      </w:r>
      <w:r w:rsidRPr="00CA1A43">
        <w:rPr>
          <w:rFonts w:eastAsia="標楷體" w:cstheme="minorHAnsi"/>
          <w:szCs w:val="24"/>
        </w:rPr>
        <w:t>的資本計提取大者。</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vertAlign w:val="superscript"/>
        </w:rPr>
        <w:t>+</w:t>
      </w:r>
      <w:r w:rsidRPr="00CA1A43">
        <w:rPr>
          <w:rFonts w:eastAsia="標楷體" w:cstheme="minorHAnsi"/>
          <w:szCs w:val="24"/>
        </w:rPr>
        <w:t>，稱為</w:t>
      </w:r>
      <w:r w:rsidRPr="00CA1A43">
        <w:rPr>
          <w:rFonts w:eastAsia="標楷體" w:cstheme="minorHAnsi"/>
          <w:szCs w:val="24"/>
        </w:rPr>
        <w:t>“</w:t>
      </w:r>
      <w:r w:rsidRPr="00CA1A43">
        <w:rPr>
          <w:rFonts w:eastAsia="標楷體" w:cstheme="minorHAnsi"/>
          <w:szCs w:val="24"/>
        </w:rPr>
        <w:t>選擇向上情境</w:t>
      </w:r>
      <w:r w:rsidRPr="00CA1A43">
        <w:rPr>
          <w:rFonts w:eastAsia="標楷體" w:cstheme="minorHAnsi"/>
          <w:szCs w:val="24"/>
        </w:rPr>
        <w:t>”</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MS Gothic" w:cstheme="minorHAnsi"/>
          <w:szCs w:val="24"/>
          <w:vertAlign w:val="superscript"/>
        </w:rPr>
        <w:t>−</w:t>
      </w:r>
      <w:r w:rsidRPr="00CA1A43">
        <w:rPr>
          <w:rFonts w:eastAsia="標楷體" w:cstheme="minorHAnsi"/>
          <w:szCs w:val="24"/>
        </w:rPr>
        <w:t>，稱為</w:t>
      </w:r>
      <w:r w:rsidRPr="00CA1A43">
        <w:rPr>
          <w:rFonts w:eastAsia="標楷體" w:cstheme="minorHAnsi"/>
          <w:szCs w:val="24"/>
        </w:rPr>
        <w:t>“</w:t>
      </w:r>
      <w:r w:rsidRPr="00CA1A43">
        <w:rPr>
          <w:rFonts w:eastAsia="標楷體" w:cstheme="minorHAnsi"/>
          <w:szCs w:val="24"/>
        </w:rPr>
        <w:t>選擇向下情境</w:t>
      </w:r>
      <w:r w:rsidRPr="00CA1A43">
        <w:rPr>
          <w:rFonts w:eastAsia="標楷體" w:cstheme="minorHAnsi"/>
          <w:szCs w:val="24"/>
        </w:rPr>
        <w:t>”</w:t>
      </w:r>
      <w:r w:rsidRPr="00CA1A43">
        <w:rPr>
          <w:rFonts w:eastAsia="標楷體" w:cstheme="minorHAnsi"/>
          <w:szCs w:val="24"/>
        </w:rPr>
        <w:t>。其中，該向上和向下情境的選擇與本計算說明高、中、低相關係數</w:t>
      </w:r>
      <w:r w:rsidRPr="00CA1A43">
        <w:rPr>
          <w:rFonts w:eastAsia="標楷體" w:cstheme="minorHAnsi"/>
          <w:szCs w:val="24"/>
        </w:rPr>
        <w:t>(</w:t>
      </w:r>
      <w:r w:rsidRPr="00CA1A43">
        <w:rPr>
          <w:rFonts w:ascii="Cambria Math" w:eastAsia="標楷體" w:hAnsi="Cambria Math" w:cs="Cambria Math"/>
          <w:szCs w:val="24"/>
        </w:rPr>
        <w:t>𝜌</w:t>
      </w:r>
      <w:r w:rsidRPr="00CA1A43">
        <w:rPr>
          <w:rFonts w:ascii="Cambria Math" w:eastAsia="標楷體" w:hAnsi="Cambria Math" w:cs="Cambria Math"/>
          <w:i/>
          <w:szCs w:val="24"/>
          <w:vertAlign w:val="subscript"/>
        </w:rPr>
        <w:t>𝑘</w:t>
      </w:r>
      <w:r w:rsidRPr="00CA1A43">
        <w:rPr>
          <w:rFonts w:eastAsia="標楷體" w:cstheme="minorHAnsi"/>
          <w:i/>
          <w:szCs w:val="24"/>
          <w:vertAlign w:val="subscript"/>
        </w:rPr>
        <w:t>l</w:t>
      </w:r>
      <w:r w:rsidRPr="00CA1A43">
        <w:rPr>
          <w:rFonts w:eastAsia="標楷體" w:cstheme="minorHAnsi"/>
          <w:szCs w:val="24"/>
        </w:rPr>
        <w:t>)</w:t>
      </w:r>
      <w:r w:rsidRPr="00CA1A43">
        <w:rPr>
          <w:rFonts w:eastAsia="標楷體" w:cstheme="minorHAnsi"/>
          <w:szCs w:val="24"/>
        </w:rPr>
        <w:t>之情境並無絕對關係。假若</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標楷體" w:cstheme="minorHAnsi"/>
          <w:szCs w:val="24"/>
          <w:vertAlign w:val="superscript"/>
        </w:rPr>
        <w:t>+</w:t>
      </w:r>
      <w:r w:rsidRPr="00CA1A43">
        <w:rPr>
          <w:rFonts w:eastAsia="標楷體" w:cstheme="minorHAnsi"/>
          <w:szCs w:val="24"/>
        </w:rPr>
        <w:t>=</w:t>
      </w:r>
      <w:r w:rsidRPr="00CA1A43">
        <w:rPr>
          <w:rFonts w:ascii="Cambria Math" w:eastAsia="標楷體" w:hAnsi="Cambria Math" w:cs="Cambria Math"/>
          <w:szCs w:val="24"/>
        </w:rPr>
        <w:t>𝐾</w:t>
      </w:r>
      <w:r w:rsidRPr="00CA1A43">
        <w:rPr>
          <w:rFonts w:ascii="Cambria Math" w:eastAsia="標楷體" w:hAnsi="Cambria Math" w:cs="Cambria Math"/>
          <w:szCs w:val="24"/>
          <w:vertAlign w:val="subscript"/>
        </w:rPr>
        <w:t>𝑏</w:t>
      </w:r>
      <w:r w:rsidRPr="00CA1A43">
        <w:rPr>
          <w:rFonts w:eastAsia="MS Gothic" w:cstheme="minorHAnsi"/>
          <w:szCs w:val="24"/>
          <w:vertAlign w:val="superscript"/>
        </w:rPr>
        <w:t>−</w:t>
      </w:r>
      <w:r w:rsidRPr="00CA1A43">
        <w:rPr>
          <w:rFonts w:eastAsia="標楷體" w:cstheme="minorHAnsi"/>
          <w:szCs w:val="24"/>
        </w:rPr>
        <w:t>，且</w:t>
      </w:r>
      <w:proofErr w:type="spellStart"/>
      <w:r w:rsidRPr="00CA1A43">
        <w:rPr>
          <w:rFonts w:eastAsia="標楷體" w:cstheme="minorHAnsi"/>
          <w:szCs w:val="24"/>
        </w:rPr>
        <w:t>Σ</w:t>
      </w:r>
      <w:r w:rsidRPr="00CA1A43">
        <w:rPr>
          <w:rFonts w:eastAsia="標楷體" w:cstheme="minorHAnsi"/>
          <w:szCs w:val="24"/>
          <w:vertAlign w:val="subscript"/>
        </w:rPr>
        <w:t>k</w:t>
      </w:r>
      <w:proofErr w:type="spellEnd"/>
      <w:r w:rsidRPr="00CA1A43">
        <w:rPr>
          <w:rFonts w:ascii="Cambria Math" w:eastAsia="標楷體" w:hAnsi="Cambria Math" w:cs="Cambria Math"/>
          <w:szCs w:val="24"/>
        </w:rPr>
        <w:t>𝐶</w:t>
      </w:r>
      <w:r w:rsidRPr="00CA1A43">
        <w:rPr>
          <w:rFonts w:eastAsia="標楷體" w:cstheme="minorHAnsi"/>
          <w:szCs w:val="24"/>
        </w:rPr>
        <w:t>V</w:t>
      </w:r>
      <w:r w:rsidRPr="00CA1A43">
        <w:rPr>
          <w:rFonts w:ascii="Cambria Math" w:eastAsia="標楷體" w:hAnsi="Cambria Math" w:cs="Cambria Math"/>
          <w:szCs w:val="24"/>
        </w:rPr>
        <w:t>𝑅</w:t>
      </w:r>
      <w:r w:rsidRPr="00CA1A43">
        <w:rPr>
          <w:rFonts w:ascii="Cambria Math" w:eastAsia="標楷體" w:hAnsi="Cambria Math" w:cs="Cambria Math"/>
          <w:szCs w:val="24"/>
          <w:vertAlign w:val="subscript"/>
        </w:rPr>
        <w:t>𝑘</w:t>
      </w:r>
      <w:r w:rsidRPr="00CA1A43">
        <w:rPr>
          <w:rFonts w:eastAsia="標楷體" w:cstheme="minorHAnsi"/>
          <w:szCs w:val="24"/>
          <w:vertAlign w:val="superscript"/>
        </w:rPr>
        <w:t>+</w:t>
      </w:r>
      <w:r w:rsidRPr="00CA1A43">
        <w:rPr>
          <w:rFonts w:eastAsia="標楷體" w:cstheme="minorHAnsi"/>
          <w:szCs w:val="24"/>
        </w:rPr>
        <w:t>&gt;</w:t>
      </w:r>
      <w:proofErr w:type="spellStart"/>
      <w:r w:rsidRPr="00CA1A43">
        <w:rPr>
          <w:rFonts w:eastAsia="標楷體" w:cstheme="minorHAnsi"/>
          <w:szCs w:val="24"/>
        </w:rPr>
        <w:t>Σ</w:t>
      </w:r>
      <w:r w:rsidRPr="00CA1A43">
        <w:rPr>
          <w:rFonts w:eastAsia="標楷體" w:cstheme="minorHAnsi"/>
          <w:szCs w:val="24"/>
          <w:vertAlign w:val="subscript"/>
        </w:rPr>
        <w:t>k</w:t>
      </w:r>
      <w:proofErr w:type="spellEnd"/>
      <w:r w:rsidRPr="00CA1A43">
        <w:rPr>
          <w:rFonts w:ascii="Cambria Math" w:eastAsia="標楷體" w:hAnsi="Cambria Math" w:cs="Cambria Math"/>
          <w:szCs w:val="24"/>
        </w:rPr>
        <w:t>𝐶</w:t>
      </w:r>
      <w:r w:rsidRPr="00CA1A43">
        <w:rPr>
          <w:rFonts w:eastAsia="標楷體" w:cstheme="minorHAnsi"/>
          <w:szCs w:val="24"/>
        </w:rPr>
        <w:t>V</w:t>
      </w:r>
      <w:r w:rsidRPr="00CA1A43">
        <w:rPr>
          <w:rFonts w:ascii="Cambria Math" w:eastAsia="標楷體" w:hAnsi="Cambria Math" w:cs="Cambria Math"/>
          <w:szCs w:val="24"/>
        </w:rPr>
        <w:t>𝑅</w:t>
      </w:r>
      <w:r w:rsidRPr="00CA1A43">
        <w:rPr>
          <w:rFonts w:ascii="Cambria Math" w:eastAsia="標楷體" w:hAnsi="Cambria Math" w:cs="Cambria Math"/>
          <w:szCs w:val="24"/>
          <w:vertAlign w:val="subscript"/>
        </w:rPr>
        <w:t>𝑘</w:t>
      </w:r>
      <w:r w:rsidRPr="00CA1A43">
        <w:rPr>
          <w:rFonts w:eastAsia="標楷體" w:cstheme="minorHAnsi"/>
          <w:szCs w:val="24"/>
          <w:vertAlign w:val="superscript"/>
        </w:rPr>
        <w:t>-</w:t>
      </w:r>
      <w:r w:rsidRPr="00CA1A43">
        <w:rPr>
          <w:rFonts w:eastAsia="標楷體" w:cstheme="minorHAnsi"/>
          <w:szCs w:val="24"/>
        </w:rPr>
        <w:t>，則選擇向上情境，反之則選擇向下情境。</w:t>
      </w:r>
    </w:p>
    <w:p w14:paraId="5DFA7391" w14:textId="77777777" w:rsidR="00CC721D" w:rsidRPr="00CA1A43" w:rsidRDefault="00CC721D" w:rsidP="00605B1D">
      <w:pPr>
        <w:pStyle w:val="a7"/>
        <w:numPr>
          <w:ilvl w:val="0"/>
          <w:numId w:val="91"/>
        </w:numPr>
        <w:spacing w:beforeLines="50" w:before="180"/>
        <w:ind w:leftChars="0"/>
        <w:jc w:val="both"/>
        <w:rPr>
          <w:rFonts w:eastAsia="標楷體" w:cstheme="minorHAnsi"/>
          <w:szCs w:val="24"/>
        </w:rPr>
      </w:pPr>
      <w:r w:rsidRPr="00CA1A43">
        <w:rPr>
          <w:rFonts w:eastAsia="標楷體" w:cstheme="minorHAnsi"/>
        </w:rPr>
        <w:t>如果</w:t>
      </w:r>
      <w:r w:rsidRPr="00CA1A43">
        <w:rPr>
          <w:rFonts w:ascii="Cambria Math" w:eastAsia="標楷體" w:hAnsi="Cambria Math" w:cs="Cambria Math"/>
          <w:szCs w:val="24"/>
        </w:rPr>
        <w:t>𝐶</w:t>
      </w:r>
      <w:r w:rsidRPr="00CA1A43">
        <w:rPr>
          <w:rFonts w:eastAsia="標楷體" w:cstheme="minorHAnsi"/>
          <w:szCs w:val="24"/>
        </w:rPr>
        <w:t>VR</w:t>
      </w:r>
      <w:r w:rsidRPr="00CA1A43">
        <w:rPr>
          <w:rFonts w:ascii="Cambria Math" w:eastAsia="標楷體" w:hAnsi="Cambria Math" w:cs="Cambria Math"/>
          <w:szCs w:val="24"/>
          <w:vertAlign w:val="subscript"/>
        </w:rPr>
        <w:t>𝑘</w:t>
      </w:r>
      <w:r w:rsidRPr="00CA1A43">
        <w:rPr>
          <w:rFonts w:eastAsia="標楷體" w:cstheme="minorHAnsi"/>
        </w:rPr>
        <w:t>和</w:t>
      </w:r>
      <w:r w:rsidRPr="00CA1A43">
        <w:rPr>
          <w:rFonts w:ascii="Cambria Math" w:eastAsia="標楷體" w:hAnsi="Cambria Math" w:cs="Cambria Math"/>
          <w:szCs w:val="24"/>
        </w:rPr>
        <w:t>𝐶</w:t>
      </w:r>
      <w:r w:rsidRPr="00CA1A43">
        <w:rPr>
          <w:rFonts w:eastAsia="標楷體" w:cstheme="minorHAnsi"/>
          <w:szCs w:val="24"/>
        </w:rPr>
        <w:t>VR</w:t>
      </w:r>
      <w:r w:rsidRPr="00CA1A43">
        <w:rPr>
          <w:rFonts w:ascii="Cambria Math" w:eastAsia="標楷體" w:hAnsi="Cambria Math" w:cs="Cambria Math"/>
          <w:szCs w:val="24"/>
          <w:vertAlign w:val="subscript"/>
        </w:rPr>
        <w:t>𝑙</w:t>
      </w:r>
      <w:r w:rsidRPr="00CA1A43">
        <w:rPr>
          <w:rFonts w:eastAsia="標楷體" w:cstheme="minorHAnsi"/>
          <w:szCs w:val="24"/>
        </w:rPr>
        <w:t>皆</w:t>
      </w:r>
      <w:r w:rsidRPr="00CA1A43">
        <w:rPr>
          <w:rFonts w:eastAsia="標楷體" w:cstheme="minorHAnsi"/>
        </w:rPr>
        <w:t>為負時，則</w:t>
      </w:r>
      <w:r w:rsidRPr="00CA1A43">
        <w:rPr>
          <w:rFonts w:eastAsia="標楷體" w:cstheme="minorHAnsi"/>
          <w:szCs w:val="24"/>
        </w:rPr>
        <w:t>ψ(</w:t>
      </w:r>
      <w:r w:rsidRPr="00CA1A43">
        <w:rPr>
          <w:rFonts w:ascii="Cambria Math" w:eastAsia="標楷體" w:hAnsi="Cambria Math" w:cs="Cambria Math"/>
          <w:szCs w:val="24"/>
        </w:rPr>
        <w:t>𝐶</w:t>
      </w:r>
      <w:r w:rsidRPr="00CA1A43">
        <w:rPr>
          <w:rFonts w:eastAsia="標楷體" w:cstheme="minorHAnsi"/>
          <w:szCs w:val="24"/>
        </w:rPr>
        <w:t>VR</w:t>
      </w:r>
      <w:r w:rsidRPr="00CA1A43">
        <w:rPr>
          <w:rFonts w:ascii="Cambria Math" w:eastAsia="標楷體" w:hAnsi="Cambria Math" w:cs="Cambria Math"/>
          <w:szCs w:val="24"/>
          <w:vertAlign w:val="subscript"/>
        </w:rPr>
        <w:t>𝑘</w:t>
      </w:r>
      <w:r w:rsidRPr="00CA1A43">
        <w:rPr>
          <w:rFonts w:eastAsia="標楷體" w:cstheme="minorHAnsi"/>
          <w:szCs w:val="24"/>
        </w:rPr>
        <w:t>,</w:t>
      </w:r>
      <w:r w:rsidRPr="00CA1A43">
        <w:rPr>
          <w:rFonts w:ascii="Cambria Math" w:eastAsia="標楷體" w:hAnsi="Cambria Math" w:cs="Cambria Math"/>
          <w:szCs w:val="24"/>
        </w:rPr>
        <w:t>𝐶</w:t>
      </w:r>
      <w:r w:rsidRPr="00CA1A43">
        <w:rPr>
          <w:rFonts w:eastAsia="標楷體" w:cstheme="minorHAnsi"/>
          <w:szCs w:val="24"/>
        </w:rPr>
        <w:t>VR</w:t>
      </w:r>
      <w:r w:rsidRPr="00CA1A43">
        <w:rPr>
          <w:rFonts w:ascii="Cambria Math" w:eastAsia="標楷體" w:hAnsi="Cambria Math" w:cs="Cambria Math"/>
          <w:szCs w:val="24"/>
          <w:vertAlign w:val="subscript"/>
        </w:rPr>
        <w:t>𝑙</w:t>
      </w:r>
      <w:r w:rsidRPr="00CA1A43">
        <w:rPr>
          <w:rFonts w:eastAsia="標楷體" w:cstheme="minorHAnsi"/>
          <w:szCs w:val="24"/>
        </w:rPr>
        <w:t xml:space="preserve"> )</w:t>
      </w:r>
      <w:r w:rsidRPr="00CA1A43">
        <w:rPr>
          <w:rFonts w:eastAsia="標楷體" w:cstheme="minorHAnsi"/>
        </w:rPr>
        <w:t>為</w:t>
      </w:r>
      <w:r w:rsidRPr="00CA1A43">
        <w:rPr>
          <w:rFonts w:eastAsia="標楷體" w:cstheme="minorHAnsi"/>
        </w:rPr>
        <w:t>0</w:t>
      </w:r>
      <w:r w:rsidRPr="00CA1A43">
        <w:rPr>
          <w:rFonts w:eastAsia="標楷體" w:cstheme="minorHAnsi"/>
        </w:rPr>
        <w:t>，否則為</w:t>
      </w:r>
      <w:r w:rsidRPr="00CA1A43">
        <w:rPr>
          <w:rFonts w:eastAsia="標楷體" w:cstheme="minorHAnsi"/>
        </w:rPr>
        <w:t>1</w:t>
      </w:r>
      <w:r w:rsidRPr="00CA1A43">
        <w:rPr>
          <w:rFonts w:eastAsia="標楷體" w:cstheme="minorHAnsi"/>
        </w:rPr>
        <w:t>。</w:t>
      </w:r>
    </w:p>
    <w:p w14:paraId="6C306BFF" w14:textId="77777777" w:rsidR="00CC721D" w:rsidRPr="00CA1A43" w:rsidRDefault="00CC721D" w:rsidP="00605B1D">
      <w:pPr>
        <w:pStyle w:val="a7"/>
        <w:numPr>
          <w:ilvl w:val="0"/>
          <w:numId w:val="88"/>
        </w:numPr>
        <w:spacing w:beforeLines="50" w:before="180"/>
        <w:ind w:leftChars="0" w:left="964" w:hanging="482"/>
        <w:jc w:val="both"/>
        <w:rPr>
          <w:rFonts w:eastAsia="標楷體" w:cstheme="minorHAnsi"/>
          <w:szCs w:val="24"/>
        </w:rPr>
      </w:pPr>
      <w:r w:rsidRPr="00CA1A43">
        <w:rPr>
          <w:rFonts w:eastAsia="標楷體" w:cstheme="minorHAnsi"/>
          <w:szCs w:val="24"/>
        </w:rPr>
        <w:t>跨</w:t>
      </w:r>
      <w:proofErr w:type="gramStart"/>
      <w:r w:rsidRPr="00CA1A43">
        <w:rPr>
          <w:rFonts w:eastAsia="標楷體" w:cstheme="minorHAnsi"/>
          <w:szCs w:val="24"/>
        </w:rPr>
        <w:t>組別加總</w:t>
      </w:r>
      <w:proofErr w:type="gramEnd"/>
      <w:r w:rsidRPr="00CA1A43">
        <w:rPr>
          <w:rFonts w:eastAsia="標楷體" w:cstheme="minorHAnsi"/>
          <w:szCs w:val="24"/>
        </w:rPr>
        <w:t>：</w:t>
      </w:r>
      <w:r w:rsidRPr="00CA1A43">
        <w:rPr>
          <w:rFonts w:eastAsia="標楷體" w:cstheme="minorHAnsi"/>
          <w:szCs w:val="24"/>
        </w:rPr>
        <w:t>Curvature</w:t>
      </w:r>
      <w:r w:rsidRPr="00CA1A43">
        <w:rPr>
          <w:rFonts w:eastAsia="標楷體" w:cstheme="minorHAnsi"/>
          <w:szCs w:val="24"/>
        </w:rPr>
        <w:t>風險部位必須在每</w:t>
      </w:r>
      <w:proofErr w:type="gramStart"/>
      <w:r w:rsidRPr="00CA1A43">
        <w:rPr>
          <w:rFonts w:eastAsia="標楷體" w:cstheme="minorHAnsi"/>
          <w:szCs w:val="24"/>
        </w:rPr>
        <w:t>個</w:t>
      </w:r>
      <w:proofErr w:type="gramEnd"/>
      <w:r w:rsidRPr="00CA1A43">
        <w:rPr>
          <w:rFonts w:eastAsia="標楷體" w:cstheme="minorHAnsi"/>
          <w:szCs w:val="24"/>
        </w:rPr>
        <w:t>風險類別下，使用本計算說明規定之相關係數</w:t>
      </w:r>
      <w:r w:rsidRPr="00CA1A43">
        <w:rPr>
          <w:rFonts w:eastAsia="標楷體" w:cstheme="minorHAnsi"/>
          <w:szCs w:val="24"/>
        </w:rPr>
        <w:t>(</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rPr>
        <w:t>)</w:t>
      </w:r>
      <w:r w:rsidRPr="00CA1A43">
        <w:rPr>
          <w:rFonts w:eastAsia="標楷體" w:cstheme="minorHAnsi"/>
          <w:szCs w:val="24"/>
        </w:rPr>
        <w:t>進行跨組別的加總，以組別</w:t>
      </w:r>
      <w:r w:rsidRPr="00CA1A43">
        <w:rPr>
          <w:rFonts w:eastAsia="標楷體" w:cstheme="minorHAnsi"/>
          <w:szCs w:val="24"/>
        </w:rPr>
        <w:t>b</w:t>
      </w:r>
      <w:r w:rsidRPr="00CA1A43">
        <w:rPr>
          <w:rFonts w:eastAsia="標楷體" w:cstheme="minorHAnsi"/>
          <w:szCs w:val="24"/>
        </w:rPr>
        <w:t>與組別</w:t>
      </w:r>
      <w:r w:rsidRPr="00CA1A43">
        <w:rPr>
          <w:rFonts w:eastAsia="標楷體" w:cstheme="minorHAnsi"/>
          <w:szCs w:val="24"/>
        </w:rPr>
        <w:t>c</w:t>
      </w:r>
      <w:r w:rsidRPr="00CA1A43">
        <w:rPr>
          <w:rFonts w:eastAsia="標楷體" w:cstheme="minorHAnsi"/>
          <w:szCs w:val="24"/>
        </w:rPr>
        <w:t>為例</w:t>
      </w:r>
    </w:p>
    <w:p w14:paraId="18AC0C2D" w14:textId="77777777" w:rsidR="00471316" w:rsidRPr="00CA1A43" w:rsidRDefault="00471316" w:rsidP="00471316">
      <w:pPr>
        <w:pStyle w:val="a7"/>
        <w:spacing w:beforeLines="50" w:before="180"/>
        <w:ind w:leftChars="0" w:left="964"/>
        <w:jc w:val="both"/>
        <w:rPr>
          <w:rFonts w:eastAsia="標楷體" w:cstheme="minorHAnsi"/>
          <w:szCs w:val="24"/>
        </w:rPr>
      </w:pPr>
      <m:oMathPara>
        <m:oMath>
          <m:r>
            <w:rPr>
              <w:rFonts w:ascii="Cambria Math" w:eastAsia="標楷體" w:hAnsi="Cambria Math" w:cstheme="minorHAnsi"/>
              <w:szCs w:val="24"/>
            </w:rPr>
            <m:t>Curvature risk</m:t>
          </m:r>
          <m:r>
            <m:rPr>
              <m:sty m:val="p"/>
            </m:rPr>
            <w:rPr>
              <w:rFonts w:ascii="Cambria Math" w:eastAsia="標楷體" w:hAnsi="Cambria Math" w:cstheme="minorHAnsi"/>
              <w:szCs w:val="24"/>
            </w:rPr>
            <m:t>=</m:t>
          </m:r>
          <m:rad>
            <m:radPr>
              <m:degHide m:val="1"/>
              <m:ctrlPr>
                <w:rPr>
                  <w:rFonts w:ascii="Cambria Math" w:eastAsia="標楷體" w:hAnsi="Cambria Math" w:cstheme="minorHAnsi"/>
                  <w:szCs w:val="24"/>
                </w:rPr>
              </m:ctrlPr>
            </m:radPr>
            <m:deg/>
            <m:e>
              <m:r>
                <w:rPr>
                  <w:rFonts w:ascii="Cambria Math" w:eastAsia="標楷體" w:hAnsi="Cambria Math" w:cstheme="minorHAnsi"/>
                  <w:szCs w:val="24"/>
                </w:rPr>
                <m:t>max</m:t>
              </m:r>
              <m:d>
                <m:dPr>
                  <m:ctrlPr>
                    <w:rPr>
                      <w:rFonts w:ascii="Cambria Math" w:eastAsia="標楷體" w:hAnsi="Cambria Math" w:cstheme="minorHAnsi"/>
                      <w:i/>
                      <w:szCs w:val="24"/>
                    </w:rPr>
                  </m:ctrlPr>
                </m:dPr>
                <m:e>
                  <m:r>
                    <w:rPr>
                      <w:rFonts w:ascii="Cambria Math" w:eastAsia="標楷體" w:hAnsi="Cambria Math" w:cstheme="minorHAnsi"/>
                      <w:szCs w:val="24"/>
                    </w:rPr>
                    <m:t xml:space="preserve">0, </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b</m:t>
                      </m:r>
                    </m:sub>
                    <m:sup/>
                    <m:e>
                      <m:sSubSup>
                        <m:sSubSupPr>
                          <m:ctrlPr>
                            <w:rPr>
                              <w:rFonts w:ascii="Cambria Math" w:eastAsia="標楷體" w:hAnsi="Cambria Math" w:cstheme="minorHAnsi"/>
                              <w:i/>
                              <w:szCs w:val="24"/>
                            </w:rPr>
                          </m:ctrlPr>
                        </m:sSubSupPr>
                        <m:e>
                          <m:r>
                            <w:rPr>
                              <w:rFonts w:ascii="Cambria Math" w:eastAsia="標楷體" w:hAnsi="Cambria Math" w:cstheme="minorHAnsi"/>
                              <w:szCs w:val="24"/>
                            </w:rPr>
                            <m:t>K</m:t>
                          </m:r>
                        </m:e>
                        <m:sub>
                          <m:r>
                            <w:rPr>
                              <w:rFonts w:ascii="Cambria Math" w:eastAsia="標楷體" w:hAnsi="Cambria Math" w:cstheme="minorHAnsi"/>
                              <w:szCs w:val="24"/>
                            </w:rPr>
                            <m:t>b</m:t>
                          </m:r>
                        </m:sub>
                        <m:sup>
                          <m:r>
                            <w:rPr>
                              <w:rFonts w:ascii="Cambria Math" w:eastAsia="標楷體" w:hAnsi="Cambria Math" w:cstheme="minorHAnsi"/>
                              <w:szCs w:val="24"/>
                            </w:rPr>
                            <m:t>2</m:t>
                          </m:r>
                        </m:sup>
                      </m:sSubSup>
                    </m:e>
                  </m:nary>
                  <m:r>
                    <w:rPr>
                      <w:rFonts w:ascii="Cambria Math" w:eastAsia="標楷體" w:hAnsi="Cambria Math" w:cstheme="minorHAnsi"/>
                      <w:szCs w:val="24"/>
                    </w:rPr>
                    <m:t>+</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c≠b</m:t>
                      </m:r>
                    </m:sub>
                    <m:sup/>
                    <m:e>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b</m:t>
                          </m:r>
                        </m:sub>
                        <m:sup/>
                        <m:e>
                          <m:sSub>
                            <m:sSubPr>
                              <m:ctrlPr>
                                <w:rPr>
                                  <w:rFonts w:ascii="Cambria Math" w:eastAsia="標楷體" w:hAnsi="Cambria Math" w:cstheme="minorHAnsi"/>
                                  <w:i/>
                                  <w:szCs w:val="24"/>
                                </w:rPr>
                              </m:ctrlPr>
                            </m:sSubPr>
                            <m:e>
                              <m:r>
                                <w:rPr>
                                  <w:rFonts w:ascii="Cambria Math" w:eastAsia="標楷體" w:hAnsi="Cambria Math" w:cstheme="minorHAnsi"/>
                                  <w:szCs w:val="24"/>
                                </w:rPr>
                                <m:t>γ</m:t>
                              </m:r>
                            </m:e>
                            <m:sub>
                              <m:r>
                                <w:rPr>
                                  <w:rFonts w:ascii="Cambria Math" w:eastAsia="標楷體" w:hAnsi="Cambria Math" w:cstheme="minorHAnsi"/>
                                  <w:szCs w:val="24"/>
                                </w:rPr>
                                <m:t>bc</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b</m:t>
                              </m:r>
                            </m:sub>
                          </m:sSub>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c</m:t>
                              </m:r>
                            </m:sub>
                          </m:sSub>
                        </m:e>
                      </m:nary>
                      <m:r>
                        <w:rPr>
                          <w:rFonts w:ascii="Cambria Math" w:eastAsia="標楷體" w:hAnsi="Cambria Math" w:cstheme="minorHAnsi"/>
                          <w:szCs w:val="24"/>
                        </w:rPr>
                        <m:t>ψ</m:t>
                      </m:r>
                      <m:d>
                        <m:dPr>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b</m:t>
                              </m:r>
                            </m:sub>
                          </m:sSub>
                          <m:r>
                            <w:rPr>
                              <w:rFonts w:ascii="Cambria Math" w:eastAsia="標楷體" w:hAnsi="Cambria Math" w:cstheme="minorHAnsi"/>
                              <w:szCs w:val="24"/>
                            </w:rPr>
                            <m:t>,</m:t>
                          </m:r>
                          <m:sSub>
                            <m:sSubPr>
                              <m:ctrlPr>
                                <w:rPr>
                                  <w:rFonts w:ascii="Cambria Math" w:eastAsia="標楷體" w:hAnsi="Cambria Math" w:cstheme="minorHAnsi"/>
                                  <w:i/>
                                  <w:szCs w:val="24"/>
                                </w:rPr>
                              </m:ctrlPr>
                            </m:sSubPr>
                            <m:e>
                              <m:r>
                                <w:rPr>
                                  <w:rFonts w:ascii="Cambria Math" w:eastAsia="標楷體" w:hAnsi="Cambria Math" w:cstheme="minorHAnsi"/>
                                  <w:szCs w:val="24"/>
                                </w:rPr>
                                <m:t>S</m:t>
                              </m:r>
                            </m:e>
                            <m:sub>
                              <m:r>
                                <w:rPr>
                                  <w:rFonts w:ascii="Cambria Math" w:eastAsia="標楷體" w:hAnsi="Cambria Math" w:cstheme="minorHAnsi"/>
                                  <w:szCs w:val="24"/>
                                </w:rPr>
                                <m:t>c</m:t>
                              </m:r>
                            </m:sub>
                          </m:sSub>
                        </m:e>
                      </m:d>
                    </m:e>
                  </m:nary>
                </m:e>
              </m:d>
            </m:e>
          </m:rad>
        </m:oMath>
      </m:oMathPara>
    </w:p>
    <w:p w14:paraId="1B5BDB9D" w14:textId="77777777" w:rsidR="00CC721D" w:rsidRPr="00CA1A43" w:rsidRDefault="00CC721D" w:rsidP="00471316">
      <w:pPr>
        <w:pStyle w:val="a7"/>
        <w:spacing w:beforeLines="50" w:before="180"/>
        <w:ind w:leftChars="0" w:left="964"/>
        <w:jc w:val="both"/>
        <w:rPr>
          <w:rFonts w:eastAsia="標楷體" w:cstheme="minorHAnsi"/>
          <w:szCs w:val="24"/>
        </w:rPr>
      </w:pPr>
      <w:r w:rsidRPr="00CA1A43">
        <w:rPr>
          <w:rFonts w:eastAsia="標楷體" w:cstheme="minorHAnsi"/>
          <w:szCs w:val="24"/>
        </w:rPr>
        <w:t xml:space="preserve">  </w:t>
      </w:r>
      <w:r w:rsidRPr="00CA1A43">
        <w:rPr>
          <w:rFonts w:eastAsia="標楷體" w:cstheme="minorHAnsi"/>
          <w:szCs w:val="24"/>
        </w:rPr>
        <w:t>其中：</w:t>
      </w:r>
    </w:p>
    <w:p w14:paraId="2E04D188" w14:textId="77777777" w:rsidR="00CC721D" w:rsidRPr="00CA1A43" w:rsidRDefault="00CC721D" w:rsidP="00605B1D">
      <w:pPr>
        <w:pStyle w:val="a7"/>
        <w:numPr>
          <w:ilvl w:val="0"/>
          <w:numId w:val="92"/>
        </w:numPr>
        <w:spacing w:beforeLines="50" w:before="180"/>
        <w:ind w:leftChars="0"/>
        <w:jc w:val="both"/>
        <w:rPr>
          <w:rFonts w:eastAsia="標楷體" w:cstheme="minorHAnsi"/>
          <w:szCs w:val="24"/>
        </w:rPr>
      </w:pPr>
      <w:r w:rsidRPr="00CA1A43">
        <w:rPr>
          <w:rFonts w:ascii="Cambria Math" w:eastAsia="標楷體" w:hAnsi="Cambria Math" w:cs="Cambria Math"/>
          <w:szCs w:val="24"/>
        </w:rPr>
        <w:t>𝑆</w:t>
      </w:r>
      <w:r w:rsidRPr="00CA1A43">
        <w:rPr>
          <w:rFonts w:ascii="Cambria Math" w:eastAsia="標楷體" w:hAnsi="Cambria Math" w:cs="Cambria Math"/>
          <w:szCs w:val="24"/>
          <w:vertAlign w:val="subscript"/>
        </w:rPr>
        <w:t>𝑏</w:t>
      </w:r>
      <w:r w:rsidRPr="00CA1A43">
        <w:rPr>
          <w:rFonts w:eastAsia="標楷體" w:cstheme="minorHAnsi"/>
          <w:szCs w:val="24"/>
        </w:rPr>
        <w:t>=</w:t>
      </w:r>
      <w:proofErr w:type="spellStart"/>
      <w:r w:rsidRPr="00CA1A43">
        <w:rPr>
          <w:rFonts w:eastAsia="標楷體" w:cstheme="minorHAnsi"/>
          <w:szCs w:val="24"/>
        </w:rPr>
        <w:t>Σ</w:t>
      </w:r>
      <w:r w:rsidRPr="00CA1A43">
        <w:rPr>
          <w:rFonts w:eastAsia="標楷體" w:cstheme="minorHAnsi"/>
          <w:szCs w:val="24"/>
          <w:vertAlign w:val="subscript"/>
        </w:rPr>
        <w:t>k</w:t>
      </w:r>
      <w:proofErr w:type="spellEnd"/>
      <w:r w:rsidRPr="00CA1A43">
        <w:rPr>
          <w:rFonts w:ascii="Cambria Math" w:eastAsia="標楷體" w:hAnsi="Cambria Math" w:cs="Cambria Math"/>
          <w:szCs w:val="24"/>
        </w:rPr>
        <w:t>𝐶</w:t>
      </w:r>
      <w:r w:rsidRPr="00CA1A43">
        <w:rPr>
          <w:rFonts w:eastAsia="標楷體" w:cstheme="minorHAnsi"/>
          <w:szCs w:val="24"/>
        </w:rPr>
        <w:t>V</w:t>
      </w:r>
      <w:r w:rsidRPr="00CA1A43">
        <w:rPr>
          <w:rFonts w:ascii="Cambria Math" w:eastAsia="標楷體" w:hAnsi="Cambria Math" w:cs="Cambria Math"/>
          <w:szCs w:val="24"/>
        </w:rPr>
        <w:t>𝑅</w:t>
      </w:r>
      <w:r w:rsidRPr="00CA1A43">
        <w:rPr>
          <w:rFonts w:ascii="Cambria Math" w:eastAsia="標楷體" w:hAnsi="Cambria Math" w:cs="Cambria Math"/>
          <w:szCs w:val="24"/>
          <w:vertAlign w:val="subscript"/>
        </w:rPr>
        <w:t>𝑘</w:t>
      </w:r>
      <w:r w:rsidRPr="00CA1A43">
        <w:rPr>
          <w:rFonts w:eastAsia="標楷體" w:cstheme="minorHAnsi"/>
          <w:szCs w:val="24"/>
          <w:vertAlign w:val="superscript"/>
        </w:rPr>
        <w:t>+</w:t>
      </w:r>
      <w:r w:rsidRPr="00CA1A43">
        <w:rPr>
          <w:rFonts w:eastAsia="標楷體" w:cstheme="minorHAnsi"/>
          <w:szCs w:val="24"/>
        </w:rPr>
        <w:t>，為組別</w:t>
      </w:r>
      <w:r w:rsidRPr="00CA1A43">
        <w:rPr>
          <w:rFonts w:eastAsia="標楷體" w:cstheme="minorHAnsi"/>
          <w:szCs w:val="24"/>
        </w:rPr>
        <w:t>b</w:t>
      </w:r>
      <w:r w:rsidRPr="00CA1A43">
        <w:rPr>
          <w:rFonts w:eastAsia="標楷體" w:cstheme="minorHAnsi"/>
          <w:szCs w:val="24"/>
        </w:rPr>
        <w:t>選擇向上情境時，計算組別內所有風險</w:t>
      </w:r>
      <w:r w:rsidRPr="00CA1A43">
        <w:rPr>
          <w:rFonts w:eastAsia="標楷體" w:cstheme="minorHAnsi"/>
          <w:szCs w:val="24"/>
        </w:rPr>
        <w:lastRenderedPageBreak/>
        <w:t>因子之</w:t>
      </w:r>
      <w:r w:rsidRPr="00CA1A43">
        <w:rPr>
          <w:rFonts w:ascii="Cambria Math" w:eastAsia="標楷體" w:hAnsi="Cambria Math" w:cs="Cambria Math"/>
          <w:szCs w:val="24"/>
        </w:rPr>
        <w:t>𝐶</w:t>
      </w:r>
      <w:r w:rsidRPr="00CA1A43">
        <w:rPr>
          <w:rFonts w:eastAsia="標楷體" w:cstheme="minorHAnsi"/>
          <w:szCs w:val="24"/>
        </w:rPr>
        <w:t>V</w:t>
      </w:r>
      <w:r w:rsidRPr="00CA1A43">
        <w:rPr>
          <w:rFonts w:ascii="Cambria Math" w:eastAsia="標楷體" w:hAnsi="Cambria Math" w:cs="Cambria Math"/>
          <w:szCs w:val="24"/>
        </w:rPr>
        <w:t>𝑅</w:t>
      </w:r>
      <w:r w:rsidRPr="00CA1A43">
        <w:rPr>
          <w:rFonts w:ascii="Cambria Math" w:eastAsia="標楷體" w:hAnsi="Cambria Math" w:cs="Cambria Math"/>
          <w:szCs w:val="24"/>
          <w:vertAlign w:val="subscript"/>
        </w:rPr>
        <w:t>𝑘</w:t>
      </w:r>
      <w:r w:rsidRPr="00CA1A43">
        <w:rPr>
          <w:rFonts w:eastAsia="標楷體" w:cstheme="minorHAnsi"/>
          <w:szCs w:val="24"/>
          <w:vertAlign w:val="superscript"/>
        </w:rPr>
        <w:t>+</w:t>
      </w:r>
      <w:r w:rsidRPr="00CA1A43">
        <w:rPr>
          <w:rFonts w:eastAsia="標楷體" w:cstheme="minorHAnsi"/>
          <w:szCs w:val="24"/>
        </w:rPr>
        <w:t>加總值；選擇向下情境時，則</w:t>
      </w:r>
      <w:r w:rsidRPr="00CA1A43">
        <w:rPr>
          <w:rFonts w:ascii="Cambria Math" w:eastAsia="標楷體" w:hAnsi="Cambria Math" w:cs="Cambria Math"/>
          <w:szCs w:val="24"/>
        </w:rPr>
        <w:t>𝑆</w:t>
      </w:r>
      <w:r w:rsidRPr="00CA1A43">
        <w:rPr>
          <w:rFonts w:ascii="Cambria Math" w:eastAsia="標楷體" w:hAnsi="Cambria Math" w:cs="Cambria Math"/>
          <w:szCs w:val="24"/>
          <w:vertAlign w:val="subscript"/>
        </w:rPr>
        <w:t>𝑏</w:t>
      </w:r>
      <w:r w:rsidRPr="00CA1A43">
        <w:rPr>
          <w:rFonts w:eastAsia="標楷體" w:cstheme="minorHAnsi"/>
          <w:szCs w:val="24"/>
        </w:rPr>
        <w:t>=</w:t>
      </w:r>
      <w:proofErr w:type="spellStart"/>
      <w:r w:rsidRPr="00CA1A43">
        <w:rPr>
          <w:rFonts w:eastAsia="標楷體" w:cstheme="minorHAnsi"/>
          <w:szCs w:val="24"/>
        </w:rPr>
        <w:t>Σ</w:t>
      </w:r>
      <w:r w:rsidRPr="00CA1A43">
        <w:rPr>
          <w:rFonts w:eastAsia="標楷體" w:cstheme="minorHAnsi"/>
          <w:szCs w:val="24"/>
          <w:vertAlign w:val="subscript"/>
        </w:rPr>
        <w:t>k</w:t>
      </w:r>
      <w:proofErr w:type="spellEnd"/>
      <w:r w:rsidRPr="00CA1A43">
        <w:rPr>
          <w:rFonts w:ascii="Cambria Math" w:eastAsia="標楷體" w:hAnsi="Cambria Math" w:cs="Cambria Math"/>
          <w:szCs w:val="24"/>
        </w:rPr>
        <w:t>𝐶</w:t>
      </w:r>
      <w:r w:rsidRPr="00CA1A43">
        <w:rPr>
          <w:rFonts w:eastAsia="標楷體" w:cstheme="minorHAnsi"/>
          <w:szCs w:val="24"/>
        </w:rPr>
        <w:t>V</w:t>
      </w:r>
      <w:r w:rsidRPr="00CA1A43">
        <w:rPr>
          <w:rFonts w:ascii="Cambria Math" w:eastAsia="標楷體" w:hAnsi="Cambria Math" w:cs="Cambria Math"/>
          <w:szCs w:val="24"/>
        </w:rPr>
        <w:t>𝑅</w:t>
      </w:r>
      <w:r w:rsidRPr="00CA1A43">
        <w:rPr>
          <w:rFonts w:ascii="Cambria Math" w:eastAsia="標楷體" w:hAnsi="Cambria Math" w:cs="Cambria Math"/>
          <w:szCs w:val="24"/>
          <w:vertAlign w:val="subscript"/>
        </w:rPr>
        <w:t>𝑘</w:t>
      </w:r>
      <w:r w:rsidRPr="00CA1A43">
        <w:rPr>
          <w:rFonts w:eastAsia="標楷體" w:cstheme="minorHAnsi"/>
          <w:szCs w:val="24"/>
          <w:vertAlign w:val="superscript"/>
        </w:rPr>
        <w:t>-</w:t>
      </w:r>
      <w:r w:rsidRPr="00CA1A43">
        <w:rPr>
          <w:rFonts w:eastAsia="標楷體" w:cstheme="minorHAnsi"/>
          <w:szCs w:val="24"/>
        </w:rPr>
        <w:t>；</w:t>
      </w:r>
    </w:p>
    <w:p w14:paraId="09E70A6D" w14:textId="77777777" w:rsidR="00E850EC" w:rsidRPr="00CA1A43" w:rsidRDefault="00CC721D" w:rsidP="00605B1D">
      <w:pPr>
        <w:pStyle w:val="a7"/>
        <w:numPr>
          <w:ilvl w:val="0"/>
          <w:numId w:val="92"/>
        </w:numPr>
        <w:spacing w:beforeLines="50" w:before="180"/>
        <w:ind w:leftChars="0"/>
        <w:jc w:val="both"/>
        <w:rPr>
          <w:rFonts w:eastAsia="標楷體" w:cstheme="minorHAnsi"/>
        </w:rPr>
      </w:pPr>
      <w:r w:rsidRPr="00CA1A43">
        <w:rPr>
          <w:rFonts w:eastAsia="標楷體" w:cstheme="minorHAnsi"/>
          <w:szCs w:val="24"/>
        </w:rPr>
        <w:t>如果</w:t>
      </w:r>
      <w:r w:rsidRPr="00CA1A43">
        <w:rPr>
          <w:rFonts w:eastAsia="標楷體" w:cstheme="minorHAnsi"/>
          <w:szCs w:val="24"/>
        </w:rPr>
        <w:t xml:space="preserve"> </w:t>
      </w:r>
      <w:r w:rsidRPr="00CA1A43">
        <w:rPr>
          <w:rFonts w:ascii="Cambria Math" w:eastAsia="標楷體" w:hAnsi="Cambria Math" w:cs="Cambria Math"/>
          <w:szCs w:val="24"/>
        </w:rPr>
        <w:t>𝑆</w:t>
      </w:r>
      <w:r w:rsidRPr="00CA1A43">
        <w:rPr>
          <w:rFonts w:ascii="Cambria Math" w:eastAsia="標楷體" w:hAnsi="Cambria Math" w:cs="Cambria Math"/>
          <w:szCs w:val="24"/>
          <w:vertAlign w:val="subscript"/>
        </w:rPr>
        <w:t>𝑏</w:t>
      </w:r>
      <w:r w:rsidRPr="00CA1A43">
        <w:rPr>
          <w:rFonts w:eastAsia="標楷體" w:cstheme="minorHAnsi"/>
        </w:rPr>
        <w:t>和</w:t>
      </w:r>
      <w:r w:rsidRPr="00CA1A43">
        <w:rPr>
          <w:rFonts w:eastAsia="標楷體" w:cstheme="minorHAnsi"/>
          <w:szCs w:val="24"/>
        </w:rPr>
        <w:t xml:space="preserve"> </w:t>
      </w:r>
      <w:r w:rsidRPr="00CA1A43">
        <w:rPr>
          <w:rFonts w:ascii="Cambria Math" w:eastAsia="標楷體" w:hAnsi="Cambria Math" w:cs="Cambria Math"/>
          <w:szCs w:val="24"/>
        </w:rPr>
        <w:t>𝑆</w:t>
      </w:r>
      <w:r w:rsidRPr="00CA1A43">
        <w:rPr>
          <w:rFonts w:ascii="Cambria Math" w:eastAsia="標楷體" w:hAnsi="Cambria Math" w:cs="Cambria Math"/>
          <w:szCs w:val="24"/>
          <w:vertAlign w:val="subscript"/>
        </w:rPr>
        <w:t>𝑐</w:t>
      </w:r>
      <w:r w:rsidRPr="00CA1A43">
        <w:rPr>
          <w:rFonts w:eastAsia="標楷體" w:cstheme="minorHAnsi"/>
          <w:szCs w:val="24"/>
        </w:rPr>
        <w:t>皆</w:t>
      </w:r>
      <w:r w:rsidRPr="00CA1A43">
        <w:rPr>
          <w:rFonts w:eastAsia="標楷體" w:cstheme="minorHAnsi"/>
        </w:rPr>
        <w:t>為負時，則</w:t>
      </w:r>
      <w:r w:rsidRPr="00CA1A43">
        <w:rPr>
          <w:rFonts w:ascii="Cambria Math" w:eastAsia="標楷體" w:hAnsi="Cambria Math" w:cs="Cambria Math"/>
          <w:szCs w:val="24"/>
        </w:rPr>
        <w:t>𝜓</w:t>
      </w:r>
      <w:r w:rsidRPr="00CA1A43">
        <w:rPr>
          <w:rFonts w:eastAsia="標楷體" w:cstheme="minorHAnsi"/>
          <w:szCs w:val="24"/>
        </w:rPr>
        <w:t>(</w:t>
      </w:r>
      <w:r w:rsidRPr="00CA1A43">
        <w:rPr>
          <w:rFonts w:ascii="Cambria Math" w:eastAsia="標楷體" w:hAnsi="Cambria Math" w:cs="Cambria Math"/>
          <w:szCs w:val="24"/>
        </w:rPr>
        <w:t>𝑆</w:t>
      </w:r>
      <w:r w:rsidRPr="00CA1A43">
        <w:rPr>
          <w:rFonts w:ascii="Cambria Math" w:eastAsia="標楷體" w:hAnsi="Cambria Math" w:cs="Cambria Math"/>
          <w:szCs w:val="24"/>
          <w:vertAlign w:val="subscript"/>
        </w:rPr>
        <w:t>𝑏</w:t>
      </w:r>
      <w:r w:rsidRPr="00CA1A43">
        <w:rPr>
          <w:rFonts w:eastAsia="標楷體" w:cstheme="minorHAnsi"/>
          <w:szCs w:val="24"/>
        </w:rPr>
        <w:t xml:space="preserve">, </w:t>
      </w:r>
      <w:r w:rsidRPr="00CA1A43">
        <w:rPr>
          <w:rFonts w:ascii="Cambria Math" w:eastAsia="標楷體" w:hAnsi="Cambria Math" w:cs="Cambria Math"/>
          <w:szCs w:val="24"/>
        </w:rPr>
        <w:t>𝑆</w:t>
      </w:r>
      <w:r w:rsidRPr="00CA1A43">
        <w:rPr>
          <w:rFonts w:ascii="Cambria Math" w:eastAsia="標楷體" w:hAnsi="Cambria Math" w:cs="Cambria Math"/>
          <w:szCs w:val="24"/>
          <w:vertAlign w:val="subscript"/>
        </w:rPr>
        <w:t>𝑐</w:t>
      </w:r>
      <w:r w:rsidRPr="00CA1A43">
        <w:rPr>
          <w:rFonts w:eastAsia="標楷體" w:cstheme="minorHAnsi"/>
          <w:szCs w:val="24"/>
        </w:rPr>
        <w:t xml:space="preserve">) </w:t>
      </w:r>
      <w:r w:rsidRPr="00CA1A43">
        <w:rPr>
          <w:rFonts w:eastAsia="標楷體" w:cstheme="minorHAnsi"/>
        </w:rPr>
        <w:t>為</w:t>
      </w:r>
      <w:r w:rsidRPr="00CA1A43">
        <w:rPr>
          <w:rFonts w:eastAsia="標楷體" w:cstheme="minorHAnsi"/>
        </w:rPr>
        <w:t>0</w:t>
      </w:r>
      <w:r w:rsidRPr="00CA1A43">
        <w:rPr>
          <w:rFonts w:eastAsia="標楷體" w:cstheme="minorHAnsi"/>
        </w:rPr>
        <w:t>，否則為</w:t>
      </w:r>
      <w:r w:rsidRPr="00CA1A43">
        <w:rPr>
          <w:rFonts w:eastAsia="標楷體" w:cstheme="minorHAnsi"/>
        </w:rPr>
        <w:t>1</w:t>
      </w:r>
      <w:r w:rsidRPr="00CA1A43">
        <w:rPr>
          <w:rFonts w:eastAsia="標楷體" w:cstheme="minorHAnsi"/>
        </w:rPr>
        <w:t>。</w:t>
      </w:r>
    </w:p>
    <w:p w14:paraId="7F87BE07" w14:textId="77777777" w:rsidR="000E11DD" w:rsidRPr="00CA1A43" w:rsidRDefault="000E11DD"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敏感性基礎法下資本要求之加總</w:t>
      </w:r>
    </w:p>
    <w:p w14:paraId="159208DC" w14:textId="77777777" w:rsidR="000E11DD" w:rsidRPr="00CA1A43" w:rsidRDefault="000E11DD" w:rsidP="00605B1D">
      <w:pPr>
        <w:pStyle w:val="a7"/>
        <w:numPr>
          <w:ilvl w:val="0"/>
          <w:numId w:val="93"/>
        </w:numPr>
        <w:spacing w:beforeLines="50" w:before="180"/>
        <w:ind w:leftChars="0" w:left="964" w:hanging="482"/>
        <w:jc w:val="both"/>
        <w:rPr>
          <w:rFonts w:eastAsia="標楷體" w:cstheme="minorHAnsi"/>
          <w:szCs w:val="24"/>
        </w:rPr>
      </w:pPr>
      <w:r w:rsidRPr="00CA1A43">
        <w:rPr>
          <w:rFonts w:eastAsia="標楷體" w:cstheme="minorHAnsi"/>
          <w:szCs w:val="24"/>
        </w:rPr>
        <w:t>考量相關性在金融風暴期間可能增加或減少，必須依據本計算說明規定之三種不同情境所設定相應之相關係數</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eastAsia="標楷體" w:cstheme="minorHAnsi"/>
          <w:szCs w:val="24"/>
        </w:rPr>
        <w:t>(</w:t>
      </w:r>
      <w:r w:rsidRPr="00CA1A43">
        <w:rPr>
          <w:rFonts w:eastAsia="標楷體" w:cstheme="minorHAnsi"/>
          <w:szCs w:val="24"/>
        </w:rPr>
        <w:t>同一個組別下風險因子間之相關性</w:t>
      </w:r>
      <w:r w:rsidRPr="00CA1A43">
        <w:rPr>
          <w:rFonts w:eastAsia="標楷體" w:cstheme="minorHAnsi"/>
          <w:szCs w:val="24"/>
        </w:rPr>
        <w:t>)</w:t>
      </w:r>
      <w:r w:rsidRPr="00CA1A43">
        <w:rPr>
          <w:rFonts w:eastAsia="標楷體" w:cstheme="minorHAnsi"/>
          <w:szCs w:val="24"/>
        </w:rPr>
        <w:t>與</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rPr>
        <w:t>(</w:t>
      </w:r>
      <w:r w:rsidRPr="00CA1A43">
        <w:rPr>
          <w:rFonts w:eastAsia="標楷體" w:cstheme="minorHAnsi"/>
          <w:szCs w:val="24"/>
        </w:rPr>
        <w:t>同一個風險類別下跨組別之相關性</w:t>
      </w:r>
      <w:r w:rsidRPr="00CA1A43">
        <w:rPr>
          <w:rFonts w:eastAsia="標楷體" w:cstheme="minorHAnsi"/>
          <w:szCs w:val="24"/>
        </w:rPr>
        <w:t>)</w:t>
      </w:r>
      <w:r w:rsidRPr="00CA1A43">
        <w:rPr>
          <w:rFonts w:eastAsia="標楷體" w:cstheme="minorHAnsi"/>
          <w:szCs w:val="24"/>
        </w:rPr>
        <w:t>分別計算在每個風險類別的</w:t>
      </w:r>
      <w:r w:rsidRPr="00CA1A43">
        <w:rPr>
          <w:rFonts w:eastAsia="標楷體" w:cstheme="minorHAnsi"/>
          <w:szCs w:val="24"/>
        </w:rPr>
        <w:t>delta</w:t>
      </w:r>
      <w:r w:rsidRPr="00CA1A43">
        <w:rPr>
          <w:rFonts w:eastAsia="標楷體" w:cstheme="minorHAnsi"/>
          <w:szCs w:val="24"/>
        </w:rPr>
        <w:t>、</w:t>
      </w:r>
      <w:proofErr w:type="spellStart"/>
      <w:r w:rsidRPr="00CA1A43">
        <w:rPr>
          <w:rFonts w:eastAsia="標楷體" w:cstheme="minorHAnsi"/>
          <w:szCs w:val="24"/>
        </w:rPr>
        <w:t>vega</w:t>
      </w:r>
      <w:proofErr w:type="spellEnd"/>
      <w:r w:rsidRPr="00CA1A43">
        <w:rPr>
          <w:rFonts w:eastAsia="標楷體" w:cstheme="minorHAnsi"/>
          <w:szCs w:val="24"/>
        </w:rPr>
        <w:t>和</w:t>
      </w:r>
      <w:r w:rsidRPr="00CA1A43">
        <w:rPr>
          <w:rFonts w:eastAsia="標楷體" w:cstheme="minorHAnsi"/>
          <w:szCs w:val="24"/>
        </w:rPr>
        <w:t xml:space="preserve"> curvature</w:t>
      </w:r>
      <w:r w:rsidRPr="00CA1A43">
        <w:rPr>
          <w:rFonts w:eastAsia="標楷體" w:cstheme="minorHAnsi"/>
          <w:szCs w:val="24"/>
        </w:rPr>
        <w:t>風險之組別層級加總後的資本要求。</w:t>
      </w:r>
    </w:p>
    <w:p w14:paraId="1E6A8C35" w14:textId="77777777" w:rsidR="000E11DD" w:rsidRPr="00CA1A43" w:rsidRDefault="000E11DD" w:rsidP="00605B1D">
      <w:pPr>
        <w:pStyle w:val="a7"/>
        <w:numPr>
          <w:ilvl w:val="0"/>
          <w:numId w:val="94"/>
        </w:numPr>
        <w:spacing w:beforeLines="50" w:before="180"/>
        <w:ind w:leftChars="0" w:left="1446" w:hanging="482"/>
        <w:jc w:val="both"/>
        <w:rPr>
          <w:rFonts w:eastAsia="標楷體" w:cstheme="minorHAnsi"/>
          <w:szCs w:val="24"/>
        </w:rPr>
      </w:pPr>
      <w:r w:rsidRPr="00CA1A43">
        <w:rPr>
          <w:rFonts w:eastAsia="標楷體" w:cstheme="minorHAnsi"/>
          <w:szCs w:val="24"/>
        </w:rPr>
        <w:t>在</w:t>
      </w:r>
      <w:r w:rsidRPr="00CA1A43">
        <w:rPr>
          <w:rFonts w:eastAsia="標楷體" w:cstheme="minorHAnsi"/>
          <w:szCs w:val="24"/>
        </w:rPr>
        <w:t>“</w:t>
      </w:r>
      <w:r w:rsidRPr="00CA1A43">
        <w:rPr>
          <w:rFonts w:eastAsia="標楷體" w:cstheme="minorHAnsi"/>
          <w:szCs w:val="24"/>
        </w:rPr>
        <w:t>中度相關</w:t>
      </w:r>
      <w:r w:rsidRPr="00CA1A43">
        <w:rPr>
          <w:rFonts w:eastAsia="標楷體" w:cstheme="minorHAnsi"/>
          <w:szCs w:val="24"/>
        </w:rPr>
        <w:t>”</w:t>
      </w:r>
      <w:r w:rsidRPr="00CA1A43">
        <w:rPr>
          <w:rFonts w:eastAsia="標楷體" w:cstheme="minorHAnsi"/>
          <w:szCs w:val="24"/>
        </w:rPr>
        <w:t>情境下，適用本計算說明規定之相關係數</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eastAsia="標楷體" w:cstheme="minorHAnsi"/>
          <w:szCs w:val="24"/>
        </w:rPr>
        <w:t>和</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rPr>
        <w:t>。</w:t>
      </w:r>
    </w:p>
    <w:p w14:paraId="78918E24" w14:textId="77777777" w:rsidR="000E11DD" w:rsidRPr="00CA1A43" w:rsidRDefault="000E11DD" w:rsidP="00605B1D">
      <w:pPr>
        <w:pStyle w:val="a7"/>
        <w:numPr>
          <w:ilvl w:val="0"/>
          <w:numId w:val="94"/>
        </w:numPr>
        <w:spacing w:beforeLines="50" w:before="180"/>
        <w:ind w:leftChars="0" w:left="1446" w:hanging="482"/>
        <w:jc w:val="both"/>
        <w:rPr>
          <w:rFonts w:eastAsia="標楷體" w:cstheme="minorHAnsi"/>
          <w:szCs w:val="24"/>
        </w:rPr>
      </w:pPr>
      <w:r w:rsidRPr="00CA1A43">
        <w:rPr>
          <w:rFonts w:eastAsia="標楷體" w:cstheme="minorHAnsi"/>
          <w:szCs w:val="24"/>
        </w:rPr>
        <w:t>在</w:t>
      </w:r>
      <w:r w:rsidRPr="00CA1A43">
        <w:rPr>
          <w:rFonts w:eastAsia="標楷體" w:cstheme="minorHAnsi"/>
          <w:szCs w:val="24"/>
        </w:rPr>
        <w:t>“</w:t>
      </w:r>
      <w:r w:rsidRPr="00CA1A43">
        <w:rPr>
          <w:rFonts w:eastAsia="標楷體" w:cstheme="minorHAnsi"/>
          <w:szCs w:val="24"/>
        </w:rPr>
        <w:t>高度相關</w:t>
      </w:r>
      <w:r w:rsidRPr="00CA1A43">
        <w:rPr>
          <w:rFonts w:eastAsia="標楷體" w:cstheme="minorHAnsi"/>
          <w:szCs w:val="24"/>
        </w:rPr>
        <w:t>”</w:t>
      </w:r>
      <w:r w:rsidRPr="00CA1A43">
        <w:rPr>
          <w:rFonts w:eastAsia="標楷體" w:cstheme="minorHAnsi"/>
          <w:szCs w:val="24"/>
        </w:rPr>
        <w:t>情境下，適用本計算說明規定之相關係數</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eastAsia="標楷體" w:cstheme="minorHAnsi"/>
          <w:szCs w:val="24"/>
        </w:rPr>
        <w:t>和</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rPr>
        <w:t>均再乘以</w:t>
      </w:r>
      <w:r w:rsidRPr="00CA1A43">
        <w:rPr>
          <w:rFonts w:eastAsia="標楷體" w:cstheme="minorHAnsi"/>
          <w:szCs w:val="24"/>
        </w:rPr>
        <w:t>1.25</w:t>
      </w:r>
      <w:r w:rsidRPr="00CA1A43">
        <w:rPr>
          <w:rFonts w:eastAsia="標楷體" w:cstheme="minorHAnsi"/>
          <w:szCs w:val="24"/>
        </w:rPr>
        <w:t>，上限皆為</w:t>
      </w:r>
      <w:r w:rsidRPr="00CA1A43">
        <w:rPr>
          <w:rFonts w:eastAsia="標楷體" w:cstheme="minorHAnsi"/>
          <w:szCs w:val="24"/>
        </w:rPr>
        <w:t>100%</w:t>
      </w:r>
      <w:r w:rsidRPr="00CA1A43">
        <w:rPr>
          <w:rFonts w:eastAsia="標楷體" w:cstheme="minorHAnsi"/>
          <w:szCs w:val="24"/>
        </w:rPr>
        <w:t>。</w:t>
      </w:r>
    </w:p>
    <w:p w14:paraId="0306E076" w14:textId="77777777" w:rsidR="000E11DD" w:rsidRPr="00CA1A43" w:rsidRDefault="000E11DD" w:rsidP="00605B1D">
      <w:pPr>
        <w:pStyle w:val="a7"/>
        <w:numPr>
          <w:ilvl w:val="0"/>
          <w:numId w:val="94"/>
        </w:numPr>
        <w:spacing w:beforeLines="50" w:before="180"/>
        <w:ind w:leftChars="0" w:left="1446" w:hanging="482"/>
        <w:jc w:val="both"/>
        <w:rPr>
          <w:rFonts w:eastAsia="標楷體" w:cstheme="minorHAnsi"/>
          <w:szCs w:val="24"/>
        </w:rPr>
      </w:pPr>
      <w:r w:rsidRPr="00CA1A43">
        <w:rPr>
          <w:rFonts w:eastAsia="標楷體" w:cstheme="minorHAnsi"/>
          <w:szCs w:val="24"/>
        </w:rPr>
        <w:t>在</w:t>
      </w:r>
      <w:r w:rsidRPr="00CA1A43">
        <w:rPr>
          <w:rFonts w:eastAsia="標楷體" w:cstheme="minorHAnsi"/>
          <w:szCs w:val="24"/>
        </w:rPr>
        <w:t>“</w:t>
      </w:r>
      <w:r w:rsidRPr="00CA1A43">
        <w:rPr>
          <w:rFonts w:eastAsia="標楷體" w:cstheme="minorHAnsi"/>
          <w:szCs w:val="24"/>
        </w:rPr>
        <w:t>低度相關</w:t>
      </w:r>
      <w:r w:rsidRPr="00CA1A43">
        <w:rPr>
          <w:rFonts w:eastAsia="標楷體" w:cstheme="minorHAnsi"/>
          <w:szCs w:val="24"/>
        </w:rPr>
        <w:t>”</w:t>
      </w:r>
      <w:r w:rsidRPr="00CA1A43">
        <w:rPr>
          <w:rFonts w:eastAsia="標楷體" w:cstheme="minorHAnsi"/>
          <w:szCs w:val="24"/>
        </w:rPr>
        <w:t>情境下，適用</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ascii="Cambria Math" w:eastAsia="標楷體" w:hAnsi="Cambria Math" w:cs="Cambria Math"/>
          <w:szCs w:val="24"/>
          <w:vertAlign w:val="superscript"/>
        </w:rPr>
        <w:t>𝑙</w:t>
      </w:r>
      <w:r w:rsidRPr="00CA1A43">
        <w:rPr>
          <w:rFonts w:eastAsia="標楷體" w:cstheme="minorHAnsi"/>
          <w:szCs w:val="24"/>
          <w:vertAlign w:val="superscript"/>
        </w:rPr>
        <w:t>ow</w:t>
      </w:r>
      <w:r w:rsidRPr="00CA1A43">
        <w:rPr>
          <w:rFonts w:eastAsia="標楷體" w:cstheme="minorHAnsi"/>
          <w:szCs w:val="24"/>
        </w:rPr>
        <w:t>和</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ascii="Cambria Math" w:eastAsia="標楷體" w:hAnsi="Cambria Math" w:cs="Cambria Math"/>
          <w:szCs w:val="24"/>
          <w:vertAlign w:val="superscript"/>
        </w:rPr>
        <w:t>𝑙</w:t>
      </w:r>
      <w:r w:rsidRPr="00CA1A43">
        <w:rPr>
          <w:rFonts w:eastAsia="標楷體" w:cstheme="minorHAnsi"/>
          <w:szCs w:val="24"/>
          <w:vertAlign w:val="superscript"/>
        </w:rPr>
        <w:t>ow</w:t>
      </w:r>
      <w:r w:rsidRPr="00CA1A43">
        <w:rPr>
          <w:rFonts w:eastAsia="標楷體" w:cstheme="minorHAnsi"/>
          <w:szCs w:val="24"/>
        </w:rPr>
        <w:t>，即調整本計算說明規定之相關係數</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eastAsia="標楷體" w:cstheme="minorHAnsi"/>
          <w:szCs w:val="24"/>
        </w:rPr>
        <w:t>和</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rPr>
        <w:t>如下：</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ascii="Cambria Math" w:eastAsia="標楷體" w:hAnsi="Cambria Math" w:cs="Cambria Math"/>
          <w:szCs w:val="24"/>
          <w:vertAlign w:val="superscript"/>
        </w:rPr>
        <w:t>𝑙</w:t>
      </w:r>
      <w:r w:rsidRPr="00CA1A43">
        <w:rPr>
          <w:rFonts w:eastAsia="標楷體" w:cstheme="minorHAnsi"/>
          <w:szCs w:val="24"/>
          <w:vertAlign w:val="superscript"/>
        </w:rPr>
        <w:t>ow</w:t>
      </w:r>
      <w:r w:rsidRPr="00CA1A43">
        <w:rPr>
          <w:rFonts w:eastAsia="標楷體" w:cstheme="minorHAnsi"/>
          <w:szCs w:val="24"/>
        </w:rPr>
        <w:t>=max(2×</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eastAsia="MS Gothic" w:cstheme="minorHAnsi"/>
          <w:szCs w:val="24"/>
        </w:rPr>
        <w:t>−</w:t>
      </w:r>
      <w:r w:rsidRPr="00CA1A43">
        <w:rPr>
          <w:rFonts w:eastAsia="標楷體" w:cstheme="minorHAnsi"/>
          <w:szCs w:val="24"/>
        </w:rPr>
        <w:t>100%</w:t>
      </w:r>
      <w:r w:rsidRPr="00CA1A43">
        <w:rPr>
          <w:rFonts w:eastAsia="標楷體" w:cstheme="minorHAnsi"/>
          <w:szCs w:val="24"/>
        </w:rPr>
        <w:t>；</w:t>
      </w:r>
      <w:r w:rsidRPr="00CA1A43">
        <w:rPr>
          <w:rFonts w:eastAsia="標楷體" w:cstheme="minorHAnsi"/>
          <w:szCs w:val="24"/>
        </w:rPr>
        <w:t>75%×</w:t>
      </w:r>
      <w:r w:rsidRPr="00CA1A43">
        <w:rPr>
          <w:rFonts w:ascii="Cambria Math" w:eastAsia="標楷體" w:hAnsi="Cambria Math" w:cs="Cambria Math"/>
          <w:szCs w:val="24"/>
        </w:rPr>
        <w:t>𝜌</w:t>
      </w:r>
      <w:r w:rsidRPr="00CA1A43">
        <w:rPr>
          <w:rFonts w:ascii="Cambria Math" w:eastAsia="標楷體" w:hAnsi="Cambria Math" w:cs="Cambria Math"/>
          <w:szCs w:val="24"/>
          <w:vertAlign w:val="subscript"/>
        </w:rPr>
        <w:t>𝑘𝑙</w:t>
      </w:r>
      <w:r w:rsidRPr="00CA1A43">
        <w:rPr>
          <w:rFonts w:eastAsia="標楷體" w:cstheme="minorHAnsi"/>
          <w:szCs w:val="24"/>
        </w:rPr>
        <w:t>)</w:t>
      </w:r>
      <w:r w:rsidRPr="00CA1A43">
        <w:rPr>
          <w:rFonts w:eastAsia="標楷體" w:cstheme="minorHAnsi"/>
          <w:szCs w:val="24"/>
        </w:rPr>
        <w:t>和</w:t>
      </w:r>
      <w:r w:rsidRPr="00CA1A43">
        <w:rPr>
          <w:rFonts w:eastAsia="標楷體" w:cstheme="minorHAnsi"/>
          <w:szCs w:val="24"/>
        </w:rPr>
        <w:t xml:space="preserve"> </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ascii="Cambria Math" w:eastAsia="標楷體" w:hAnsi="Cambria Math" w:cs="Cambria Math"/>
          <w:szCs w:val="24"/>
          <w:vertAlign w:val="superscript"/>
        </w:rPr>
        <w:t>𝑙</w:t>
      </w:r>
      <w:r w:rsidRPr="00CA1A43">
        <w:rPr>
          <w:rFonts w:eastAsia="標楷體" w:cstheme="minorHAnsi"/>
          <w:szCs w:val="24"/>
          <w:vertAlign w:val="superscript"/>
        </w:rPr>
        <w:t>ow</w:t>
      </w:r>
      <w:r w:rsidRPr="00CA1A43">
        <w:rPr>
          <w:rFonts w:eastAsia="標楷體" w:cstheme="minorHAnsi"/>
          <w:szCs w:val="24"/>
        </w:rPr>
        <w:t xml:space="preserve">=max(2× </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MS Gothic" w:cstheme="minorHAnsi"/>
          <w:szCs w:val="24"/>
        </w:rPr>
        <w:t>−</w:t>
      </w:r>
      <w:r w:rsidRPr="00CA1A43">
        <w:rPr>
          <w:rFonts w:eastAsia="標楷體" w:cstheme="minorHAnsi"/>
          <w:szCs w:val="24"/>
        </w:rPr>
        <w:t>100%</w:t>
      </w:r>
      <w:r w:rsidRPr="00CA1A43">
        <w:rPr>
          <w:rFonts w:eastAsia="標楷體" w:cstheme="minorHAnsi"/>
          <w:szCs w:val="24"/>
        </w:rPr>
        <w:t>；</w:t>
      </w:r>
      <w:r w:rsidRPr="00CA1A43">
        <w:rPr>
          <w:rFonts w:eastAsia="標楷體" w:cstheme="minorHAnsi"/>
          <w:szCs w:val="24"/>
        </w:rPr>
        <w:t xml:space="preserve">75%× </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rPr>
        <w:t>)</w:t>
      </w:r>
      <w:r w:rsidRPr="00CA1A43">
        <w:rPr>
          <w:rFonts w:eastAsia="標楷體" w:cstheme="minorHAnsi"/>
          <w:szCs w:val="24"/>
        </w:rPr>
        <w:t>。</w:t>
      </w:r>
    </w:p>
    <w:p w14:paraId="39DDB934" w14:textId="77777777" w:rsidR="000E11DD" w:rsidRPr="00CA1A43" w:rsidRDefault="000E11DD" w:rsidP="00605B1D">
      <w:pPr>
        <w:pStyle w:val="a7"/>
        <w:numPr>
          <w:ilvl w:val="0"/>
          <w:numId w:val="93"/>
        </w:numPr>
        <w:spacing w:beforeLines="50" w:before="180"/>
        <w:ind w:leftChars="0" w:left="964" w:hanging="482"/>
        <w:jc w:val="both"/>
        <w:rPr>
          <w:rFonts w:eastAsia="標楷體" w:cstheme="minorHAnsi"/>
          <w:szCs w:val="24"/>
        </w:rPr>
      </w:pPr>
      <w:r w:rsidRPr="00CA1A43">
        <w:rPr>
          <w:rFonts w:eastAsia="標楷體" w:cstheme="minorHAnsi"/>
          <w:szCs w:val="24"/>
        </w:rPr>
        <w:t>在敏感性基礎法下，總資本要求係依以下方式加總：</w:t>
      </w:r>
    </w:p>
    <w:p w14:paraId="0A16CB6D" w14:textId="77777777" w:rsidR="000E11DD" w:rsidRPr="00CA1A43" w:rsidRDefault="000E11DD" w:rsidP="00605B1D">
      <w:pPr>
        <w:pStyle w:val="a7"/>
        <w:numPr>
          <w:ilvl w:val="0"/>
          <w:numId w:val="95"/>
        </w:numPr>
        <w:spacing w:beforeLines="50" w:before="180"/>
        <w:ind w:leftChars="0" w:left="1446" w:hanging="482"/>
        <w:jc w:val="both"/>
        <w:rPr>
          <w:rFonts w:eastAsia="標楷體" w:cstheme="minorHAnsi"/>
          <w:szCs w:val="24"/>
        </w:rPr>
      </w:pPr>
      <w:r w:rsidRPr="00CA1A43">
        <w:rPr>
          <w:rFonts w:eastAsia="標楷體" w:cstheme="minorHAnsi"/>
          <w:szCs w:val="24"/>
        </w:rPr>
        <w:t>對於三種相關情境，銀行必須分別簡單</w:t>
      </w:r>
      <w:proofErr w:type="gramStart"/>
      <w:r w:rsidRPr="00CA1A43">
        <w:rPr>
          <w:rFonts w:eastAsia="標楷體" w:cstheme="minorHAnsi"/>
          <w:szCs w:val="24"/>
        </w:rPr>
        <w:t>加總依所有</w:t>
      </w:r>
      <w:proofErr w:type="gramEnd"/>
      <w:r w:rsidRPr="00CA1A43">
        <w:rPr>
          <w:rFonts w:eastAsia="標楷體" w:cstheme="minorHAnsi"/>
          <w:szCs w:val="24"/>
        </w:rPr>
        <w:t>風險類別所計算之</w:t>
      </w:r>
      <w:r w:rsidRPr="00CA1A43">
        <w:rPr>
          <w:rFonts w:eastAsia="標楷體" w:cstheme="minorHAnsi"/>
          <w:szCs w:val="24"/>
        </w:rPr>
        <w:t>delta</w:t>
      </w:r>
      <w:r w:rsidRPr="00CA1A43">
        <w:rPr>
          <w:rFonts w:eastAsia="標楷體" w:cstheme="minorHAnsi"/>
          <w:szCs w:val="24"/>
        </w:rPr>
        <w:t>、</w:t>
      </w:r>
      <w:proofErr w:type="spellStart"/>
      <w:r w:rsidRPr="00CA1A43">
        <w:rPr>
          <w:rFonts w:eastAsia="標楷體" w:cstheme="minorHAnsi"/>
          <w:szCs w:val="24"/>
        </w:rPr>
        <w:t>vega</w:t>
      </w:r>
      <w:proofErr w:type="spellEnd"/>
      <w:r w:rsidRPr="00CA1A43">
        <w:rPr>
          <w:rFonts w:eastAsia="標楷體" w:cstheme="minorHAnsi"/>
          <w:szCs w:val="24"/>
        </w:rPr>
        <w:t xml:space="preserve"> </w:t>
      </w:r>
      <w:r w:rsidRPr="00CA1A43">
        <w:rPr>
          <w:rFonts w:eastAsia="標楷體" w:cstheme="minorHAnsi"/>
          <w:szCs w:val="24"/>
        </w:rPr>
        <w:t>和</w:t>
      </w:r>
      <w:r w:rsidRPr="00CA1A43">
        <w:rPr>
          <w:rFonts w:eastAsia="標楷體" w:cstheme="minorHAnsi"/>
          <w:szCs w:val="24"/>
        </w:rPr>
        <w:t xml:space="preserve"> curvature</w:t>
      </w:r>
      <w:r w:rsidRPr="00CA1A43">
        <w:rPr>
          <w:rFonts w:eastAsia="標楷體" w:cstheme="minorHAnsi"/>
          <w:szCs w:val="24"/>
        </w:rPr>
        <w:t>資本要求，以衡量各情境之總資本要求。</w:t>
      </w:r>
    </w:p>
    <w:p w14:paraId="2786BC50" w14:textId="77777777" w:rsidR="00E850EC" w:rsidRPr="00CA1A43" w:rsidRDefault="000E11DD" w:rsidP="00605B1D">
      <w:pPr>
        <w:pStyle w:val="a7"/>
        <w:numPr>
          <w:ilvl w:val="0"/>
          <w:numId w:val="95"/>
        </w:numPr>
        <w:spacing w:beforeLines="50" w:before="180"/>
        <w:ind w:leftChars="0" w:left="1446" w:hanging="482"/>
        <w:jc w:val="both"/>
        <w:rPr>
          <w:rFonts w:eastAsia="標楷體" w:cstheme="minorHAnsi"/>
        </w:rPr>
      </w:pPr>
      <w:r w:rsidRPr="00CA1A43">
        <w:rPr>
          <w:rFonts w:eastAsia="標楷體" w:cstheme="minorHAnsi"/>
          <w:szCs w:val="24"/>
        </w:rPr>
        <w:t>敏感性基礎法的資本要求為此三種情境之最大值。獲准採用內部模型法之交易台，仍需依照標準法計算資本要求時，且應將各交易台視為個別獨立投資組合各自獨立計算資本要求，即在每</w:t>
      </w:r>
      <w:proofErr w:type="gramStart"/>
      <w:r w:rsidRPr="00CA1A43">
        <w:rPr>
          <w:rFonts w:eastAsia="標楷體" w:cstheme="minorHAnsi"/>
          <w:szCs w:val="24"/>
        </w:rPr>
        <w:t>個</w:t>
      </w:r>
      <w:proofErr w:type="gramEnd"/>
      <w:r w:rsidRPr="00CA1A43">
        <w:rPr>
          <w:rFonts w:eastAsia="標楷體" w:cstheme="minorHAnsi"/>
          <w:szCs w:val="24"/>
        </w:rPr>
        <w:t>交易台計算三種相關情境下的資本要求，並取每</w:t>
      </w:r>
      <w:proofErr w:type="gramStart"/>
      <w:r w:rsidRPr="00CA1A43">
        <w:rPr>
          <w:rFonts w:eastAsia="標楷體" w:cstheme="minorHAnsi"/>
          <w:szCs w:val="24"/>
        </w:rPr>
        <w:t>個</w:t>
      </w:r>
      <w:proofErr w:type="gramEnd"/>
      <w:r w:rsidRPr="00CA1A43">
        <w:rPr>
          <w:rFonts w:eastAsia="標楷體" w:cstheme="minorHAnsi"/>
          <w:szCs w:val="24"/>
        </w:rPr>
        <w:t>交易台的最大值作為資本要求。</w:t>
      </w:r>
    </w:p>
    <w:p w14:paraId="76F306E0" w14:textId="46CCCA96" w:rsidR="005C3BE7" w:rsidRPr="00CA1A43" w:rsidRDefault="005C3BE7"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指數型</w:t>
      </w:r>
      <w:r w:rsidR="009653EE" w:rsidRPr="00C160D7">
        <w:rPr>
          <w:rFonts w:eastAsia="標楷體" w:cstheme="minorHAnsi"/>
        </w:rPr>
        <w:t>工具</w:t>
      </w:r>
      <w:r w:rsidRPr="00CA1A43">
        <w:rPr>
          <w:rFonts w:eastAsia="標楷體" w:cstheme="minorHAnsi"/>
        </w:rPr>
        <w:t>與多重標的資產選擇權的處理</w:t>
      </w:r>
    </w:p>
    <w:p w14:paraId="645BB9F5" w14:textId="6F939E62" w:rsidR="005C3BE7" w:rsidRPr="00CA1A43" w:rsidRDefault="005C3BE7" w:rsidP="00605B1D">
      <w:pPr>
        <w:pStyle w:val="a7"/>
        <w:numPr>
          <w:ilvl w:val="0"/>
          <w:numId w:val="96"/>
        </w:numPr>
        <w:spacing w:beforeLines="50" w:before="180"/>
        <w:ind w:leftChars="0" w:left="964" w:hanging="482"/>
        <w:jc w:val="both"/>
        <w:rPr>
          <w:rFonts w:eastAsia="標楷體" w:cstheme="minorHAnsi"/>
          <w:szCs w:val="24"/>
        </w:rPr>
      </w:pPr>
      <w:r w:rsidRPr="00CA1A43">
        <w:rPr>
          <w:rFonts w:eastAsia="標楷體" w:cstheme="minorHAnsi"/>
          <w:szCs w:val="24"/>
        </w:rPr>
        <w:t>在</w:t>
      </w:r>
      <w:r w:rsidRPr="00CA1A43">
        <w:rPr>
          <w:rFonts w:eastAsia="標楷體" w:cstheme="minorHAnsi"/>
          <w:szCs w:val="24"/>
        </w:rPr>
        <w:t>delta</w:t>
      </w:r>
      <w:r w:rsidRPr="00CA1A43">
        <w:rPr>
          <w:rFonts w:eastAsia="標楷體" w:cstheme="minorHAnsi"/>
          <w:szCs w:val="24"/>
        </w:rPr>
        <w:t>和</w:t>
      </w:r>
      <w:r w:rsidRPr="00CA1A43">
        <w:rPr>
          <w:rFonts w:eastAsia="標楷體" w:cstheme="minorHAnsi"/>
          <w:szCs w:val="24"/>
        </w:rPr>
        <w:t>curvature</w:t>
      </w:r>
      <w:r w:rsidRPr="00CA1A43">
        <w:rPr>
          <w:rFonts w:eastAsia="標楷體" w:cstheme="minorHAnsi"/>
          <w:szCs w:val="24"/>
        </w:rPr>
        <w:t>風險部份應使用拆解法</w:t>
      </w:r>
      <w:r w:rsidRPr="00CA1A43">
        <w:rPr>
          <w:rFonts w:eastAsia="標楷體" w:cstheme="minorHAnsi"/>
          <w:szCs w:val="24"/>
        </w:rPr>
        <w:t>(look-through)</w:t>
      </w:r>
      <w:r w:rsidRPr="00CA1A43">
        <w:rPr>
          <w:rFonts w:eastAsia="標楷體" w:cstheme="minorHAnsi"/>
          <w:szCs w:val="24"/>
        </w:rPr>
        <w:t>。除下列情況，銀行對連結任何上市、市場所認可並接受的權益證券或信用指數之</w:t>
      </w:r>
      <w:r w:rsidR="009653EE" w:rsidRPr="00C160D7">
        <w:rPr>
          <w:rFonts w:eastAsia="標楷體" w:cstheme="minorHAnsi"/>
          <w:szCs w:val="24"/>
        </w:rPr>
        <w:t>工具</w:t>
      </w:r>
      <w:r w:rsidRPr="00CA1A43">
        <w:rPr>
          <w:rFonts w:eastAsia="標楷體" w:cstheme="minorHAnsi"/>
          <w:szCs w:val="24"/>
        </w:rPr>
        <w:t>可選擇不採用拆解法，惟無論是否採用拆解法，用於計算</w:t>
      </w:r>
      <w:r w:rsidRPr="00CA1A43">
        <w:rPr>
          <w:rFonts w:eastAsia="標楷體" w:cstheme="minorHAnsi"/>
          <w:szCs w:val="24"/>
        </w:rPr>
        <w:t>delta</w:t>
      </w:r>
      <w:r w:rsidRPr="00CA1A43">
        <w:rPr>
          <w:rFonts w:eastAsia="標楷體" w:cstheme="minorHAnsi"/>
          <w:szCs w:val="24"/>
        </w:rPr>
        <w:t>和</w:t>
      </w:r>
      <w:r w:rsidRPr="00CA1A43">
        <w:rPr>
          <w:rFonts w:eastAsia="標楷體" w:cstheme="minorHAnsi"/>
          <w:szCs w:val="24"/>
        </w:rPr>
        <w:t xml:space="preserve"> curvature</w:t>
      </w:r>
      <w:r w:rsidRPr="00CA1A43">
        <w:rPr>
          <w:rFonts w:eastAsia="標楷體" w:cstheme="minorHAnsi"/>
          <w:szCs w:val="24"/>
        </w:rPr>
        <w:t>風險敏感性部位之參數必須一致：</w:t>
      </w:r>
    </w:p>
    <w:p w14:paraId="2DF9CC23" w14:textId="77777777" w:rsidR="005C3BE7" w:rsidRPr="00CA1A43" w:rsidRDefault="005C3BE7" w:rsidP="00605B1D">
      <w:pPr>
        <w:pStyle w:val="a7"/>
        <w:numPr>
          <w:ilvl w:val="0"/>
          <w:numId w:val="97"/>
        </w:numPr>
        <w:spacing w:beforeLines="50" w:before="180"/>
        <w:ind w:leftChars="0" w:left="1446" w:hanging="482"/>
        <w:jc w:val="both"/>
        <w:rPr>
          <w:rFonts w:eastAsia="標楷體" w:cstheme="minorHAnsi"/>
          <w:szCs w:val="24"/>
        </w:rPr>
      </w:pPr>
      <w:r w:rsidRPr="00CA1A43">
        <w:rPr>
          <w:rFonts w:eastAsia="標楷體" w:cstheme="minorHAnsi"/>
          <w:szCs w:val="24"/>
        </w:rPr>
        <w:t>可以拆解的指數</w:t>
      </w:r>
      <w:r w:rsidRPr="00CA1A43">
        <w:rPr>
          <w:rFonts w:eastAsia="標楷體" w:cstheme="minorHAnsi"/>
          <w:szCs w:val="24"/>
        </w:rPr>
        <w:t>(</w:t>
      </w:r>
      <w:r w:rsidRPr="00CA1A43">
        <w:rPr>
          <w:rFonts w:eastAsia="標楷體" w:cstheme="minorHAnsi"/>
          <w:szCs w:val="24"/>
        </w:rPr>
        <w:t>組成標的及其權重已知</w:t>
      </w:r>
      <w:r w:rsidRPr="00CA1A43">
        <w:rPr>
          <w:rFonts w:eastAsia="標楷體" w:cstheme="minorHAnsi"/>
          <w:szCs w:val="24"/>
        </w:rPr>
        <w:t>)</w:t>
      </w:r>
      <w:r w:rsidRPr="00CA1A43">
        <w:rPr>
          <w:rFonts w:eastAsia="標楷體" w:cstheme="minorHAnsi"/>
          <w:szCs w:val="24"/>
        </w:rPr>
        <w:t>；</w:t>
      </w:r>
    </w:p>
    <w:p w14:paraId="63193647" w14:textId="77777777" w:rsidR="005C3BE7" w:rsidRPr="00CA1A43" w:rsidRDefault="005C3BE7" w:rsidP="00605B1D">
      <w:pPr>
        <w:pStyle w:val="a7"/>
        <w:numPr>
          <w:ilvl w:val="0"/>
          <w:numId w:val="97"/>
        </w:numPr>
        <w:spacing w:beforeLines="50" w:before="180"/>
        <w:ind w:leftChars="0" w:left="1446" w:hanging="482"/>
        <w:jc w:val="both"/>
        <w:rPr>
          <w:rFonts w:eastAsia="標楷體" w:cstheme="minorHAnsi"/>
          <w:szCs w:val="24"/>
        </w:rPr>
      </w:pPr>
      <w:r w:rsidRPr="00CA1A43">
        <w:rPr>
          <w:rFonts w:eastAsia="標楷體" w:cstheme="minorHAnsi"/>
          <w:szCs w:val="24"/>
        </w:rPr>
        <w:t>該指數包含至少</w:t>
      </w:r>
      <w:r w:rsidRPr="00CA1A43">
        <w:rPr>
          <w:rFonts w:eastAsia="標楷體" w:cstheme="minorHAnsi"/>
          <w:szCs w:val="24"/>
        </w:rPr>
        <w:t>20</w:t>
      </w:r>
      <w:r w:rsidRPr="00CA1A43">
        <w:rPr>
          <w:rFonts w:eastAsia="標楷體" w:cstheme="minorHAnsi"/>
          <w:szCs w:val="24"/>
        </w:rPr>
        <w:t>個組成標的；</w:t>
      </w:r>
    </w:p>
    <w:p w14:paraId="59441A48" w14:textId="77777777" w:rsidR="005C3BE7" w:rsidRPr="00CA1A43" w:rsidRDefault="005C3BE7" w:rsidP="00605B1D">
      <w:pPr>
        <w:pStyle w:val="a7"/>
        <w:numPr>
          <w:ilvl w:val="0"/>
          <w:numId w:val="97"/>
        </w:numPr>
        <w:spacing w:beforeLines="50" w:before="180"/>
        <w:ind w:leftChars="0" w:left="1446" w:hanging="482"/>
        <w:jc w:val="both"/>
        <w:rPr>
          <w:rFonts w:eastAsia="標楷體" w:cstheme="minorHAnsi"/>
          <w:szCs w:val="24"/>
        </w:rPr>
      </w:pPr>
      <w:r w:rsidRPr="00CA1A43">
        <w:rPr>
          <w:rFonts w:eastAsia="標楷體" w:cstheme="minorHAnsi"/>
          <w:szCs w:val="24"/>
        </w:rPr>
        <w:t>該指數所含單一組成標的不超過該指數的</w:t>
      </w:r>
      <w:r w:rsidRPr="00CA1A43">
        <w:rPr>
          <w:rFonts w:eastAsia="標楷體" w:cstheme="minorHAnsi"/>
          <w:szCs w:val="24"/>
        </w:rPr>
        <w:t>25%</w:t>
      </w:r>
      <w:r w:rsidRPr="00CA1A43">
        <w:rPr>
          <w:rFonts w:eastAsia="標楷體" w:cstheme="minorHAnsi"/>
          <w:szCs w:val="24"/>
        </w:rPr>
        <w:t>；</w:t>
      </w:r>
    </w:p>
    <w:p w14:paraId="24B129DA" w14:textId="77777777" w:rsidR="005C3BE7" w:rsidRPr="00CA1A43" w:rsidRDefault="005C3BE7" w:rsidP="00605B1D">
      <w:pPr>
        <w:pStyle w:val="a7"/>
        <w:numPr>
          <w:ilvl w:val="0"/>
          <w:numId w:val="97"/>
        </w:numPr>
        <w:spacing w:beforeLines="50" w:before="180"/>
        <w:ind w:leftChars="0" w:left="1446" w:hanging="482"/>
        <w:jc w:val="both"/>
        <w:rPr>
          <w:rFonts w:eastAsia="標楷體" w:cstheme="minorHAnsi"/>
          <w:szCs w:val="24"/>
        </w:rPr>
      </w:pPr>
      <w:r w:rsidRPr="00CA1A43">
        <w:rPr>
          <w:rFonts w:eastAsia="標楷體" w:cstheme="minorHAnsi"/>
          <w:szCs w:val="24"/>
        </w:rPr>
        <w:t>最大</w:t>
      </w:r>
      <w:r w:rsidRPr="00CA1A43">
        <w:rPr>
          <w:rFonts w:eastAsia="標楷體" w:cstheme="minorHAnsi"/>
          <w:szCs w:val="24"/>
        </w:rPr>
        <w:t>10%</w:t>
      </w:r>
      <w:r w:rsidRPr="00CA1A43">
        <w:rPr>
          <w:rFonts w:eastAsia="標楷體" w:cstheme="minorHAnsi"/>
          <w:szCs w:val="24"/>
        </w:rPr>
        <w:t>的組成標的占總指數的比重低於</w:t>
      </w:r>
      <w:r w:rsidRPr="00CA1A43">
        <w:rPr>
          <w:rFonts w:eastAsia="標楷體" w:cstheme="minorHAnsi"/>
          <w:szCs w:val="24"/>
        </w:rPr>
        <w:t>60%</w:t>
      </w:r>
      <w:r w:rsidRPr="00CA1A43">
        <w:rPr>
          <w:rFonts w:eastAsia="標楷體" w:cstheme="minorHAnsi"/>
          <w:szCs w:val="24"/>
        </w:rPr>
        <w:t>；和</w:t>
      </w:r>
    </w:p>
    <w:p w14:paraId="3B9F670A" w14:textId="77777777" w:rsidR="005C3BE7" w:rsidRPr="00CA1A43" w:rsidRDefault="005C3BE7" w:rsidP="00605B1D">
      <w:pPr>
        <w:pStyle w:val="a7"/>
        <w:numPr>
          <w:ilvl w:val="0"/>
          <w:numId w:val="97"/>
        </w:numPr>
        <w:spacing w:beforeLines="50" w:before="180"/>
        <w:ind w:leftChars="0" w:left="1446" w:hanging="482"/>
        <w:jc w:val="both"/>
        <w:rPr>
          <w:rFonts w:eastAsia="標楷體" w:cstheme="minorHAnsi"/>
          <w:szCs w:val="24"/>
        </w:rPr>
      </w:pPr>
      <w:r w:rsidRPr="00CA1A43">
        <w:rPr>
          <w:rFonts w:eastAsia="標楷體" w:cstheme="minorHAnsi"/>
          <w:szCs w:val="24"/>
        </w:rPr>
        <w:lastRenderedPageBreak/>
        <w:t>該指數所有組成標的</w:t>
      </w:r>
      <w:proofErr w:type="gramStart"/>
      <w:r w:rsidRPr="00CA1A43">
        <w:rPr>
          <w:rFonts w:eastAsia="標楷體" w:cstheme="minorHAnsi"/>
          <w:szCs w:val="24"/>
        </w:rPr>
        <w:t>的</w:t>
      </w:r>
      <w:proofErr w:type="gramEnd"/>
      <w:r w:rsidRPr="00CA1A43">
        <w:rPr>
          <w:rFonts w:eastAsia="標楷體" w:cstheme="minorHAnsi"/>
          <w:szCs w:val="24"/>
        </w:rPr>
        <w:t>總市值不低於</w:t>
      </w:r>
      <w:r w:rsidRPr="00CA1A43">
        <w:rPr>
          <w:rFonts w:eastAsia="標楷體" w:cstheme="minorHAnsi"/>
          <w:szCs w:val="24"/>
        </w:rPr>
        <w:t>400</w:t>
      </w:r>
      <w:r w:rsidRPr="00CA1A43">
        <w:rPr>
          <w:rFonts w:eastAsia="標楷體" w:cstheme="minorHAnsi"/>
          <w:szCs w:val="24"/>
        </w:rPr>
        <w:t>億美元。</w:t>
      </w:r>
    </w:p>
    <w:p w14:paraId="6D40B21D" w14:textId="172F5E4F" w:rsidR="005C3BE7" w:rsidRPr="00CA1A43" w:rsidRDefault="005C3BE7" w:rsidP="00605B1D">
      <w:pPr>
        <w:pStyle w:val="a7"/>
        <w:numPr>
          <w:ilvl w:val="0"/>
          <w:numId w:val="96"/>
        </w:numPr>
        <w:spacing w:beforeLines="50" w:before="180"/>
        <w:ind w:leftChars="0" w:left="964" w:hanging="482"/>
        <w:jc w:val="both"/>
        <w:rPr>
          <w:rFonts w:eastAsia="標楷體" w:cstheme="minorHAnsi"/>
          <w:szCs w:val="24"/>
        </w:rPr>
      </w:pPr>
      <w:r w:rsidRPr="00CA1A43">
        <w:rPr>
          <w:rFonts w:eastAsia="標楷體" w:cstheme="minorHAnsi"/>
          <w:szCs w:val="24"/>
        </w:rPr>
        <w:t>當銀行依第一點之規定不採用拆解法，則該</w:t>
      </w:r>
      <w:r w:rsidR="009653EE" w:rsidRPr="00931E45">
        <w:rPr>
          <w:rFonts w:eastAsia="標楷體" w:cstheme="minorHAnsi"/>
          <w:szCs w:val="24"/>
        </w:rPr>
        <w:t>工具</w:t>
      </w:r>
      <w:r w:rsidRPr="00931E45">
        <w:rPr>
          <w:rFonts w:eastAsia="標楷體" w:cstheme="minorHAnsi"/>
          <w:szCs w:val="24"/>
        </w:rPr>
        <w:t>所連</w:t>
      </w:r>
      <w:r w:rsidRPr="00CA1A43">
        <w:rPr>
          <w:rFonts w:eastAsia="標楷體" w:cstheme="minorHAnsi"/>
          <w:szCs w:val="24"/>
        </w:rPr>
        <w:t>結每一個市場所接受並認可的指數，都應計算其單一敏感性部位。該指數的敏感性部位應分類至相關</w:t>
      </w:r>
      <w:r w:rsidRPr="00CA1A43">
        <w:rPr>
          <w:rFonts w:eastAsia="標楷體" w:cstheme="minorHAnsi"/>
          <w:szCs w:val="24"/>
        </w:rPr>
        <w:t>delta</w:t>
      </w:r>
      <w:r w:rsidRPr="00CA1A43">
        <w:rPr>
          <w:rFonts w:eastAsia="標楷體" w:cstheme="minorHAnsi"/>
          <w:szCs w:val="24"/>
        </w:rPr>
        <w:t>風險組別如下：</w:t>
      </w:r>
    </w:p>
    <w:p w14:paraId="65FDE750" w14:textId="2B95E1BF" w:rsidR="005C3BE7" w:rsidRPr="00CA1A43" w:rsidRDefault="005C3BE7" w:rsidP="00605B1D">
      <w:pPr>
        <w:pStyle w:val="a7"/>
        <w:numPr>
          <w:ilvl w:val="0"/>
          <w:numId w:val="98"/>
        </w:numPr>
        <w:spacing w:beforeLines="50" w:before="180"/>
        <w:ind w:leftChars="0" w:left="1446" w:hanging="482"/>
        <w:jc w:val="both"/>
        <w:rPr>
          <w:rFonts w:eastAsia="標楷體" w:cstheme="minorHAnsi"/>
          <w:szCs w:val="24"/>
        </w:rPr>
      </w:pPr>
      <w:r w:rsidRPr="00CA1A43">
        <w:rPr>
          <w:rFonts w:eastAsia="標楷體" w:cstheme="minorHAnsi"/>
          <w:szCs w:val="24"/>
        </w:rPr>
        <w:t>當該指數超過</w:t>
      </w:r>
      <w:r w:rsidRPr="00CA1A43">
        <w:rPr>
          <w:rFonts w:eastAsia="標楷體" w:cstheme="minorHAnsi"/>
          <w:szCs w:val="24"/>
        </w:rPr>
        <w:t>75%</w:t>
      </w:r>
      <w:r w:rsidRPr="00CA1A43">
        <w:rPr>
          <w:rFonts w:eastAsia="標楷體" w:cstheme="minorHAnsi"/>
          <w:szCs w:val="24"/>
        </w:rPr>
        <w:t>的組成標的</w:t>
      </w:r>
      <w:r w:rsidRPr="00CA1A43">
        <w:rPr>
          <w:rFonts w:eastAsia="標楷體" w:cstheme="minorHAnsi"/>
          <w:szCs w:val="24"/>
        </w:rPr>
        <w:t>(</w:t>
      </w:r>
      <w:r w:rsidRPr="00CA1A43">
        <w:rPr>
          <w:rFonts w:eastAsia="標楷體" w:cstheme="minorHAnsi"/>
          <w:szCs w:val="24"/>
        </w:rPr>
        <w:t>考慮到該指數的權重</w:t>
      </w:r>
      <w:r w:rsidRPr="00CA1A43">
        <w:rPr>
          <w:rFonts w:eastAsia="標楷體" w:cstheme="minorHAnsi"/>
          <w:szCs w:val="24"/>
        </w:rPr>
        <w:t>)</w:t>
      </w:r>
      <w:r w:rsidRPr="00CA1A43">
        <w:rPr>
          <w:rFonts w:eastAsia="標楷體" w:cstheme="minorHAnsi"/>
          <w:szCs w:val="24"/>
        </w:rPr>
        <w:t>分類至</w:t>
      </w:r>
      <w:proofErr w:type="gramStart"/>
      <w:r w:rsidRPr="00CA1A43">
        <w:rPr>
          <w:rFonts w:eastAsia="標楷體" w:cstheme="minorHAnsi"/>
          <w:szCs w:val="24"/>
        </w:rPr>
        <w:t>一</w:t>
      </w:r>
      <w:proofErr w:type="gramEnd"/>
      <w:r w:rsidRPr="00CA1A43">
        <w:rPr>
          <w:rFonts w:eastAsia="標楷體" w:cstheme="minorHAnsi"/>
          <w:szCs w:val="24"/>
        </w:rPr>
        <w:t>特定的產業組別</w:t>
      </w:r>
      <w:r w:rsidRPr="00CA1A43">
        <w:rPr>
          <w:rFonts w:eastAsia="標楷體" w:cstheme="minorHAnsi"/>
          <w:szCs w:val="24"/>
        </w:rPr>
        <w:t>(</w:t>
      </w:r>
      <w:r w:rsidRPr="00CA1A43">
        <w:rPr>
          <w:rFonts w:eastAsia="標楷體" w:cstheme="minorHAnsi"/>
          <w:szCs w:val="24"/>
        </w:rPr>
        <w:t>即權益證券風險組別</w:t>
      </w:r>
      <w:r w:rsidRPr="00CA1A43">
        <w:rPr>
          <w:rFonts w:eastAsia="標楷體" w:cstheme="minorHAnsi"/>
          <w:szCs w:val="24"/>
        </w:rPr>
        <w:t>1</w:t>
      </w:r>
      <w:r w:rsidRPr="00CA1A43">
        <w:rPr>
          <w:rFonts w:eastAsia="標楷體" w:cstheme="minorHAnsi"/>
          <w:szCs w:val="24"/>
        </w:rPr>
        <w:t>到組別</w:t>
      </w:r>
      <w:r w:rsidRPr="00CA1A43">
        <w:rPr>
          <w:rFonts w:eastAsia="標楷體" w:cstheme="minorHAnsi"/>
          <w:szCs w:val="24"/>
        </w:rPr>
        <w:t>11</w:t>
      </w:r>
      <w:r w:rsidRPr="00CA1A43">
        <w:rPr>
          <w:rFonts w:eastAsia="標楷體" w:cstheme="minorHAnsi"/>
          <w:szCs w:val="24"/>
        </w:rPr>
        <w:t>，或</w:t>
      </w:r>
      <w:r w:rsidRPr="00CA1A43">
        <w:rPr>
          <w:rFonts w:eastAsia="標楷體" w:cstheme="minorHAnsi"/>
          <w:szCs w:val="24"/>
        </w:rPr>
        <w:t>CSR</w:t>
      </w:r>
      <w:r w:rsidRPr="00CA1A43">
        <w:rPr>
          <w:rFonts w:eastAsia="標楷體" w:cstheme="minorHAnsi"/>
          <w:szCs w:val="24"/>
        </w:rPr>
        <w:t>組別</w:t>
      </w:r>
      <w:r w:rsidRPr="00CA1A43">
        <w:rPr>
          <w:rFonts w:eastAsia="標楷體" w:cstheme="minorHAnsi"/>
          <w:szCs w:val="24"/>
        </w:rPr>
        <w:t>1</w:t>
      </w:r>
      <w:r w:rsidRPr="00CA1A43">
        <w:rPr>
          <w:rFonts w:eastAsia="標楷體" w:cstheme="minorHAnsi"/>
          <w:szCs w:val="24"/>
        </w:rPr>
        <w:t>到組別</w:t>
      </w:r>
      <w:r w:rsidRPr="00CA1A43">
        <w:rPr>
          <w:rFonts w:eastAsia="標楷體" w:cstheme="minorHAnsi"/>
          <w:szCs w:val="24"/>
        </w:rPr>
        <w:t>16)</w:t>
      </w:r>
      <w:r w:rsidRPr="00CA1A43">
        <w:rPr>
          <w:rFonts w:eastAsia="標楷體" w:cstheme="minorHAnsi"/>
          <w:szCs w:val="24"/>
        </w:rPr>
        <w:t>，該指數的敏感性部位如同該特定產業組別的其他任何參照單一實體</w:t>
      </w:r>
      <w:r w:rsidRPr="00CA1A43">
        <w:rPr>
          <w:rFonts w:eastAsia="標楷體" w:cstheme="minorHAnsi"/>
          <w:szCs w:val="24"/>
        </w:rPr>
        <w:t>(single-name)</w:t>
      </w:r>
      <w:r w:rsidR="009653EE" w:rsidRPr="00931E45">
        <w:rPr>
          <w:rFonts w:eastAsia="標楷體" w:cstheme="minorHAnsi"/>
          <w:szCs w:val="24"/>
        </w:rPr>
        <w:t>工具</w:t>
      </w:r>
      <w:r w:rsidRPr="00CA1A43">
        <w:rPr>
          <w:rFonts w:eastAsia="標楷體" w:cstheme="minorHAnsi"/>
          <w:szCs w:val="24"/>
        </w:rPr>
        <w:t>之敏感性部位一樣，分類至該單一特定產業組別。</w:t>
      </w:r>
    </w:p>
    <w:p w14:paraId="589FCDBD" w14:textId="77777777" w:rsidR="005C3BE7" w:rsidRPr="00CA1A43" w:rsidRDefault="005C3BE7" w:rsidP="00605B1D">
      <w:pPr>
        <w:pStyle w:val="a7"/>
        <w:numPr>
          <w:ilvl w:val="0"/>
          <w:numId w:val="98"/>
        </w:numPr>
        <w:spacing w:beforeLines="50" w:before="180"/>
        <w:ind w:leftChars="0" w:left="1446" w:hanging="482"/>
        <w:jc w:val="both"/>
        <w:rPr>
          <w:rFonts w:eastAsia="標楷體" w:cstheme="minorHAnsi"/>
          <w:szCs w:val="24"/>
        </w:rPr>
      </w:pPr>
      <w:r w:rsidRPr="00CA1A43">
        <w:rPr>
          <w:rFonts w:eastAsia="標楷體" w:cstheme="minorHAnsi"/>
          <w:szCs w:val="24"/>
        </w:rPr>
        <w:t>在其他情況下，該敏感性部位得分類至</w:t>
      </w:r>
      <w:r w:rsidRPr="00CA1A43">
        <w:rPr>
          <w:rFonts w:eastAsia="標楷體" w:cstheme="minorHAnsi"/>
          <w:szCs w:val="24"/>
        </w:rPr>
        <w:t>“</w:t>
      </w:r>
      <w:r w:rsidRPr="00CA1A43">
        <w:rPr>
          <w:rFonts w:eastAsia="標楷體" w:cstheme="minorHAnsi"/>
          <w:szCs w:val="24"/>
        </w:rPr>
        <w:t>指數</w:t>
      </w:r>
      <w:r w:rsidRPr="00CA1A43">
        <w:rPr>
          <w:rFonts w:eastAsia="標楷體" w:cstheme="minorHAnsi"/>
          <w:szCs w:val="24"/>
        </w:rPr>
        <w:t>”</w:t>
      </w:r>
      <w:r w:rsidRPr="00CA1A43">
        <w:rPr>
          <w:rFonts w:eastAsia="標楷體" w:cstheme="minorHAnsi"/>
          <w:szCs w:val="24"/>
        </w:rPr>
        <w:t>組別</w:t>
      </w:r>
      <w:r w:rsidRPr="00CA1A43">
        <w:rPr>
          <w:rFonts w:eastAsia="標楷體" w:cstheme="minorHAnsi"/>
          <w:szCs w:val="24"/>
        </w:rPr>
        <w:t>(</w:t>
      </w:r>
      <w:r w:rsidRPr="00CA1A43">
        <w:rPr>
          <w:rFonts w:eastAsia="標楷體" w:cstheme="minorHAnsi"/>
          <w:szCs w:val="24"/>
        </w:rPr>
        <w:t>即權益證券風險組別</w:t>
      </w:r>
      <w:r w:rsidRPr="00CA1A43">
        <w:rPr>
          <w:rFonts w:eastAsia="標楷體" w:cstheme="minorHAnsi"/>
          <w:szCs w:val="24"/>
        </w:rPr>
        <w:t>12</w:t>
      </w:r>
      <w:r w:rsidRPr="00CA1A43">
        <w:rPr>
          <w:rFonts w:eastAsia="標楷體" w:cstheme="minorHAnsi"/>
          <w:szCs w:val="24"/>
        </w:rPr>
        <w:t>或組別</w:t>
      </w:r>
      <w:r w:rsidRPr="00CA1A43">
        <w:rPr>
          <w:rFonts w:eastAsia="標楷體" w:cstheme="minorHAnsi"/>
          <w:szCs w:val="24"/>
        </w:rPr>
        <w:t>13</w:t>
      </w:r>
      <w:r w:rsidRPr="00CA1A43">
        <w:rPr>
          <w:rFonts w:eastAsia="標楷體" w:cstheme="minorHAnsi"/>
          <w:szCs w:val="24"/>
        </w:rPr>
        <w:t>；或</w:t>
      </w:r>
      <w:r w:rsidRPr="00CA1A43">
        <w:rPr>
          <w:rFonts w:eastAsia="標楷體" w:cstheme="minorHAnsi"/>
          <w:szCs w:val="24"/>
        </w:rPr>
        <w:t>CSR</w:t>
      </w:r>
      <w:r w:rsidRPr="00CA1A43">
        <w:rPr>
          <w:rFonts w:eastAsia="標楷體" w:cstheme="minorHAnsi"/>
          <w:szCs w:val="24"/>
        </w:rPr>
        <w:t>組別</w:t>
      </w:r>
      <w:r w:rsidRPr="00CA1A43">
        <w:rPr>
          <w:rFonts w:eastAsia="標楷體" w:cstheme="minorHAnsi"/>
          <w:szCs w:val="24"/>
        </w:rPr>
        <w:t>17</w:t>
      </w:r>
      <w:r w:rsidRPr="00CA1A43">
        <w:rPr>
          <w:rFonts w:eastAsia="標楷體" w:cstheme="minorHAnsi"/>
          <w:szCs w:val="24"/>
        </w:rPr>
        <w:t>或組別</w:t>
      </w:r>
      <w:r w:rsidRPr="00CA1A43">
        <w:rPr>
          <w:rFonts w:eastAsia="標楷體" w:cstheme="minorHAnsi"/>
          <w:szCs w:val="24"/>
        </w:rPr>
        <w:t>18)</w:t>
      </w:r>
      <w:r w:rsidRPr="00CA1A43">
        <w:rPr>
          <w:rFonts w:eastAsia="標楷體" w:cstheme="minorHAnsi"/>
          <w:szCs w:val="24"/>
        </w:rPr>
        <w:t>。</w:t>
      </w:r>
    </w:p>
    <w:p w14:paraId="05A4B829" w14:textId="730B8FF0" w:rsidR="005C3BE7" w:rsidRPr="00CA1A43" w:rsidRDefault="005C3BE7" w:rsidP="00605B1D">
      <w:pPr>
        <w:pStyle w:val="a7"/>
        <w:numPr>
          <w:ilvl w:val="0"/>
          <w:numId w:val="96"/>
        </w:numPr>
        <w:spacing w:beforeLines="50" w:before="180"/>
        <w:ind w:leftChars="0" w:left="964" w:hanging="482"/>
        <w:jc w:val="both"/>
        <w:rPr>
          <w:rFonts w:eastAsia="標楷體" w:cstheme="minorHAnsi"/>
          <w:szCs w:val="24"/>
        </w:rPr>
      </w:pPr>
      <w:r w:rsidRPr="00CA1A43">
        <w:rPr>
          <w:rFonts w:eastAsia="標楷體" w:cstheme="minorHAnsi"/>
          <w:szCs w:val="24"/>
        </w:rPr>
        <w:t>對於不符合第</w:t>
      </w:r>
      <w:r w:rsidRPr="00CA1A43">
        <w:rPr>
          <w:rFonts w:eastAsia="標楷體" w:cstheme="minorHAnsi"/>
          <w:szCs w:val="24"/>
        </w:rPr>
        <w:t>1</w:t>
      </w:r>
      <w:r w:rsidRPr="00CA1A43">
        <w:rPr>
          <w:rFonts w:eastAsia="標楷體" w:cstheme="minorHAnsi"/>
          <w:szCs w:val="24"/>
        </w:rPr>
        <w:t>項</w:t>
      </w:r>
      <w:r w:rsidRPr="00CA1A43">
        <w:rPr>
          <w:rFonts w:eastAsia="標楷體" w:cstheme="minorHAnsi"/>
          <w:szCs w:val="24"/>
        </w:rPr>
        <w:t>(2)</w:t>
      </w:r>
      <w:r w:rsidRPr="00CA1A43">
        <w:rPr>
          <w:rFonts w:eastAsia="標楷體" w:cstheme="minorHAnsi"/>
          <w:szCs w:val="24"/>
        </w:rPr>
        <w:t>至</w:t>
      </w:r>
      <w:r w:rsidRPr="00CA1A43">
        <w:rPr>
          <w:rFonts w:eastAsia="標楷體" w:cstheme="minorHAnsi"/>
          <w:szCs w:val="24"/>
        </w:rPr>
        <w:t>(5)</w:t>
      </w:r>
      <w:r w:rsidRPr="00CA1A43">
        <w:rPr>
          <w:rFonts w:eastAsia="標楷體" w:cstheme="minorHAnsi"/>
          <w:szCs w:val="24"/>
        </w:rPr>
        <w:t>所規範的指數，以及參照客製權益證券或</w:t>
      </w:r>
      <w:proofErr w:type="gramStart"/>
      <w:r w:rsidRPr="00CA1A43">
        <w:rPr>
          <w:rFonts w:eastAsia="標楷體" w:cstheme="minorHAnsi"/>
          <w:szCs w:val="24"/>
        </w:rPr>
        <w:t>信用曝險部位</w:t>
      </w:r>
      <w:proofErr w:type="gramEnd"/>
      <w:r w:rsidRPr="00CA1A43">
        <w:rPr>
          <w:rFonts w:eastAsia="標楷體" w:cstheme="minorHAnsi"/>
          <w:szCs w:val="24"/>
        </w:rPr>
        <w:t>之多重標的</w:t>
      </w:r>
      <w:r w:rsidR="009653EE" w:rsidRPr="00931E45">
        <w:rPr>
          <w:rFonts w:eastAsia="標楷體" w:cstheme="minorHAnsi"/>
          <w:szCs w:val="24"/>
        </w:rPr>
        <w:t>工具</w:t>
      </w:r>
      <w:r w:rsidRPr="00CA1A43">
        <w:rPr>
          <w:rFonts w:eastAsia="標楷體" w:cstheme="minorHAnsi"/>
          <w:szCs w:val="24"/>
        </w:rPr>
        <w:t>，必須使用拆解法並符合下列規定。</w:t>
      </w:r>
    </w:p>
    <w:p w14:paraId="1B39B0F9" w14:textId="0F999DDD" w:rsidR="005C3BE7" w:rsidRPr="00931E45" w:rsidRDefault="005C3BE7" w:rsidP="00605B1D">
      <w:pPr>
        <w:pStyle w:val="a7"/>
        <w:numPr>
          <w:ilvl w:val="0"/>
          <w:numId w:val="99"/>
        </w:numPr>
        <w:spacing w:beforeLines="50" w:before="180"/>
        <w:ind w:leftChars="0" w:left="1446" w:hanging="482"/>
        <w:jc w:val="both"/>
        <w:rPr>
          <w:rFonts w:eastAsia="標楷體" w:cstheme="minorHAnsi"/>
          <w:szCs w:val="24"/>
        </w:rPr>
      </w:pPr>
      <w:r w:rsidRPr="00CA1A43">
        <w:rPr>
          <w:rFonts w:eastAsia="標楷體" w:cstheme="minorHAnsi"/>
          <w:szCs w:val="24"/>
        </w:rPr>
        <w:t>採用拆解法時，除相關性交易組合</w:t>
      </w:r>
      <w:r w:rsidRPr="00CA1A43">
        <w:rPr>
          <w:rFonts w:eastAsia="標楷體" w:cstheme="minorHAnsi"/>
          <w:szCs w:val="24"/>
        </w:rPr>
        <w:t>(CTP)</w:t>
      </w:r>
      <w:proofErr w:type="gramStart"/>
      <w:r w:rsidRPr="00CA1A43">
        <w:rPr>
          <w:rFonts w:eastAsia="標楷體" w:cstheme="minorHAnsi"/>
          <w:szCs w:val="24"/>
        </w:rPr>
        <w:t>以外，</w:t>
      </w:r>
      <w:proofErr w:type="gramEnd"/>
      <w:r w:rsidRPr="00CA1A43">
        <w:rPr>
          <w:rFonts w:eastAsia="標楷體" w:cstheme="minorHAnsi"/>
          <w:szCs w:val="24"/>
        </w:rPr>
        <w:t>允許指數</w:t>
      </w:r>
      <w:r w:rsidRPr="00931E45">
        <w:rPr>
          <w:rFonts w:eastAsia="標楷體" w:cstheme="minorHAnsi"/>
          <w:szCs w:val="24"/>
        </w:rPr>
        <w:t>型</w:t>
      </w:r>
      <w:r w:rsidR="009653EE" w:rsidRPr="00931E45">
        <w:rPr>
          <w:rFonts w:eastAsia="標楷體" w:cstheme="minorHAnsi"/>
          <w:szCs w:val="24"/>
        </w:rPr>
        <w:t>工具</w:t>
      </w:r>
      <w:r w:rsidRPr="00931E45">
        <w:rPr>
          <w:rFonts w:eastAsia="標楷體" w:cstheme="minorHAnsi"/>
          <w:szCs w:val="24"/>
        </w:rPr>
        <w:t>或多重標的選擇權之組成標的風險因子之敏感性部位，與參照單一實體</w:t>
      </w:r>
      <w:r w:rsidRPr="00931E45">
        <w:rPr>
          <w:rFonts w:eastAsia="標楷體" w:cstheme="minorHAnsi"/>
          <w:szCs w:val="24"/>
        </w:rPr>
        <w:t>(single-name)</w:t>
      </w:r>
      <w:r w:rsidR="009653EE" w:rsidRPr="00931E45">
        <w:rPr>
          <w:rFonts w:eastAsia="標楷體" w:cstheme="minorHAnsi"/>
          <w:szCs w:val="24"/>
        </w:rPr>
        <w:t>工具</w:t>
      </w:r>
      <w:r w:rsidRPr="00931E45">
        <w:rPr>
          <w:rFonts w:eastAsia="標楷體" w:cstheme="minorHAnsi"/>
          <w:szCs w:val="24"/>
        </w:rPr>
        <w:t>之敏感性部位得相互抵減。</w:t>
      </w:r>
    </w:p>
    <w:p w14:paraId="0F46FD27" w14:textId="6C547B94" w:rsidR="005C3BE7" w:rsidRPr="00931E45" w:rsidRDefault="005C3BE7" w:rsidP="00605B1D">
      <w:pPr>
        <w:pStyle w:val="a7"/>
        <w:numPr>
          <w:ilvl w:val="0"/>
          <w:numId w:val="99"/>
        </w:numPr>
        <w:spacing w:beforeLines="50" w:before="180"/>
        <w:ind w:leftChars="0" w:left="1446" w:hanging="482"/>
        <w:jc w:val="both"/>
        <w:rPr>
          <w:rFonts w:eastAsia="標楷體" w:cstheme="minorHAnsi"/>
          <w:szCs w:val="24"/>
        </w:rPr>
      </w:pPr>
      <w:r w:rsidRPr="00931E45">
        <w:rPr>
          <w:rFonts w:eastAsia="標楷體" w:cstheme="minorHAnsi"/>
          <w:szCs w:val="24"/>
        </w:rPr>
        <w:t>相關性交易組合</w:t>
      </w:r>
      <w:r w:rsidRPr="00931E45">
        <w:rPr>
          <w:rFonts w:eastAsia="標楷體" w:cstheme="minorHAnsi"/>
          <w:szCs w:val="24"/>
        </w:rPr>
        <w:t>(CTP)</w:t>
      </w:r>
      <w:r w:rsidRPr="00931E45">
        <w:rPr>
          <w:rFonts w:eastAsia="標楷體" w:cstheme="minorHAnsi"/>
          <w:szCs w:val="24"/>
        </w:rPr>
        <w:t>指數</w:t>
      </w:r>
      <w:r w:rsidR="009653EE" w:rsidRPr="00931E45">
        <w:rPr>
          <w:rFonts w:eastAsia="標楷體" w:cstheme="minorHAnsi"/>
          <w:szCs w:val="24"/>
        </w:rPr>
        <w:t>工具</w:t>
      </w:r>
      <w:r w:rsidRPr="00931E45">
        <w:rPr>
          <w:rFonts w:eastAsia="標楷體" w:cstheme="minorHAnsi"/>
          <w:szCs w:val="24"/>
        </w:rPr>
        <w:t>不能拆解其組成標的</w:t>
      </w:r>
      <w:r w:rsidRPr="00931E45">
        <w:rPr>
          <w:rFonts w:eastAsia="標楷體" w:cstheme="minorHAnsi"/>
          <w:szCs w:val="24"/>
        </w:rPr>
        <w:t>(</w:t>
      </w:r>
      <w:r w:rsidRPr="00931E45">
        <w:rPr>
          <w:rFonts w:eastAsia="標楷體" w:cstheme="minorHAnsi"/>
          <w:szCs w:val="24"/>
        </w:rPr>
        <w:t>即相關性交易組合</w:t>
      </w:r>
      <w:r w:rsidRPr="00931E45">
        <w:rPr>
          <w:rFonts w:eastAsia="標楷體" w:cstheme="minorHAnsi"/>
          <w:szCs w:val="24"/>
        </w:rPr>
        <w:t>(CTP)</w:t>
      </w:r>
      <w:r w:rsidRPr="00931E45">
        <w:rPr>
          <w:rFonts w:eastAsia="標楷體" w:cstheme="minorHAnsi"/>
          <w:szCs w:val="24"/>
        </w:rPr>
        <w:t>指數整體被視為單一風險因子</w:t>
      </w:r>
      <w:r w:rsidRPr="00931E45">
        <w:rPr>
          <w:rFonts w:eastAsia="標楷體" w:cstheme="minorHAnsi"/>
          <w:szCs w:val="24"/>
        </w:rPr>
        <w:t>)</w:t>
      </w:r>
      <w:r w:rsidRPr="00931E45">
        <w:rPr>
          <w:rFonts w:eastAsia="標楷體" w:cstheme="minorHAnsi"/>
          <w:szCs w:val="24"/>
        </w:rPr>
        <w:t>，則在發行人層級下不適用前述第</w:t>
      </w:r>
      <w:r w:rsidRPr="00931E45">
        <w:rPr>
          <w:rFonts w:eastAsia="標楷體" w:cstheme="minorHAnsi"/>
          <w:szCs w:val="24"/>
        </w:rPr>
        <w:t>(1)</w:t>
      </w:r>
      <w:r w:rsidRPr="00931E45">
        <w:rPr>
          <w:rFonts w:eastAsia="標楷體" w:cstheme="minorHAnsi"/>
          <w:szCs w:val="24"/>
        </w:rPr>
        <w:t>項的敏感性部位抵減。</w:t>
      </w:r>
    </w:p>
    <w:p w14:paraId="316A7997" w14:textId="26A307EF" w:rsidR="000E11DD" w:rsidRPr="00931E45" w:rsidRDefault="005C3BE7" w:rsidP="00605B1D">
      <w:pPr>
        <w:pStyle w:val="a7"/>
        <w:numPr>
          <w:ilvl w:val="0"/>
          <w:numId w:val="99"/>
        </w:numPr>
        <w:spacing w:beforeLines="50" w:before="180"/>
        <w:ind w:leftChars="0" w:left="1446" w:hanging="482"/>
        <w:jc w:val="both"/>
        <w:rPr>
          <w:rFonts w:eastAsia="標楷體" w:cstheme="minorHAnsi"/>
        </w:rPr>
      </w:pPr>
      <w:r w:rsidRPr="00931E45">
        <w:rPr>
          <w:rFonts w:eastAsia="標楷體" w:cstheme="minorHAnsi"/>
          <w:szCs w:val="24"/>
        </w:rPr>
        <w:t>拆解法被採用後應持續適用，且應適用所有參照相同指數的同類</w:t>
      </w:r>
      <w:r w:rsidR="009653EE" w:rsidRPr="00931E45">
        <w:rPr>
          <w:rFonts w:eastAsia="標楷體" w:cstheme="minorHAnsi"/>
          <w:szCs w:val="24"/>
        </w:rPr>
        <w:t>工具</w:t>
      </w:r>
      <w:r w:rsidRPr="00931E45">
        <w:rPr>
          <w:rFonts w:eastAsia="標楷體" w:cstheme="minorHAnsi"/>
          <w:szCs w:val="24"/>
        </w:rPr>
        <w:t>。</w:t>
      </w:r>
    </w:p>
    <w:p w14:paraId="5CC76714" w14:textId="77777777" w:rsidR="00892C50" w:rsidRPr="00CA1A43" w:rsidRDefault="00892C50"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基金股權投資的處理</w:t>
      </w:r>
    </w:p>
    <w:p w14:paraId="68CA4035" w14:textId="77777777" w:rsidR="00892C50" w:rsidRPr="00CA1A43" w:rsidRDefault="00892C50" w:rsidP="00605B1D">
      <w:pPr>
        <w:pStyle w:val="a7"/>
        <w:numPr>
          <w:ilvl w:val="0"/>
          <w:numId w:val="100"/>
        </w:numPr>
        <w:spacing w:beforeLines="50" w:before="180"/>
        <w:ind w:leftChars="0" w:left="964" w:hanging="482"/>
        <w:jc w:val="both"/>
        <w:rPr>
          <w:rFonts w:eastAsia="標楷體" w:cstheme="minorHAnsi"/>
          <w:szCs w:val="24"/>
        </w:rPr>
      </w:pPr>
      <w:r w:rsidRPr="00CA1A43">
        <w:rPr>
          <w:rFonts w:eastAsia="標楷體" w:cstheme="minorHAnsi"/>
          <w:szCs w:val="24"/>
        </w:rPr>
        <w:t>對於可被拆解的基金股權投資，銀行必須採用拆解法並將基金的標的資產視為銀行直接持有的部位</w:t>
      </w:r>
      <w:r w:rsidRPr="00CA1A43">
        <w:rPr>
          <w:rFonts w:eastAsia="標楷體" w:cstheme="minorHAnsi"/>
          <w:szCs w:val="24"/>
        </w:rPr>
        <w:t>(</w:t>
      </w:r>
      <w:r w:rsidRPr="00CA1A43">
        <w:rPr>
          <w:rFonts w:eastAsia="標楷體" w:cstheme="minorHAnsi"/>
          <w:szCs w:val="24"/>
        </w:rPr>
        <w:t>考慮到銀行對基金股權持分，以及任何在基金結構中之槓桿</w:t>
      </w:r>
      <w:r w:rsidRPr="00CA1A43">
        <w:rPr>
          <w:rFonts w:eastAsia="標楷體" w:cstheme="minorHAnsi"/>
          <w:szCs w:val="24"/>
        </w:rPr>
        <w:t>)</w:t>
      </w:r>
      <w:r w:rsidRPr="00CA1A43">
        <w:rPr>
          <w:rFonts w:eastAsia="標楷體" w:cstheme="minorHAnsi"/>
          <w:szCs w:val="24"/>
        </w:rPr>
        <w:t>，惟符合以下條件之基金除外：</w:t>
      </w:r>
    </w:p>
    <w:p w14:paraId="320E1835" w14:textId="24DDA6E5" w:rsidR="00892C50" w:rsidRPr="00CA1A43" w:rsidRDefault="00892C50" w:rsidP="00605B1D">
      <w:pPr>
        <w:pStyle w:val="a7"/>
        <w:numPr>
          <w:ilvl w:val="0"/>
          <w:numId w:val="101"/>
        </w:numPr>
        <w:spacing w:beforeLines="50" w:before="180"/>
        <w:ind w:leftChars="0" w:left="1446" w:hanging="482"/>
        <w:jc w:val="both"/>
        <w:rPr>
          <w:rFonts w:eastAsia="標楷體" w:cstheme="minorHAnsi"/>
          <w:szCs w:val="24"/>
        </w:rPr>
      </w:pPr>
      <w:r w:rsidRPr="00CA1A43">
        <w:rPr>
          <w:rFonts w:eastAsia="標楷體" w:cstheme="minorHAnsi"/>
          <w:szCs w:val="24"/>
        </w:rPr>
        <w:t>對於持有得不採用拆解法指數型</w:t>
      </w:r>
      <w:r w:rsidR="009653EE" w:rsidRPr="009316B3">
        <w:rPr>
          <w:rFonts w:eastAsia="標楷體" w:cstheme="minorHAnsi"/>
          <w:szCs w:val="24"/>
        </w:rPr>
        <w:t>工具</w:t>
      </w:r>
      <w:r w:rsidRPr="00CA1A43">
        <w:rPr>
          <w:rFonts w:eastAsia="標楷體" w:cstheme="minorHAnsi"/>
          <w:szCs w:val="24"/>
        </w:rPr>
        <w:t>之基金，其標的指數資產應分類至相關特定的產業組別或指數組別。</w:t>
      </w:r>
    </w:p>
    <w:p w14:paraId="61C372C2" w14:textId="77777777" w:rsidR="00892C50" w:rsidRPr="00CA1A43" w:rsidRDefault="00892C50" w:rsidP="00605B1D">
      <w:pPr>
        <w:pStyle w:val="a7"/>
        <w:numPr>
          <w:ilvl w:val="0"/>
          <w:numId w:val="101"/>
        </w:numPr>
        <w:spacing w:beforeLines="50" w:before="180"/>
        <w:ind w:leftChars="0" w:left="1446" w:hanging="482"/>
        <w:jc w:val="both"/>
        <w:rPr>
          <w:rFonts w:eastAsia="標楷體" w:cstheme="minorHAnsi"/>
          <w:szCs w:val="24"/>
        </w:rPr>
      </w:pPr>
      <w:r w:rsidRPr="00CA1A43">
        <w:rPr>
          <w:rFonts w:eastAsia="標楷體" w:cstheme="minorHAnsi"/>
          <w:szCs w:val="24"/>
        </w:rPr>
        <w:t>追蹤指標指數的基金，在滿足追蹤差異</w:t>
      </w:r>
      <w:r w:rsidRPr="00CA1A43">
        <w:rPr>
          <w:rFonts w:eastAsia="標楷體" w:cstheme="minorHAnsi"/>
          <w:szCs w:val="24"/>
        </w:rPr>
        <w:t>(</w:t>
      </w:r>
      <w:r w:rsidRPr="00CA1A43">
        <w:rPr>
          <w:rFonts w:eastAsia="標楷體" w:cstheme="minorHAnsi"/>
          <w:szCs w:val="24"/>
        </w:rPr>
        <w:t>忽略費用和佣金</w:t>
      </w:r>
      <w:r w:rsidRPr="00CA1A43">
        <w:rPr>
          <w:rFonts w:eastAsia="標楷體" w:cstheme="minorHAnsi"/>
          <w:szCs w:val="24"/>
        </w:rPr>
        <w:t>)</w:t>
      </w:r>
      <w:r w:rsidRPr="00CA1A43">
        <w:rPr>
          <w:rFonts w:eastAsia="標楷體" w:cstheme="minorHAnsi"/>
          <w:szCs w:val="24"/>
        </w:rPr>
        <w:t>絕對值小於</w:t>
      </w:r>
      <w:r w:rsidRPr="00CA1A43">
        <w:rPr>
          <w:rFonts w:eastAsia="標楷體" w:cstheme="minorHAnsi"/>
          <w:szCs w:val="24"/>
        </w:rPr>
        <w:t>1%</w:t>
      </w:r>
      <w:r w:rsidRPr="00CA1A43">
        <w:rPr>
          <w:rFonts w:eastAsia="標楷體" w:cstheme="minorHAnsi"/>
          <w:szCs w:val="24"/>
        </w:rPr>
        <w:t>之下，銀行得選擇不採用拆解法。其中追蹤差異為至少每年一次確認基金及其追蹤指標間，在過去</w:t>
      </w:r>
      <w:r w:rsidRPr="00CA1A43">
        <w:rPr>
          <w:rFonts w:eastAsia="標楷體" w:cstheme="minorHAnsi"/>
          <w:szCs w:val="24"/>
        </w:rPr>
        <w:t>12</w:t>
      </w:r>
      <w:r w:rsidRPr="00CA1A43">
        <w:rPr>
          <w:rFonts w:eastAsia="標楷體" w:cstheme="minorHAnsi"/>
          <w:szCs w:val="24"/>
        </w:rPr>
        <w:t>個月</w:t>
      </w:r>
      <w:r w:rsidRPr="00CA1A43">
        <w:rPr>
          <w:rFonts w:eastAsia="標楷體" w:cstheme="minorHAnsi"/>
          <w:szCs w:val="24"/>
        </w:rPr>
        <w:t>(</w:t>
      </w:r>
      <w:r w:rsidRPr="00CA1A43">
        <w:rPr>
          <w:rFonts w:eastAsia="標楷體" w:cstheme="minorHAnsi"/>
          <w:szCs w:val="24"/>
        </w:rPr>
        <w:t>或在沒有完整</w:t>
      </w:r>
      <w:r w:rsidRPr="00CA1A43">
        <w:rPr>
          <w:rFonts w:eastAsia="標楷體" w:cstheme="minorHAnsi"/>
          <w:szCs w:val="24"/>
        </w:rPr>
        <w:t>12</w:t>
      </w:r>
      <w:r w:rsidRPr="00CA1A43">
        <w:rPr>
          <w:rFonts w:eastAsia="標楷體" w:cstheme="minorHAnsi"/>
          <w:szCs w:val="24"/>
        </w:rPr>
        <w:t>個月數據的情況下之較短期間</w:t>
      </w:r>
      <w:r w:rsidRPr="00CA1A43">
        <w:rPr>
          <w:rFonts w:eastAsia="標楷體" w:cstheme="minorHAnsi"/>
          <w:szCs w:val="24"/>
        </w:rPr>
        <w:t>)</w:t>
      </w:r>
      <w:r w:rsidRPr="00CA1A43">
        <w:rPr>
          <w:rFonts w:eastAsia="標楷體" w:cstheme="minorHAnsi"/>
          <w:szCs w:val="24"/>
        </w:rPr>
        <w:t>之年化報酬率差異。</w:t>
      </w:r>
    </w:p>
    <w:p w14:paraId="22165D96" w14:textId="05ECACF8" w:rsidR="00892C50" w:rsidRPr="00CA1A43" w:rsidRDefault="00892C50" w:rsidP="00605B1D">
      <w:pPr>
        <w:pStyle w:val="a7"/>
        <w:numPr>
          <w:ilvl w:val="0"/>
          <w:numId w:val="100"/>
        </w:numPr>
        <w:spacing w:beforeLines="50" w:before="180"/>
        <w:ind w:leftChars="0" w:left="964" w:hanging="482"/>
        <w:jc w:val="both"/>
        <w:rPr>
          <w:rFonts w:eastAsia="標楷體" w:cstheme="minorHAnsi"/>
          <w:szCs w:val="24"/>
        </w:rPr>
      </w:pPr>
      <w:r w:rsidRPr="00CA1A43">
        <w:rPr>
          <w:rFonts w:eastAsia="標楷體" w:cstheme="minorHAnsi"/>
          <w:szCs w:val="24"/>
        </w:rPr>
        <w:t>對於無法拆解的基金股權投資</w:t>
      </w:r>
      <w:r w:rsidRPr="00CA1A43">
        <w:rPr>
          <w:rFonts w:eastAsia="標楷體" w:cstheme="minorHAnsi"/>
          <w:szCs w:val="24"/>
        </w:rPr>
        <w:t>(</w:t>
      </w:r>
      <w:r w:rsidRPr="00CA1A43">
        <w:rPr>
          <w:rFonts w:eastAsia="標楷體" w:cstheme="minorHAnsi"/>
          <w:szCs w:val="24"/>
        </w:rPr>
        <w:t>即不符合第一章</w:t>
      </w:r>
      <w:proofErr w:type="gramStart"/>
      <w:r w:rsidRPr="00CA1A43">
        <w:rPr>
          <w:rFonts w:eastAsia="標楷體" w:cstheme="minorHAnsi"/>
          <w:szCs w:val="24"/>
        </w:rPr>
        <w:t>第四大點第</w:t>
      </w:r>
      <w:proofErr w:type="gramEnd"/>
      <w:r w:rsidR="00822CB6" w:rsidRPr="00822CB6">
        <w:rPr>
          <w:rFonts w:eastAsia="標楷體" w:cstheme="minorHAnsi" w:hint="eastAsia"/>
          <w:color w:val="FF0000"/>
          <w:szCs w:val="24"/>
        </w:rPr>
        <w:t>(</w:t>
      </w:r>
      <w:r w:rsidRPr="00CA1A43">
        <w:rPr>
          <w:rFonts w:eastAsia="標楷體" w:cstheme="minorHAnsi"/>
          <w:szCs w:val="24"/>
        </w:rPr>
        <w:t>五</w:t>
      </w:r>
      <w:r w:rsidR="00822CB6" w:rsidRPr="00822CB6">
        <w:rPr>
          <w:rFonts w:eastAsia="標楷體" w:cstheme="minorHAnsi" w:hint="eastAsia"/>
          <w:color w:val="FF0000"/>
          <w:szCs w:val="24"/>
        </w:rPr>
        <w:t>)</w:t>
      </w:r>
      <w:r w:rsidRPr="00CA1A43">
        <w:rPr>
          <w:rFonts w:eastAsia="標楷體" w:cstheme="minorHAnsi"/>
          <w:szCs w:val="24"/>
        </w:rPr>
        <w:t>點</w:t>
      </w:r>
      <w:r w:rsidR="005A77EA" w:rsidRPr="005A77EA">
        <w:rPr>
          <w:rFonts w:eastAsia="標楷體" w:cstheme="minorHAnsi" w:hint="eastAsia"/>
          <w:color w:val="FF0000"/>
          <w:szCs w:val="24"/>
        </w:rPr>
        <w:t>第</w:t>
      </w:r>
      <w:r w:rsidR="005A77EA" w:rsidRPr="005A77EA">
        <w:rPr>
          <w:rFonts w:eastAsia="標楷體" w:cstheme="minorHAnsi" w:hint="eastAsia"/>
          <w:color w:val="FF0000"/>
          <w:szCs w:val="24"/>
        </w:rPr>
        <w:lastRenderedPageBreak/>
        <w:t>1.</w:t>
      </w:r>
      <w:r w:rsidRPr="00CA1A43">
        <w:rPr>
          <w:rFonts w:eastAsia="標楷體" w:cstheme="minorHAnsi"/>
          <w:szCs w:val="24"/>
        </w:rPr>
        <w:t>(6).a</w:t>
      </w:r>
      <w:r w:rsidR="005A77EA" w:rsidRPr="005A77EA">
        <w:rPr>
          <w:rFonts w:eastAsia="標楷體" w:cstheme="minorHAnsi" w:hint="eastAsia"/>
          <w:color w:val="FF0000"/>
          <w:szCs w:val="24"/>
        </w:rPr>
        <w:t>項</w:t>
      </w:r>
      <w:r w:rsidRPr="00CA1A43">
        <w:rPr>
          <w:rFonts w:eastAsia="標楷體" w:cstheme="minorHAnsi"/>
          <w:szCs w:val="24"/>
        </w:rPr>
        <w:t>所訂的標準</w:t>
      </w:r>
      <w:r w:rsidRPr="00CA1A43">
        <w:rPr>
          <w:rFonts w:eastAsia="標楷體" w:cstheme="minorHAnsi"/>
          <w:szCs w:val="24"/>
        </w:rPr>
        <w:t>)</w:t>
      </w:r>
      <w:r w:rsidRPr="00CA1A43">
        <w:rPr>
          <w:rFonts w:eastAsia="標楷體" w:cstheme="minorHAnsi"/>
          <w:szCs w:val="24"/>
        </w:rPr>
        <w:t>，但可以取得每日報價及理解基金投資的委託內容</w:t>
      </w:r>
      <w:r w:rsidRPr="00CA1A43">
        <w:rPr>
          <w:rFonts w:eastAsia="標楷體" w:cstheme="minorHAnsi"/>
          <w:szCs w:val="24"/>
        </w:rPr>
        <w:t>(</w:t>
      </w:r>
      <w:r w:rsidRPr="00CA1A43">
        <w:rPr>
          <w:rFonts w:eastAsia="標楷體" w:cstheme="minorHAnsi"/>
          <w:szCs w:val="24"/>
        </w:rPr>
        <w:t>即符合第一章</w:t>
      </w:r>
      <w:proofErr w:type="gramStart"/>
      <w:r w:rsidRPr="00CA1A43">
        <w:rPr>
          <w:rFonts w:eastAsia="標楷體" w:cstheme="minorHAnsi"/>
          <w:szCs w:val="24"/>
        </w:rPr>
        <w:t>第四大點第</w:t>
      </w:r>
      <w:proofErr w:type="gramEnd"/>
      <w:r w:rsidR="00822CB6" w:rsidRPr="00822CB6">
        <w:rPr>
          <w:rFonts w:eastAsia="標楷體" w:cstheme="minorHAnsi" w:hint="eastAsia"/>
          <w:color w:val="FF0000"/>
          <w:szCs w:val="24"/>
        </w:rPr>
        <w:t>(</w:t>
      </w:r>
      <w:r w:rsidRPr="00CA1A43">
        <w:rPr>
          <w:rFonts w:eastAsia="標楷體" w:cstheme="minorHAnsi"/>
          <w:szCs w:val="24"/>
        </w:rPr>
        <w:t>五</w:t>
      </w:r>
      <w:r w:rsidR="00822CB6" w:rsidRPr="00822CB6">
        <w:rPr>
          <w:rFonts w:eastAsia="標楷體" w:cstheme="minorHAnsi" w:hint="eastAsia"/>
          <w:color w:val="FF0000"/>
          <w:szCs w:val="24"/>
        </w:rPr>
        <w:t>)</w:t>
      </w:r>
      <w:r w:rsidRPr="00CA1A43">
        <w:rPr>
          <w:rFonts w:eastAsia="標楷體" w:cstheme="minorHAnsi"/>
          <w:szCs w:val="24"/>
        </w:rPr>
        <w:t>點</w:t>
      </w:r>
      <w:r w:rsidR="005A77EA" w:rsidRPr="005A77EA">
        <w:rPr>
          <w:rFonts w:eastAsia="標楷體" w:cstheme="minorHAnsi" w:hint="eastAsia"/>
          <w:color w:val="FF0000"/>
          <w:szCs w:val="24"/>
        </w:rPr>
        <w:t>第</w:t>
      </w:r>
      <w:r w:rsidR="005A77EA" w:rsidRPr="005A77EA">
        <w:rPr>
          <w:rFonts w:eastAsia="標楷體" w:cstheme="minorHAnsi" w:hint="eastAsia"/>
          <w:color w:val="FF0000"/>
          <w:szCs w:val="24"/>
        </w:rPr>
        <w:t>1.</w:t>
      </w:r>
      <w:r w:rsidRPr="00CA1A43">
        <w:rPr>
          <w:rFonts w:eastAsia="標楷體" w:cstheme="minorHAnsi"/>
          <w:szCs w:val="24"/>
        </w:rPr>
        <w:t>(6).b</w:t>
      </w:r>
      <w:r w:rsidR="005A77EA" w:rsidRPr="005A77EA">
        <w:rPr>
          <w:rFonts w:eastAsia="標楷體" w:cstheme="minorHAnsi" w:hint="eastAsia"/>
          <w:color w:val="FF0000"/>
          <w:szCs w:val="24"/>
        </w:rPr>
        <w:t>項</w:t>
      </w:r>
      <w:r w:rsidRPr="00CA1A43">
        <w:rPr>
          <w:rFonts w:eastAsia="標楷體" w:cstheme="minorHAnsi"/>
          <w:szCs w:val="24"/>
        </w:rPr>
        <w:t>所訂的標準</w:t>
      </w:r>
      <w:r w:rsidRPr="00CA1A43">
        <w:rPr>
          <w:rFonts w:eastAsia="標楷體" w:cstheme="minorHAnsi"/>
          <w:szCs w:val="24"/>
        </w:rPr>
        <w:t>)</w:t>
      </w:r>
      <w:r w:rsidRPr="00CA1A43">
        <w:rPr>
          <w:rFonts w:eastAsia="標楷體" w:cstheme="minorHAnsi"/>
          <w:szCs w:val="24"/>
        </w:rPr>
        <w:t>，銀行得以下列三種方式之</w:t>
      </w:r>
      <w:proofErr w:type="gramStart"/>
      <w:r w:rsidRPr="00CA1A43">
        <w:rPr>
          <w:rFonts w:eastAsia="標楷體" w:cstheme="minorHAnsi"/>
          <w:szCs w:val="24"/>
        </w:rPr>
        <w:t>一</w:t>
      </w:r>
      <w:proofErr w:type="gramEnd"/>
      <w:r w:rsidRPr="00CA1A43">
        <w:rPr>
          <w:rFonts w:eastAsia="標楷體" w:cstheme="minorHAnsi"/>
          <w:szCs w:val="24"/>
        </w:rPr>
        <w:t>計算基金的資本要求：</w:t>
      </w:r>
    </w:p>
    <w:p w14:paraId="4F11068D" w14:textId="77777777" w:rsidR="00892C50" w:rsidRPr="00CA1A43" w:rsidRDefault="00892C50" w:rsidP="00605B1D">
      <w:pPr>
        <w:pStyle w:val="a7"/>
        <w:numPr>
          <w:ilvl w:val="0"/>
          <w:numId w:val="102"/>
        </w:numPr>
        <w:spacing w:beforeLines="50" w:before="180"/>
        <w:ind w:leftChars="0" w:left="1446" w:hanging="482"/>
        <w:jc w:val="both"/>
        <w:rPr>
          <w:rFonts w:eastAsia="標楷體" w:cstheme="minorHAnsi"/>
          <w:szCs w:val="24"/>
        </w:rPr>
      </w:pPr>
      <w:r w:rsidRPr="00CA1A43">
        <w:rPr>
          <w:rFonts w:eastAsia="標楷體" w:cstheme="minorHAnsi"/>
          <w:szCs w:val="24"/>
        </w:rPr>
        <w:t>如果係以基金追蹤指標指數作為基準，並滿足追蹤差異</w:t>
      </w:r>
      <w:r w:rsidRPr="00CA1A43">
        <w:rPr>
          <w:rFonts w:eastAsia="標楷體" w:cstheme="minorHAnsi"/>
          <w:szCs w:val="24"/>
        </w:rPr>
        <w:t>(</w:t>
      </w:r>
      <w:r w:rsidRPr="00CA1A43">
        <w:rPr>
          <w:rFonts w:eastAsia="標楷體" w:cstheme="minorHAnsi"/>
          <w:szCs w:val="24"/>
        </w:rPr>
        <w:t>忽略費用和佣金</w:t>
      </w:r>
      <w:r w:rsidRPr="00CA1A43">
        <w:rPr>
          <w:rFonts w:eastAsia="標楷體" w:cstheme="minorHAnsi"/>
          <w:szCs w:val="24"/>
        </w:rPr>
        <w:t>)</w:t>
      </w:r>
      <w:r w:rsidRPr="00CA1A43">
        <w:rPr>
          <w:rFonts w:eastAsia="標楷體" w:cstheme="minorHAnsi"/>
          <w:szCs w:val="24"/>
        </w:rPr>
        <w:t>絕對值小於</w:t>
      </w:r>
      <w:r w:rsidRPr="00CA1A43">
        <w:rPr>
          <w:rFonts w:eastAsia="標楷體" w:cstheme="minorHAnsi"/>
          <w:szCs w:val="24"/>
        </w:rPr>
        <w:t>1%</w:t>
      </w:r>
      <w:r w:rsidRPr="00CA1A43">
        <w:rPr>
          <w:rFonts w:eastAsia="標楷體" w:cstheme="minorHAnsi"/>
          <w:szCs w:val="24"/>
        </w:rPr>
        <w:t>之下，銀行得假設該基金為追蹤指數的部位，並得將基金敏感性部位，依本計算說明</w:t>
      </w:r>
      <w:proofErr w:type="gramStart"/>
      <w:r w:rsidRPr="00CA1A43">
        <w:rPr>
          <w:rFonts w:eastAsia="標楷體" w:cstheme="minorHAnsi"/>
          <w:szCs w:val="24"/>
        </w:rPr>
        <w:t>第二大點第</w:t>
      </w:r>
      <w:proofErr w:type="gramEnd"/>
      <w:r w:rsidRPr="00CA1A43">
        <w:rPr>
          <w:rFonts w:eastAsia="標楷體" w:cstheme="minorHAnsi"/>
          <w:szCs w:val="24"/>
        </w:rPr>
        <w:t>(</w:t>
      </w:r>
      <w:r w:rsidRPr="00CA1A43">
        <w:rPr>
          <w:rFonts w:eastAsia="標楷體" w:cstheme="minorHAnsi"/>
          <w:szCs w:val="24"/>
        </w:rPr>
        <w:t>八</w:t>
      </w:r>
      <w:r w:rsidRPr="00CA1A43">
        <w:rPr>
          <w:rFonts w:eastAsia="標楷體" w:cstheme="minorHAnsi"/>
          <w:szCs w:val="24"/>
        </w:rPr>
        <w:t>)</w:t>
      </w:r>
      <w:r w:rsidRPr="00CA1A43">
        <w:rPr>
          <w:rFonts w:eastAsia="標楷體" w:cstheme="minorHAnsi"/>
          <w:szCs w:val="24"/>
        </w:rPr>
        <w:t>點第</w:t>
      </w:r>
      <w:r w:rsidRPr="00CA1A43">
        <w:rPr>
          <w:rFonts w:eastAsia="標楷體" w:cstheme="minorHAnsi"/>
          <w:szCs w:val="24"/>
        </w:rPr>
        <w:t>2</w:t>
      </w:r>
      <w:r w:rsidRPr="00CA1A43">
        <w:rPr>
          <w:rFonts w:eastAsia="標楷體" w:cstheme="minorHAnsi"/>
          <w:szCs w:val="24"/>
        </w:rPr>
        <w:t>項之規範分類至相關特定的產業組別或指數組別。</w:t>
      </w:r>
    </w:p>
    <w:p w14:paraId="5B353EDD" w14:textId="77777777" w:rsidR="00892C50" w:rsidRPr="00CA1A43" w:rsidRDefault="00892C50" w:rsidP="00605B1D">
      <w:pPr>
        <w:pStyle w:val="a7"/>
        <w:numPr>
          <w:ilvl w:val="0"/>
          <w:numId w:val="102"/>
        </w:numPr>
        <w:spacing w:beforeLines="50" w:before="180"/>
        <w:ind w:leftChars="0" w:left="1446" w:hanging="482"/>
        <w:jc w:val="both"/>
        <w:rPr>
          <w:rFonts w:eastAsia="標楷體" w:cstheme="minorHAnsi"/>
          <w:szCs w:val="24"/>
        </w:rPr>
      </w:pPr>
      <w:r w:rsidRPr="00CA1A43">
        <w:rPr>
          <w:rFonts w:eastAsia="標楷體" w:cstheme="minorHAnsi"/>
          <w:szCs w:val="24"/>
        </w:rPr>
        <w:t>經本會核准，銀行得將該基金視為假定投資組合。並在敏感性基礎法下，假定其於投資委託內容所允許投資的最大範圍內，投資資本要求最高之標的，然後再依序投資資本要求次低之標的。如果該</w:t>
      </w:r>
      <w:proofErr w:type="gramStart"/>
      <w:r w:rsidRPr="00CA1A43">
        <w:rPr>
          <w:rFonts w:eastAsia="標楷體" w:cstheme="minorHAnsi"/>
          <w:szCs w:val="24"/>
        </w:rPr>
        <w:t>投資暴險依</w:t>
      </w:r>
      <w:proofErr w:type="gramEnd"/>
      <w:r w:rsidRPr="00CA1A43">
        <w:rPr>
          <w:rFonts w:eastAsia="標楷體" w:cstheme="minorHAnsi"/>
          <w:szCs w:val="24"/>
        </w:rPr>
        <w:t>敏感性基礎法可以適用多個風險權數，則必須使用最大的風險權數。</w:t>
      </w:r>
    </w:p>
    <w:p w14:paraId="24B996DA" w14:textId="77777777" w:rsidR="00892C50" w:rsidRPr="00CA1A43" w:rsidRDefault="00892C50" w:rsidP="00605B1D">
      <w:pPr>
        <w:pStyle w:val="a7"/>
        <w:numPr>
          <w:ilvl w:val="0"/>
          <w:numId w:val="103"/>
        </w:numPr>
        <w:spacing w:beforeLines="50" w:before="180"/>
        <w:ind w:leftChars="0"/>
        <w:jc w:val="both"/>
        <w:rPr>
          <w:rFonts w:eastAsia="標楷體" w:cstheme="minorHAnsi"/>
          <w:szCs w:val="24"/>
        </w:rPr>
      </w:pPr>
      <w:r w:rsidRPr="00CA1A43">
        <w:rPr>
          <w:rFonts w:eastAsia="標楷體" w:cstheme="minorHAnsi"/>
          <w:szCs w:val="24"/>
        </w:rPr>
        <w:t>該假定投資組合必須針對該基金中所有部位以個別獨立方式計算其市場風險資本要求，並與其他部位之市場風險資本要求分開計算。</w:t>
      </w:r>
    </w:p>
    <w:p w14:paraId="7EDCF89E" w14:textId="77777777" w:rsidR="00892C50" w:rsidRPr="00CA1A43" w:rsidRDefault="00892C50" w:rsidP="00605B1D">
      <w:pPr>
        <w:pStyle w:val="a7"/>
        <w:numPr>
          <w:ilvl w:val="0"/>
          <w:numId w:val="103"/>
        </w:numPr>
        <w:spacing w:beforeLines="50" w:before="180"/>
        <w:ind w:leftChars="0"/>
        <w:jc w:val="both"/>
        <w:rPr>
          <w:rFonts w:eastAsia="標楷體" w:cstheme="minorHAnsi"/>
          <w:b/>
          <w:i/>
          <w:sz w:val="27"/>
          <w:szCs w:val="27"/>
        </w:rPr>
      </w:pPr>
      <w:r w:rsidRPr="00CA1A43">
        <w:rPr>
          <w:rFonts w:eastAsia="標楷體" w:cstheme="minorHAnsi"/>
          <w:szCs w:val="24"/>
        </w:rPr>
        <w:t>該假定投資組合的衍生性金融商品交易對手信用風險和</w:t>
      </w:r>
      <w:r w:rsidRPr="00CA1A43">
        <w:rPr>
          <w:rFonts w:eastAsia="標楷體" w:cstheme="minorHAnsi"/>
          <w:szCs w:val="24"/>
        </w:rPr>
        <w:t>CVA</w:t>
      </w:r>
      <w:r w:rsidRPr="00CA1A43">
        <w:rPr>
          <w:rFonts w:eastAsia="標楷體" w:cstheme="minorHAnsi"/>
          <w:szCs w:val="24"/>
        </w:rPr>
        <w:t>風險，必須根據本計算說明之第二部分信用風險標準法第一章第一大點第</w:t>
      </w:r>
      <w:r w:rsidRPr="00CA1A43">
        <w:rPr>
          <w:rFonts w:eastAsia="標楷體" w:cstheme="minorHAnsi"/>
          <w:szCs w:val="24"/>
        </w:rPr>
        <w:t>11</w:t>
      </w:r>
      <w:r w:rsidRPr="00CA1A43">
        <w:rPr>
          <w:rFonts w:eastAsia="標楷體" w:cstheme="minorHAnsi"/>
          <w:szCs w:val="24"/>
        </w:rPr>
        <w:t>點</w:t>
      </w:r>
      <w:r w:rsidRPr="00CA1A43">
        <w:rPr>
          <w:rFonts w:eastAsia="標楷體" w:cstheme="minorHAnsi"/>
          <w:szCs w:val="24"/>
        </w:rPr>
        <w:t>(1).b.(c)</w:t>
      </w:r>
      <w:r w:rsidRPr="00CA1A43">
        <w:rPr>
          <w:rFonts w:eastAsia="標楷體" w:cstheme="minorHAnsi"/>
          <w:szCs w:val="24"/>
        </w:rPr>
        <w:t>所訂銀行簿基金股權投資規定計算。</w:t>
      </w:r>
    </w:p>
    <w:p w14:paraId="7E3AB3EA" w14:textId="77777777" w:rsidR="00892C50" w:rsidRPr="00CA1A43" w:rsidRDefault="00892C50" w:rsidP="00605B1D">
      <w:pPr>
        <w:pStyle w:val="a7"/>
        <w:numPr>
          <w:ilvl w:val="0"/>
          <w:numId w:val="102"/>
        </w:numPr>
        <w:spacing w:beforeLines="50" w:before="180"/>
        <w:ind w:leftChars="0" w:left="1446" w:hanging="482"/>
        <w:jc w:val="both"/>
        <w:rPr>
          <w:rFonts w:eastAsia="標楷體" w:cstheme="minorHAnsi"/>
          <w:szCs w:val="24"/>
        </w:rPr>
      </w:pPr>
      <w:r w:rsidRPr="00CA1A43">
        <w:rPr>
          <w:rFonts w:eastAsia="標楷體" w:cstheme="minorHAnsi"/>
          <w:szCs w:val="24"/>
        </w:rPr>
        <w:t>銀行得將其基金股權投資</w:t>
      </w:r>
      <w:proofErr w:type="gramStart"/>
      <w:r w:rsidRPr="00CA1A43">
        <w:rPr>
          <w:rFonts w:eastAsia="標楷體" w:cstheme="minorHAnsi"/>
          <w:szCs w:val="24"/>
        </w:rPr>
        <w:t>視為無評等</w:t>
      </w:r>
      <w:proofErr w:type="gramEnd"/>
      <w:r w:rsidRPr="00CA1A43">
        <w:rPr>
          <w:rFonts w:eastAsia="標楷體" w:cstheme="minorHAnsi"/>
          <w:szCs w:val="24"/>
        </w:rPr>
        <w:t>的股權部位，並分類至</w:t>
      </w:r>
      <w:r w:rsidRPr="00CA1A43">
        <w:rPr>
          <w:rFonts w:eastAsia="標楷體" w:cstheme="minorHAnsi"/>
          <w:szCs w:val="24"/>
        </w:rPr>
        <w:t>“</w:t>
      </w:r>
      <w:r w:rsidRPr="00CA1A43">
        <w:rPr>
          <w:rFonts w:eastAsia="標楷體" w:cstheme="minorHAnsi"/>
          <w:szCs w:val="24"/>
        </w:rPr>
        <w:t>其他產業</w:t>
      </w:r>
      <w:r w:rsidRPr="00CA1A43">
        <w:rPr>
          <w:rFonts w:eastAsia="標楷體" w:cstheme="minorHAnsi"/>
          <w:szCs w:val="24"/>
        </w:rPr>
        <w:t>”</w:t>
      </w:r>
      <w:r w:rsidRPr="00CA1A43">
        <w:rPr>
          <w:rFonts w:eastAsia="標楷體" w:cstheme="minorHAnsi"/>
          <w:szCs w:val="24"/>
        </w:rPr>
        <w:t>組別</w:t>
      </w:r>
      <w:r w:rsidRPr="00CA1A43">
        <w:rPr>
          <w:rFonts w:eastAsia="標楷體" w:cstheme="minorHAnsi"/>
          <w:szCs w:val="24"/>
        </w:rPr>
        <w:t>(</w:t>
      </w:r>
      <w:r w:rsidRPr="00CA1A43">
        <w:rPr>
          <w:rFonts w:eastAsia="標楷體" w:cstheme="minorHAnsi"/>
          <w:szCs w:val="24"/>
        </w:rPr>
        <w:t>組別</w:t>
      </w:r>
      <w:r w:rsidRPr="00CA1A43">
        <w:rPr>
          <w:rFonts w:eastAsia="標楷體" w:cstheme="minorHAnsi"/>
          <w:szCs w:val="24"/>
        </w:rPr>
        <w:t>11)</w:t>
      </w:r>
      <w:r w:rsidRPr="00CA1A43">
        <w:rPr>
          <w:rFonts w:eastAsia="標楷體" w:cstheme="minorHAnsi"/>
          <w:szCs w:val="24"/>
        </w:rPr>
        <w:t>。</w:t>
      </w:r>
    </w:p>
    <w:p w14:paraId="2D151537" w14:textId="5A11066A" w:rsidR="000E11DD" w:rsidRPr="00CA1A43" w:rsidRDefault="00892C50" w:rsidP="00605B1D">
      <w:pPr>
        <w:pStyle w:val="a7"/>
        <w:numPr>
          <w:ilvl w:val="0"/>
          <w:numId w:val="100"/>
        </w:numPr>
        <w:spacing w:beforeLines="50" w:before="180"/>
        <w:ind w:leftChars="0" w:left="964" w:hanging="482"/>
        <w:jc w:val="both"/>
        <w:rPr>
          <w:rFonts w:eastAsia="標楷體" w:cstheme="minorHAnsi"/>
        </w:rPr>
      </w:pPr>
      <w:r w:rsidRPr="00CA1A43">
        <w:rPr>
          <w:rFonts w:eastAsia="標楷體" w:cstheme="minorHAnsi"/>
          <w:szCs w:val="24"/>
        </w:rPr>
        <w:t>根據本計算說明第一章</w:t>
      </w:r>
      <w:proofErr w:type="gramStart"/>
      <w:r w:rsidRPr="00CA1A43">
        <w:rPr>
          <w:rFonts w:eastAsia="標楷體" w:cstheme="minorHAnsi"/>
          <w:szCs w:val="24"/>
        </w:rPr>
        <w:t>第四大點第</w:t>
      </w:r>
      <w:proofErr w:type="gramEnd"/>
      <w:r w:rsidR="00B57AC5" w:rsidRPr="00822CB6">
        <w:rPr>
          <w:rFonts w:eastAsia="標楷體" w:cstheme="minorHAnsi" w:hint="eastAsia"/>
          <w:color w:val="FF0000"/>
          <w:szCs w:val="24"/>
        </w:rPr>
        <w:t>(</w:t>
      </w:r>
      <w:r w:rsidRPr="00CA1A43">
        <w:rPr>
          <w:rFonts w:eastAsia="標楷體" w:cstheme="minorHAnsi"/>
          <w:szCs w:val="24"/>
        </w:rPr>
        <w:t>五</w:t>
      </w:r>
      <w:r w:rsidR="00B57AC5" w:rsidRPr="00822CB6">
        <w:rPr>
          <w:rFonts w:eastAsia="標楷體" w:cstheme="minorHAnsi" w:hint="eastAsia"/>
          <w:color w:val="FF0000"/>
          <w:szCs w:val="24"/>
        </w:rPr>
        <w:t>)</w:t>
      </w:r>
      <w:r w:rsidRPr="00CA1A43">
        <w:rPr>
          <w:rFonts w:eastAsia="標楷體" w:cstheme="minorHAnsi"/>
          <w:szCs w:val="24"/>
        </w:rPr>
        <w:t>點</w:t>
      </w:r>
      <w:r w:rsidR="00B57AC5" w:rsidRPr="005A77EA">
        <w:rPr>
          <w:rFonts w:eastAsia="標楷體" w:cstheme="minorHAnsi" w:hint="eastAsia"/>
          <w:color w:val="FF0000"/>
          <w:szCs w:val="24"/>
        </w:rPr>
        <w:t>第</w:t>
      </w:r>
      <w:r w:rsidR="00B57AC5" w:rsidRPr="005A77EA">
        <w:rPr>
          <w:rFonts w:eastAsia="標楷體" w:cstheme="minorHAnsi" w:hint="eastAsia"/>
          <w:color w:val="FF0000"/>
          <w:szCs w:val="24"/>
        </w:rPr>
        <w:t>1.</w:t>
      </w:r>
      <w:r w:rsidRPr="00CA1A43">
        <w:rPr>
          <w:rFonts w:eastAsia="標楷體" w:cstheme="minorHAnsi"/>
          <w:szCs w:val="24"/>
        </w:rPr>
        <w:t>(6)</w:t>
      </w:r>
      <w:r w:rsidR="00B57AC5" w:rsidRPr="005A77EA">
        <w:rPr>
          <w:rFonts w:eastAsia="標楷體" w:cstheme="minorHAnsi" w:hint="eastAsia"/>
          <w:color w:val="FF0000"/>
          <w:szCs w:val="24"/>
        </w:rPr>
        <w:t>項</w:t>
      </w:r>
      <w:r w:rsidRPr="00CA1A43">
        <w:rPr>
          <w:rFonts w:eastAsia="標楷體" w:cstheme="minorHAnsi"/>
          <w:szCs w:val="24"/>
        </w:rPr>
        <w:t>所訂之標準，銀行持有之基金股權</w:t>
      </w:r>
      <w:proofErr w:type="gramStart"/>
      <w:r w:rsidRPr="00CA1A43">
        <w:rPr>
          <w:rFonts w:eastAsia="標楷體" w:cstheme="minorHAnsi"/>
          <w:szCs w:val="24"/>
        </w:rPr>
        <w:t>投資淨長部位</w:t>
      </w:r>
      <w:proofErr w:type="gramEnd"/>
      <w:r w:rsidRPr="00CA1A43">
        <w:rPr>
          <w:rFonts w:eastAsia="標楷體" w:cstheme="minorHAnsi"/>
          <w:szCs w:val="24"/>
        </w:rPr>
        <w:t>無法拆解或不符合排除納入銀行簿之要求，則必須列為銀行簿。基金股權</w:t>
      </w:r>
      <w:proofErr w:type="gramStart"/>
      <w:r w:rsidRPr="00CA1A43">
        <w:rPr>
          <w:rFonts w:eastAsia="標楷體" w:cstheme="minorHAnsi"/>
          <w:szCs w:val="24"/>
        </w:rPr>
        <w:t>投資淨短部位</w:t>
      </w:r>
      <w:proofErr w:type="gramEnd"/>
      <w:r w:rsidRPr="00CA1A43">
        <w:rPr>
          <w:rFonts w:eastAsia="標楷體" w:cstheme="minorHAnsi"/>
          <w:szCs w:val="24"/>
        </w:rPr>
        <w:t>無法拆解或不符合排除納入銀行簿之要求，則必須排除交易</w:t>
      </w:r>
      <w:proofErr w:type="gramStart"/>
      <w:r w:rsidRPr="00CA1A43">
        <w:rPr>
          <w:rFonts w:eastAsia="標楷體" w:cstheme="minorHAnsi"/>
          <w:szCs w:val="24"/>
        </w:rPr>
        <w:t>簿</w:t>
      </w:r>
      <w:proofErr w:type="gramEnd"/>
      <w:r w:rsidRPr="00CA1A43">
        <w:rPr>
          <w:rFonts w:eastAsia="標楷體" w:cstheme="minorHAnsi"/>
          <w:szCs w:val="24"/>
        </w:rPr>
        <w:t>資本要求，改以淨部位</w:t>
      </w:r>
      <w:r w:rsidRPr="00CA1A43">
        <w:rPr>
          <w:rFonts w:eastAsia="標楷體" w:cstheme="minorHAnsi"/>
          <w:szCs w:val="24"/>
        </w:rPr>
        <w:t>100%</w:t>
      </w:r>
      <w:r w:rsidRPr="00CA1A43">
        <w:rPr>
          <w:rFonts w:eastAsia="標楷體" w:cstheme="minorHAnsi"/>
          <w:szCs w:val="24"/>
        </w:rPr>
        <w:t>計提資本。</w:t>
      </w:r>
    </w:p>
    <w:p w14:paraId="1CDBA68A" w14:textId="12214EF3" w:rsidR="00A6578A" w:rsidRPr="00CA1A43" w:rsidRDefault="00A6578A"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多重標的</w:t>
      </w:r>
      <w:r w:rsidR="009653EE" w:rsidRPr="009316B3">
        <w:rPr>
          <w:rFonts w:eastAsia="標楷體" w:cstheme="minorHAnsi"/>
        </w:rPr>
        <w:t>工具</w:t>
      </w:r>
      <w:r w:rsidRPr="00CA1A43">
        <w:rPr>
          <w:rFonts w:eastAsia="標楷體" w:cstheme="minorHAnsi"/>
        </w:rPr>
        <w:t>的</w:t>
      </w:r>
      <w:proofErr w:type="spellStart"/>
      <w:r w:rsidRPr="00CA1A43">
        <w:rPr>
          <w:rFonts w:eastAsia="標楷體" w:cstheme="minorHAnsi"/>
        </w:rPr>
        <w:t>vega</w:t>
      </w:r>
      <w:proofErr w:type="spellEnd"/>
      <w:r w:rsidRPr="00CA1A43">
        <w:rPr>
          <w:rFonts w:eastAsia="標楷體" w:cstheme="minorHAnsi"/>
        </w:rPr>
        <w:t>風險處理方式</w:t>
      </w:r>
    </w:p>
    <w:p w14:paraId="3190C185" w14:textId="77777777" w:rsidR="00A6578A" w:rsidRPr="00CA1A43" w:rsidRDefault="00A6578A" w:rsidP="00605B1D">
      <w:pPr>
        <w:pStyle w:val="a7"/>
        <w:numPr>
          <w:ilvl w:val="0"/>
          <w:numId w:val="106"/>
        </w:numPr>
        <w:spacing w:beforeLines="50" w:before="180"/>
        <w:ind w:leftChars="0" w:left="964" w:hanging="482"/>
        <w:jc w:val="both"/>
        <w:rPr>
          <w:rFonts w:eastAsia="標楷體" w:cstheme="minorHAnsi"/>
          <w:szCs w:val="24"/>
        </w:rPr>
      </w:pPr>
      <w:r w:rsidRPr="00CA1A43">
        <w:rPr>
          <w:rFonts w:eastAsia="標楷體" w:cstheme="minorHAnsi"/>
          <w:szCs w:val="24"/>
        </w:rPr>
        <w:t>在</w:t>
      </w:r>
      <w:proofErr w:type="spellStart"/>
      <w:r w:rsidRPr="00CA1A43">
        <w:rPr>
          <w:rFonts w:eastAsia="標楷體" w:cstheme="minorHAnsi"/>
          <w:szCs w:val="24"/>
        </w:rPr>
        <w:t>vega</w:t>
      </w:r>
      <w:proofErr w:type="spellEnd"/>
      <w:r w:rsidRPr="00CA1A43">
        <w:rPr>
          <w:rFonts w:eastAsia="標楷體" w:cstheme="minorHAnsi"/>
          <w:szCs w:val="24"/>
        </w:rPr>
        <w:t>風險部份：</w:t>
      </w:r>
    </w:p>
    <w:p w14:paraId="195CC670" w14:textId="77777777" w:rsidR="00A6578A" w:rsidRPr="00CA1A43" w:rsidRDefault="00A6578A" w:rsidP="00605B1D">
      <w:pPr>
        <w:pStyle w:val="a7"/>
        <w:numPr>
          <w:ilvl w:val="0"/>
          <w:numId w:val="104"/>
        </w:numPr>
        <w:spacing w:beforeLines="50" w:before="180"/>
        <w:ind w:leftChars="0" w:left="1446" w:hanging="482"/>
        <w:jc w:val="both"/>
        <w:rPr>
          <w:rFonts w:eastAsia="標楷體" w:cstheme="minorHAnsi"/>
          <w:szCs w:val="24"/>
        </w:rPr>
      </w:pPr>
      <w:r w:rsidRPr="00CA1A43">
        <w:rPr>
          <w:rFonts w:eastAsia="標楷體" w:cstheme="minorHAnsi"/>
          <w:szCs w:val="24"/>
        </w:rPr>
        <w:t>多重標的資產選擇權</w:t>
      </w:r>
      <w:r w:rsidRPr="00CA1A43">
        <w:rPr>
          <w:rFonts w:eastAsia="標楷體" w:cstheme="minorHAnsi"/>
          <w:szCs w:val="24"/>
        </w:rPr>
        <w:t>(</w:t>
      </w:r>
      <w:r w:rsidRPr="00CA1A43">
        <w:rPr>
          <w:rFonts w:eastAsia="標楷體" w:cstheme="minorHAnsi"/>
          <w:szCs w:val="24"/>
        </w:rPr>
        <w:t>包含指數選擇權</w:t>
      </w:r>
      <w:r w:rsidRPr="00CA1A43">
        <w:rPr>
          <w:rFonts w:eastAsia="標楷體" w:cstheme="minorHAnsi"/>
          <w:szCs w:val="24"/>
        </w:rPr>
        <w:t>)(</w:t>
      </w:r>
      <w:r w:rsidRPr="00CA1A43">
        <w:rPr>
          <w:rFonts w:eastAsia="標楷體" w:cstheme="minorHAnsi"/>
          <w:szCs w:val="24"/>
        </w:rPr>
        <w:t>因其評價係依據選擇權隱含波動度評價，而不是其組成標的</w:t>
      </w:r>
      <w:proofErr w:type="gramStart"/>
      <w:r w:rsidRPr="00CA1A43">
        <w:rPr>
          <w:rFonts w:eastAsia="標楷體" w:cstheme="minorHAnsi"/>
          <w:szCs w:val="24"/>
        </w:rPr>
        <w:t>的</w:t>
      </w:r>
      <w:proofErr w:type="gramEnd"/>
      <w:r w:rsidRPr="00CA1A43">
        <w:rPr>
          <w:rFonts w:eastAsia="標楷體" w:cstheme="minorHAnsi"/>
          <w:szCs w:val="24"/>
        </w:rPr>
        <w:t>隱含波動度</w:t>
      </w:r>
      <w:r w:rsidRPr="00CA1A43">
        <w:rPr>
          <w:rFonts w:eastAsia="標楷體" w:cstheme="minorHAnsi"/>
          <w:szCs w:val="24"/>
        </w:rPr>
        <w:t>)</w:t>
      </w:r>
      <w:r w:rsidRPr="00CA1A43">
        <w:rPr>
          <w:rFonts w:eastAsia="標楷體" w:cstheme="minorHAnsi"/>
          <w:szCs w:val="24"/>
        </w:rPr>
        <w:t>得不適用拆解法。</w:t>
      </w:r>
    </w:p>
    <w:p w14:paraId="1735763B" w14:textId="77777777" w:rsidR="00A6578A" w:rsidRPr="00CA1A43" w:rsidRDefault="00A6578A" w:rsidP="00605B1D">
      <w:pPr>
        <w:pStyle w:val="a7"/>
        <w:numPr>
          <w:ilvl w:val="0"/>
          <w:numId w:val="104"/>
        </w:numPr>
        <w:spacing w:beforeLines="50" w:before="180"/>
        <w:ind w:leftChars="0" w:left="1446" w:hanging="482"/>
        <w:jc w:val="both"/>
        <w:rPr>
          <w:rFonts w:eastAsia="標楷體" w:cstheme="minorHAnsi"/>
          <w:szCs w:val="24"/>
        </w:rPr>
      </w:pPr>
      <w:r w:rsidRPr="00CA1A43">
        <w:rPr>
          <w:rFonts w:eastAsia="標楷體" w:cstheme="minorHAnsi"/>
          <w:szCs w:val="24"/>
        </w:rPr>
        <w:t>對於指數，其關於多重標的資產選擇權隱含波動度之</w:t>
      </w:r>
      <w:proofErr w:type="spellStart"/>
      <w:r w:rsidRPr="00CA1A43">
        <w:rPr>
          <w:rFonts w:eastAsia="標楷體" w:cstheme="minorHAnsi"/>
          <w:szCs w:val="24"/>
        </w:rPr>
        <w:t>vega</w:t>
      </w:r>
      <w:proofErr w:type="spellEnd"/>
      <w:r w:rsidRPr="00CA1A43">
        <w:rPr>
          <w:rFonts w:eastAsia="標楷體" w:cstheme="minorHAnsi"/>
          <w:szCs w:val="24"/>
        </w:rPr>
        <w:t>風險，將依據本計算說明之非證券化</w:t>
      </w:r>
      <w:r w:rsidRPr="00CA1A43">
        <w:rPr>
          <w:rFonts w:eastAsia="標楷體" w:cstheme="minorHAnsi"/>
          <w:szCs w:val="24"/>
        </w:rPr>
        <w:t>CSR</w:t>
      </w:r>
      <w:r w:rsidRPr="00CA1A43">
        <w:rPr>
          <w:rFonts w:eastAsia="標楷體" w:cstheme="minorHAnsi"/>
          <w:szCs w:val="24"/>
        </w:rPr>
        <w:t>和權益風險權數對照表所訂的特定產業組別或指數組別計算，詳述如下：</w:t>
      </w:r>
    </w:p>
    <w:p w14:paraId="79056A1B" w14:textId="77777777" w:rsidR="00A6578A" w:rsidRPr="00CA1A43" w:rsidRDefault="00A6578A" w:rsidP="00605B1D">
      <w:pPr>
        <w:pStyle w:val="a7"/>
        <w:numPr>
          <w:ilvl w:val="0"/>
          <w:numId w:val="105"/>
        </w:numPr>
        <w:spacing w:beforeLines="50" w:before="180"/>
        <w:ind w:leftChars="0"/>
        <w:jc w:val="both"/>
        <w:rPr>
          <w:rFonts w:eastAsia="標楷體" w:cstheme="minorHAnsi"/>
          <w:szCs w:val="24"/>
        </w:rPr>
      </w:pPr>
      <w:r w:rsidRPr="00CA1A43">
        <w:rPr>
          <w:rFonts w:eastAsia="標楷體" w:cstheme="minorHAnsi"/>
          <w:szCs w:val="24"/>
        </w:rPr>
        <w:t>如果該指數中超過</w:t>
      </w:r>
      <w:r w:rsidRPr="00CA1A43">
        <w:rPr>
          <w:rFonts w:eastAsia="標楷體" w:cstheme="minorHAnsi"/>
          <w:szCs w:val="24"/>
        </w:rPr>
        <w:t>75%</w:t>
      </w:r>
      <w:r w:rsidRPr="00CA1A43">
        <w:rPr>
          <w:rFonts w:eastAsia="標楷體" w:cstheme="minorHAnsi"/>
          <w:szCs w:val="24"/>
        </w:rPr>
        <w:t>的組成標的</w:t>
      </w:r>
      <w:r w:rsidRPr="00CA1A43">
        <w:rPr>
          <w:rFonts w:eastAsia="標楷體" w:cstheme="minorHAnsi"/>
          <w:szCs w:val="24"/>
        </w:rPr>
        <w:t>(</w:t>
      </w:r>
      <w:r w:rsidRPr="00CA1A43">
        <w:rPr>
          <w:rFonts w:eastAsia="標楷體" w:cstheme="minorHAnsi"/>
          <w:szCs w:val="24"/>
        </w:rPr>
        <w:t>考慮到該指數的權重</w:t>
      </w:r>
      <w:r w:rsidRPr="00CA1A43">
        <w:rPr>
          <w:rFonts w:eastAsia="標楷體" w:cstheme="minorHAnsi"/>
          <w:szCs w:val="24"/>
        </w:rPr>
        <w:t>)</w:t>
      </w:r>
      <w:r w:rsidRPr="00CA1A43">
        <w:rPr>
          <w:rFonts w:eastAsia="標楷體" w:cstheme="minorHAnsi"/>
          <w:szCs w:val="24"/>
        </w:rPr>
        <w:t>分類</w:t>
      </w:r>
      <w:r w:rsidRPr="00CA1A43">
        <w:rPr>
          <w:rFonts w:eastAsia="標楷體" w:cstheme="minorHAnsi"/>
          <w:szCs w:val="24"/>
        </w:rPr>
        <w:lastRenderedPageBreak/>
        <w:t>至</w:t>
      </w:r>
      <w:proofErr w:type="gramStart"/>
      <w:r w:rsidRPr="00CA1A43">
        <w:rPr>
          <w:rFonts w:eastAsia="標楷體" w:cstheme="minorHAnsi"/>
          <w:szCs w:val="24"/>
        </w:rPr>
        <w:t>一</w:t>
      </w:r>
      <w:proofErr w:type="gramEnd"/>
      <w:r w:rsidRPr="00CA1A43">
        <w:rPr>
          <w:rFonts w:eastAsia="標楷體" w:cstheme="minorHAnsi"/>
          <w:szCs w:val="24"/>
        </w:rPr>
        <w:t>單一特定的產業組別</w:t>
      </w:r>
      <w:r w:rsidRPr="00CA1A43">
        <w:rPr>
          <w:rFonts w:eastAsia="標楷體" w:cstheme="minorHAnsi"/>
          <w:szCs w:val="24"/>
        </w:rPr>
        <w:t>(</w:t>
      </w:r>
      <w:r w:rsidRPr="00CA1A43">
        <w:rPr>
          <w:rFonts w:eastAsia="標楷體" w:cstheme="minorHAnsi"/>
          <w:szCs w:val="24"/>
        </w:rPr>
        <w:t>即權益證券風險組別</w:t>
      </w:r>
      <w:r w:rsidRPr="00CA1A43">
        <w:rPr>
          <w:rFonts w:eastAsia="標楷體" w:cstheme="minorHAnsi"/>
          <w:szCs w:val="24"/>
        </w:rPr>
        <w:t>1</w:t>
      </w:r>
      <w:r w:rsidRPr="00CA1A43">
        <w:rPr>
          <w:rFonts w:eastAsia="標楷體" w:cstheme="minorHAnsi"/>
          <w:szCs w:val="24"/>
        </w:rPr>
        <w:t>到組別</w:t>
      </w:r>
      <w:r w:rsidRPr="00CA1A43">
        <w:rPr>
          <w:rFonts w:eastAsia="標楷體" w:cstheme="minorHAnsi"/>
          <w:szCs w:val="24"/>
        </w:rPr>
        <w:t>11</w:t>
      </w:r>
      <w:r w:rsidRPr="00CA1A43">
        <w:rPr>
          <w:rFonts w:eastAsia="標楷體" w:cstheme="minorHAnsi"/>
          <w:szCs w:val="24"/>
        </w:rPr>
        <w:t>，或</w:t>
      </w:r>
      <w:r w:rsidRPr="00CA1A43">
        <w:rPr>
          <w:rFonts w:eastAsia="標楷體" w:cstheme="minorHAnsi"/>
          <w:szCs w:val="24"/>
        </w:rPr>
        <w:t>CSR</w:t>
      </w:r>
      <w:r w:rsidRPr="00CA1A43">
        <w:rPr>
          <w:rFonts w:eastAsia="標楷體" w:cstheme="minorHAnsi"/>
          <w:szCs w:val="24"/>
        </w:rPr>
        <w:t>組別</w:t>
      </w:r>
      <w:r w:rsidRPr="00CA1A43">
        <w:rPr>
          <w:rFonts w:eastAsia="標楷體" w:cstheme="minorHAnsi"/>
          <w:szCs w:val="24"/>
        </w:rPr>
        <w:t>1</w:t>
      </w:r>
      <w:r w:rsidRPr="00CA1A43">
        <w:rPr>
          <w:rFonts w:eastAsia="標楷體" w:cstheme="minorHAnsi"/>
          <w:szCs w:val="24"/>
        </w:rPr>
        <w:t>到組別</w:t>
      </w:r>
      <w:r w:rsidRPr="00CA1A43">
        <w:rPr>
          <w:rFonts w:eastAsia="標楷體" w:cstheme="minorHAnsi"/>
          <w:szCs w:val="24"/>
        </w:rPr>
        <w:t>16)</w:t>
      </w:r>
      <w:r w:rsidRPr="00CA1A43">
        <w:rPr>
          <w:rFonts w:eastAsia="標楷體" w:cstheme="minorHAnsi"/>
          <w:szCs w:val="24"/>
        </w:rPr>
        <w:t>，該指數的敏感性部位如同該特定產業組別的其他任何參照單一實體</w:t>
      </w:r>
      <w:r w:rsidRPr="00CA1A43">
        <w:rPr>
          <w:rFonts w:eastAsia="標楷體" w:cstheme="minorHAnsi"/>
          <w:szCs w:val="24"/>
        </w:rPr>
        <w:t>(single-name)</w:t>
      </w:r>
      <w:r w:rsidRPr="00CA1A43">
        <w:rPr>
          <w:rFonts w:eastAsia="標楷體" w:cstheme="minorHAnsi"/>
          <w:szCs w:val="24"/>
        </w:rPr>
        <w:t>敏感性部位一樣，分類至該單一特定產業組別。</w:t>
      </w:r>
    </w:p>
    <w:p w14:paraId="5FC4823F" w14:textId="77777777" w:rsidR="00892C50" w:rsidRPr="00CA1A43" w:rsidRDefault="00A6578A" w:rsidP="00605B1D">
      <w:pPr>
        <w:pStyle w:val="a7"/>
        <w:numPr>
          <w:ilvl w:val="0"/>
          <w:numId w:val="105"/>
        </w:numPr>
        <w:spacing w:beforeLines="50" w:before="180"/>
        <w:ind w:leftChars="0"/>
        <w:jc w:val="both"/>
        <w:rPr>
          <w:rFonts w:eastAsia="標楷體" w:cstheme="minorHAnsi"/>
        </w:rPr>
      </w:pPr>
      <w:r w:rsidRPr="00CA1A43">
        <w:rPr>
          <w:rFonts w:eastAsia="標楷體" w:cstheme="minorHAnsi"/>
          <w:szCs w:val="24"/>
        </w:rPr>
        <w:t>在其他情況下，敏感性部位可以分類至</w:t>
      </w:r>
      <w:r w:rsidRPr="00CA1A43">
        <w:rPr>
          <w:rFonts w:eastAsia="標楷體" w:cstheme="minorHAnsi"/>
          <w:szCs w:val="24"/>
        </w:rPr>
        <w:t>“</w:t>
      </w:r>
      <w:r w:rsidRPr="00CA1A43">
        <w:rPr>
          <w:rFonts w:eastAsia="標楷體" w:cstheme="minorHAnsi"/>
          <w:szCs w:val="24"/>
        </w:rPr>
        <w:t>指數</w:t>
      </w:r>
      <w:r w:rsidRPr="00CA1A43">
        <w:rPr>
          <w:rFonts w:eastAsia="標楷體" w:cstheme="minorHAnsi"/>
          <w:szCs w:val="24"/>
        </w:rPr>
        <w:t>”</w:t>
      </w:r>
      <w:r w:rsidRPr="00CA1A43">
        <w:rPr>
          <w:rFonts w:eastAsia="標楷體" w:cstheme="minorHAnsi"/>
          <w:szCs w:val="24"/>
        </w:rPr>
        <w:t>組別</w:t>
      </w:r>
      <w:r w:rsidRPr="00CA1A43">
        <w:rPr>
          <w:rFonts w:eastAsia="標楷體" w:cstheme="minorHAnsi"/>
          <w:szCs w:val="24"/>
        </w:rPr>
        <w:t>(</w:t>
      </w:r>
      <w:r w:rsidRPr="00CA1A43">
        <w:rPr>
          <w:rFonts w:eastAsia="標楷體" w:cstheme="minorHAnsi"/>
          <w:szCs w:val="24"/>
        </w:rPr>
        <w:t>即權益證券風險組別</w:t>
      </w:r>
      <w:r w:rsidRPr="00CA1A43">
        <w:rPr>
          <w:rFonts w:eastAsia="標楷體" w:cstheme="minorHAnsi"/>
          <w:szCs w:val="24"/>
        </w:rPr>
        <w:t>12</w:t>
      </w:r>
      <w:r w:rsidRPr="00CA1A43">
        <w:rPr>
          <w:rFonts w:eastAsia="標楷體" w:cstheme="minorHAnsi"/>
          <w:szCs w:val="24"/>
        </w:rPr>
        <w:t>或組別</w:t>
      </w:r>
      <w:r w:rsidRPr="00CA1A43">
        <w:rPr>
          <w:rFonts w:eastAsia="標楷體" w:cstheme="minorHAnsi"/>
          <w:szCs w:val="24"/>
        </w:rPr>
        <w:t>13</w:t>
      </w:r>
      <w:r w:rsidRPr="00CA1A43">
        <w:rPr>
          <w:rFonts w:eastAsia="標楷體" w:cstheme="minorHAnsi"/>
          <w:szCs w:val="24"/>
        </w:rPr>
        <w:t>；或</w:t>
      </w:r>
      <w:r w:rsidRPr="00CA1A43">
        <w:rPr>
          <w:rFonts w:eastAsia="標楷體" w:cstheme="minorHAnsi"/>
          <w:szCs w:val="24"/>
        </w:rPr>
        <w:t>CSR</w:t>
      </w:r>
      <w:r w:rsidRPr="00CA1A43">
        <w:rPr>
          <w:rFonts w:eastAsia="標楷體" w:cstheme="minorHAnsi"/>
          <w:szCs w:val="24"/>
        </w:rPr>
        <w:t>組別</w:t>
      </w:r>
      <w:r w:rsidRPr="00CA1A43">
        <w:rPr>
          <w:rFonts w:eastAsia="標楷體" w:cstheme="minorHAnsi"/>
          <w:szCs w:val="24"/>
        </w:rPr>
        <w:t>17</w:t>
      </w:r>
      <w:r w:rsidRPr="00CA1A43">
        <w:rPr>
          <w:rFonts w:eastAsia="標楷體" w:cstheme="minorHAnsi"/>
          <w:szCs w:val="24"/>
        </w:rPr>
        <w:t>或組別</w:t>
      </w:r>
      <w:r w:rsidRPr="00CA1A43">
        <w:rPr>
          <w:rFonts w:eastAsia="標楷體" w:cstheme="minorHAnsi"/>
          <w:szCs w:val="24"/>
        </w:rPr>
        <w:t>18)</w:t>
      </w:r>
      <w:r w:rsidRPr="00CA1A43">
        <w:rPr>
          <w:rFonts w:eastAsia="標楷體" w:cstheme="minorHAnsi"/>
          <w:szCs w:val="24"/>
        </w:rPr>
        <w:t>。</w:t>
      </w:r>
    </w:p>
    <w:p w14:paraId="10C58F38" w14:textId="77777777" w:rsidR="00892C50" w:rsidRPr="00CA1A43" w:rsidRDefault="00467D57"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敏感性基礎法：</w:t>
      </w:r>
      <w:r w:rsidRPr="00CA1A43">
        <w:rPr>
          <w:rFonts w:eastAsia="標楷體" w:cstheme="minorHAnsi"/>
        </w:rPr>
        <w:t>delta</w:t>
      </w:r>
      <w:r w:rsidRPr="00CA1A43">
        <w:rPr>
          <w:rFonts w:eastAsia="標楷體" w:cstheme="minorHAnsi"/>
        </w:rPr>
        <w:t>風險組別、風險權數及相關係數之定義</w:t>
      </w:r>
    </w:p>
    <w:p w14:paraId="06141324" w14:textId="77777777" w:rsidR="00467D57" w:rsidRPr="00CA1A43" w:rsidRDefault="00467D57" w:rsidP="00605B1D">
      <w:pPr>
        <w:pStyle w:val="a7"/>
        <w:numPr>
          <w:ilvl w:val="0"/>
          <w:numId w:val="107"/>
        </w:numPr>
        <w:spacing w:beforeLines="50" w:before="180"/>
        <w:ind w:leftChars="0" w:left="964" w:hanging="482"/>
        <w:jc w:val="both"/>
        <w:rPr>
          <w:rFonts w:eastAsia="標楷體" w:cstheme="minorHAnsi"/>
          <w:szCs w:val="24"/>
        </w:rPr>
      </w:pPr>
      <w:r w:rsidRPr="00CA1A43">
        <w:rPr>
          <w:rFonts w:eastAsia="標楷體" w:cstheme="minorHAnsi"/>
          <w:szCs w:val="24"/>
        </w:rPr>
        <w:t>GIRR</w:t>
      </w:r>
      <w:r w:rsidRPr="00CA1A43">
        <w:rPr>
          <w:rFonts w:eastAsia="標楷體" w:cstheme="minorHAnsi"/>
          <w:szCs w:val="24"/>
        </w:rPr>
        <w:t>之</w:t>
      </w:r>
      <w:r w:rsidRPr="00CA1A43">
        <w:rPr>
          <w:rFonts w:eastAsia="標楷體" w:cstheme="minorHAnsi"/>
          <w:szCs w:val="24"/>
        </w:rPr>
        <w:t>Delta</w:t>
      </w:r>
      <w:r w:rsidRPr="00CA1A43">
        <w:rPr>
          <w:rFonts w:eastAsia="標楷體" w:cstheme="minorHAnsi"/>
          <w:szCs w:val="24"/>
        </w:rPr>
        <w:t>風險組別、風險權數及相關係數</w:t>
      </w:r>
    </w:p>
    <w:p w14:paraId="4B2EFD9B" w14:textId="7CF59951" w:rsidR="00467D57" w:rsidRPr="00CA1A43" w:rsidRDefault="00467D57" w:rsidP="00605B1D">
      <w:pPr>
        <w:pStyle w:val="a7"/>
        <w:numPr>
          <w:ilvl w:val="0"/>
          <w:numId w:val="108"/>
        </w:numPr>
        <w:spacing w:beforeLines="50" w:before="180"/>
        <w:ind w:leftChars="0" w:left="1446" w:hanging="482"/>
        <w:jc w:val="both"/>
        <w:rPr>
          <w:rFonts w:eastAsia="標楷體" w:cstheme="minorHAnsi"/>
          <w:szCs w:val="24"/>
        </w:rPr>
      </w:pPr>
      <w:r w:rsidRPr="00CA1A43">
        <w:rPr>
          <w:rFonts w:eastAsia="標楷體" w:cstheme="minorHAnsi"/>
        </w:rPr>
        <w:t>每一</w:t>
      </w:r>
      <w:proofErr w:type="gramStart"/>
      <w:r w:rsidRPr="00CA1A43">
        <w:rPr>
          <w:rFonts w:eastAsia="標楷體" w:cstheme="minorHAnsi"/>
        </w:rPr>
        <w:t>幣別皆為</w:t>
      </w:r>
      <w:proofErr w:type="gramEnd"/>
      <w:r w:rsidRPr="00CA1A43">
        <w:rPr>
          <w:rFonts w:eastAsia="標楷體" w:cstheme="minorHAnsi"/>
        </w:rPr>
        <w:t>獨立的</w:t>
      </w:r>
      <w:r w:rsidRPr="00CA1A43">
        <w:rPr>
          <w:rFonts w:eastAsia="標楷體" w:cstheme="minorHAnsi"/>
        </w:rPr>
        <w:t>GIRR Delta</w:t>
      </w:r>
      <w:r w:rsidRPr="00CA1A43">
        <w:rPr>
          <w:rFonts w:eastAsia="標楷體" w:cstheme="minorHAnsi"/>
        </w:rPr>
        <w:t>組別，因此利率敏感</w:t>
      </w:r>
      <w:r w:rsidR="009653EE" w:rsidRPr="0091591E">
        <w:rPr>
          <w:rFonts w:eastAsia="標楷體" w:cstheme="minorHAnsi"/>
        </w:rPr>
        <w:t>工具</w:t>
      </w:r>
      <w:r w:rsidRPr="0091591E">
        <w:rPr>
          <w:rFonts w:eastAsia="標楷體" w:cstheme="minorHAnsi"/>
        </w:rPr>
        <w:t>之</w:t>
      </w:r>
      <w:r w:rsidRPr="00CA1A43">
        <w:rPr>
          <w:rFonts w:eastAsia="標楷體" w:cstheme="minorHAnsi"/>
        </w:rPr>
        <w:t>同一計價幣別，其相對應無風險</w:t>
      </w:r>
      <w:proofErr w:type="gramStart"/>
      <w:r w:rsidRPr="00CA1A43">
        <w:rPr>
          <w:rFonts w:eastAsia="標楷體" w:cstheme="minorHAnsi"/>
        </w:rPr>
        <w:t>殖</w:t>
      </w:r>
      <w:proofErr w:type="gramEnd"/>
      <w:r w:rsidRPr="00CA1A43">
        <w:rPr>
          <w:rFonts w:eastAsia="標楷體" w:cstheme="minorHAnsi"/>
        </w:rPr>
        <w:t>利率曲線上之所有風險因子都歸入同一組別。</w:t>
      </w:r>
    </w:p>
    <w:p w14:paraId="64C3FF9E" w14:textId="77777777" w:rsidR="000E11DD" w:rsidRPr="00CA1A43" w:rsidRDefault="00467D57"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為計算加權敏感性部位，各天期無風險</w:t>
      </w:r>
      <w:proofErr w:type="gramStart"/>
      <w:r w:rsidRPr="00CA1A43">
        <w:rPr>
          <w:rFonts w:eastAsia="標楷體" w:cstheme="minorHAnsi"/>
        </w:rPr>
        <w:t>殖</w:t>
      </w:r>
      <w:proofErr w:type="gramEnd"/>
      <w:r w:rsidRPr="00CA1A43">
        <w:rPr>
          <w:rFonts w:eastAsia="標楷體" w:cstheme="minorHAnsi"/>
        </w:rPr>
        <w:t>利率曲線的風險權數如表</w:t>
      </w:r>
      <w:r w:rsidRPr="00CA1A43">
        <w:rPr>
          <w:rFonts w:eastAsia="標楷體" w:cstheme="minorHAnsi"/>
        </w:rPr>
        <w:t>1</w:t>
      </w:r>
      <w:r w:rsidRPr="00CA1A43">
        <w:rPr>
          <w:rFonts w:eastAsia="標楷體" w:cstheme="minorHAnsi"/>
        </w:rPr>
        <w:t>所示：</w:t>
      </w:r>
    </w:p>
    <w:tbl>
      <w:tblPr>
        <w:tblStyle w:val="aa"/>
        <w:tblW w:w="0" w:type="auto"/>
        <w:jc w:val="right"/>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701"/>
        <w:gridCol w:w="1276"/>
        <w:gridCol w:w="992"/>
        <w:gridCol w:w="993"/>
        <w:gridCol w:w="992"/>
        <w:gridCol w:w="850"/>
      </w:tblGrid>
      <w:tr w:rsidR="00467D57" w:rsidRPr="00CA1A43" w14:paraId="46EF3409" w14:textId="77777777" w:rsidTr="0013300E">
        <w:trPr>
          <w:trHeight w:val="547"/>
          <w:jc w:val="right"/>
        </w:trPr>
        <w:tc>
          <w:tcPr>
            <w:tcW w:w="5954" w:type="dxa"/>
            <w:gridSpan w:val="5"/>
            <w:tcBorders>
              <w:top w:val="single" w:sz="4" w:space="0" w:color="auto"/>
              <w:bottom w:val="single" w:sz="4" w:space="0" w:color="auto"/>
              <w:right w:val="nil"/>
            </w:tcBorders>
            <w:vAlign w:val="center"/>
          </w:tcPr>
          <w:p w14:paraId="4E324835" w14:textId="77777777" w:rsidR="00467D57" w:rsidRPr="00CA1A43" w:rsidRDefault="00467D57"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 xml:space="preserve">GIRR Delta </w:t>
            </w:r>
            <w:r w:rsidRPr="00CA1A43">
              <w:rPr>
                <w:rFonts w:asciiTheme="minorHAnsi" w:hAnsiTheme="minorHAnsi" w:cstheme="minorHAnsi"/>
                <w:sz w:val="24"/>
                <w:szCs w:val="24"/>
              </w:rPr>
              <w:t>組別與風險權數</w:t>
            </w:r>
          </w:p>
        </w:tc>
        <w:tc>
          <w:tcPr>
            <w:tcW w:w="850" w:type="dxa"/>
            <w:tcBorders>
              <w:top w:val="single" w:sz="4" w:space="0" w:color="auto"/>
              <w:left w:val="nil"/>
              <w:bottom w:val="single" w:sz="4" w:space="0" w:color="auto"/>
            </w:tcBorders>
            <w:vAlign w:val="center"/>
          </w:tcPr>
          <w:p w14:paraId="7A090419" w14:textId="77777777" w:rsidR="00467D57" w:rsidRPr="00CA1A43" w:rsidRDefault="00467D57" w:rsidP="00CC246B">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1</w:t>
            </w:r>
          </w:p>
        </w:tc>
      </w:tr>
      <w:tr w:rsidR="00C149D1" w:rsidRPr="00CA1A43" w14:paraId="3B974ABA" w14:textId="77777777" w:rsidTr="0013300E">
        <w:trPr>
          <w:trHeight w:val="100"/>
          <w:jc w:val="right"/>
        </w:trPr>
        <w:tc>
          <w:tcPr>
            <w:tcW w:w="1701" w:type="dxa"/>
            <w:tcBorders>
              <w:top w:val="single" w:sz="4" w:space="0" w:color="auto"/>
              <w:right w:val="nil"/>
            </w:tcBorders>
            <w:vAlign w:val="center"/>
          </w:tcPr>
          <w:p w14:paraId="61AC07F9" w14:textId="77777777" w:rsidR="00467D57" w:rsidRPr="00CA1A43" w:rsidRDefault="00467D57" w:rsidP="0013300E">
            <w:pPr>
              <w:pStyle w:val="Item"/>
              <w:rPr>
                <w:rFonts w:asciiTheme="minorHAnsi" w:hAnsiTheme="minorHAnsi" w:cstheme="minorHAnsi"/>
                <w:sz w:val="24"/>
                <w:szCs w:val="24"/>
              </w:rPr>
            </w:pPr>
            <w:r w:rsidRPr="00CA1A43">
              <w:rPr>
                <w:rFonts w:asciiTheme="minorHAnsi" w:hAnsiTheme="minorHAnsi" w:cstheme="minorHAnsi"/>
                <w:sz w:val="24"/>
                <w:szCs w:val="24"/>
              </w:rPr>
              <w:t>天期</w:t>
            </w:r>
          </w:p>
        </w:tc>
        <w:tc>
          <w:tcPr>
            <w:tcW w:w="1276" w:type="dxa"/>
            <w:tcBorders>
              <w:top w:val="single" w:sz="4" w:space="0" w:color="auto"/>
              <w:left w:val="nil"/>
              <w:right w:val="single" w:sz="8" w:space="0" w:color="BFBFBF" w:themeColor="background1" w:themeShade="BF"/>
            </w:tcBorders>
            <w:vAlign w:val="center"/>
          </w:tcPr>
          <w:p w14:paraId="1FBAB8F8" w14:textId="2A3C3AF5" w:rsidR="00467D57" w:rsidRPr="00CA1A43" w:rsidRDefault="0013300E" w:rsidP="00CC246B">
            <w:pPr>
              <w:pStyle w:val="Item"/>
              <w:jc w:val="center"/>
              <w:rPr>
                <w:rFonts w:asciiTheme="minorHAnsi" w:hAnsiTheme="minorHAnsi" w:cstheme="minorHAnsi"/>
                <w:sz w:val="24"/>
                <w:szCs w:val="24"/>
              </w:rPr>
            </w:pPr>
            <w:r>
              <w:rPr>
                <w:rFonts w:asciiTheme="minorHAnsi" w:hAnsiTheme="minorHAnsi" w:cstheme="minorHAnsi" w:hint="eastAsia"/>
                <w:sz w:val="24"/>
                <w:szCs w:val="24"/>
              </w:rPr>
              <w:t xml:space="preserve"> </w:t>
            </w:r>
            <w:r w:rsidR="00467D57" w:rsidRPr="00CA1A43">
              <w:rPr>
                <w:rFonts w:asciiTheme="minorHAnsi" w:hAnsiTheme="minorHAnsi" w:cstheme="minorHAnsi"/>
                <w:sz w:val="24"/>
                <w:szCs w:val="24"/>
              </w:rPr>
              <w:t>0.25</w:t>
            </w:r>
            <w:r w:rsidR="00467D57" w:rsidRPr="00CA1A43">
              <w:rPr>
                <w:rFonts w:asciiTheme="minorHAnsi" w:hAnsiTheme="minorHAnsi" w:cstheme="minorHAnsi"/>
                <w:sz w:val="24"/>
                <w:szCs w:val="24"/>
              </w:rPr>
              <w:t>年</w:t>
            </w:r>
          </w:p>
        </w:tc>
        <w:tc>
          <w:tcPr>
            <w:tcW w:w="992" w:type="dxa"/>
            <w:tcBorders>
              <w:top w:val="single" w:sz="4" w:space="0" w:color="auto"/>
              <w:left w:val="single" w:sz="8" w:space="0" w:color="BFBFBF" w:themeColor="background1" w:themeShade="BF"/>
              <w:right w:val="single" w:sz="8" w:space="0" w:color="BFBFBF" w:themeColor="background1" w:themeShade="BF"/>
            </w:tcBorders>
            <w:vAlign w:val="center"/>
          </w:tcPr>
          <w:p w14:paraId="5956CFF1"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0.5</w:t>
            </w:r>
            <w:r w:rsidRPr="00CA1A43">
              <w:rPr>
                <w:rFonts w:asciiTheme="minorHAnsi" w:hAnsiTheme="minorHAnsi" w:cstheme="minorHAnsi"/>
                <w:sz w:val="24"/>
                <w:szCs w:val="24"/>
              </w:rPr>
              <w:t>年</w:t>
            </w:r>
          </w:p>
        </w:tc>
        <w:tc>
          <w:tcPr>
            <w:tcW w:w="993" w:type="dxa"/>
            <w:tcBorders>
              <w:top w:val="single" w:sz="4" w:space="0" w:color="auto"/>
              <w:left w:val="single" w:sz="8" w:space="0" w:color="BFBFBF" w:themeColor="background1" w:themeShade="BF"/>
              <w:right w:val="single" w:sz="4" w:space="0" w:color="A6A6A6" w:themeColor="background1" w:themeShade="A6"/>
            </w:tcBorders>
            <w:vAlign w:val="center"/>
          </w:tcPr>
          <w:p w14:paraId="7274462F"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年</w:t>
            </w:r>
          </w:p>
        </w:tc>
        <w:tc>
          <w:tcPr>
            <w:tcW w:w="992" w:type="dxa"/>
            <w:tcBorders>
              <w:top w:val="single" w:sz="4" w:space="0" w:color="auto"/>
              <w:left w:val="single" w:sz="4" w:space="0" w:color="A6A6A6" w:themeColor="background1" w:themeShade="A6"/>
              <w:right w:val="single" w:sz="4" w:space="0" w:color="A6A6A6" w:themeColor="background1" w:themeShade="A6"/>
            </w:tcBorders>
            <w:vAlign w:val="center"/>
          </w:tcPr>
          <w:p w14:paraId="71B58004"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r w:rsidRPr="00CA1A43">
              <w:rPr>
                <w:rFonts w:asciiTheme="minorHAnsi" w:hAnsiTheme="minorHAnsi" w:cstheme="minorHAnsi"/>
                <w:sz w:val="24"/>
                <w:szCs w:val="24"/>
              </w:rPr>
              <w:t>年</w:t>
            </w:r>
          </w:p>
        </w:tc>
        <w:tc>
          <w:tcPr>
            <w:tcW w:w="850" w:type="dxa"/>
            <w:tcBorders>
              <w:top w:val="single" w:sz="4" w:space="0" w:color="auto"/>
              <w:left w:val="single" w:sz="4" w:space="0" w:color="A6A6A6" w:themeColor="background1" w:themeShade="A6"/>
            </w:tcBorders>
            <w:vAlign w:val="center"/>
          </w:tcPr>
          <w:p w14:paraId="5AFD1EE6"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r w:rsidRPr="00CA1A43">
              <w:rPr>
                <w:rFonts w:asciiTheme="minorHAnsi" w:hAnsiTheme="minorHAnsi" w:cstheme="minorHAnsi"/>
                <w:sz w:val="24"/>
                <w:szCs w:val="24"/>
              </w:rPr>
              <w:t>年</w:t>
            </w:r>
          </w:p>
        </w:tc>
      </w:tr>
      <w:tr w:rsidR="00C149D1" w:rsidRPr="00CA1A43" w14:paraId="6CBC29D9" w14:textId="77777777" w:rsidTr="0013300E">
        <w:trPr>
          <w:trHeight w:val="100"/>
          <w:jc w:val="right"/>
        </w:trPr>
        <w:tc>
          <w:tcPr>
            <w:tcW w:w="1701" w:type="dxa"/>
            <w:tcBorders>
              <w:right w:val="nil"/>
            </w:tcBorders>
            <w:vAlign w:val="center"/>
          </w:tcPr>
          <w:p w14:paraId="361A8E00" w14:textId="77777777" w:rsidR="00467D57" w:rsidRPr="00CA1A43" w:rsidRDefault="00467D57"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風險權數</w:t>
            </w:r>
          </w:p>
        </w:tc>
        <w:tc>
          <w:tcPr>
            <w:tcW w:w="1276" w:type="dxa"/>
            <w:tcBorders>
              <w:left w:val="nil"/>
              <w:right w:val="single" w:sz="8" w:space="0" w:color="BFBFBF" w:themeColor="background1" w:themeShade="BF"/>
            </w:tcBorders>
            <w:vAlign w:val="center"/>
          </w:tcPr>
          <w:p w14:paraId="33C653F7" w14:textId="419A1800" w:rsidR="00467D57" w:rsidRPr="00CA1A43" w:rsidRDefault="0013300E" w:rsidP="00CC246B">
            <w:pPr>
              <w:pStyle w:val="Item"/>
              <w:jc w:val="center"/>
              <w:rPr>
                <w:rFonts w:asciiTheme="minorHAnsi" w:hAnsiTheme="minorHAnsi" w:cstheme="minorHAnsi"/>
                <w:sz w:val="24"/>
                <w:szCs w:val="24"/>
              </w:rPr>
            </w:pPr>
            <w:r>
              <w:rPr>
                <w:rFonts w:asciiTheme="minorHAnsi" w:hAnsiTheme="minorHAnsi" w:cstheme="minorHAnsi" w:hint="eastAsia"/>
                <w:sz w:val="24"/>
                <w:szCs w:val="24"/>
              </w:rPr>
              <w:t xml:space="preserve"> </w:t>
            </w:r>
            <w:r w:rsidR="00467D57" w:rsidRPr="00CA1A43">
              <w:rPr>
                <w:rFonts w:asciiTheme="minorHAnsi" w:hAnsiTheme="minorHAnsi" w:cstheme="minorHAnsi"/>
                <w:sz w:val="24"/>
                <w:szCs w:val="24"/>
              </w:rPr>
              <w:t>1.7%</w:t>
            </w:r>
          </w:p>
        </w:tc>
        <w:tc>
          <w:tcPr>
            <w:tcW w:w="992" w:type="dxa"/>
            <w:tcBorders>
              <w:left w:val="single" w:sz="8" w:space="0" w:color="BFBFBF" w:themeColor="background1" w:themeShade="BF"/>
              <w:right w:val="single" w:sz="8" w:space="0" w:color="BFBFBF" w:themeColor="background1" w:themeShade="BF"/>
            </w:tcBorders>
            <w:vAlign w:val="center"/>
          </w:tcPr>
          <w:p w14:paraId="5A900CE3"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1.7%</w:t>
            </w:r>
          </w:p>
        </w:tc>
        <w:tc>
          <w:tcPr>
            <w:tcW w:w="993" w:type="dxa"/>
            <w:tcBorders>
              <w:left w:val="single" w:sz="8" w:space="0" w:color="BFBFBF" w:themeColor="background1" w:themeShade="BF"/>
              <w:right w:val="single" w:sz="4" w:space="0" w:color="A6A6A6" w:themeColor="background1" w:themeShade="A6"/>
            </w:tcBorders>
            <w:vAlign w:val="center"/>
          </w:tcPr>
          <w:p w14:paraId="634B385B"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1.6%</w:t>
            </w:r>
          </w:p>
        </w:tc>
        <w:tc>
          <w:tcPr>
            <w:tcW w:w="992" w:type="dxa"/>
            <w:tcBorders>
              <w:left w:val="single" w:sz="4" w:space="0" w:color="A6A6A6" w:themeColor="background1" w:themeShade="A6"/>
              <w:right w:val="single" w:sz="4" w:space="0" w:color="A6A6A6" w:themeColor="background1" w:themeShade="A6"/>
            </w:tcBorders>
            <w:vAlign w:val="center"/>
          </w:tcPr>
          <w:p w14:paraId="57BDD75E"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w:t>
            </w:r>
          </w:p>
        </w:tc>
        <w:tc>
          <w:tcPr>
            <w:tcW w:w="850" w:type="dxa"/>
            <w:tcBorders>
              <w:left w:val="single" w:sz="4" w:space="0" w:color="A6A6A6" w:themeColor="background1" w:themeShade="A6"/>
            </w:tcBorders>
            <w:vAlign w:val="center"/>
          </w:tcPr>
          <w:p w14:paraId="28FC28F6"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r>
      <w:tr w:rsidR="00C149D1" w:rsidRPr="00CA1A43" w14:paraId="1A9BE178" w14:textId="77777777" w:rsidTr="0013300E">
        <w:trPr>
          <w:trHeight w:val="100"/>
          <w:jc w:val="right"/>
        </w:trPr>
        <w:tc>
          <w:tcPr>
            <w:tcW w:w="1701" w:type="dxa"/>
            <w:tcBorders>
              <w:right w:val="nil"/>
            </w:tcBorders>
            <w:vAlign w:val="center"/>
          </w:tcPr>
          <w:p w14:paraId="099E6ACA" w14:textId="77777777" w:rsidR="00467D57" w:rsidRPr="00CA1A43" w:rsidRDefault="00467D57" w:rsidP="00CC246B">
            <w:pPr>
              <w:pStyle w:val="Item"/>
              <w:jc w:val="both"/>
              <w:rPr>
                <w:rFonts w:asciiTheme="minorHAnsi" w:hAnsiTheme="minorHAnsi" w:cstheme="minorHAnsi"/>
                <w:sz w:val="24"/>
                <w:szCs w:val="24"/>
              </w:rPr>
            </w:pPr>
          </w:p>
        </w:tc>
        <w:tc>
          <w:tcPr>
            <w:tcW w:w="1276" w:type="dxa"/>
            <w:tcBorders>
              <w:left w:val="nil"/>
              <w:right w:val="single" w:sz="8" w:space="0" w:color="BFBFBF" w:themeColor="background1" w:themeShade="BF"/>
            </w:tcBorders>
            <w:vAlign w:val="center"/>
          </w:tcPr>
          <w:p w14:paraId="1D736BBA" w14:textId="77777777" w:rsidR="00467D57" w:rsidRPr="00CA1A43" w:rsidRDefault="00467D57" w:rsidP="00CC246B">
            <w:pPr>
              <w:pStyle w:val="Item"/>
              <w:jc w:val="center"/>
              <w:rPr>
                <w:rFonts w:asciiTheme="minorHAnsi" w:hAnsiTheme="minorHAnsi" w:cstheme="minorHAnsi"/>
                <w:sz w:val="24"/>
                <w:szCs w:val="24"/>
              </w:rPr>
            </w:pPr>
          </w:p>
        </w:tc>
        <w:tc>
          <w:tcPr>
            <w:tcW w:w="992" w:type="dxa"/>
            <w:tcBorders>
              <w:left w:val="single" w:sz="8" w:space="0" w:color="BFBFBF" w:themeColor="background1" w:themeShade="BF"/>
              <w:right w:val="single" w:sz="8" w:space="0" w:color="BFBFBF" w:themeColor="background1" w:themeShade="BF"/>
            </w:tcBorders>
            <w:vAlign w:val="center"/>
          </w:tcPr>
          <w:p w14:paraId="6FF875B7" w14:textId="77777777" w:rsidR="00467D57" w:rsidRPr="00CA1A43" w:rsidRDefault="00467D57" w:rsidP="00CC246B">
            <w:pPr>
              <w:pStyle w:val="Item"/>
              <w:jc w:val="center"/>
              <w:rPr>
                <w:rFonts w:asciiTheme="minorHAnsi" w:hAnsiTheme="minorHAnsi" w:cstheme="minorHAnsi"/>
                <w:sz w:val="24"/>
                <w:szCs w:val="24"/>
              </w:rPr>
            </w:pPr>
          </w:p>
        </w:tc>
        <w:tc>
          <w:tcPr>
            <w:tcW w:w="993" w:type="dxa"/>
            <w:tcBorders>
              <w:left w:val="single" w:sz="8" w:space="0" w:color="BFBFBF" w:themeColor="background1" w:themeShade="BF"/>
              <w:right w:val="single" w:sz="4" w:space="0" w:color="A6A6A6" w:themeColor="background1" w:themeShade="A6"/>
            </w:tcBorders>
            <w:vAlign w:val="center"/>
          </w:tcPr>
          <w:p w14:paraId="29C8E1B2" w14:textId="77777777" w:rsidR="00467D57" w:rsidRPr="00CA1A43" w:rsidRDefault="00467D57" w:rsidP="00CC246B">
            <w:pPr>
              <w:pStyle w:val="Item"/>
              <w:jc w:val="center"/>
              <w:rPr>
                <w:rFonts w:asciiTheme="minorHAnsi" w:hAnsiTheme="minorHAnsi" w:cstheme="minorHAnsi"/>
                <w:sz w:val="24"/>
                <w:szCs w:val="24"/>
              </w:rPr>
            </w:pPr>
          </w:p>
        </w:tc>
        <w:tc>
          <w:tcPr>
            <w:tcW w:w="992" w:type="dxa"/>
            <w:tcBorders>
              <w:left w:val="single" w:sz="4" w:space="0" w:color="A6A6A6" w:themeColor="background1" w:themeShade="A6"/>
              <w:right w:val="single" w:sz="4" w:space="0" w:color="A6A6A6" w:themeColor="background1" w:themeShade="A6"/>
            </w:tcBorders>
            <w:vAlign w:val="center"/>
          </w:tcPr>
          <w:p w14:paraId="1A873904" w14:textId="77777777" w:rsidR="00467D57" w:rsidRPr="00CA1A43" w:rsidRDefault="00467D57" w:rsidP="00CC246B">
            <w:pPr>
              <w:pStyle w:val="Item"/>
              <w:jc w:val="center"/>
              <w:rPr>
                <w:rFonts w:asciiTheme="minorHAnsi" w:hAnsiTheme="minorHAnsi" w:cstheme="minorHAnsi"/>
                <w:sz w:val="24"/>
                <w:szCs w:val="24"/>
              </w:rPr>
            </w:pPr>
          </w:p>
        </w:tc>
        <w:tc>
          <w:tcPr>
            <w:tcW w:w="850" w:type="dxa"/>
            <w:tcBorders>
              <w:left w:val="single" w:sz="4" w:space="0" w:color="A6A6A6" w:themeColor="background1" w:themeShade="A6"/>
            </w:tcBorders>
            <w:vAlign w:val="center"/>
          </w:tcPr>
          <w:p w14:paraId="50A30FA4" w14:textId="77777777" w:rsidR="00467D57" w:rsidRPr="00CA1A43" w:rsidRDefault="00467D57" w:rsidP="00CC246B">
            <w:pPr>
              <w:pStyle w:val="Item"/>
              <w:jc w:val="center"/>
              <w:rPr>
                <w:rFonts w:asciiTheme="minorHAnsi" w:hAnsiTheme="minorHAnsi" w:cstheme="minorHAnsi"/>
                <w:sz w:val="24"/>
                <w:szCs w:val="24"/>
              </w:rPr>
            </w:pPr>
          </w:p>
        </w:tc>
      </w:tr>
      <w:tr w:rsidR="00C149D1" w:rsidRPr="00CA1A43" w14:paraId="1656101C" w14:textId="77777777" w:rsidTr="0013300E">
        <w:trPr>
          <w:trHeight w:val="100"/>
          <w:jc w:val="right"/>
        </w:trPr>
        <w:tc>
          <w:tcPr>
            <w:tcW w:w="1701" w:type="dxa"/>
            <w:tcBorders>
              <w:bottom w:val="single" w:sz="4" w:space="0" w:color="auto"/>
              <w:right w:val="nil"/>
            </w:tcBorders>
            <w:vAlign w:val="center"/>
          </w:tcPr>
          <w:p w14:paraId="692578BB" w14:textId="77777777" w:rsidR="00467D57" w:rsidRPr="00CA1A43" w:rsidRDefault="00467D57"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天期</w:t>
            </w:r>
          </w:p>
        </w:tc>
        <w:tc>
          <w:tcPr>
            <w:tcW w:w="1276" w:type="dxa"/>
            <w:tcBorders>
              <w:left w:val="nil"/>
              <w:bottom w:val="single" w:sz="4" w:space="0" w:color="auto"/>
              <w:right w:val="single" w:sz="8" w:space="0" w:color="BFBFBF" w:themeColor="background1" w:themeShade="BF"/>
            </w:tcBorders>
            <w:vAlign w:val="center"/>
          </w:tcPr>
          <w:p w14:paraId="5D958A5A" w14:textId="7677219F" w:rsidR="00467D57" w:rsidRPr="00CA1A43" w:rsidRDefault="0013300E" w:rsidP="00CC246B">
            <w:pPr>
              <w:pStyle w:val="Item"/>
              <w:jc w:val="center"/>
              <w:rPr>
                <w:rFonts w:asciiTheme="minorHAnsi" w:hAnsiTheme="minorHAnsi" w:cstheme="minorHAnsi"/>
                <w:sz w:val="24"/>
                <w:szCs w:val="24"/>
              </w:rPr>
            </w:pPr>
            <w:r>
              <w:rPr>
                <w:rFonts w:asciiTheme="minorHAnsi" w:hAnsiTheme="minorHAnsi" w:cstheme="minorHAnsi" w:hint="eastAsia"/>
                <w:sz w:val="24"/>
                <w:szCs w:val="24"/>
              </w:rPr>
              <w:t xml:space="preserve"> </w:t>
            </w:r>
            <w:r w:rsidR="00467D57" w:rsidRPr="00CA1A43">
              <w:rPr>
                <w:rFonts w:asciiTheme="minorHAnsi" w:hAnsiTheme="minorHAnsi" w:cstheme="minorHAnsi"/>
                <w:sz w:val="24"/>
                <w:szCs w:val="24"/>
              </w:rPr>
              <w:t>5</w:t>
            </w:r>
            <w:r w:rsidR="00467D57" w:rsidRPr="00CA1A43">
              <w:rPr>
                <w:rFonts w:asciiTheme="minorHAnsi" w:hAnsiTheme="minorHAnsi" w:cstheme="minorHAnsi"/>
                <w:sz w:val="24"/>
                <w:szCs w:val="24"/>
              </w:rPr>
              <w:t>年</w:t>
            </w:r>
          </w:p>
        </w:tc>
        <w:tc>
          <w:tcPr>
            <w:tcW w:w="992" w:type="dxa"/>
            <w:tcBorders>
              <w:left w:val="single" w:sz="8" w:space="0" w:color="BFBFBF" w:themeColor="background1" w:themeShade="BF"/>
              <w:bottom w:val="single" w:sz="4" w:space="0" w:color="auto"/>
              <w:right w:val="single" w:sz="8" w:space="0" w:color="BFBFBF" w:themeColor="background1" w:themeShade="BF"/>
            </w:tcBorders>
            <w:vAlign w:val="center"/>
          </w:tcPr>
          <w:p w14:paraId="4CE99887"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r w:rsidRPr="00CA1A43">
              <w:rPr>
                <w:rFonts w:asciiTheme="minorHAnsi" w:hAnsiTheme="minorHAnsi" w:cstheme="minorHAnsi"/>
                <w:sz w:val="24"/>
                <w:szCs w:val="24"/>
              </w:rPr>
              <w:t>年</w:t>
            </w:r>
          </w:p>
        </w:tc>
        <w:tc>
          <w:tcPr>
            <w:tcW w:w="993" w:type="dxa"/>
            <w:tcBorders>
              <w:left w:val="single" w:sz="8" w:space="0" w:color="BFBFBF" w:themeColor="background1" w:themeShade="BF"/>
              <w:bottom w:val="single" w:sz="4" w:space="0" w:color="auto"/>
              <w:right w:val="single" w:sz="4" w:space="0" w:color="A6A6A6" w:themeColor="background1" w:themeShade="A6"/>
            </w:tcBorders>
            <w:vAlign w:val="center"/>
          </w:tcPr>
          <w:p w14:paraId="388D5A38"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r w:rsidRPr="00CA1A43">
              <w:rPr>
                <w:rFonts w:asciiTheme="minorHAnsi" w:hAnsiTheme="minorHAnsi" w:cstheme="minorHAnsi"/>
                <w:sz w:val="24"/>
                <w:szCs w:val="24"/>
              </w:rPr>
              <w:t>年</w:t>
            </w:r>
          </w:p>
        </w:tc>
        <w:tc>
          <w:tcPr>
            <w:tcW w:w="992" w:type="dxa"/>
            <w:tcBorders>
              <w:left w:val="single" w:sz="4" w:space="0" w:color="A6A6A6" w:themeColor="background1" w:themeShade="A6"/>
              <w:bottom w:val="single" w:sz="4" w:space="0" w:color="auto"/>
              <w:right w:val="single" w:sz="4" w:space="0" w:color="A6A6A6" w:themeColor="background1" w:themeShade="A6"/>
            </w:tcBorders>
            <w:vAlign w:val="center"/>
          </w:tcPr>
          <w:p w14:paraId="21CAF4C1"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r w:rsidRPr="00CA1A43">
              <w:rPr>
                <w:rFonts w:asciiTheme="minorHAnsi" w:hAnsiTheme="minorHAnsi" w:cstheme="minorHAnsi"/>
                <w:sz w:val="24"/>
                <w:szCs w:val="24"/>
              </w:rPr>
              <w:t>年</w:t>
            </w:r>
          </w:p>
        </w:tc>
        <w:tc>
          <w:tcPr>
            <w:tcW w:w="850" w:type="dxa"/>
            <w:tcBorders>
              <w:left w:val="single" w:sz="4" w:space="0" w:color="A6A6A6" w:themeColor="background1" w:themeShade="A6"/>
              <w:bottom w:val="single" w:sz="4" w:space="0" w:color="auto"/>
            </w:tcBorders>
            <w:vAlign w:val="center"/>
          </w:tcPr>
          <w:p w14:paraId="021C64DC"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r w:rsidRPr="00CA1A43">
              <w:rPr>
                <w:rFonts w:asciiTheme="minorHAnsi" w:hAnsiTheme="minorHAnsi" w:cstheme="minorHAnsi"/>
                <w:sz w:val="24"/>
                <w:szCs w:val="24"/>
              </w:rPr>
              <w:t>年</w:t>
            </w:r>
          </w:p>
        </w:tc>
      </w:tr>
      <w:tr w:rsidR="00C149D1" w:rsidRPr="00CA1A43" w14:paraId="0105A07A" w14:textId="77777777" w:rsidTr="0013300E">
        <w:trPr>
          <w:trHeight w:val="100"/>
          <w:jc w:val="right"/>
        </w:trPr>
        <w:tc>
          <w:tcPr>
            <w:tcW w:w="1701" w:type="dxa"/>
            <w:tcBorders>
              <w:top w:val="single" w:sz="4" w:space="0" w:color="auto"/>
              <w:bottom w:val="single" w:sz="4" w:space="0" w:color="auto"/>
              <w:right w:val="nil"/>
            </w:tcBorders>
            <w:vAlign w:val="center"/>
          </w:tcPr>
          <w:p w14:paraId="7EB4C0E3" w14:textId="77777777" w:rsidR="00467D57" w:rsidRPr="00CA1A43" w:rsidRDefault="00467D57"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風險權數</w:t>
            </w:r>
            <w:r w:rsidRPr="00CA1A43">
              <w:rPr>
                <w:rFonts w:asciiTheme="minorHAnsi" w:hAnsiTheme="minorHAnsi" w:cstheme="minorHAnsi"/>
                <w:sz w:val="24"/>
                <w:szCs w:val="24"/>
              </w:rPr>
              <w:t xml:space="preserve"> (%)</w:t>
            </w:r>
          </w:p>
        </w:tc>
        <w:tc>
          <w:tcPr>
            <w:tcW w:w="1276" w:type="dxa"/>
            <w:tcBorders>
              <w:top w:val="single" w:sz="4" w:space="0" w:color="auto"/>
              <w:left w:val="nil"/>
              <w:bottom w:val="single" w:sz="4" w:space="0" w:color="auto"/>
              <w:right w:val="single" w:sz="8" w:space="0" w:color="BFBFBF" w:themeColor="background1" w:themeShade="BF"/>
            </w:tcBorders>
            <w:vAlign w:val="center"/>
          </w:tcPr>
          <w:p w14:paraId="7758B694" w14:textId="2490DBD4" w:rsidR="00467D57" w:rsidRPr="00CA1A43" w:rsidRDefault="0013300E" w:rsidP="00CC246B">
            <w:pPr>
              <w:pStyle w:val="Item"/>
              <w:jc w:val="center"/>
              <w:rPr>
                <w:rFonts w:asciiTheme="minorHAnsi" w:hAnsiTheme="minorHAnsi" w:cstheme="minorHAnsi"/>
                <w:sz w:val="24"/>
                <w:szCs w:val="24"/>
              </w:rPr>
            </w:pPr>
            <w:r>
              <w:rPr>
                <w:rFonts w:asciiTheme="minorHAnsi" w:hAnsiTheme="minorHAnsi" w:cstheme="minorHAnsi" w:hint="eastAsia"/>
                <w:sz w:val="24"/>
                <w:szCs w:val="24"/>
              </w:rPr>
              <w:t xml:space="preserve"> </w:t>
            </w:r>
            <w:r w:rsidR="00467D57" w:rsidRPr="00CA1A43">
              <w:rPr>
                <w:rFonts w:asciiTheme="minorHAnsi" w:hAnsiTheme="minorHAnsi" w:cstheme="minorHAnsi"/>
                <w:sz w:val="24"/>
                <w:szCs w:val="24"/>
              </w:rPr>
              <w:t>1.1%</w:t>
            </w:r>
          </w:p>
        </w:tc>
        <w:tc>
          <w:tcPr>
            <w:tcW w:w="992" w:type="dxa"/>
            <w:tcBorders>
              <w:top w:val="single" w:sz="4" w:space="0" w:color="auto"/>
              <w:left w:val="single" w:sz="8" w:space="0" w:color="BFBFBF" w:themeColor="background1" w:themeShade="BF"/>
              <w:bottom w:val="single" w:sz="4" w:space="0" w:color="auto"/>
              <w:right w:val="single" w:sz="8" w:space="0" w:color="BFBFBF" w:themeColor="background1" w:themeShade="BF"/>
            </w:tcBorders>
            <w:vAlign w:val="center"/>
          </w:tcPr>
          <w:p w14:paraId="21613E2F"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993" w:type="dxa"/>
            <w:tcBorders>
              <w:top w:val="single" w:sz="4" w:space="0" w:color="auto"/>
              <w:left w:val="single" w:sz="8" w:space="0" w:color="BFBFBF" w:themeColor="background1" w:themeShade="BF"/>
              <w:bottom w:val="single" w:sz="4" w:space="0" w:color="auto"/>
              <w:right w:val="single" w:sz="4" w:space="0" w:color="A6A6A6" w:themeColor="background1" w:themeShade="A6"/>
            </w:tcBorders>
            <w:vAlign w:val="center"/>
          </w:tcPr>
          <w:p w14:paraId="2A9B52A3"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992" w:type="dxa"/>
            <w:tcBorders>
              <w:top w:val="single" w:sz="4" w:space="0" w:color="auto"/>
              <w:left w:val="single" w:sz="4" w:space="0" w:color="A6A6A6" w:themeColor="background1" w:themeShade="A6"/>
              <w:bottom w:val="single" w:sz="4" w:space="0" w:color="auto"/>
              <w:right w:val="single" w:sz="4" w:space="0" w:color="A6A6A6" w:themeColor="background1" w:themeShade="A6"/>
            </w:tcBorders>
            <w:vAlign w:val="center"/>
          </w:tcPr>
          <w:p w14:paraId="23BE0E95"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850" w:type="dxa"/>
            <w:tcBorders>
              <w:top w:val="single" w:sz="4" w:space="0" w:color="auto"/>
              <w:left w:val="single" w:sz="4" w:space="0" w:color="A6A6A6" w:themeColor="background1" w:themeShade="A6"/>
              <w:bottom w:val="single" w:sz="4" w:space="0" w:color="auto"/>
            </w:tcBorders>
            <w:vAlign w:val="center"/>
          </w:tcPr>
          <w:p w14:paraId="4D423C06" w14:textId="77777777" w:rsidR="00467D57" w:rsidRPr="00CA1A43" w:rsidRDefault="00467D5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r>
    </w:tbl>
    <w:p w14:paraId="4FEA2A2E" w14:textId="77777777" w:rsidR="00467D57"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對於通膨風險因子與交叉</w:t>
      </w:r>
      <w:proofErr w:type="gramStart"/>
      <w:r w:rsidRPr="00CA1A43">
        <w:rPr>
          <w:rFonts w:eastAsia="標楷體" w:cstheme="minorHAnsi"/>
        </w:rPr>
        <w:t>貨幣基差風險</w:t>
      </w:r>
      <w:proofErr w:type="gramEnd"/>
      <w:r w:rsidRPr="00CA1A43">
        <w:rPr>
          <w:rFonts w:eastAsia="標楷體" w:cstheme="minorHAnsi"/>
        </w:rPr>
        <w:t>因子，其風險權數皆為</w:t>
      </w:r>
      <w:r w:rsidRPr="00CA1A43">
        <w:rPr>
          <w:rFonts w:eastAsia="標楷體" w:cstheme="minorHAnsi"/>
        </w:rPr>
        <w:t>1.6%</w:t>
      </w:r>
      <w:r w:rsidRPr="00CA1A43">
        <w:rPr>
          <w:rFonts w:eastAsia="標楷體" w:cstheme="minorHAnsi"/>
        </w:rPr>
        <w:t>。</w:t>
      </w:r>
    </w:p>
    <w:p w14:paraId="656119F3" w14:textId="77777777" w:rsidR="00CC445E"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針對</w:t>
      </w:r>
      <w:r w:rsidRPr="00CA1A43">
        <w:rPr>
          <w:rFonts w:eastAsia="標楷體" w:cstheme="minorHAnsi"/>
        </w:rPr>
        <w:t xml:space="preserve">EUR, USD, GBP, AUD, JPY, SEK, CAD </w:t>
      </w:r>
      <w:r w:rsidRPr="00CA1A43">
        <w:rPr>
          <w:rFonts w:eastAsia="標楷體" w:cstheme="minorHAnsi"/>
        </w:rPr>
        <w:t>及銀行之本位幣，其</w:t>
      </w:r>
      <w:r w:rsidRPr="00CA1A43">
        <w:rPr>
          <w:rFonts w:eastAsia="標楷體" w:cstheme="minorHAnsi"/>
        </w:rPr>
        <w:t>GIRR Delta</w:t>
      </w:r>
      <w:r w:rsidRPr="00CA1A43">
        <w:rPr>
          <w:rFonts w:eastAsia="標楷體" w:cstheme="minorHAnsi"/>
        </w:rPr>
        <w:t>所適用之風險權數除以根號</w:t>
      </w:r>
      <w:r w:rsidRPr="00CA1A43">
        <w:rPr>
          <w:rFonts w:eastAsia="標楷體" w:cstheme="minorHAnsi"/>
        </w:rPr>
        <w:t>2</w:t>
      </w:r>
      <w:r w:rsidRPr="00CA1A43">
        <w:rPr>
          <w:rFonts w:eastAsia="標楷體" w:cstheme="minorHAnsi"/>
        </w:rPr>
        <w:t>。</w:t>
      </w:r>
    </w:p>
    <w:p w14:paraId="592D7284" w14:textId="77777777" w:rsidR="00CC445E"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同一組別的</w:t>
      </w:r>
      <w:r w:rsidRPr="00CA1A43">
        <w:rPr>
          <w:rFonts w:eastAsia="標楷體" w:cstheme="minorHAnsi"/>
        </w:rPr>
        <w:t>GIRR</w:t>
      </w:r>
      <w:r w:rsidRPr="00CA1A43">
        <w:rPr>
          <w:rFonts w:eastAsia="標楷體" w:cstheme="minorHAnsi"/>
        </w:rPr>
        <w:t>風險部位之加總，於相同組別</w:t>
      </w:r>
      <w:r w:rsidRPr="00CA1A43">
        <w:rPr>
          <w:rFonts w:eastAsia="標楷體" w:cstheme="minorHAnsi"/>
        </w:rPr>
        <w:t>(</w:t>
      </w:r>
      <w:r w:rsidRPr="00CA1A43">
        <w:rPr>
          <w:rFonts w:eastAsia="標楷體" w:cstheme="minorHAnsi"/>
        </w:rPr>
        <w:t>即相同幣別</w:t>
      </w:r>
      <w:r w:rsidRPr="00CA1A43">
        <w:rPr>
          <w:rFonts w:eastAsia="標楷體" w:cstheme="minorHAnsi"/>
        </w:rPr>
        <w:t>)</w:t>
      </w:r>
      <w:r w:rsidRPr="00CA1A43">
        <w:rPr>
          <w:rFonts w:eastAsia="標楷體" w:cstheme="minorHAnsi"/>
        </w:rPr>
        <w:t>、相同天期，但不同利率曲線下，任兩個風險敏感性部位</w:t>
      </w:r>
      <w:r w:rsidRPr="00CA1A43">
        <w:rPr>
          <w:rFonts w:eastAsia="標楷體" w:cstheme="minorHAnsi"/>
        </w:rPr>
        <w:t>(</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及</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𝑙</w:t>
      </w:r>
      <w:r w:rsidRPr="00CA1A43">
        <w:rPr>
          <w:rFonts w:eastAsia="標楷體" w:cstheme="minorHAnsi"/>
        </w:rPr>
        <w:t>)</w:t>
      </w:r>
      <w:r w:rsidRPr="00CA1A43">
        <w:rPr>
          <w:rFonts w:eastAsia="標楷體" w:cstheme="minorHAnsi"/>
        </w:rPr>
        <w:t>間的相關係數</w:t>
      </w:r>
      <w:r w:rsidRPr="00CA1A43">
        <w:rPr>
          <w:rFonts w:eastAsia="標楷體" w:cstheme="minorHAnsi"/>
        </w:rPr>
        <w:t>(</w:t>
      </w:r>
      <w:proofErr w:type="spellStart"/>
      <w:r w:rsidRPr="00CA1A43">
        <w:rPr>
          <w:rFonts w:eastAsia="標楷體" w:cstheme="minorHAnsi"/>
        </w:rPr>
        <w:t>ρ</w:t>
      </w:r>
      <w:r w:rsidRPr="00CA1A43">
        <w:rPr>
          <w:rFonts w:eastAsia="標楷體" w:cstheme="minorHAnsi"/>
          <w:vertAlign w:val="subscript"/>
        </w:rPr>
        <w:t>kl</w:t>
      </w:r>
      <w:proofErr w:type="spellEnd"/>
      <w:r w:rsidRPr="00CA1A43">
        <w:rPr>
          <w:rFonts w:eastAsia="標楷體" w:cstheme="minorHAnsi"/>
        </w:rPr>
        <w:t>)</w:t>
      </w:r>
      <w:r w:rsidRPr="00CA1A43">
        <w:rPr>
          <w:rFonts w:eastAsia="標楷體" w:cstheme="minorHAnsi"/>
        </w:rPr>
        <w:t>為</w:t>
      </w:r>
      <w:r w:rsidRPr="00CA1A43">
        <w:rPr>
          <w:rFonts w:eastAsia="標楷體" w:cstheme="minorHAnsi"/>
        </w:rPr>
        <w:t>99.90%</w:t>
      </w:r>
      <w:r w:rsidRPr="00CA1A43">
        <w:rPr>
          <w:rFonts w:eastAsia="標楷體" w:cstheme="minorHAnsi"/>
        </w:rPr>
        <w:t>。加總境內和離岸曲線交叉</w:t>
      </w:r>
      <w:proofErr w:type="gramStart"/>
      <w:r w:rsidRPr="00CA1A43">
        <w:rPr>
          <w:rFonts w:eastAsia="標楷體" w:cstheme="minorHAnsi"/>
        </w:rPr>
        <w:t>貨幣基差風險</w:t>
      </w:r>
      <w:proofErr w:type="gramEnd"/>
      <w:r w:rsidRPr="00CA1A43">
        <w:rPr>
          <w:rFonts w:eastAsia="標楷體" w:cstheme="minorHAnsi"/>
        </w:rPr>
        <w:t>的</w:t>
      </w:r>
      <w:r w:rsidRPr="00CA1A43">
        <w:rPr>
          <w:rFonts w:eastAsia="標楷體" w:cstheme="minorHAnsi"/>
        </w:rPr>
        <w:t>delta</w:t>
      </w:r>
      <w:r w:rsidRPr="00CA1A43">
        <w:rPr>
          <w:rFonts w:eastAsia="標楷體" w:cstheme="minorHAnsi"/>
        </w:rPr>
        <w:t>風險部位時，在納入</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三</w:t>
      </w:r>
      <w:r w:rsidRPr="00CA1A43">
        <w:rPr>
          <w:rFonts w:eastAsia="標楷體" w:cstheme="minorHAnsi"/>
        </w:rPr>
        <w:t>)</w:t>
      </w:r>
      <w:r w:rsidRPr="00CA1A43">
        <w:rPr>
          <w:rFonts w:eastAsia="標楷體" w:cstheme="minorHAnsi"/>
        </w:rPr>
        <w:t>點第</w:t>
      </w:r>
      <w:r w:rsidRPr="00CA1A43">
        <w:rPr>
          <w:rFonts w:eastAsia="標楷體" w:cstheme="minorHAnsi"/>
        </w:rPr>
        <w:t>1</w:t>
      </w:r>
      <w:r w:rsidRPr="00CA1A43">
        <w:rPr>
          <w:rFonts w:eastAsia="標楷體" w:cstheme="minorHAnsi"/>
        </w:rPr>
        <w:t>項所述的兩種不同曲線之考量下，銀行得選擇單一幣別</w:t>
      </w:r>
      <w:r w:rsidRPr="00CA1A43">
        <w:rPr>
          <w:rFonts w:eastAsia="標楷體" w:cstheme="minorHAnsi"/>
        </w:rPr>
        <w:t>(</w:t>
      </w:r>
      <w:r w:rsidRPr="00CA1A43">
        <w:rPr>
          <w:rFonts w:eastAsia="標楷體" w:cstheme="minorHAnsi"/>
        </w:rPr>
        <w:t>例</w:t>
      </w:r>
      <w:r w:rsidRPr="00CA1A43">
        <w:rPr>
          <w:rFonts w:eastAsia="標楷體" w:cstheme="minorHAnsi"/>
        </w:rPr>
        <w:t>“</w:t>
      </w:r>
      <w:proofErr w:type="spellStart"/>
      <w:r w:rsidRPr="00CA1A43">
        <w:rPr>
          <w:rFonts w:eastAsia="標楷體" w:cstheme="minorHAnsi"/>
        </w:rPr>
        <w:t>Curr</w:t>
      </w:r>
      <w:proofErr w:type="spellEnd"/>
      <w:r w:rsidRPr="00CA1A43">
        <w:rPr>
          <w:rFonts w:eastAsia="標楷體" w:cstheme="minorHAnsi"/>
        </w:rPr>
        <w:t>/USD” or “</w:t>
      </w:r>
      <w:proofErr w:type="spellStart"/>
      <w:r w:rsidRPr="00CA1A43">
        <w:rPr>
          <w:rFonts w:eastAsia="標楷體" w:cstheme="minorHAnsi"/>
        </w:rPr>
        <w:t>Curr</w:t>
      </w:r>
      <w:proofErr w:type="spellEnd"/>
      <w:r w:rsidRPr="00CA1A43">
        <w:rPr>
          <w:rFonts w:eastAsia="標楷體" w:cstheme="minorHAnsi"/>
        </w:rPr>
        <w:t>/EUR”)</w:t>
      </w:r>
      <w:r w:rsidRPr="00CA1A43">
        <w:rPr>
          <w:rFonts w:eastAsia="標楷體" w:cstheme="minorHAnsi"/>
        </w:rPr>
        <w:t>，以簡單加總方式彙總所有境內和離岸曲線交叉</w:t>
      </w:r>
      <w:proofErr w:type="gramStart"/>
      <w:r w:rsidRPr="00CA1A43">
        <w:rPr>
          <w:rFonts w:eastAsia="標楷體" w:cstheme="minorHAnsi"/>
        </w:rPr>
        <w:t>貨幣基差風險</w:t>
      </w:r>
      <w:proofErr w:type="gramEnd"/>
      <w:r w:rsidRPr="00CA1A43">
        <w:rPr>
          <w:rFonts w:eastAsia="標楷體" w:cstheme="minorHAnsi"/>
        </w:rPr>
        <w:t>之加權敏感性部位。</w:t>
      </w:r>
    </w:p>
    <w:p w14:paraId="3F8F19BB" w14:textId="77777777" w:rsidR="00CC445E"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同一</w:t>
      </w:r>
      <w:proofErr w:type="gramStart"/>
      <w:r w:rsidRPr="00CA1A43">
        <w:rPr>
          <w:rFonts w:eastAsia="標楷體" w:cstheme="minorHAnsi"/>
        </w:rPr>
        <w:t>組別內</w:t>
      </w:r>
      <w:proofErr w:type="gramEnd"/>
      <w:r w:rsidRPr="00CA1A43">
        <w:rPr>
          <w:rFonts w:eastAsia="標楷體" w:cstheme="minorHAnsi"/>
        </w:rPr>
        <w:t>，相同利率曲線不同期間的加權敏感性部位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和</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𝑙</w:t>
      </w:r>
      <w:r w:rsidRPr="00CA1A43">
        <w:rPr>
          <w:rFonts w:eastAsia="標楷體" w:cstheme="minorHAnsi"/>
        </w:rPr>
        <w:lastRenderedPageBreak/>
        <w:t>間的</w:t>
      </w:r>
      <w:r w:rsidRPr="00CA1A43">
        <w:rPr>
          <w:rFonts w:eastAsia="標楷體" w:cstheme="minorHAnsi"/>
        </w:rPr>
        <w:t>delta</w:t>
      </w:r>
      <w:r w:rsidRPr="00CA1A43">
        <w:rPr>
          <w:rFonts w:eastAsia="標楷體" w:cstheme="minorHAnsi"/>
        </w:rPr>
        <w:t>風險相關係數</w:t>
      </w:r>
      <w:proofErr w:type="spellStart"/>
      <w:r w:rsidRPr="00CA1A43">
        <w:rPr>
          <w:rFonts w:eastAsia="標楷體" w:cstheme="minorHAnsi"/>
        </w:rPr>
        <w:t>ρ</w:t>
      </w:r>
      <w:r w:rsidRPr="00CA1A43">
        <w:rPr>
          <w:rFonts w:eastAsia="標楷體" w:cstheme="minorHAnsi"/>
          <w:vertAlign w:val="subscript"/>
        </w:rPr>
        <w:t>kl</w:t>
      </w:r>
      <w:proofErr w:type="spellEnd"/>
      <w:r w:rsidRPr="00CA1A43">
        <w:rPr>
          <w:rFonts w:eastAsia="標楷體" w:cstheme="minorHAnsi"/>
        </w:rPr>
        <w:t>如表</w:t>
      </w:r>
      <w:r w:rsidRPr="00CA1A43">
        <w:rPr>
          <w:rFonts w:eastAsia="標楷體" w:cstheme="minorHAnsi"/>
        </w:rPr>
        <w:t>2</w:t>
      </w:r>
      <w:r w:rsidRPr="00CA1A43">
        <w:rPr>
          <w:rFonts w:eastAsia="標楷體" w:cstheme="minorHAnsi"/>
        </w:rPr>
        <w:t>所示：</w:t>
      </w:r>
      <w:r w:rsidRPr="00CA1A43">
        <w:rPr>
          <w:rStyle w:val="a5"/>
          <w:rFonts w:eastAsia="標楷體" w:cstheme="minorHAnsi"/>
        </w:rPr>
        <w:footnoteReference w:id="24"/>
      </w:r>
    </w:p>
    <w:tbl>
      <w:tblPr>
        <w:tblStyle w:val="aa"/>
        <w:tblW w:w="5000" w:type="pct"/>
        <w:tblLayout w:type="fixed"/>
        <w:tblLook w:val="0000" w:firstRow="0" w:lastRow="0" w:firstColumn="0" w:lastColumn="0" w:noHBand="0" w:noVBand="0"/>
      </w:tblPr>
      <w:tblGrid>
        <w:gridCol w:w="830"/>
        <w:gridCol w:w="747"/>
        <w:gridCol w:w="747"/>
        <w:gridCol w:w="747"/>
        <w:gridCol w:w="747"/>
        <w:gridCol w:w="748"/>
        <w:gridCol w:w="748"/>
        <w:gridCol w:w="748"/>
        <w:gridCol w:w="748"/>
        <w:gridCol w:w="703"/>
        <w:gridCol w:w="45"/>
        <w:gridCol w:w="748"/>
      </w:tblGrid>
      <w:tr w:rsidR="00CC445E" w:rsidRPr="00CA1A43" w14:paraId="76F2545A" w14:textId="77777777" w:rsidTr="00CC246B">
        <w:trPr>
          <w:trHeight w:val="290"/>
        </w:trPr>
        <w:tc>
          <w:tcPr>
            <w:tcW w:w="4523" w:type="pct"/>
            <w:gridSpan w:val="10"/>
            <w:tcBorders>
              <w:left w:val="nil"/>
              <w:right w:val="nil"/>
            </w:tcBorders>
          </w:tcPr>
          <w:p w14:paraId="6FDAE45C" w14:textId="77777777" w:rsidR="00CC445E" w:rsidRPr="00CA1A43" w:rsidRDefault="00CC445E" w:rsidP="00CC246B">
            <w:pPr>
              <w:autoSpaceDE w:val="0"/>
              <w:autoSpaceDN w:val="0"/>
              <w:adjustRightInd w:val="0"/>
              <w:rPr>
                <w:rFonts w:eastAsia="標楷體" w:cstheme="minorHAnsi"/>
                <w:kern w:val="0"/>
                <w:sz w:val="26"/>
                <w:szCs w:val="26"/>
              </w:rPr>
            </w:pPr>
            <w:r w:rsidRPr="00CA1A43">
              <w:rPr>
                <w:rFonts w:eastAsia="標楷體" w:cstheme="minorHAnsi"/>
                <w:kern w:val="0"/>
                <w:szCs w:val="26"/>
              </w:rPr>
              <w:t>GIRR Delta</w:t>
            </w:r>
            <w:r w:rsidRPr="00CA1A43">
              <w:rPr>
                <w:rFonts w:eastAsia="標楷體" w:cstheme="minorHAnsi"/>
                <w:kern w:val="0"/>
                <w:szCs w:val="26"/>
              </w:rPr>
              <w:t>同一</w:t>
            </w:r>
            <w:proofErr w:type="gramStart"/>
            <w:r w:rsidRPr="00CA1A43">
              <w:rPr>
                <w:rFonts w:eastAsia="標楷體" w:cstheme="minorHAnsi"/>
                <w:kern w:val="0"/>
                <w:szCs w:val="26"/>
              </w:rPr>
              <w:t>組別下</w:t>
            </w:r>
            <w:proofErr w:type="gramEnd"/>
            <w:r w:rsidRPr="00CA1A43">
              <w:rPr>
                <w:rFonts w:eastAsia="標楷體" w:cstheme="minorHAnsi"/>
                <w:kern w:val="0"/>
                <w:szCs w:val="26"/>
              </w:rPr>
              <w:t>，相同利率曲線不同期間之相關係數</w:t>
            </w:r>
            <w:r w:rsidRPr="00CA1A43">
              <w:rPr>
                <w:rFonts w:eastAsia="標楷體" w:cstheme="minorHAnsi"/>
                <w:kern w:val="0"/>
                <w:szCs w:val="26"/>
              </w:rPr>
              <w:t>(</w:t>
            </w:r>
            <w:proofErr w:type="spellStart"/>
            <w:r w:rsidRPr="00CA1A43">
              <w:rPr>
                <w:rFonts w:eastAsia="標楷體" w:cstheme="minorHAnsi"/>
                <w:kern w:val="0"/>
                <w:szCs w:val="26"/>
              </w:rPr>
              <w:t>ρ</w:t>
            </w:r>
            <w:r w:rsidRPr="00CA1A43">
              <w:rPr>
                <w:rFonts w:eastAsia="標楷體" w:cstheme="minorHAnsi"/>
                <w:i/>
                <w:iCs/>
                <w:kern w:val="0"/>
                <w:szCs w:val="26"/>
                <w:vertAlign w:val="subscript"/>
              </w:rPr>
              <w:t>kl</w:t>
            </w:r>
            <w:proofErr w:type="spellEnd"/>
            <w:r w:rsidRPr="00CA1A43">
              <w:rPr>
                <w:rFonts w:eastAsia="標楷體" w:cstheme="minorHAnsi"/>
                <w:iCs/>
                <w:kern w:val="0"/>
                <w:szCs w:val="26"/>
              </w:rPr>
              <w:t>)</w:t>
            </w:r>
          </w:p>
        </w:tc>
        <w:tc>
          <w:tcPr>
            <w:tcW w:w="477" w:type="pct"/>
            <w:gridSpan w:val="2"/>
            <w:tcBorders>
              <w:left w:val="nil"/>
              <w:right w:val="nil"/>
            </w:tcBorders>
          </w:tcPr>
          <w:p w14:paraId="3B779DED" w14:textId="77777777" w:rsidR="00CC445E" w:rsidRPr="00CA1A43" w:rsidRDefault="00CC445E" w:rsidP="00CC246B">
            <w:pPr>
              <w:autoSpaceDE w:val="0"/>
              <w:autoSpaceDN w:val="0"/>
              <w:adjustRightInd w:val="0"/>
              <w:jc w:val="right"/>
              <w:rPr>
                <w:rFonts w:eastAsia="標楷體" w:cstheme="minorHAnsi"/>
                <w:kern w:val="0"/>
                <w:sz w:val="22"/>
              </w:rPr>
            </w:pPr>
            <w:r w:rsidRPr="00CA1A43">
              <w:rPr>
                <w:rFonts w:eastAsia="標楷體" w:cstheme="minorHAnsi"/>
                <w:kern w:val="0"/>
                <w:sz w:val="22"/>
              </w:rPr>
              <w:t>表</w:t>
            </w:r>
            <w:r w:rsidRPr="00CA1A43">
              <w:rPr>
                <w:rFonts w:eastAsia="標楷體" w:cstheme="minorHAnsi"/>
                <w:kern w:val="0"/>
                <w:sz w:val="22"/>
              </w:rPr>
              <w:t>2</w:t>
            </w:r>
          </w:p>
        </w:tc>
      </w:tr>
      <w:tr w:rsidR="00CC445E" w:rsidRPr="00CA1A43" w14:paraId="0070F03A" w14:textId="77777777" w:rsidTr="00CC246B">
        <w:trPr>
          <w:trHeight w:val="114"/>
        </w:trPr>
        <w:tc>
          <w:tcPr>
            <w:tcW w:w="500" w:type="pct"/>
            <w:tcBorders>
              <w:left w:val="nil"/>
            </w:tcBorders>
          </w:tcPr>
          <w:p w14:paraId="499AF6EF" w14:textId="77777777" w:rsidR="00CC445E" w:rsidRPr="00CA1A43" w:rsidRDefault="00CC445E" w:rsidP="00CC246B">
            <w:pPr>
              <w:autoSpaceDE w:val="0"/>
              <w:autoSpaceDN w:val="0"/>
              <w:adjustRightInd w:val="0"/>
              <w:rPr>
                <w:rFonts w:eastAsia="標楷體" w:cstheme="minorHAnsi"/>
                <w:kern w:val="0"/>
                <w:sz w:val="17"/>
                <w:szCs w:val="17"/>
              </w:rPr>
            </w:pPr>
          </w:p>
        </w:tc>
        <w:tc>
          <w:tcPr>
            <w:tcW w:w="450" w:type="pct"/>
            <w:vAlign w:val="center"/>
          </w:tcPr>
          <w:p w14:paraId="58FFFA93"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0.25</w:t>
            </w:r>
            <w:r w:rsidRPr="00CA1A43">
              <w:rPr>
                <w:rFonts w:eastAsia="標楷體" w:cstheme="minorHAnsi"/>
                <w:kern w:val="0"/>
                <w:sz w:val="17"/>
                <w:szCs w:val="17"/>
              </w:rPr>
              <w:t>年</w:t>
            </w:r>
          </w:p>
        </w:tc>
        <w:tc>
          <w:tcPr>
            <w:tcW w:w="450" w:type="pct"/>
            <w:vAlign w:val="center"/>
          </w:tcPr>
          <w:p w14:paraId="6F3CCBBE"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0.5</w:t>
            </w:r>
            <w:r w:rsidRPr="00CA1A43">
              <w:rPr>
                <w:rFonts w:eastAsia="標楷體" w:cstheme="minorHAnsi"/>
                <w:kern w:val="0"/>
                <w:sz w:val="17"/>
                <w:szCs w:val="17"/>
              </w:rPr>
              <w:t>年</w:t>
            </w:r>
          </w:p>
        </w:tc>
        <w:tc>
          <w:tcPr>
            <w:tcW w:w="450" w:type="pct"/>
            <w:vAlign w:val="center"/>
          </w:tcPr>
          <w:p w14:paraId="0A6118E9"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1</w:t>
            </w:r>
            <w:r w:rsidRPr="00CA1A43">
              <w:rPr>
                <w:rFonts w:eastAsia="標楷體" w:cstheme="minorHAnsi"/>
                <w:kern w:val="0"/>
                <w:sz w:val="17"/>
                <w:szCs w:val="17"/>
              </w:rPr>
              <w:t>年</w:t>
            </w:r>
          </w:p>
        </w:tc>
        <w:tc>
          <w:tcPr>
            <w:tcW w:w="450" w:type="pct"/>
            <w:vAlign w:val="center"/>
          </w:tcPr>
          <w:p w14:paraId="4A0550E0"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2</w:t>
            </w:r>
            <w:r w:rsidRPr="00CA1A43">
              <w:rPr>
                <w:rFonts w:eastAsia="標楷體" w:cstheme="minorHAnsi"/>
                <w:kern w:val="0"/>
                <w:sz w:val="17"/>
                <w:szCs w:val="17"/>
              </w:rPr>
              <w:t>年</w:t>
            </w:r>
          </w:p>
        </w:tc>
        <w:tc>
          <w:tcPr>
            <w:tcW w:w="450" w:type="pct"/>
            <w:vAlign w:val="center"/>
          </w:tcPr>
          <w:p w14:paraId="48FC7DFC"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3</w:t>
            </w:r>
            <w:r w:rsidRPr="00CA1A43">
              <w:rPr>
                <w:rFonts w:eastAsia="標楷體" w:cstheme="minorHAnsi"/>
                <w:kern w:val="0"/>
                <w:sz w:val="17"/>
                <w:szCs w:val="17"/>
              </w:rPr>
              <w:t>年</w:t>
            </w:r>
          </w:p>
        </w:tc>
        <w:tc>
          <w:tcPr>
            <w:tcW w:w="450" w:type="pct"/>
            <w:vAlign w:val="center"/>
          </w:tcPr>
          <w:p w14:paraId="197A19DF"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5</w:t>
            </w:r>
            <w:r w:rsidRPr="00CA1A43">
              <w:rPr>
                <w:rFonts w:eastAsia="標楷體" w:cstheme="minorHAnsi"/>
                <w:kern w:val="0"/>
                <w:sz w:val="17"/>
                <w:szCs w:val="17"/>
              </w:rPr>
              <w:t>年</w:t>
            </w:r>
          </w:p>
        </w:tc>
        <w:tc>
          <w:tcPr>
            <w:tcW w:w="450" w:type="pct"/>
            <w:vAlign w:val="center"/>
          </w:tcPr>
          <w:p w14:paraId="7C3F3402"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10</w:t>
            </w:r>
            <w:r w:rsidRPr="00CA1A43">
              <w:rPr>
                <w:rFonts w:eastAsia="標楷體" w:cstheme="minorHAnsi"/>
                <w:kern w:val="0"/>
                <w:sz w:val="17"/>
                <w:szCs w:val="17"/>
              </w:rPr>
              <w:t>年</w:t>
            </w:r>
          </w:p>
        </w:tc>
        <w:tc>
          <w:tcPr>
            <w:tcW w:w="450" w:type="pct"/>
            <w:vAlign w:val="center"/>
          </w:tcPr>
          <w:p w14:paraId="1FBB332E"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15</w:t>
            </w:r>
            <w:r w:rsidRPr="00CA1A43">
              <w:rPr>
                <w:rFonts w:eastAsia="標楷體" w:cstheme="minorHAnsi"/>
                <w:kern w:val="0"/>
                <w:sz w:val="17"/>
                <w:szCs w:val="17"/>
              </w:rPr>
              <w:t>年</w:t>
            </w:r>
          </w:p>
        </w:tc>
        <w:tc>
          <w:tcPr>
            <w:tcW w:w="450" w:type="pct"/>
            <w:gridSpan w:val="2"/>
            <w:vAlign w:val="center"/>
          </w:tcPr>
          <w:p w14:paraId="6BA72853"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20</w:t>
            </w:r>
            <w:r w:rsidRPr="00CA1A43">
              <w:rPr>
                <w:rFonts w:eastAsia="標楷體" w:cstheme="minorHAnsi"/>
                <w:kern w:val="0"/>
                <w:sz w:val="17"/>
                <w:szCs w:val="17"/>
              </w:rPr>
              <w:t>年</w:t>
            </w:r>
          </w:p>
        </w:tc>
        <w:tc>
          <w:tcPr>
            <w:tcW w:w="450" w:type="pct"/>
            <w:tcBorders>
              <w:right w:val="nil"/>
            </w:tcBorders>
            <w:vAlign w:val="center"/>
          </w:tcPr>
          <w:p w14:paraId="06C2F656"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30</w:t>
            </w:r>
            <w:r w:rsidRPr="00CA1A43">
              <w:rPr>
                <w:rFonts w:eastAsia="標楷體" w:cstheme="minorHAnsi"/>
                <w:kern w:val="0"/>
                <w:sz w:val="17"/>
                <w:szCs w:val="17"/>
              </w:rPr>
              <w:t>年</w:t>
            </w:r>
          </w:p>
        </w:tc>
      </w:tr>
      <w:tr w:rsidR="00CC445E" w:rsidRPr="00CA1A43" w14:paraId="723A13F2" w14:textId="77777777" w:rsidTr="00CC246B">
        <w:trPr>
          <w:trHeight w:val="124"/>
        </w:trPr>
        <w:tc>
          <w:tcPr>
            <w:tcW w:w="500" w:type="pct"/>
            <w:tcBorders>
              <w:left w:val="nil"/>
            </w:tcBorders>
            <w:vAlign w:val="center"/>
          </w:tcPr>
          <w:p w14:paraId="07BC9047"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0.25</w:t>
            </w:r>
            <w:r w:rsidRPr="00CA1A43">
              <w:rPr>
                <w:rFonts w:eastAsia="標楷體" w:cstheme="minorHAnsi"/>
                <w:kern w:val="0"/>
                <w:sz w:val="17"/>
                <w:szCs w:val="17"/>
              </w:rPr>
              <w:t>年</w:t>
            </w:r>
          </w:p>
        </w:tc>
        <w:tc>
          <w:tcPr>
            <w:tcW w:w="450" w:type="pct"/>
            <w:vAlign w:val="center"/>
          </w:tcPr>
          <w:p w14:paraId="67F7B7E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100.0%</w:t>
            </w:r>
          </w:p>
        </w:tc>
        <w:tc>
          <w:tcPr>
            <w:tcW w:w="450" w:type="pct"/>
            <w:vAlign w:val="center"/>
          </w:tcPr>
          <w:p w14:paraId="25570288"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97.0%</w:t>
            </w:r>
          </w:p>
        </w:tc>
        <w:tc>
          <w:tcPr>
            <w:tcW w:w="450" w:type="pct"/>
            <w:vAlign w:val="center"/>
          </w:tcPr>
          <w:p w14:paraId="1608E2E4"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91.4% </w:t>
            </w:r>
          </w:p>
        </w:tc>
        <w:tc>
          <w:tcPr>
            <w:tcW w:w="450" w:type="pct"/>
            <w:vAlign w:val="center"/>
          </w:tcPr>
          <w:p w14:paraId="6DF5033E"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81.1% </w:t>
            </w:r>
          </w:p>
        </w:tc>
        <w:tc>
          <w:tcPr>
            <w:tcW w:w="450" w:type="pct"/>
            <w:vAlign w:val="center"/>
          </w:tcPr>
          <w:p w14:paraId="6B8A4720"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71.9% </w:t>
            </w:r>
          </w:p>
        </w:tc>
        <w:tc>
          <w:tcPr>
            <w:tcW w:w="450" w:type="pct"/>
            <w:vAlign w:val="center"/>
          </w:tcPr>
          <w:p w14:paraId="32D77C2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56.6% </w:t>
            </w:r>
          </w:p>
        </w:tc>
        <w:tc>
          <w:tcPr>
            <w:tcW w:w="450" w:type="pct"/>
            <w:vAlign w:val="center"/>
          </w:tcPr>
          <w:p w14:paraId="0FC2C2CE"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vAlign w:val="center"/>
          </w:tcPr>
          <w:p w14:paraId="3DB81C1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gridSpan w:val="2"/>
            <w:vAlign w:val="center"/>
          </w:tcPr>
          <w:p w14:paraId="5B1BAF72"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tcBorders>
              <w:right w:val="nil"/>
            </w:tcBorders>
            <w:vAlign w:val="center"/>
          </w:tcPr>
          <w:p w14:paraId="50268E9E"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r>
      <w:tr w:rsidR="00CC445E" w:rsidRPr="00CA1A43" w14:paraId="1008F9F6" w14:textId="77777777" w:rsidTr="00CC246B">
        <w:trPr>
          <w:trHeight w:val="124"/>
        </w:trPr>
        <w:tc>
          <w:tcPr>
            <w:tcW w:w="500" w:type="pct"/>
            <w:tcBorders>
              <w:left w:val="nil"/>
            </w:tcBorders>
            <w:vAlign w:val="center"/>
          </w:tcPr>
          <w:p w14:paraId="391C0EDF"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0.5</w:t>
            </w:r>
            <w:r w:rsidRPr="00CA1A43">
              <w:rPr>
                <w:rFonts w:eastAsia="標楷體" w:cstheme="minorHAnsi"/>
                <w:kern w:val="0"/>
                <w:sz w:val="17"/>
                <w:szCs w:val="17"/>
              </w:rPr>
              <w:t>年</w:t>
            </w:r>
          </w:p>
        </w:tc>
        <w:tc>
          <w:tcPr>
            <w:tcW w:w="450" w:type="pct"/>
            <w:vAlign w:val="center"/>
          </w:tcPr>
          <w:p w14:paraId="0473407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97.0%</w:t>
            </w:r>
          </w:p>
        </w:tc>
        <w:tc>
          <w:tcPr>
            <w:tcW w:w="450" w:type="pct"/>
            <w:vAlign w:val="center"/>
          </w:tcPr>
          <w:p w14:paraId="547D5C64"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100.0%</w:t>
            </w:r>
          </w:p>
        </w:tc>
        <w:tc>
          <w:tcPr>
            <w:tcW w:w="450" w:type="pct"/>
            <w:vAlign w:val="center"/>
          </w:tcPr>
          <w:p w14:paraId="684E3A86"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vAlign w:val="center"/>
          </w:tcPr>
          <w:p w14:paraId="1C280A7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91.4% </w:t>
            </w:r>
          </w:p>
        </w:tc>
        <w:tc>
          <w:tcPr>
            <w:tcW w:w="450" w:type="pct"/>
            <w:vAlign w:val="center"/>
          </w:tcPr>
          <w:p w14:paraId="47270EC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86.1% </w:t>
            </w:r>
          </w:p>
        </w:tc>
        <w:tc>
          <w:tcPr>
            <w:tcW w:w="450" w:type="pct"/>
            <w:vAlign w:val="center"/>
          </w:tcPr>
          <w:p w14:paraId="406F29C2"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c>
          <w:tcPr>
            <w:tcW w:w="450" w:type="pct"/>
            <w:vAlign w:val="center"/>
          </w:tcPr>
          <w:p w14:paraId="03A1D12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56.6% </w:t>
            </w:r>
          </w:p>
        </w:tc>
        <w:tc>
          <w:tcPr>
            <w:tcW w:w="450" w:type="pct"/>
            <w:vAlign w:val="center"/>
          </w:tcPr>
          <w:p w14:paraId="71E2225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41.9% </w:t>
            </w:r>
          </w:p>
        </w:tc>
        <w:tc>
          <w:tcPr>
            <w:tcW w:w="450" w:type="pct"/>
            <w:gridSpan w:val="2"/>
            <w:vAlign w:val="center"/>
          </w:tcPr>
          <w:p w14:paraId="0B4CDEB2"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tcBorders>
              <w:right w:val="nil"/>
            </w:tcBorders>
            <w:vAlign w:val="center"/>
          </w:tcPr>
          <w:p w14:paraId="1F07F9D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r>
      <w:tr w:rsidR="00CC445E" w:rsidRPr="00CA1A43" w14:paraId="68019FBA" w14:textId="77777777" w:rsidTr="00CC246B">
        <w:trPr>
          <w:trHeight w:val="127"/>
        </w:trPr>
        <w:tc>
          <w:tcPr>
            <w:tcW w:w="500" w:type="pct"/>
            <w:tcBorders>
              <w:left w:val="nil"/>
            </w:tcBorders>
            <w:vAlign w:val="center"/>
          </w:tcPr>
          <w:p w14:paraId="436A1D12"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1</w:t>
            </w:r>
            <w:r w:rsidRPr="00CA1A43">
              <w:rPr>
                <w:rFonts w:eastAsia="標楷體" w:cstheme="minorHAnsi"/>
                <w:kern w:val="0"/>
                <w:sz w:val="17"/>
                <w:szCs w:val="17"/>
              </w:rPr>
              <w:t>年</w:t>
            </w:r>
          </w:p>
        </w:tc>
        <w:tc>
          <w:tcPr>
            <w:tcW w:w="450" w:type="pct"/>
            <w:vAlign w:val="center"/>
          </w:tcPr>
          <w:p w14:paraId="58EA190C"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91.4% </w:t>
            </w:r>
          </w:p>
        </w:tc>
        <w:tc>
          <w:tcPr>
            <w:tcW w:w="450" w:type="pct"/>
            <w:vAlign w:val="center"/>
          </w:tcPr>
          <w:p w14:paraId="27CFD593"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vAlign w:val="center"/>
          </w:tcPr>
          <w:p w14:paraId="6B4137A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100.0%</w:t>
            </w:r>
          </w:p>
        </w:tc>
        <w:tc>
          <w:tcPr>
            <w:tcW w:w="450" w:type="pct"/>
            <w:vAlign w:val="center"/>
          </w:tcPr>
          <w:p w14:paraId="4001C86E"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vAlign w:val="center"/>
          </w:tcPr>
          <w:p w14:paraId="1F73030C"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94.2% </w:t>
            </w:r>
          </w:p>
        </w:tc>
        <w:tc>
          <w:tcPr>
            <w:tcW w:w="450" w:type="pct"/>
            <w:vAlign w:val="center"/>
          </w:tcPr>
          <w:p w14:paraId="1A48AA18"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88.7% </w:t>
            </w:r>
          </w:p>
        </w:tc>
        <w:tc>
          <w:tcPr>
            <w:tcW w:w="450" w:type="pct"/>
            <w:vAlign w:val="center"/>
          </w:tcPr>
          <w:p w14:paraId="70B2202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c>
          <w:tcPr>
            <w:tcW w:w="450" w:type="pct"/>
            <w:vAlign w:val="center"/>
          </w:tcPr>
          <w:p w14:paraId="7C8946C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65.7% </w:t>
            </w:r>
          </w:p>
        </w:tc>
        <w:tc>
          <w:tcPr>
            <w:tcW w:w="450" w:type="pct"/>
            <w:gridSpan w:val="2"/>
            <w:vAlign w:val="center"/>
          </w:tcPr>
          <w:p w14:paraId="396DE20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56.6% </w:t>
            </w:r>
          </w:p>
        </w:tc>
        <w:tc>
          <w:tcPr>
            <w:tcW w:w="450" w:type="pct"/>
            <w:tcBorders>
              <w:right w:val="nil"/>
            </w:tcBorders>
            <w:vAlign w:val="center"/>
          </w:tcPr>
          <w:p w14:paraId="4785830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41.9% </w:t>
            </w:r>
          </w:p>
        </w:tc>
      </w:tr>
      <w:tr w:rsidR="00CC445E" w:rsidRPr="00CA1A43" w14:paraId="123576B2" w14:textId="77777777" w:rsidTr="00CC246B">
        <w:trPr>
          <w:trHeight w:val="138"/>
        </w:trPr>
        <w:tc>
          <w:tcPr>
            <w:tcW w:w="500" w:type="pct"/>
            <w:tcBorders>
              <w:left w:val="nil"/>
            </w:tcBorders>
            <w:vAlign w:val="center"/>
          </w:tcPr>
          <w:p w14:paraId="21599523"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2</w:t>
            </w:r>
            <w:r w:rsidRPr="00CA1A43">
              <w:rPr>
                <w:rFonts w:eastAsia="標楷體" w:cstheme="minorHAnsi"/>
                <w:kern w:val="0"/>
                <w:sz w:val="17"/>
                <w:szCs w:val="17"/>
              </w:rPr>
              <w:t>年</w:t>
            </w:r>
          </w:p>
        </w:tc>
        <w:tc>
          <w:tcPr>
            <w:tcW w:w="450" w:type="pct"/>
            <w:vAlign w:val="center"/>
          </w:tcPr>
          <w:p w14:paraId="04BB2F25"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81.1% </w:t>
            </w:r>
          </w:p>
        </w:tc>
        <w:tc>
          <w:tcPr>
            <w:tcW w:w="450" w:type="pct"/>
            <w:vAlign w:val="center"/>
          </w:tcPr>
          <w:p w14:paraId="1C0C403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91.4% </w:t>
            </w:r>
          </w:p>
        </w:tc>
        <w:tc>
          <w:tcPr>
            <w:tcW w:w="450" w:type="pct"/>
            <w:vAlign w:val="center"/>
          </w:tcPr>
          <w:p w14:paraId="1D091491"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vAlign w:val="center"/>
          </w:tcPr>
          <w:p w14:paraId="0066BF31"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100.0% </w:t>
            </w:r>
          </w:p>
        </w:tc>
        <w:tc>
          <w:tcPr>
            <w:tcW w:w="450" w:type="pct"/>
            <w:vAlign w:val="center"/>
          </w:tcPr>
          <w:p w14:paraId="00C17D5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98.5% </w:t>
            </w:r>
          </w:p>
        </w:tc>
        <w:tc>
          <w:tcPr>
            <w:tcW w:w="450" w:type="pct"/>
            <w:vAlign w:val="center"/>
          </w:tcPr>
          <w:p w14:paraId="19F23179"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95.6% </w:t>
            </w:r>
          </w:p>
        </w:tc>
        <w:tc>
          <w:tcPr>
            <w:tcW w:w="450" w:type="pct"/>
            <w:vAlign w:val="center"/>
          </w:tcPr>
          <w:p w14:paraId="7B60C003"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88.7% </w:t>
            </w:r>
          </w:p>
        </w:tc>
        <w:tc>
          <w:tcPr>
            <w:tcW w:w="450" w:type="pct"/>
            <w:vAlign w:val="center"/>
          </w:tcPr>
          <w:p w14:paraId="49B33C6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82.3% </w:t>
            </w:r>
          </w:p>
        </w:tc>
        <w:tc>
          <w:tcPr>
            <w:tcW w:w="450" w:type="pct"/>
            <w:gridSpan w:val="2"/>
            <w:vAlign w:val="center"/>
          </w:tcPr>
          <w:p w14:paraId="7C224636"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c>
          <w:tcPr>
            <w:tcW w:w="450" w:type="pct"/>
            <w:tcBorders>
              <w:right w:val="nil"/>
            </w:tcBorders>
            <w:vAlign w:val="center"/>
          </w:tcPr>
          <w:p w14:paraId="49EC884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65.7% </w:t>
            </w:r>
          </w:p>
        </w:tc>
      </w:tr>
      <w:tr w:rsidR="00CC445E" w:rsidRPr="00CA1A43" w14:paraId="76111592" w14:textId="77777777" w:rsidTr="00CC246B">
        <w:trPr>
          <w:trHeight w:val="128"/>
        </w:trPr>
        <w:tc>
          <w:tcPr>
            <w:tcW w:w="500" w:type="pct"/>
            <w:tcBorders>
              <w:left w:val="nil"/>
            </w:tcBorders>
            <w:vAlign w:val="center"/>
          </w:tcPr>
          <w:p w14:paraId="28174F26"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3</w:t>
            </w:r>
            <w:r w:rsidRPr="00CA1A43">
              <w:rPr>
                <w:rFonts w:eastAsia="標楷體" w:cstheme="minorHAnsi"/>
                <w:kern w:val="0"/>
                <w:sz w:val="17"/>
                <w:szCs w:val="17"/>
              </w:rPr>
              <w:t>年</w:t>
            </w:r>
          </w:p>
        </w:tc>
        <w:tc>
          <w:tcPr>
            <w:tcW w:w="450" w:type="pct"/>
            <w:vAlign w:val="center"/>
          </w:tcPr>
          <w:p w14:paraId="21443F65"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71.9% </w:t>
            </w:r>
          </w:p>
        </w:tc>
        <w:tc>
          <w:tcPr>
            <w:tcW w:w="450" w:type="pct"/>
            <w:vAlign w:val="center"/>
          </w:tcPr>
          <w:p w14:paraId="5240D052"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86.1% </w:t>
            </w:r>
          </w:p>
        </w:tc>
        <w:tc>
          <w:tcPr>
            <w:tcW w:w="450" w:type="pct"/>
            <w:vAlign w:val="center"/>
          </w:tcPr>
          <w:p w14:paraId="1B84B055"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94.2% </w:t>
            </w:r>
          </w:p>
        </w:tc>
        <w:tc>
          <w:tcPr>
            <w:tcW w:w="450" w:type="pct"/>
            <w:vAlign w:val="center"/>
          </w:tcPr>
          <w:p w14:paraId="4C6D7ED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98.5% </w:t>
            </w:r>
          </w:p>
        </w:tc>
        <w:tc>
          <w:tcPr>
            <w:tcW w:w="450" w:type="pct"/>
            <w:vAlign w:val="center"/>
          </w:tcPr>
          <w:p w14:paraId="1FA84019"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100.0% </w:t>
            </w:r>
          </w:p>
        </w:tc>
        <w:tc>
          <w:tcPr>
            <w:tcW w:w="450" w:type="pct"/>
            <w:vAlign w:val="center"/>
          </w:tcPr>
          <w:p w14:paraId="14AFBCD3"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98.0% </w:t>
            </w:r>
          </w:p>
        </w:tc>
        <w:tc>
          <w:tcPr>
            <w:tcW w:w="450" w:type="pct"/>
            <w:vAlign w:val="center"/>
          </w:tcPr>
          <w:p w14:paraId="34EBB7E8"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93.2% </w:t>
            </w:r>
          </w:p>
        </w:tc>
        <w:tc>
          <w:tcPr>
            <w:tcW w:w="450" w:type="pct"/>
            <w:vAlign w:val="center"/>
          </w:tcPr>
          <w:p w14:paraId="51FAFD2C"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88.7% </w:t>
            </w:r>
          </w:p>
        </w:tc>
        <w:tc>
          <w:tcPr>
            <w:tcW w:w="450" w:type="pct"/>
            <w:gridSpan w:val="2"/>
            <w:vAlign w:val="center"/>
          </w:tcPr>
          <w:p w14:paraId="24CF5C2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84.4% </w:t>
            </w:r>
          </w:p>
        </w:tc>
        <w:tc>
          <w:tcPr>
            <w:tcW w:w="450" w:type="pct"/>
            <w:tcBorders>
              <w:right w:val="nil"/>
            </w:tcBorders>
            <w:vAlign w:val="center"/>
          </w:tcPr>
          <w:p w14:paraId="420FDFF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r>
      <w:tr w:rsidR="00CC445E" w:rsidRPr="00CA1A43" w14:paraId="237FDB71" w14:textId="77777777" w:rsidTr="00CC246B">
        <w:trPr>
          <w:trHeight w:val="124"/>
        </w:trPr>
        <w:tc>
          <w:tcPr>
            <w:tcW w:w="500" w:type="pct"/>
            <w:tcBorders>
              <w:left w:val="nil"/>
            </w:tcBorders>
            <w:vAlign w:val="center"/>
          </w:tcPr>
          <w:p w14:paraId="08757D60"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5</w:t>
            </w:r>
            <w:r w:rsidRPr="00CA1A43">
              <w:rPr>
                <w:rFonts w:eastAsia="標楷體" w:cstheme="minorHAnsi"/>
                <w:kern w:val="0"/>
                <w:sz w:val="17"/>
                <w:szCs w:val="17"/>
              </w:rPr>
              <w:t>年</w:t>
            </w:r>
          </w:p>
        </w:tc>
        <w:tc>
          <w:tcPr>
            <w:tcW w:w="450" w:type="pct"/>
            <w:vAlign w:val="center"/>
          </w:tcPr>
          <w:p w14:paraId="1E577EC1"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56.6% </w:t>
            </w:r>
          </w:p>
        </w:tc>
        <w:tc>
          <w:tcPr>
            <w:tcW w:w="450" w:type="pct"/>
            <w:vAlign w:val="center"/>
          </w:tcPr>
          <w:p w14:paraId="1DA6726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c>
          <w:tcPr>
            <w:tcW w:w="450" w:type="pct"/>
            <w:vAlign w:val="center"/>
          </w:tcPr>
          <w:p w14:paraId="157FAD6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88.7% </w:t>
            </w:r>
          </w:p>
        </w:tc>
        <w:tc>
          <w:tcPr>
            <w:tcW w:w="450" w:type="pct"/>
            <w:vAlign w:val="center"/>
          </w:tcPr>
          <w:p w14:paraId="5E2C86BC"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95.6% </w:t>
            </w:r>
          </w:p>
        </w:tc>
        <w:tc>
          <w:tcPr>
            <w:tcW w:w="450" w:type="pct"/>
            <w:vAlign w:val="center"/>
          </w:tcPr>
          <w:p w14:paraId="6D39C238"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98.0% </w:t>
            </w:r>
          </w:p>
        </w:tc>
        <w:tc>
          <w:tcPr>
            <w:tcW w:w="450" w:type="pct"/>
            <w:vAlign w:val="center"/>
          </w:tcPr>
          <w:p w14:paraId="5BDCDC12"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100.0% </w:t>
            </w:r>
          </w:p>
        </w:tc>
        <w:tc>
          <w:tcPr>
            <w:tcW w:w="450" w:type="pct"/>
            <w:vAlign w:val="center"/>
          </w:tcPr>
          <w:p w14:paraId="42F396F3"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vAlign w:val="center"/>
          </w:tcPr>
          <w:p w14:paraId="15F2BE26"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94.2% </w:t>
            </w:r>
          </w:p>
        </w:tc>
        <w:tc>
          <w:tcPr>
            <w:tcW w:w="450" w:type="pct"/>
            <w:gridSpan w:val="2"/>
            <w:vAlign w:val="center"/>
          </w:tcPr>
          <w:p w14:paraId="1C75716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91.4% </w:t>
            </w:r>
          </w:p>
        </w:tc>
        <w:tc>
          <w:tcPr>
            <w:tcW w:w="450" w:type="pct"/>
            <w:tcBorders>
              <w:right w:val="nil"/>
            </w:tcBorders>
            <w:vAlign w:val="center"/>
          </w:tcPr>
          <w:p w14:paraId="608D3039"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86.1% </w:t>
            </w:r>
          </w:p>
        </w:tc>
      </w:tr>
      <w:tr w:rsidR="00CC445E" w:rsidRPr="00CA1A43" w14:paraId="4C676714" w14:textId="77777777" w:rsidTr="00CC246B">
        <w:trPr>
          <w:trHeight w:val="127"/>
        </w:trPr>
        <w:tc>
          <w:tcPr>
            <w:tcW w:w="500" w:type="pct"/>
            <w:tcBorders>
              <w:left w:val="nil"/>
            </w:tcBorders>
            <w:vAlign w:val="center"/>
          </w:tcPr>
          <w:p w14:paraId="7B1244A1"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10</w:t>
            </w:r>
            <w:r w:rsidRPr="00CA1A43">
              <w:rPr>
                <w:rFonts w:eastAsia="標楷體" w:cstheme="minorHAnsi"/>
                <w:kern w:val="0"/>
                <w:sz w:val="17"/>
                <w:szCs w:val="17"/>
              </w:rPr>
              <w:t>年</w:t>
            </w:r>
          </w:p>
        </w:tc>
        <w:tc>
          <w:tcPr>
            <w:tcW w:w="450" w:type="pct"/>
            <w:vAlign w:val="center"/>
          </w:tcPr>
          <w:p w14:paraId="06DFD8BE"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vAlign w:val="center"/>
          </w:tcPr>
          <w:p w14:paraId="548A9510"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56.6% </w:t>
            </w:r>
          </w:p>
        </w:tc>
        <w:tc>
          <w:tcPr>
            <w:tcW w:w="450" w:type="pct"/>
            <w:vAlign w:val="center"/>
          </w:tcPr>
          <w:p w14:paraId="63856ED0"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c>
          <w:tcPr>
            <w:tcW w:w="450" w:type="pct"/>
            <w:vAlign w:val="center"/>
          </w:tcPr>
          <w:p w14:paraId="10F8FFE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88.7% </w:t>
            </w:r>
          </w:p>
        </w:tc>
        <w:tc>
          <w:tcPr>
            <w:tcW w:w="450" w:type="pct"/>
            <w:vAlign w:val="center"/>
          </w:tcPr>
          <w:p w14:paraId="3B7DE855"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93.2% </w:t>
            </w:r>
          </w:p>
        </w:tc>
        <w:tc>
          <w:tcPr>
            <w:tcW w:w="450" w:type="pct"/>
            <w:vAlign w:val="center"/>
          </w:tcPr>
          <w:p w14:paraId="6846CD2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vAlign w:val="center"/>
          </w:tcPr>
          <w:p w14:paraId="7F3A68C6"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100.0% </w:t>
            </w:r>
          </w:p>
        </w:tc>
        <w:tc>
          <w:tcPr>
            <w:tcW w:w="450" w:type="pct"/>
            <w:vAlign w:val="center"/>
          </w:tcPr>
          <w:p w14:paraId="7ED278E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98.5% </w:t>
            </w:r>
          </w:p>
        </w:tc>
        <w:tc>
          <w:tcPr>
            <w:tcW w:w="450" w:type="pct"/>
            <w:gridSpan w:val="2"/>
            <w:vAlign w:val="center"/>
          </w:tcPr>
          <w:p w14:paraId="6B7605D2"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tcBorders>
              <w:right w:val="nil"/>
            </w:tcBorders>
            <w:vAlign w:val="center"/>
          </w:tcPr>
          <w:p w14:paraId="29CA2E85"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94.2% </w:t>
            </w:r>
          </w:p>
        </w:tc>
      </w:tr>
      <w:tr w:rsidR="00CC445E" w:rsidRPr="00CA1A43" w14:paraId="43CE018E" w14:textId="77777777" w:rsidTr="00CC246B">
        <w:trPr>
          <w:trHeight w:val="124"/>
        </w:trPr>
        <w:tc>
          <w:tcPr>
            <w:tcW w:w="500" w:type="pct"/>
            <w:tcBorders>
              <w:left w:val="nil"/>
            </w:tcBorders>
            <w:vAlign w:val="center"/>
          </w:tcPr>
          <w:p w14:paraId="35EA3E09"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15</w:t>
            </w:r>
            <w:r w:rsidRPr="00CA1A43">
              <w:rPr>
                <w:rFonts w:eastAsia="標楷體" w:cstheme="minorHAnsi"/>
                <w:kern w:val="0"/>
                <w:sz w:val="17"/>
                <w:szCs w:val="17"/>
              </w:rPr>
              <w:t>年</w:t>
            </w:r>
          </w:p>
        </w:tc>
        <w:tc>
          <w:tcPr>
            <w:tcW w:w="450" w:type="pct"/>
            <w:vAlign w:val="center"/>
          </w:tcPr>
          <w:p w14:paraId="765ABBF4"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vAlign w:val="center"/>
          </w:tcPr>
          <w:p w14:paraId="11E973E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41.9% </w:t>
            </w:r>
          </w:p>
        </w:tc>
        <w:tc>
          <w:tcPr>
            <w:tcW w:w="450" w:type="pct"/>
            <w:vAlign w:val="center"/>
          </w:tcPr>
          <w:p w14:paraId="441147B4"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65.7% </w:t>
            </w:r>
          </w:p>
        </w:tc>
        <w:tc>
          <w:tcPr>
            <w:tcW w:w="450" w:type="pct"/>
            <w:vAlign w:val="center"/>
          </w:tcPr>
          <w:p w14:paraId="65F8A0D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82.3% </w:t>
            </w:r>
          </w:p>
        </w:tc>
        <w:tc>
          <w:tcPr>
            <w:tcW w:w="450" w:type="pct"/>
            <w:vAlign w:val="center"/>
          </w:tcPr>
          <w:p w14:paraId="0E3FAA95"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88.7% </w:t>
            </w:r>
          </w:p>
        </w:tc>
        <w:tc>
          <w:tcPr>
            <w:tcW w:w="450" w:type="pct"/>
            <w:vAlign w:val="center"/>
          </w:tcPr>
          <w:p w14:paraId="3B7FD25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94.2% </w:t>
            </w:r>
          </w:p>
        </w:tc>
        <w:tc>
          <w:tcPr>
            <w:tcW w:w="450" w:type="pct"/>
            <w:vAlign w:val="center"/>
          </w:tcPr>
          <w:p w14:paraId="31B661D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98.5% </w:t>
            </w:r>
          </w:p>
        </w:tc>
        <w:tc>
          <w:tcPr>
            <w:tcW w:w="450" w:type="pct"/>
            <w:vAlign w:val="center"/>
          </w:tcPr>
          <w:p w14:paraId="3CD4ABC8"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100.0% </w:t>
            </w:r>
          </w:p>
        </w:tc>
        <w:tc>
          <w:tcPr>
            <w:tcW w:w="450" w:type="pct"/>
            <w:gridSpan w:val="2"/>
            <w:vAlign w:val="center"/>
          </w:tcPr>
          <w:p w14:paraId="45CEEB5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99.0% </w:t>
            </w:r>
          </w:p>
        </w:tc>
        <w:tc>
          <w:tcPr>
            <w:tcW w:w="450" w:type="pct"/>
            <w:tcBorders>
              <w:right w:val="nil"/>
            </w:tcBorders>
            <w:vAlign w:val="center"/>
          </w:tcPr>
          <w:p w14:paraId="2E27B16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r>
      <w:tr w:rsidR="00CC445E" w:rsidRPr="00CA1A43" w14:paraId="029CB4D9" w14:textId="77777777" w:rsidTr="00CC246B">
        <w:trPr>
          <w:trHeight w:val="124"/>
        </w:trPr>
        <w:tc>
          <w:tcPr>
            <w:tcW w:w="500" w:type="pct"/>
            <w:tcBorders>
              <w:left w:val="nil"/>
            </w:tcBorders>
            <w:vAlign w:val="center"/>
          </w:tcPr>
          <w:p w14:paraId="511E7A74"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20</w:t>
            </w:r>
            <w:r w:rsidRPr="00CA1A43">
              <w:rPr>
                <w:rFonts w:eastAsia="標楷體" w:cstheme="minorHAnsi"/>
                <w:kern w:val="0"/>
                <w:sz w:val="17"/>
                <w:szCs w:val="17"/>
              </w:rPr>
              <w:t>年</w:t>
            </w:r>
          </w:p>
        </w:tc>
        <w:tc>
          <w:tcPr>
            <w:tcW w:w="450" w:type="pct"/>
            <w:vAlign w:val="center"/>
          </w:tcPr>
          <w:p w14:paraId="194C9420"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vAlign w:val="center"/>
          </w:tcPr>
          <w:p w14:paraId="29DB5D41"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vAlign w:val="center"/>
          </w:tcPr>
          <w:p w14:paraId="5F9540F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56.6% </w:t>
            </w:r>
          </w:p>
        </w:tc>
        <w:tc>
          <w:tcPr>
            <w:tcW w:w="450" w:type="pct"/>
            <w:vAlign w:val="center"/>
          </w:tcPr>
          <w:p w14:paraId="7BEACA20"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c>
          <w:tcPr>
            <w:tcW w:w="450" w:type="pct"/>
            <w:vAlign w:val="center"/>
          </w:tcPr>
          <w:p w14:paraId="795931D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84.4% </w:t>
            </w:r>
          </w:p>
        </w:tc>
        <w:tc>
          <w:tcPr>
            <w:tcW w:w="450" w:type="pct"/>
            <w:vAlign w:val="center"/>
          </w:tcPr>
          <w:p w14:paraId="6DDB28C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91.4% </w:t>
            </w:r>
          </w:p>
        </w:tc>
        <w:tc>
          <w:tcPr>
            <w:tcW w:w="450" w:type="pct"/>
            <w:vAlign w:val="center"/>
          </w:tcPr>
          <w:p w14:paraId="0BB8425F"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vAlign w:val="center"/>
          </w:tcPr>
          <w:p w14:paraId="36D6F58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99.0% </w:t>
            </w:r>
          </w:p>
        </w:tc>
        <w:tc>
          <w:tcPr>
            <w:tcW w:w="450" w:type="pct"/>
            <w:gridSpan w:val="2"/>
            <w:vAlign w:val="center"/>
          </w:tcPr>
          <w:p w14:paraId="6F960CAA"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100.0% </w:t>
            </w:r>
          </w:p>
        </w:tc>
        <w:tc>
          <w:tcPr>
            <w:tcW w:w="450" w:type="pct"/>
            <w:tcBorders>
              <w:right w:val="nil"/>
            </w:tcBorders>
            <w:vAlign w:val="center"/>
          </w:tcPr>
          <w:p w14:paraId="6A70C0AE"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98.5% </w:t>
            </w:r>
          </w:p>
        </w:tc>
      </w:tr>
      <w:tr w:rsidR="00CC445E" w:rsidRPr="00CA1A43" w14:paraId="7E630BF0" w14:textId="77777777" w:rsidTr="00CC246B">
        <w:trPr>
          <w:trHeight w:val="115"/>
        </w:trPr>
        <w:tc>
          <w:tcPr>
            <w:tcW w:w="500" w:type="pct"/>
            <w:tcBorders>
              <w:left w:val="nil"/>
            </w:tcBorders>
            <w:vAlign w:val="center"/>
          </w:tcPr>
          <w:p w14:paraId="50D28FF2" w14:textId="77777777" w:rsidR="00CC445E" w:rsidRPr="00CA1A43" w:rsidRDefault="00CC445E" w:rsidP="00CC246B">
            <w:pPr>
              <w:autoSpaceDE w:val="0"/>
              <w:autoSpaceDN w:val="0"/>
              <w:adjustRightInd w:val="0"/>
              <w:jc w:val="center"/>
              <w:rPr>
                <w:rFonts w:eastAsia="標楷體" w:cstheme="minorHAnsi"/>
                <w:kern w:val="0"/>
                <w:sz w:val="17"/>
                <w:szCs w:val="17"/>
              </w:rPr>
            </w:pPr>
            <w:r w:rsidRPr="00CA1A43">
              <w:rPr>
                <w:rFonts w:eastAsia="標楷體" w:cstheme="minorHAnsi"/>
                <w:kern w:val="0"/>
                <w:sz w:val="17"/>
                <w:szCs w:val="17"/>
              </w:rPr>
              <w:t>30</w:t>
            </w:r>
            <w:r w:rsidRPr="00CA1A43">
              <w:rPr>
                <w:rFonts w:eastAsia="標楷體" w:cstheme="minorHAnsi"/>
                <w:kern w:val="0"/>
                <w:sz w:val="17"/>
                <w:szCs w:val="17"/>
              </w:rPr>
              <w:t>年</w:t>
            </w:r>
          </w:p>
        </w:tc>
        <w:tc>
          <w:tcPr>
            <w:tcW w:w="450" w:type="pct"/>
            <w:vAlign w:val="center"/>
          </w:tcPr>
          <w:p w14:paraId="38E909B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vAlign w:val="center"/>
          </w:tcPr>
          <w:p w14:paraId="5F2670F1"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40.0% </w:t>
            </w:r>
          </w:p>
        </w:tc>
        <w:tc>
          <w:tcPr>
            <w:tcW w:w="450" w:type="pct"/>
            <w:vAlign w:val="center"/>
          </w:tcPr>
          <w:p w14:paraId="60C7C7FB"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41.9% </w:t>
            </w:r>
          </w:p>
        </w:tc>
        <w:tc>
          <w:tcPr>
            <w:tcW w:w="450" w:type="pct"/>
            <w:vAlign w:val="center"/>
          </w:tcPr>
          <w:p w14:paraId="6B4FE0BE"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65.7% </w:t>
            </w:r>
          </w:p>
        </w:tc>
        <w:tc>
          <w:tcPr>
            <w:tcW w:w="450" w:type="pct"/>
            <w:vAlign w:val="center"/>
          </w:tcPr>
          <w:p w14:paraId="726DBCD3"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76.3% </w:t>
            </w:r>
          </w:p>
        </w:tc>
        <w:tc>
          <w:tcPr>
            <w:tcW w:w="450" w:type="pct"/>
            <w:vAlign w:val="center"/>
          </w:tcPr>
          <w:p w14:paraId="76F1E8C1"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86.1% </w:t>
            </w:r>
          </w:p>
        </w:tc>
        <w:tc>
          <w:tcPr>
            <w:tcW w:w="450" w:type="pct"/>
            <w:vAlign w:val="center"/>
          </w:tcPr>
          <w:p w14:paraId="397B28ED"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94.2% </w:t>
            </w:r>
          </w:p>
        </w:tc>
        <w:tc>
          <w:tcPr>
            <w:tcW w:w="450" w:type="pct"/>
            <w:vAlign w:val="center"/>
          </w:tcPr>
          <w:p w14:paraId="44DDECD5"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97.0% </w:t>
            </w:r>
          </w:p>
        </w:tc>
        <w:tc>
          <w:tcPr>
            <w:tcW w:w="450" w:type="pct"/>
            <w:gridSpan w:val="2"/>
            <w:vAlign w:val="center"/>
          </w:tcPr>
          <w:p w14:paraId="10D36DF7"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98.5% </w:t>
            </w:r>
          </w:p>
        </w:tc>
        <w:tc>
          <w:tcPr>
            <w:tcW w:w="450" w:type="pct"/>
            <w:tcBorders>
              <w:right w:val="nil"/>
            </w:tcBorders>
            <w:vAlign w:val="center"/>
          </w:tcPr>
          <w:p w14:paraId="1A2E5441" w14:textId="77777777" w:rsidR="00CC445E" w:rsidRPr="00CA1A43" w:rsidRDefault="00CC445E" w:rsidP="00CC246B">
            <w:pPr>
              <w:autoSpaceDE w:val="0"/>
              <w:autoSpaceDN w:val="0"/>
              <w:adjustRightInd w:val="0"/>
              <w:jc w:val="right"/>
              <w:rPr>
                <w:rFonts w:eastAsia="標楷體" w:cstheme="minorHAnsi"/>
                <w:kern w:val="0"/>
                <w:sz w:val="17"/>
                <w:szCs w:val="17"/>
              </w:rPr>
            </w:pPr>
            <w:r w:rsidRPr="00CA1A43">
              <w:rPr>
                <w:rFonts w:eastAsia="標楷體" w:cstheme="minorHAnsi"/>
                <w:kern w:val="0"/>
                <w:sz w:val="17"/>
                <w:szCs w:val="17"/>
              </w:rPr>
              <w:t xml:space="preserve">100.0% </w:t>
            </w:r>
          </w:p>
        </w:tc>
      </w:tr>
    </w:tbl>
    <w:p w14:paraId="38CDFD95" w14:textId="77777777" w:rsidR="00CC445E"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對於同一組別、不同</w:t>
      </w:r>
      <w:proofErr w:type="gramStart"/>
      <w:r w:rsidRPr="00CA1A43">
        <w:rPr>
          <w:rFonts w:eastAsia="標楷體" w:cstheme="minorHAnsi"/>
        </w:rPr>
        <w:t>期間、</w:t>
      </w:r>
      <w:proofErr w:type="gramEnd"/>
      <w:r w:rsidRPr="00CA1A43">
        <w:rPr>
          <w:rFonts w:eastAsia="標楷體" w:cstheme="minorHAnsi"/>
        </w:rPr>
        <w:t>不同利率曲線下，兩者間加權敏感性部位</w:t>
      </w:r>
      <w:r w:rsidRPr="00CA1A43">
        <w:rPr>
          <w:rFonts w:eastAsia="標楷體" w:cstheme="minorHAnsi"/>
        </w:rPr>
        <w:t>(</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及</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𝑙</w:t>
      </w:r>
      <w:r w:rsidRPr="00CA1A43">
        <w:rPr>
          <w:rFonts w:eastAsia="標楷體" w:cstheme="minorHAnsi"/>
        </w:rPr>
        <w:t>)</w:t>
      </w:r>
      <w:r w:rsidRPr="00CA1A43">
        <w:rPr>
          <w:rFonts w:eastAsia="標楷體" w:cstheme="minorHAnsi"/>
        </w:rPr>
        <w:t>的相關係數</w:t>
      </w:r>
      <w:proofErr w:type="spellStart"/>
      <w:r w:rsidRPr="00CA1A43">
        <w:rPr>
          <w:rFonts w:eastAsia="標楷體" w:cstheme="minorHAnsi"/>
        </w:rPr>
        <w:t>ρ</w:t>
      </w:r>
      <w:r w:rsidRPr="00CA1A43">
        <w:rPr>
          <w:rFonts w:eastAsia="標楷體" w:cstheme="minorHAnsi"/>
          <w:vertAlign w:val="subscript"/>
        </w:rPr>
        <w:t>kl</w:t>
      </w:r>
      <w:proofErr w:type="spellEnd"/>
      <w:r w:rsidRPr="00CA1A43">
        <w:rPr>
          <w:rFonts w:eastAsia="標楷體" w:cstheme="minorHAnsi"/>
        </w:rPr>
        <w:t>為表</w:t>
      </w:r>
      <w:r w:rsidRPr="00CA1A43">
        <w:rPr>
          <w:rFonts w:eastAsia="標楷體" w:cstheme="minorHAnsi"/>
        </w:rPr>
        <w:t>2</w:t>
      </w:r>
      <w:r w:rsidRPr="00CA1A43">
        <w:rPr>
          <w:rFonts w:eastAsia="標楷體" w:cstheme="minorHAnsi"/>
        </w:rPr>
        <w:t>所訂的相關係數再乘以</w:t>
      </w:r>
      <w:r w:rsidRPr="00CA1A43">
        <w:rPr>
          <w:rFonts w:eastAsia="標楷體" w:cstheme="minorHAnsi"/>
        </w:rPr>
        <w:t>99.90%</w:t>
      </w:r>
      <w:r w:rsidRPr="00CA1A43">
        <w:rPr>
          <w:rFonts w:eastAsia="標楷體" w:cstheme="minorHAnsi"/>
        </w:rPr>
        <w:t>。</w:t>
      </w:r>
      <w:r w:rsidRPr="00CA1A43">
        <w:rPr>
          <w:rStyle w:val="a5"/>
          <w:rFonts w:eastAsia="標楷體" w:cstheme="minorHAnsi"/>
        </w:rPr>
        <w:footnoteReference w:id="25"/>
      </w:r>
    </w:p>
    <w:p w14:paraId="51861FA9" w14:textId="77777777" w:rsidR="00CC445E"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通膨曲線之加權敏感性部位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與相關殖利率曲線任一天期加權敏感性部位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𝑙</w:t>
      </w:r>
      <w:r w:rsidRPr="00CA1A43">
        <w:rPr>
          <w:rFonts w:eastAsia="標楷體" w:cstheme="minorHAnsi"/>
        </w:rPr>
        <w:t>間之</w:t>
      </w:r>
      <w:r w:rsidRPr="00CA1A43">
        <w:rPr>
          <w:rFonts w:eastAsia="標楷體" w:cstheme="minorHAnsi"/>
        </w:rPr>
        <w:t>delta</w:t>
      </w:r>
      <w:r w:rsidRPr="00CA1A43">
        <w:rPr>
          <w:rFonts w:eastAsia="標楷體" w:cstheme="minorHAnsi"/>
        </w:rPr>
        <w:t>風險相關係數</w:t>
      </w:r>
      <w:proofErr w:type="spellStart"/>
      <w:r w:rsidRPr="00CA1A43">
        <w:rPr>
          <w:rFonts w:eastAsia="標楷體" w:cstheme="minorHAnsi"/>
        </w:rPr>
        <w:t>ρ</w:t>
      </w:r>
      <w:r w:rsidRPr="00CA1A43">
        <w:rPr>
          <w:rFonts w:eastAsia="標楷體" w:cstheme="minorHAnsi"/>
          <w:vertAlign w:val="subscript"/>
        </w:rPr>
        <w:t>kl</w:t>
      </w:r>
      <w:proofErr w:type="spellEnd"/>
      <w:r w:rsidRPr="00CA1A43">
        <w:rPr>
          <w:rFonts w:eastAsia="標楷體" w:cstheme="minorHAnsi"/>
        </w:rPr>
        <w:t>為</w:t>
      </w:r>
      <w:r w:rsidRPr="00CA1A43">
        <w:rPr>
          <w:rFonts w:eastAsia="標楷體" w:cstheme="minorHAnsi"/>
        </w:rPr>
        <w:t>40%</w:t>
      </w:r>
      <w:r w:rsidRPr="00CA1A43">
        <w:rPr>
          <w:rFonts w:eastAsia="標楷體" w:cstheme="minorHAnsi"/>
        </w:rPr>
        <w:t>。</w:t>
      </w:r>
    </w:p>
    <w:p w14:paraId="21796AC4" w14:textId="77777777" w:rsidR="00CC445E"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交叉</w:t>
      </w:r>
      <w:proofErr w:type="gramStart"/>
      <w:r w:rsidRPr="00CA1A43">
        <w:rPr>
          <w:rFonts w:eastAsia="標楷體" w:cstheme="minorHAnsi"/>
        </w:rPr>
        <w:t>貨幣基差曲線</w:t>
      </w:r>
      <w:proofErr w:type="gramEnd"/>
      <w:r w:rsidRPr="00CA1A43">
        <w:rPr>
          <w:rFonts w:eastAsia="標楷體" w:cstheme="minorHAnsi"/>
        </w:rPr>
        <w:t>之加權敏感性部位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與以下列曲線之加權敏感性部位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𝑙</w:t>
      </w:r>
      <w:r w:rsidRPr="00CA1A43">
        <w:rPr>
          <w:rFonts w:eastAsia="標楷體" w:cstheme="minorHAnsi"/>
        </w:rPr>
        <w:t>間之</w:t>
      </w:r>
      <w:r w:rsidRPr="00CA1A43">
        <w:rPr>
          <w:rFonts w:eastAsia="標楷體" w:cstheme="minorHAnsi"/>
        </w:rPr>
        <w:t xml:space="preserve">delta </w:t>
      </w:r>
      <w:r w:rsidRPr="00CA1A43">
        <w:rPr>
          <w:rFonts w:eastAsia="標楷體" w:cstheme="minorHAnsi"/>
        </w:rPr>
        <w:t>風險相關係數</w:t>
      </w:r>
      <w:proofErr w:type="spellStart"/>
      <w:r w:rsidRPr="00CA1A43">
        <w:rPr>
          <w:rFonts w:eastAsia="標楷體" w:cstheme="minorHAnsi"/>
        </w:rPr>
        <w:t>ρ</w:t>
      </w:r>
      <w:r w:rsidRPr="00CA1A43">
        <w:rPr>
          <w:rFonts w:eastAsia="標楷體" w:cstheme="minorHAnsi"/>
          <w:vertAlign w:val="subscript"/>
        </w:rPr>
        <w:t>kl</w:t>
      </w:r>
      <w:proofErr w:type="spellEnd"/>
      <w:r w:rsidRPr="00CA1A43">
        <w:rPr>
          <w:rFonts w:eastAsia="標楷體" w:cstheme="minorHAnsi"/>
        </w:rPr>
        <w:t>為</w:t>
      </w:r>
      <w:r w:rsidRPr="00CA1A43">
        <w:rPr>
          <w:rFonts w:eastAsia="標楷體" w:cstheme="minorHAnsi"/>
        </w:rPr>
        <w:t>0%</w:t>
      </w:r>
      <w:r w:rsidRPr="00CA1A43">
        <w:rPr>
          <w:rFonts w:eastAsia="標楷體" w:cstheme="minorHAnsi"/>
        </w:rPr>
        <w:t>：</w:t>
      </w:r>
    </w:p>
    <w:p w14:paraId="4A01A8E9" w14:textId="77777777" w:rsidR="00CC445E" w:rsidRPr="00CA1A43" w:rsidRDefault="00CC445E" w:rsidP="00605B1D">
      <w:pPr>
        <w:pStyle w:val="a7"/>
        <w:numPr>
          <w:ilvl w:val="0"/>
          <w:numId w:val="109"/>
        </w:numPr>
        <w:spacing w:beforeLines="50" w:before="180"/>
        <w:ind w:leftChars="0"/>
        <w:jc w:val="both"/>
        <w:rPr>
          <w:rFonts w:eastAsia="標楷體" w:cstheme="minorHAnsi"/>
        </w:rPr>
      </w:pPr>
      <w:r w:rsidRPr="00CA1A43">
        <w:rPr>
          <w:rFonts w:eastAsia="標楷體" w:cstheme="minorHAnsi"/>
        </w:rPr>
        <w:t>任</w:t>
      </w:r>
      <w:proofErr w:type="gramStart"/>
      <w:r w:rsidRPr="00CA1A43">
        <w:rPr>
          <w:rFonts w:eastAsia="標楷體" w:cstheme="minorHAnsi"/>
        </w:rPr>
        <w:t>一</w:t>
      </w:r>
      <w:proofErr w:type="gramEnd"/>
      <w:r w:rsidRPr="00CA1A43">
        <w:rPr>
          <w:rFonts w:eastAsia="標楷體" w:cstheme="minorHAnsi"/>
        </w:rPr>
        <w:t>天期之相關</w:t>
      </w:r>
      <w:proofErr w:type="gramStart"/>
      <w:r w:rsidRPr="00CA1A43">
        <w:rPr>
          <w:rFonts w:eastAsia="標楷體" w:cstheme="minorHAnsi"/>
        </w:rPr>
        <w:t>殖</w:t>
      </w:r>
      <w:proofErr w:type="gramEnd"/>
      <w:r w:rsidRPr="00CA1A43">
        <w:rPr>
          <w:rFonts w:eastAsia="標楷體" w:cstheme="minorHAnsi"/>
        </w:rPr>
        <w:t>利率曲線；</w:t>
      </w:r>
    </w:p>
    <w:p w14:paraId="3CB9C5F7" w14:textId="77777777" w:rsidR="00CC445E" w:rsidRPr="00CA1A43" w:rsidRDefault="00CC445E" w:rsidP="00605B1D">
      <w:pPr>
        <w:pStyle w:val="a7"/>
        <w:numPr>
          <w:ilvl w:val="0"/>
          <w:numId w:val="109"/>
        </w:numPr>
        <w:spacing w:beforeLines="50" w:before="180"/>
        <w:ind w:leftChars="0"/>
        <w:jc w:val="both"/>
        <w:rPr>
          <w:rFonts w:eastAsia="標楷體" w:cstheme="minorHAnsi"/>
        </w:rPr>
      </w:pPr>
      <w:r w:rsidRPr="00CA1A43">
        <w:rPr>
          <w:rFonts w:eastAsia="標楷體" w:cstheme="minorHAnsi"/>
        </w:rPr>
        <w:t>通膨曲線；或</w:t>
      </w:r>
    </w:p>
    <w:p w14:paraId="3DEC6DF8" w14:textId="77777777" w:rsidR="00CC445E" w:rsidRPr="00CA1A43" w:rsidRDefault="00CC445E" w:rsidP="00605B1D">
      <w:pPr>
        <w:pStyle w:val="a7"/>
        <w:numPr>
          <w:ilvl w:val="0"/>
          <w:numId w:val="109"/>
        </w:numPr>
        <w:spacing w:beforeLines="50" w:before="180"/>
        <w:ind w:leftChars="0"/>
        <w:jc w:val="both"/>
        <w:rPr>
          <w:rFonts w:eastAsia="標楷體" w:cstheme="minorHAnsi"/>
        </w:rPr>
      </w:pPr>
      <w:r w:rsidRPr="00CA1A43">
        <w:rPr>
          <w:rFonts w:eastAsia="標楷體" w:cstheme="minorHAnsi"/>
        </w:rPr>
        <w:t>其他交叉</w:t>
      </w:r>
      <w:proofErr w:type="gramStart"/>
      <w:r w:rsidRPr="00CA1A43">
        <w:rPr>
          <w:rFonts w:eastAsia="標楷體" w:cstheme="minorHAnsi"/>
        </w:rPr>
        <w:t>貨幣基差曲線</w:t>
      </w:r>
      <w:proofErr w:type="gramEnd"/>
      <w:r w:rsidRPr="00CA1A43">
        <w:rPr>
          <w:rFonts w:eastAsia="標楷體" w:cstheme="minorHAnsi"/>
        </w:rPr>
        <w:t>(</w:t>
      </w:r>
      <w:r w:rsidRPr="00CA1A43">
        <w:rPr>
          <w:rFonts w:eastAsia="標楷體" w:cstheme="minorHAnsi"/>
        </w:rPr>
        <w:t>若相關</w:t>
      </w:r>
      <w:r w:rsidRPr="00CA1A43">
        <w:rPr>
          <w:rFonts w:eastAsia="標楷體" w:cstheme="minorHAnsi"/>
        </w:rPr>
        <w:t>)</w:t>
      </w:r>
      <w:r w:rsidRPr="00CA1A43">
        <w:rPr>
          <w:rFonts w:eastAsia="標楷體" w:cstheme="minorHAnsi"/>
        </w:rPr>
        <w:t>。</w:t>
      </w:r>
    </w:p>
    <w:p w14:paraId="3243A9BF" w14:textId="77777777" w:rsidR="00CC445E" w:rsidRPr="00CA1A43" w:rsidRDefault="00CC445E" w:rsidP="00605B1D">
      <w:pPr>
        <w:pStyle w:val="a7"/>
        <w:numPr>
          <w:ilvl w:val="0"/>
          <w:numId w:val="108"/>
        </w:numPr>
        <w:spacing w:beforeLines="50" w:before="180"/>
        <w:ind w:leftChars="0" w:left="1446" w:hanging="482"/>
        <w:jc w:val="both"/>
        <w:rPr>
          <w:rFonts w:eastAsia="標楷體" w:cstheme="minorHAnsi"/>
        </w:rPr>
      </w:pPr>
      <w:r w:rsidRPr="00CA1A43">
        <w:rPr>
          <w:rFonts w:eastAsia="標楷體" w:cstheme="minorHAnsi"/>
        </w:rPr>
        <w:t>不同組別</w:t>
      </w:r>
      <w:r w:rsidRPr="00CA1A43">
        <w:rPr>
          <w:rFonts w:eastAsia="標楷體" w:cstheme="minorHAnsi"/>
        </w:rPr>
        <w:t>(</w:t>
      </w:r>
      <w:r w:rsidRPr="00CA1A43">
        <w:rPr>
          <w:rFonts w:eastAsia="標楷體" w:cstheme="minorHAnsi"/>
        </w:rPr>
        <w:t>即不同幣別</w:t>
      </w:r>
      <w:r w:rsidRPr="00CA1A43">
        <w:rPr>
          <w:rFonts w:eastAsia="標楷體" w:cstheme="minorHAnsi"/>
        </w:rPr>
        <w:t>)</w:t>
      </w:r>
      <w:r w:rsidRPr="00CA1A43">
        <w:rPr>
          <w:rFonts w:eastAsia="標楷體" w:cstheme="minorHAnsi"/>
        </w:rPr>
        <w:t>間之</w:t>
      </w:r>
      <w:r w:rsidRPr="00CA1A43">
        <w:rPr>
          <w:rFonts w:eastAsia="標楷體" w:cstheme="minorHAnsi"/>
        </w:rPr>
        <w:t xml:space="preserve">GIRR </w:t>
      </w:r>
      <w:r w:rsidRPr="00CA1A43">
        <w:rPr>
          <w:rFonts w:eastAsia="標楷體" w:cstheme="minorHAnsi"/>
        </w:rPr>
        <w:t>風險部位加總，其跨組別間之相關係數</w:t>
      </w:r>
      <w:r w:rsidRPr="00CA1A43">
        <w:rPr>
          <w:rFonts w:eastAsia="標楷體" w:cstheme="minorHAnsi"/>
        </w:rPr>
        <w:t>(</w:t>
      </w:r>
      <w:r w:rsidRPr="00CA1A43">
        <w:rPr>
          <w:rFonts w:ascii="Cambria Math" w:eastAsia="標楷體" w:hAnsi="Cambria Math" w:cs="Cambria Math"/>
        </w:rPr>
        <w:t>𝛾</w:t>
      </w:r>
      <w:r w:rsidRPr="00CA1A43">
        <w:rPr>
          <w:rFonts w:ascii="Cambria Math" w:eastAsia="標楷體" w:hAnsi="Cambria Math" w:cs="Cambria Math"/>
          <w:vertAlign w:val="subscript"/>
        </w:rPr>
        <w:t>𝑏</w:t>
      </w:r>
      <w:r w:rsidRPr="00CA1A43">
        <w:rPr>
          <w:rFonts w:eastAsia="標楷體" w:cstheme="minorHAnsi"/>
          <w:vertAlign w:val="subscript"/>
        </w:rPr>
        <w:t>c</w:t>
      </w:r>
      <w:r w:rsidRPr="00CA1A43">
        <w:rPr>
          <w:rFonts w:eastAsia="標楷體" w:cstheme="minorHAnsi"/>
        </w:rPr>
        <w:t>)</w:t>
      </w:r>
      <w:r w:rsidRPr="00CA1A43">
        <w:rPr>
          <w:rFonts w:eastAsia="標楷體" w:cstheme="minorHAnsi"/>
        </w:rPr>
        <w:t>為</w:t>
      </w:r>
      <w:r w:rsidRPr="00CA1A43">
        <w:rPr>
          <w:rFonts w:eastAsia="標楷體" w:cstheme="minorHAnsi"/>
        </w:rPr>
        <w:t>50%</w:t>
      </w:r>
      <w:r w:rsidRPr="00CA1A43">
        <w:rPr>
          <w:rFonts w:eastAsia="標楷體" w:cstheme="minorHAnsi"/>
        </w:rPr>
        <w:t>。</w:t>
      </w:r>
    </w:p>
    <w:p w14:paraId="68D3D861" w14:textId="77777777" w:rsidR="00A6578A" w:rsidRPr="00CA1A43" w:rsidRDefault="0037400B" w:rsidP="00605B1D">
      <w:pPr>
        <w:pStyle w:val="a7"/>
        <w:numPr>
          <w:ilvl w:val="0"/>
          <w:numId w:val="107"/>
        </w:numPr>
        <w:spacing w:beforeLines="50" w:before="180"/>
        <w:ind w:leftChars="0" w:left="964" w:hanging="482"/>
        <w:jc w:val="both"/>
        <w:rPr>
          <w:rFonts w:eastAsia="標楷體" w:cstheme="minorHAnsi"/>
          <w:szCs w:val="24"/>
        </w:rPr>
      </w:pPr>
      <w:r w:rsidRPr="00CA1A43">
        <w:rPr>
          <w:rFonts w:eastAsia="標楷體" w:cstheme="minorHAnsi"/>
          <w:szCs w:val="24"/>
        </w:rPr>
        <w:t>非證券化</w:t>
      </w:r>
      <w:r w:rsidRPr="00CA1A43">
        <w:rPr>
          <w:rFonts w:eastAsia="標楷體" w:cstheme="minorHAnsi"/>
          <w:szCs w:val="24"/>
        </w:rPr>
        <w:t>CSR</w:t>
      </w:r>
      <w:r w:rsidRPr="00CA1A43">
        <w:rPr>
          <w:rFonts w:eastAsia="標楷體" w:cstheme="minorHAnsi"/>
          <w:szCs w:val="24"/>
        </w:rPr>
        <w:t>之</w:t>
      </w:r>
      <w:r w:rsidRPr="00CA1A43">
        <w:rPr>
          <w:rFonts w:eastAsia="標楷體" w:cstheme="minorHAnsi"/>
          <w:szCs w:val="24"/>
        </w:rPr>
        <w:t>Delta</w:t>
      </w:r>
      <w:r w:rsidRPr="00CA1A43">
        <w:rPr>
          <w:rFonts w:eastAsia="標楷體" w:cstheme="minorHAnsi"/>
          <w:szCs w:val="24"/>
        </w:rPr>
        <w:t>風險組別、風險權數及相關係數</w:t>
      </w:r>
    </w:p>
    <w:p w14:paraId="2220F2D5" w14:textId="77777777" w:rsidR="0037400B" w:rsidRPr="00CA1A43" w:rsidRDefault="008F15AD" w:rsidP="00605B1D">
      <w:pPr>
        <w:pStyle w:val="a7"/>
        <w:numPr>
          <w:ilvl w:val="0"/>
          <w:numId w:val="110"/>
        </w:numPr>
        <w:spacing w:beforeLines="50" w:before="180"/>
        <w:ind w:leftChars="0" w:left="1446" w:hanging="482"/>
        <w:jc w:val="both"/>
        <w:rPr>
          <w:rFonts w:eastAsia="標楷體" w:cstheme="minorHAnsi"/>
        </w:rPr>
      </w:pPr>
      <w:r w:rsidRPr="00CA1A43">
        <w:rPr>
          <w:rFonts w:eastAsia="標楷體" w:cstheme="minorHAnsi"/>
        </w:rPr>
        <w:t>非證券化</w:t>
      </w:r>
      <w:r w:rsidRPr="00CA1A43">
        <w:rPr>
          <w:rFonts w:eastAsia="標楷體" w:cstheme="minorHAnsi"/>
        </w:rPr>
        <w:t>CSR</w:t>
      </w:r>
      <w:r w:rsidRPr="00CA1A43">
        <w:rPr>
          <w:rFonts w:eastAsia="標楷體" w:cstheme="minorHAnsi"/>
        </w:rPr>
        <w:t>之</w:t>
      </w:r>
      <w:r w:rsidRPr="00CA1A43">
        <w:rPr>
          <w:rFonts w:eastAsia="標楷體" w:cstheme="minorHAnsi"/>
        </w:rPr>
        <w:t>Delta</w:t>
      </w:r>
      <w:r w:rsidRPr="00CA1A43">
        <w:rPr>
          <w:rFonts w:eastAsia="標楷體" w:cstheme="minorHAnsi"/>
        </w:rPr>
        <w:t>風險組別係按信用品質及產業等兩個維度定</w:t>
      </w:r>
      <w:r w:rsidRPr="00CA1A43">
        <w:rPr>
          <w:rFonts w:eastAsia="標楷體" w:cstheme="minorHAnsi"/>
        </w:rPr>
        <w:lastRenderedPageBreak/>
        <w:t>義</w:t>
      </w:r>
      <w:r w:rsidRPr="00CA1A43">
        <w:rPr>
          <w:rFonts w:eastAsia="標楷體" w:cstheme="minorHAnsi"/>
        </w:rPr>
        <w:t>(</w:t>
      </w:r>
      <w:r w:rsidRPr="00CA1A43">
        <w:rPr>
          <w:rFonts w:eastAsia="標楷體" w:cstheme="minorHAnsi"/>
        </w:rPr>
        <w:t>如表</w:t>
      </w:r>
      <w:r w:rsidRPr="00CA1A43">
        <w:rPr>
          <w:rFonts w:eastAsia="標楷體" w:cstheme="minorHAnsi"/>
        </w:rPr>
        <w:t>3</w:t>
      </w:r>
      <w:r w:rsidRPr="00CA1A43">
        <w:rPr>
          <w:rFonts w:eastAsia="標楷體" w:cstheme="minorHAnsi"/>
        </w:rPr>
        <w:t>所示</w:t>
      </w:r>
      <w:r w:rsidRPr="00CA1A43">
        <w:rPr>
          <w:rFonts w:eastAsia="標楷體" w:cstheme="minorHAnsi"/>
        </w:rPr>
        <w:t>)</w:t>
      </w:r>
      <w:r w:rsidRPr="00CA1A43">
        <w:rPr>
          <w:rFonts w:eastAsia="標楷體" w:cstheme="minorHAnsi"/>
        </w:rPr>
        <w:t>。非證券化</w:t>
      </w:r>
      <w:r w:rsidRPr="00CA1A43">
        <w:rPr>
          <w:rFonts w:eastAsia="標楷體" w:cstheme="minorHAnsi"/>
        </w:rPr>
        <w:t>CSR</w:t>
      </w:r>
      <w:r w:rsidRPr="00CA1A43">
        <w:rPr>
          <w:rFonts w:eastAsia="標楷體" w:cstheme="minorHAnsi"/>
        </w:rPr>
        <w:t>之</w:t>
      </w:r>
      <w:r w:rsidRPr="00CA1A43">
        <w:rPr>
          <w:rFonts w:eastAsia="標楷體" w:cstheme="minorHAnsi"/>
        </w:rPr>
        <w:t>Delta</w:t>
      </w:r>
      <w:r w:rsidRPr="00CA1A43">
        <w:rPr>
          <w:rFonts w:eastAsia="標楷體" w:cstheme="minorHAnsi"/>
        </w:rPr>
        <w:t>敏感性部位</w:t>
      </w:r>
      <w:proofErr w:type="gramStart"/>
      <w:r w:rsidRPr="00CA1A43">
        <w:rPr>
          <w:rFonts w:eastAsia="標楷體" w:cstheme="minorHAnsi"/>
        </w:rPr>
        <w:t>或暴險</w:t>
      </w:r>
      <w:proofErr w:type="gramEnd"/>
      <w:r w:rsidRPr="00CA1A43">
        <w:rPr>
          <w:rFonts w:eastAsia="標楷體" w:cstheme="minorHAnsi"/>
        </w:rPr>
        <w:t>，應先</w:t>
      </w:r>
      <w:proofErr w:type="gramStart"/>
      <w:r w:rsidRPr="00CA1A43">
        <w:rPr>
          <w:rFonts w:eastAsia="標楷體" w:cstheme="minorHAnsi"/>
        </w:rPr>
        <w:t>指定到表</w:t>
      </w:r>
      <w:proofErr w:type="gramEnd"/>
      <w:r w:rsidRPr="00CA1A43">
        <w:rPr>
          <w:rFonts w:eastAsia="標楷體" w:cstheme="minorHAnsi"/>
        </w:rPr>
        <w:t>3</w:t>
      </w:r>
      <w:r w:rsidRPr="00CA1A43">
        <w:rPr>
          <w:rFonts w:eastAsia="標楷體" w:cstheme="minorHAnsi"/>
        </w:rPr>
        <w:t>之某一組別，再依風險權數計算加權敏感性部位。每</w:t>
      </w:r>
      <w:proofErr w:type="gramStart"/>
      <w:r w:rsidRPr="00CA1A43">
        <w:rPr>
          <w:rFonts w:eastAsia="標楷體" w:cstheme="minorHAnsi"/>
        </w:rPr>
        <w:t>個</w:t>
      </w:r>
      <w:proofErr w:type="gramEnd"/>
      <w:r w:rsidRPr="00CA1A43">
        <w:rPr>
          <w:rFonts w:eastAsia="標楷體" w:cstheme="minorHAnsi"/>
        </w:rPr>
        <w:t>組</w:t>
      </w:r>
      <w:proofErr w:type="gramStart"/>
      <w:r w:rsidRPr="00CA1A43">
        <w:rPr>
          <w:rFonts w:eastAsia="標楷體" w:cstheme="minorHAnsi"/>
        </w:rPr>
        <w:t>別下所有期間</w:t>
      </w:r>
      <w:r w:rsidRPr="00CA1A43">
        <w:rPr>
          <w:rFonts w:eastAsia="標楷體" w:cstheme="minorHAnsi"/>
        </w:rPr>
        <w:t>(</w:t>
      </w:r>
      <w:proofErr w:type="gramEnd"/>
      <w:r w:rsidRPr="00CA1A43">
        <w:rPr>
          <w:rFonts w:eastAsia="標楷體" w:cstheme="minorHAnsi"/>
        </w:rPr>
        <w:t>即</w:t>
      </w:r>
      <w:r w:rsidRPr="00CA1A43">
        <w:rPr>
          <w:rFonts w:eastAsia="標楷體" w:cstheme="minorHAnsi"/>
        </w:rPr>
        <w:t xml:space="preserve">0.5 </w:t>
      </w:r>
      <w:r w:rsidRPr="00CA1A43">
        <w:rPr>
          <w:rFonts w:eastAsia="標楷體" w:cstheme="minorHAnsi"/>
        </w:rPr>
        <w:t>年、</w:t>
      </w:r>
      <w:r w:rsidRPr="00CA1A43">
        <w:rPr>
          <w:rFonts w:eastAsia="標楷體" w:cstheme="minorHAnsi"/>
        </w:rPr>
        <w:t xml:space="preserve">1 </w:t>
      </w:r>
      <w:r w:rsidRPr="00CA1A43">
        <w:rPr>
          <w:rFonts w:eastAsia="標楷體" w:cstheme="minorHAnsi"/>
        </w:rPr>
        <w:t>年、</w:t>
      </w:r>
      <w:r w:rsidRPr="00CA1A43">
        <w:rPr>
          <w:rFonts w:eastAsia="標楷體" w:cstheme="minorHAnsi"/>
        </w:rPr>
        <w:t xml:space="preserve">3 </w:t>
      </w:r>
      <w:r w:rsidRPr="00CA1A43">
        <w:rPr>
          <w:rFonts w:eastAsia="標楷體" w:cstheme="minorHAnsi"/>
        </w:rPr>
        <w:t>年、</w:t>
      </w:r>
      <w:r w:rsidRPr="00CA1A43">
        <w:rPr>
          <w:rFonts w:eastAsia="標楷體" w:cstheme="minorHAnsi"/>
        </w:rPr>
        <w:t xml:space="preserve">5 </w:t>
      </w:r>
      <w:r w:rsidRPr="00CA1A43">
        <w:rPr>
          <w:rFonts w:eastAsia="標楷體" w:cstheme="minorHAnsi"/>
        </w:rPr>
        <w:t>年、</w:t>
      </w:r>
      <w:r w:rsidRPr="00CA1A43">
        <w:rPr>
          <w:rFonts w:eastAsia="標楷體" w:cstheme="minorHAnsi"/>
        </w:rPr>
        <w:t xml:space="preserve">10 </w:t>
      </w:r>
      <w:r w:rsidRPr="00CA1A43">
        <w:rPr>
          <w:rFonts w:eastAsia="標楷體" w:cstheme="minorHAnsi"/>
        </w:rPr>
        <w:t>年</w:t>
      </w:r>
      <w:r w:rsidRPr="00CA1A43">
        <w:rPr>
          <w:rFonts w:eastAsia="標楷體" w:cstheme="minorHAnsi"/>
        </w:rPr>
        <w:t>)</w:t>
      </w:r>
      <w:r w:rsidRPr="00CA1A43">
        <w:rPr>
          <w:rFonts w:eastAsia="標楷體" w:cstheme="minorHAnsi"/>
        </w:rPr>
        <w:t>之風險權數均相同：</w:t>
      </w:r>
    </w:p>
    <w:tbl>
      <w:tblPr>
        <w:tblStyle w:val="aa"/>
        <w:tblW w:w="5000" w:type="pct"/>
        <w:tblLayout w:type="fixed"/>
        <w:tblLook w:val="0000" w:firstRow="0" w:lastRow="0" w:firstColumn="0" w:lastColumn="0" w:noHBand="0" w:noVBand="0"/>
      </w:tblPr>
      <w:tblGrid>
        <w:gridCol w:w="1273"/>
        <w:gridCol w:w="1704"/>
        <w:gridCol w:w="709"/>
        <w:gridCol w:w="4620"/>
      </w:tblGrid>
      <w:tr w:rsidR="008F15AD" w:rsidRPr="00CA1A43" w14:paraId="42F47345" w14:textId="77777777" w:rsidTr="00CC246B">
        <w:trPr>
          <w:trHeight w:val="454"/>
        </w:trPr>
        <w:tc>
          <w:tcPr>
            <w:tcW w:w="2219" w:type="pct"/>
            <w:gridSpan w:val="3"/>
            <w:tcBorders>
              <w:left w:val="nil"/>
              <w:right w:val="nil"/>
            </w:tcBorders>
            <w:vAlign w:val="center"/>
          </w:tcPr>
          <w:p w14:paraId="651096F0"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非證券化</w:t>
            </w:r>
            <w:r w:rsidRPr="00CA1A43">
              <w:rPr>
                <w:rFonts w:asciiTheme="minorHAnsi" w:hAnsiTheme="minorHAnsi" w:cstheme="minorHAnsi"/>
                <w:sz w:val="24"/>
                <w:szCs w:val="24"/>
              </w:rPr>
              <w:t>CSR</w:t>
            </w:r>
            <w:r w:rsidRPr="00CA1A43">
              <w:rPr>
                <w:rFonts w:asciiTheme="minorHAnsi" w:hAnsiTheme="minorHAnsi" w:cstheme="minorHAnsi"/>
                <w:sz w:val="24"/>
                <w:szCs w:val="24"/>
              </w:rPr>
              <w:t>之</w:t>
            </w:r>
            <w:r w:rsidRPr="00CA1A43">
              <w:rPr>
                <w:rFonts w:asciiTheme="minorHAnsi" w:hAnsiTheme="minorHAnsi" w:cstheme="minorHAnsi"/>
                <w:sz w:val="24"/>
                <w:szCs w:val="24"/>
              </w:rPr>
              <w:t>Delta</w:t>
            </w:r>
            <w:r w:rsidRPr="00CA1A43">
              <w:rPr>
                <w:rFonts w:asciiTheme="minorHAnsi" w:hAnsiTheme="minorHAnsi" w:cstheme="minorHAnsi"/>
                <w:sz w:val="24"/>
                <w:szCs w:val="24"/>
              </w:rPr>
              <w:t>風險組別</w:t>
            </w:r>
          </w:p>
        </w:tc>
        <w:tc>
          <w:tcPr>
            <w:tcW w:w="2781" w:type="pct"/>
            <w:tcBorders>
              <w:left w:val="nil"/>
              <w:right w:val="nil"/>
            </w:tcBorders>
            <w:vAlign w:val="center"/>
          </w:tcPr>
          <w:p w14:paraId="487B72EB" w14:textId="77777777" w:rsidR="008F15AD" w:rsidRPr="00CA1A43" w:rsidRDefault="008F15AD" w:rsidP="00CC246B">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3</w:t>
            </w:r>
          </w:p>
        </w:tc>
      </w:tr>
      <w:tr w:rsidR="008F15AD" w:rsidRPr="00CA1A43" w14:paraId="7AA672AB" w14:textId="77777777" w:rsidTr="00CC246B">
        <w:trPr>
          <w:trHeight w:val="376"/>
        </w:trPr>
        <w:tc>
          <w:tcPr>
            <w:tcW w:w="766" w:type="pct"/>
            <w:tcBorders>
              <w:left w:val="nil"/>
              <w:right w:val="single" w:sz="8" w:space="0" w:color="A6A6A6" w:themeColor="background1" w:themeShade="A6"/>
            </w:tcBorders>
            <w:vAlign w:val="center"/>
          </w:tcPr>
          <w:p w14:paraId="36F6E600"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1026" w:type="pct"/>
            <w:tcBorders>
              <w:left w:val="single" w:sz="8" w:space="0" w:color="A6A6A6" w:themeColor="background1" w:themeShade="A6"/>
              <w:right w:val="single" w:sz="8" w:space="0" w:color="A6A6A6" w:themeColor="background1" w:themeShade="A6"/>
            </w:tcBorders>
            <w:vAlign w:val="center"/>
          </w:tcPr>
          <w:p w14:paraId="38E24FDD"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信用品質</w:t>
            </w:r>
          </w:p>
        </w:tc>
        <w:tc>
          <w:tcPr>
            <w:tcW w:w="3208" w:type="pct"/>
            <w:gridSpan w:val="2"/>
            <w:tcBorders>
              <w:left w:val="single" w:sz="8" w:space="0" w:color="A6A6A6" w:themeColor="background1" w:themeShade="A6"/>
              <w:right w:val="nil"/>
            </w:tcBorders>
            <w:vAlign w:val="center"/>
          </w:tcPr>
          <w:p w14:paraId="5D1E9E29"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產業分類</w:t>
            </w:r>
          </w:p>
        </w:tc>
      </w:tr>
      <w:tr w:rsidR="008F15AD" w:rsidRPr="00CA1A43" w14:paraId="1B10AAF8" w14:textId="77777777" w:rsidTr="00CC246B">
        <w:trPr>
          <w:trHeight w:val="369"/>
        </w:trPr>
        <w:tc>
          <w:tcPr>
            <w:tcW w:w="766" w:type="pct"/>
            <w:tcBorders>
              <w:left w:val="nil"/>
              <w:bottom w:val="single" w:sz="8" w:space="0" w:color="A6A6A6" w:themeColor="background1" w:themeShade="A6"/>
              <w:right w:val="single" w:sz="8" w:space="0" w:color="A6A6A6" w:themeColor="background1" w:themeShade="A6"/>
            </w:tcBorders>
            <w:vAlign w:val="center"/>
          </w:tcPr>
          <w:p w14:paraId="5E89F9EA"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 xml:space="preserve">1 </w:t>
            </w:r>
          </w:p>
        </w:tc>
        <w:tc>
          <w:tcPr>
            <w:tcW w:w="1026" w:type="pct"/>
            <w:vMerge w:val="restart"/>
            <w:tcBorders>
              <w:left w:val="single" w:sz="8" w:space="0" w:color="A6A6A6" w:themeColor="background1" w:themeShade="A6"/>
              <w:right w:val="single" w:sz="8" w:space="0" w:color="A6A6A6" w:themeColor="background1" w:themeShade="A6"/>
            </w:tcBorders>
            <w:vAlign w:val="center"/>
          </w:tcPr>
          <w:p w14:paraId="6E456025"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投資等級</w:t>
            </w:r>
            <w:r w:rsidRPr="00CA1A43">
              <w:rPr>
                <w:rFonts w:asciiTheme="minorHAnsi" w:hAnsiTheme="minorHAnsi" w:cstheme="minorHAnsi"/>
                <w:sz w:val="24"/>
                <w:szCs w:val="24"/>
              </w:rPr>
              <w:t>(IG)</w:t>
            </w:r>
          </w:p>
        </w:tc>
        <w:tc>
          <w:tcPr>
            <w:tcW w:w="3208" w:type="pct"/>
            <w:gridSpan w:val="2"/>
            <w:tcBorders>
              <w:left w:val="single" w:sz="8" w:space="0" w:color="A6A6A6" w:themeColor="background1" w:themeShade="A6"/>
              <w:bottom w:val="single" w:sz="4" w:space="0" w:color="A6A6A6" w:themeColor="background1" w:themeShade="A6"/>
              <w:right w:val="nil"/>
            </w:tcBorders>
            <w:vAlign w:val="center"/>
          </w:tcPr>
          <w:p w14:paraId="768658FC"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國家主權機關，包含中央銀行、多邊開發銀行</w:t>
            </w:r>
          </w:p>
        </w:tc>
      </w:tr>
      <w:tr w:rsidR="008F15AD" w:rsidRPr="00CA1A43" w14:paraId="0317B400" w14:textId="77777777" w:rsidTr="00CC246B">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697BA377"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2</w:t>
            </w:r>
          </w:p>
        </w:tc>
        <w:tc>
          <w:tcPr>
            <w:tcW w:w="1026" w:type="pct"/>
            <w:vMerge/>
            <w:tcBorders>
              <w:left w:val="single" w:sz="8" w:space="0" w:color="A6A6A6" w:themeColor="background1" w:themeShade="A6"/>
              <w:right w:val="single" w:sz="8" w:space="0" w:color="A6A6A6" w:themeColor="background1" w:themeShade="A6"/>
            </w:tcBorders>
            <w:vAlign w:val="center"/>
          </w:tcPr>
          <w:p w14:paraId="473AEEFC"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14:paraId="3AEF22D2"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地方政府機構、政府支持的非金融機構、教育、公共管理機構</w:t>
            </w:r>
          </w:p>
        </w:tc>
      </w:tr>
      <w:tr w:rsidR="008F15AD" w:rsidRPr="00CA1A43" w14:paraId="14F3EAAF" w14:textId="77777777" w:rsidTr="00CC246B">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3F611215"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3</w:t>
            </w:r>
          </w:p>
        </w:tc>
        <w:tc>
          <w:tcPr>
            <w:tcW w:w="1026" w:type="pct"/>
            <w:vMerge/>
            <w:tcBorders>
              <w:left w:val="single" w:sz="8" w:space="0" w:color="A6A6A6" w:themeColor="background1" w:themeShade="A6"/>
              <w:right w:val="single" w:sz="8" w:space="0" w:color="A6A6A6" w:themeColor="background1" w:themeShade="A6"/>
            </w:tcBorders>
            <w:vAlign w:val="center"/>
          </w:tcPr>
          <w:p w14:paraId="09FF7E4F"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14:paraId="299D5C8A"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金融機構、包含政府支持的金融機構</w:t>
            </w:r>
          </w:p>
        </w:tc>
      </w:tr>
      <w:tr w:rsidR="008F15AD" w:rsidRPr="00CA1A43" w14:paraId="00623A1A" w14:textId="77777777" w:rsidTr="00CC246B">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6C7EF92A"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4</w:t>
            </w:r>
          </w:p>
        </w:tc>
        <w:tc>
          <w:tcPr>
            <w:tcW w:w="1026" w:type="pct"/>
            <w:vMerge/>
            <w:tcBorders>
              <w:left w:val="single" w:sz="8" w:space="0" w:color="A6A6A6" w:themeColor="background1" w:themeShade="A6"/>
              <w:right w:val="single" w:sz="8" w:space="0" w:color="A6A6A6" w:themeColor="background1" w:themeShade="A6"/>
            </w:tcBorders>
            <w:vAlign w:val="center"/>
          </w:tcPr>
          <w:p w14:paraId="5E29A5EF"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14:paraId="7ECFAE64"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基礎原物料、能源、工業、農業、製造業、</w:t>
            </w:r>
            <w:proofErr w:type="gramStart"/>
            <w:r w:rsidRPr="00CA1A43">
              <w:rPr>
                <w:rFonts w:asciiTheme="minorHAnsi" w:hAnsiTheme="minorHAnsi" w:cstheme="minorHAnsi"/>
                <w:sz w:val="24"/>
                <w:szCs w:val="24"/>
              </w:rPr>
              <w:t>冶礦、採</w:t>
            </w:r>
            <w:proofErr w:type="gramEnd"/>
            <w:r w:rsidRPr="00CA1A43">
              <w:rPr>
                <w:rFonts w:asciiTheme="minorHAnsi" w:hAnsiTheme="minorHAnsi" w:cstheme="minorHAnsi"/>
                <w:sz w:val="24"/>
                <w:szCs w:val="24"/>
              </w:rPr>
              <w:t>石</w:t>
            </w:r>
          </w:p>
        </w:tc>
      </w:tr>
      <w:tr w:rsidR="008F15AD" w:rsidRPr="00CA1A43" w14:paraId="6771273D" w14:textId="77777777" w:rsidTr="00CC246B">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535BB004"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5</w:t>
            </w:r>
          </w:p>
        </w:tc>
        <w:tc>
          <w:tcPr>
            <w:tcW w:w="1026" w:type="pct"/>
            <w:vMerge/>
            <w:tcBorders>
              <w:left w:val="single" w:sz="8" w:space="0" w:color="A6A6A6" w:themeColor="background1" w:themeShade="A6"/>
              <w:right w:val="single" w:sz="8" w:space="0" w:color="A6A6A6" w:themeColor="background1" w:themeShade="A6"/>
            </w:tcBorders>
            <w:vAlign w:val="center"/>
          </w:tcPr>
          <w:p w14:paraId="7F7C689C"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14:paraId="62C62B1F"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消費商品和服務、運輸和倉儲、管理和支援服務活動</w:t>
            </w:r>
          </w:p>
        </w:tc>
      </w:tr>
      <w:tr w:rsidR="008F15AD" w:rsidRPr="00CA1A43" w14:paraId="7FB3DACF" w14:textId="77777777" w:rsidTr="00CC246B">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7AFB4D56"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6</w:t>
            </w:r>
          </w:p>
        </w:tc>
        <w:tc>
          <w:tcPr>
            <w:tcW w:w="1026" w:type="pct"/>
            <w:vMerge/>
            <w:tcBorders>
              <w:left w:val="single" w:sz="8" w:space="0" w:color="A6A6A6" w:themeColor="background1" w:themeShade="A6"/>
              <w:right w:val="single" w:sz="8" w:space="0" w:color="A6A6A6" w:themeColor="background1" w:themeShade="A6"/>
            </w:tcBorders>
            <w:vAlign w:val="center"/>
          </w:tcPr>
          <w:p w14:paraId="15D2D7F4"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14:paraId="54B35AEB"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科技、電信</w:t>
            </w:r>
          </w:p>
        </w:tc>
      </w:tr>
      <w:tr w:rsidR="008F15AD" w:rsidRPr="00CA1A43" w14:paraId="5D90D2E8" w14:textId="77777777" w:rsidTr="00CC246B">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31DE378D"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7</w:t>
            </w:r>
          </w:p>
        </w:tc>
        <w:tc>
          <w:tcPr>
            <w:tcW w:w="1026" w:type="pct"/>
            <w:vMerge/>
            <w:tcBorders>
              <w:left w:val="single" w:sz="8" w:space="0" w:color="A6A6A6" w:themeColor="background1" w:themeShade="A6"/>
              <w:right w:val="single" w:sz="8" w:space="0" w:color="A6A6A6" w:themeColor="background1" w:themeShade="A6"/>
            </w:tcBorders>
            <w:vAlign w:val="center"/>
          </w:tcPr>
          <w:p w14:paraId="3505FBE8"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4" w:space="0" w:color="A6A6A6" w:themeColor="background1" w:themeShade="A6"/>
              <w:right w:val="nil"/>
            </w:tcBorders>
            <w:vAlign w:val="center"/>
          </w:tcPr>
          <w:p w14:paraId="419DCB66"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健康醫療、公共事業、專業和技術活動</w:t>
            </w:r>
          </w:p>
        </w:tc>
      </w:tr>
      <w:tr w:rsidR="008F15AD" w:rsidRPr="00CA1A43" w14:paraId="47F79BDB" w14:textId="77777777" w:rsidTr="00CC246B">
        <w:trPr>
          <w:trHeight w:val="103"/>
        </w:trPr>
        <w:tc>
          <w:tcPr>
            <w:tcW w:w="766" w:type="pct"/>
            <w:tcBorders>
              <w:top w:val="single" w:sz="8" w:space="0" w:color="A6A6A6" w:themeColor="background1" w:themeShade="A6"/>
              <w:left w:val="nil"/>
              <w:right w:val="single" w:sz="8" w:space="0" w:color="A6A6A6" w:themeColor="background1" w:themeShade="A6"/>
            </w:tcBorders>
            <w:vAlign w:val="center"/>
          </w:tcPr>
          <w:p w14:paraId="17F7F9BB"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8</w:t>
            </w:r>
          </w:p>
        </w:tc>
        <w:tc>
          <w:tcPr>
            <w:tcW w:w="1026" w:type="pct"/>
            <w:vMerge/>
            <w:tcBorders>
              <w:left w:val="single" w:sz="8" w:space="0" w:color="A6A6A6" w:themeColor="background1" w:themeShade="A6"/>
              <w:right w:val="single" w:sz="8" w:space="0" w:color="A6A6A6" w:themeColor="background1" w:themeShade="A6"/>
            </w:tcBorders>
            <w:vAlign w:val="center"/>
          </w:tcPr>
          <w:p w14:paraId="1F34408B"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right w:val="nil"/>
            </w:tcBorders>
            <w:vAlign w:val="center"/>
          </w:tcPr>
          <w:p w14:paraId="329CE485"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金融資產擔保債券</w:t>
            </w:r>
            <w:r w:rsidR="007D3E45" w:rsidRPr="00CA1A43">
              <w:rPr>
                <w:rStyle w:val="a5"/>
                <w:rFonts w:asciiTheme="minorHAnsi" w:hAnsiTheme="minorHAnsi" w:cstheme="minorHAnsi"/>
              </w:rPr>
              <w:footnoteReference w:id="26"/>
            </w:r>
          </w:p>
        </w:tc>
      </w:tr>
      <w:tr w:rsidR="008F15AD" w:rsidRPr="00CA1A43" w14:paraId="7F93A69F" w14:textId="77777777" w:rsidTr="00CC246B">
        <w:trPr>
          <w:trHeight w:val="344"/>
        </w:trPr>
        <w:tc>
          <w:tcPr>
            <w:tcW w:w="766" w:type="pct"/>
            <w:tcBorders>
              <w:left w:val="nil"/>
              <w:bottom w:val="single" w:sz="8" w:space="0" w:color="A6A6A6" w:themeColor="background1" w:themeShade="A6"/>
              <w:right w:val="single" w:sz="8" w:space="0" w:color="A6A6A6" w:themeColor="background1" w:themeShade="A6"/>
            </w:tcBorders>
            <w:vAlign w:val="center"/>
          </w:tcPr>
          <w:p w14:paraId="0122FCB9"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 xml:space="preserve">9 </w:t>
            </w:r>
          </w:p>
        </w:tc>
        <w:tc>
          <w:tcPr>
            <w:tcW w:w="1026" w:type="pct"/>
            <w:vMerge w:val="restart"/>
            <w:tcBorders>
              <w:left w:val="single" w:sz="8" w:space="0" w:color="A6A6A6" w:themeColor="background1" w:themeShade="A6"/>
              <w:right w:val="single" w:sz="8" w:space="0" w:color="A6A6A6" w:themeColor="background1" w:themeShade="A6"/>
            </w:tcBorders>
            <w:vAlign w:val="center"/>
          </w:tcPr>
          <w:p w14:paraId="364608B8"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高收益</w:t>
            </w:r>
            <w:r w:rsidRPr="00CA1A43">
              <w:rPr>
                <w:rFonts w:asciiTheme="minorHAnsi" w:hAnsiTheme="minorHAnsi" w:cstheme="minorHAnsi"/>
                <w:sz w:val="24"/>
                <w:szCs w:val="24"/>
              </w:rPr>
              <w:t>(HY)</w:t>
            </w:r>
            <w:r w:rsidRPr="00CA1A43">
              <w:rPr>
                <w:rFonts w:asciiTheme="minorHAnsi" w:hAnsiTheme="minorHAnsi" w:cstheme="minorHAnsi"/>
                <w:sz w:val="24"/>
                <w:szCs w:val="24"/>
              </w:rPr>
              <w:t>、</w:t>
            </w:r>
          </w:p>
          <w:p w14:paraId="37C94793" w14:textId="77777777" w:rsidR="008F15AD" w:rsidRPr="00CA1A43" w:rsidRDefault="008F15AD" w:rsidP="00CC246B">
            <w:pPr>
              <w:pStyle w:val="Item"/>
              <w:jc w:val="center"/>
              <w:rPr>
                <w:rFonts w:asciiTheme="minorHAnsi" w:hAnsiTheme="minorHAnsi" w:cstheme="minorHAnsi"/>
                <w:sz w:val="24"/>
                <w:szCs w:val="24"/>
              </w:rPr>
            </w:pPr>
            <w:proofErr w:type="gramStart"/>
            <w:r w:rsidRPr="00CA1A43">
              <w:rPr>
                <w:rFonts w:asciiTheme="minorHAnsi" w:hAnsiTheme="minorHAnsi" w:cstheme="minorHAnsi"/>
                <w:sz w:val="24"/>
                <w:szCs w:val="24"/>
              </w:rPr>
              <w:t>無評等</w:t>
            </w:r>
            <w:proofErr w:type="gramEnd"/>
            <w:r w:rsidRPr="00CA1A43">
              <w:rPr>
                <w:rFonts w:asciiTheme="minorHAnsi" w:hAnsiTheme="minorHAnsi" w:cstheme="minorHAnsi"/>
                <w:sz w:val="24"/>
                <w:szCs w:val="24"/>
              </w:rPr>
              <w:t>(NR)</w:t>
            </w:r>
          </w:p>
        </w:tc>
        <w:tc>
          <w:tcPr>
            <w:tcW w:w="3208" w:type="pct"/>
            <w:gridSpan w:val="2"/>
            <w:tcBorders>
              <w:left w:val="single" w:sz="8" w:space="0" w:color="A6A6A6" w:themeColor="background1" w:themeShade="A6"/>
              <w:bottom w:val="single" w:sz="8" w:space="0" w:color="A6A6A6" w:themeColor="background1" w:themeShade="A6"/>
              <w:right w:val="nil"/>
            </w:tcBorders>
            <w:vAlign w:val="center"/>
          </w:tcPr>
          <w:p w14:paraId="3FCB9158"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國家主權機關，包含中央銀行、多邊開發銀行</w:t>
            </w:r>
          </w:p>
        </w:tc>
      </w:tr>
      <w:tr w:rsidR="008F15AD" w:rsidRPr="00CA1A43" w14:paraId="24B0F2ED" w14:textId="77777777" w:rsidTr="00CC246B">
        <w:trPr>
          <w:trHeight w:val="369"/>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5E6C10CE"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10</w:t>
            </w:r>
          </w:p>
        </w:tc>
        <w:tc>
          <w:tcPr>
            <w:tcW w:w="1026" w:type="pct"/>
            <w:vMerge/>
            <w:tcBorders>
              <w:left w:val="single" w:sz="8" w:space="0" w:color="A6A6A6" w:themeColor="background1" w:themeShade="A6"/>
              <w:right w:val="single" w:sz="8" w:space="0" w:color="A6A6A6" w:themeColor="background1" w:themeShade="A6"/>
            </w:tcBorders>
            <w:vAlign w:val="center"/>
          </w:tcPr>
          <w:p w14:paraId="72CD902A"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53209996"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地方政府機構、政府支持的非金融機構、教育、公共管理機構</w:t>
            </w:r>
          </w:p>
        </w:tc>
      </w:tr>
      <w:tr w:rsidR="008F15AD" w:rsidRPr="00CA1A43" w14:paraId="602FAF52" w14:textId="77777777" w:rsidTr="00CC246B">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33642300"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11</w:t>
            </w:r>
          </w:p>
        </w:tc>
        <w:tc>
          <w:tcPr>
            <w:tcW w:w="1026" w:type="pct"/>
            <w:vMerge/>
            <w:tcBorders>
              <w:left w:val="single" w:sz="8" w:space="0" w:color="A6A6A6" w:themeColor="background1" w:themeShade="A6"/>
              <w:right w:val="single" w:sz="8" w:space="0" w:color="A6A6A6" w:themeColor="background1" w:themeShade="A6"/>
            </w:tcBorders>
            <w:vAlign w:val="center"/>
          </w:tcPr>
          <w:p w14:paraId="239F739E"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right w:val="nil"/>
            </w:tcBorders>
            <w:vAlign w:val="center"/>
          </w:tcPr>
          <w:p w14:paraId="37234C37"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金融機構、包含政府支持的金融機構</w:t>
            </w:r>
          </w:p>
        </w:tc>
      </w:tr>
      <w:tr w:rsidR="008F15AD" w:rsidRPr="00CA1A43" w14:paraId="5E2D2100" w14:textId="77777777" w:rsidTr="00CC246B">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2065D8B9"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12</w:t>
            </w:r>
          </w:p>
        </w:tc>
        <w:tc>
          <w:tcPr>
            <w:tcW w:w="1026" w:type="pct"/>
            <w:vMerge/>
            <w:tcBorders>
              <w:left w:val="single" w:sz="8" w:space="0" w:color="A6A6A6" w:themeColor="background1" w:themeShade="A6"/>
              <w:right w:val="single" w:sz="8" w:space="0" w:color="A6A6A6" w:themeColor="background1" w:themeShade="A6"/>
            </w:tcBorders>
            <w:vAlign w:val="center"/>
          </w:tcPr>
          <w:p w14:paraId="7E37F550"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left w:val="single" w:sz="8" w:space="0" w:color="A6A6A6" w:themeColor="background1" w:themeShade="A6"/>
              <w:bottom w:val="single" w:sz="8" w:space="0" w:color="A6A6A6" w:themeColor="background1" w:themeShade="A6"/>
              <w:right w:val="nil"/>
            </w:tcBorders>
            <w:vAlign w:val="center"/>
          </w:tcPr>
          <w:p w14:paraId="43CB0289"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基礎原物料、能源、工業、農業、製造業、</w:t>
            </w:r>
            <w:proofErr w:type="gramStart"/>
            <w:r w:rsidRPr="00CA1A43">
              <w:rPr>
                <w:rFonts w:asciiTheme="minorHAnsi" w:hAnsiTheme="minorHAnsi" w:cstheme="minorHAnsi"/>
                <w:sz w:val="24"/>
                <w:szCs w:val="24"/>
              </w:rPr>
              <w:t>冶礦、採</w:t>
            </w:r>
            <w:proofErr w:type="gramEnd"/>
            <w:r w:rsidRPr="00CA1A43">
              <w:rPr>
                <w:rFonts w:asciiTheme="minorHAnsi" w:hAnsiTheme="minorHAnsi" w:cstheme="minorHAnsi"/>
                <w:sz w:val="24"/>
                <w:szCs w:val="24"/>
              </w:rPr>
              <w:t>石</w:t>
            </w:r>
          </w:p>
        </w:tc>
      </w:tr>
      <w:tr w:rsidR="008F15AD" w:rsidRPr="00CA1A43" w14:paraId="68002F9F" w14:textId="77777777" w:rsidTr="00CC246B">
        <w:trPr>
          <w:trHeight w:val="210"/>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0457F809"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13</w:t>
            </w:r>
          </w:p>
        </w:tc>
        <w:tc>
          <w:tcPr>
            <w:tcW w:w="1026" w:type="pct"/>
            <w:vMerge/>
            <w:tcBorders>
              <w:left w:val="single" w:sz="8" w:space="0" w:color="A6A6A6" w:themeColor="background1" w:themeShade="A6"/>
              <w:right w:val="single" w:sz="8" w:space="0" w:color="A6A6A6" w:themeColor="background1" w:themeShade="A6"/>
            </w:tcBorders>
            <w:vAlign w:val="center"/>
          </w:tcPr>
          <w:p w14:paraId="3DD32E7D"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69AB343E"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消費商品和服務、運輸和倉儲、管理和支援服務活動</w:t>
            </w:r>
          </w:p>
        </w:tc>
      </w:tr>
      <w:tr w:rsidR="008F15AD" w:rsidRPr="00CA1A43" w14:paraId="0F1162FB" w14:textId="77777777" w:rsidTr="00CC246B">
        <w:trPr>
          <w:trHeight w:val="103"/>
        </w:trPr>
        <w:tc>
          <w:tcPr>
            <w:tcW w:w="76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6A2FE5B0"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14</w:t>
            </w:r>
          </w:p>
        </w:tc>
        <w:tc>
          <w:tcPr>
            <w:tcW w:w="1026" w:type="pct"/>
            <w:vMerge/>
            <w:tcBorders>
              <w:left w:val="single" w:sz="8" w:space="0" w:color="A6A6A6" w:themeColor="background1" w:themeShade="A6"/>
              <w:right w:val="single" w:sz="8" w:space="0" w:color="A6A6A6" w:themeColor="background1" w:themeShade="A6"/>
            </w:tcBorders>
            <w:vAlign w:val="center"/>
          </w:tcPr>
          <w:p w14:paraId="4A8B859A"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659137AA"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科技、電信</w:t>
            </w:r>
          </w:p>
        </w:tc>
      </w:tr>
      <w:tr w:rsidR="008F15AD" w:rsidRPr="00CA1A43" w14:paraId="6699DCF9" w14:textId="77777777" w:rsidTr="00CC246B">
        <w:trPr>
          <w:trHeight w:val="45"/>
        </w:trPr>
        <w:tc>
          <w:tcPr>
            <w:tcW w:w="766" w:type="pct"/>
            <w:tcBorders>
              <w:top w:val="single" w:sz="8" w:space="0" w:color="A6A6A6" w:themeColor="background1" w:themeShade="A6"/>
              <w:left w:val="nil"/>
              <w:right w:val="single" w:sz="8" w:space="0" w:color="A6A6A6" w:themeColor="background1" w:themeShade="A6"/>
            </w:tcBorders>
            <w:vAlign w:val="center"/>
          </w:tcPr>
          <w:p w14:paraId="290EF214"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15</w:t>
            </w:r>
          </w:p>
        </w:tc>
        <w:tc>
          <w:tcPr>
            <w:tcW w:w="1026" w:type="pct"/>
            <w:vMerge/>
            <w:tcBorders>
              <w:left w:val="single" w:sz="8" w:space="0" w:color="A6A6A6" w:themeColor="background1" w:themeShade="A6"/>
              <w:right w:val="single" w:sz="8" w:space="0" w:color="A6A6A6" w:themeColor="background1" w:themeShade="A6"/>
            </w:tcBorders>
            <w:vAlign w:val="center"/>
          </w:tcPr>
          <w:p w14:paraId="3D69BA43" w14:textId="77777777" w:rsidR="008F15AD" w:rsidRPr="00CA1A43" w:rsidRDefault="008F15AD" w:rsidP="00CC246B">
            <w:pPr>
              <w:pStyle w:val="Item"/>
              <w:jc w:val="both"/>
              <w:rPr>
                <w:rFonts w:asciiTheme="minorHAnsi" w:hAnsiTheme="minorHAnsi" w:cstheme="minorHAnsi"/>
                <w:sz w:val="24"/>
                <w:szCs w:val="24"/>
              </w:rPr>
            </w:pPr>
          </w:p>
        </w:tc>
        <w:tc>
          <w:tcPr>
            <w:tcW w:w="3208" w:type="pct"/>
            <w:gridSpan w:val="2"/>
            <w:tcBorders>
              <w:top w:val="single" w:sz="8" w:space="0" w:color="A6A6A6" w:themeColor="background1" w:themeShade="A6"/>
              <w:left w:val="single" w:sz="8" w:space="0" w:color="A6A6A6" w:themeColor="background1" w:themeShade="A6"/>
              <w:right w:val="nil"/>
            </w:tcBorders>
            <w:vAlign w:val="center"/>
          </w:tcPr>
          <w:p w14:paraId="1C1B83BE"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健康醫療、公共事業、專業和技術活動</w:t>
            </w:r>
          </w:p>
        </w:tc>
      </w:tr>
      <w:tr w:rsidR="008F15AD" w:rsidRPr="00CA1A43" w14:paraId="7BC4920A" w14:textId="77777777" w:rsidTr="00CC246B">
        <w:trPr>
          <w:trHeight w:val="103"/>
        </w:trPr>
        <w:tc>
          <w:tcPr>
            <w:tcW w:w="766" w:type="pct"/>
            <w:tcBorders>
              <w:left w:val="nil"/>
              <w:right w:val="single" w:sz="8" w:space="0" w:color="A6A6A6" w:themeColor="background1" w:themeShade="A6"/>
            </w:tcBorders>
            <w:vAlign w:val="center"/>
          </w:tcPr>
          <w:p w14:paraId="37BF2B34"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16</w:t>
            </w:r>
          </w:p>
        </w:tc>
        <w:tc>
          <w:tcPr>
            <w:tcW w:w="4234" w:type="pct"/>
            <w:gridSpan w:val="3"/>
            <w:tcBorders>
              <w:left w:val="single" w:sz="8" w:space="0" w:color="A6A6A6" w:themeColor="background1" w:themeShade="A6"/>
              <w:right w:val="single" w:sz="4" w:space="0" w:color="A6A6A6" w:themeColor="background1" w:themeShade="A6"/>
            </w:tcBorders>
            <w:vAlign w:val="center"/>
          </w:tcPr>
          <w:p w14:paraId="3BE92F33"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其他產業</w:t>
            </w:r>
            <w:r w:rsidR="007D3E45" w:rsidRPr="00CA1A43">
              <w:rPr>
                <w:rStyle w:val="a5"/>
                <w:rFonts w:asciiTheme="minorHAnsi" w:hAnsiTheme="minorHAnsi" w:cstheme="minorHAnsi"/>
              </w:rPr>
              <w:footnoteReference w:id="27"/>
            </w:r>
          </w:p>
        </w:tc>
      </w:tr>
      <w:tr w:rsidR="008F15AD" w:rsidRPr="00CA1A43" w14:paraId="28C13422" w14:textId="77777777" w:rsidTr="00CC246B">
        <w:trPr>
          <w:trHeight w:val="302"/>
        </w:trPr>
        <w:tc>
          <w:tcPr>
            <w:tcW w:w="766" w:type="pct"/>
            <w:tcBorders>
              <w:left w:val="nil"/>
              <w:right w:val="single" w:sz="8" w:space="0" w:color="A6A6A6" w:themeColor="background1" w:themeShade="A6"/>
            </w:tcBorders>
            <w:vAlign w:val="center"/>
          </w:tcPr>
          <w:p w14:paraId="3F2373A8"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17</w:t>
            </w:r>
          </w:p>
        </w:tc>
        <w:tc>
          <w:tcPr>
            <w:tcW w:w="4234" w:type="pct"/>
            <w:gridSpan w:val="3"/>
            <w:tcBorders>
              <w:left w:val="single" w:sz="8" w:space="0" w:color="A6A6A6" w:themeColor="background1" w:themeShade="A6"/>
              <w:right w:val="nil"/>
            </w:tcBorders>
            <w:vAlign w:val="center"/>
          </w:tcPr>
          <w:p w14:paraId="4E18CEC5"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投資等級指數</w:t>
            </w:r>
          </w:p>
        </w:tc>
      </w:tr>
      <w:tr w:rsidR="008F15AD" w:rsidRPr="00CA1A43" w14:paraId="4053332F" w14:textId="77777777" w:rsidTr="00CC246B">
        <w:trPr>
          <w:trHeight w:val="103"/>
        </w:trPr>
        <w:tc>
          <w:tcPr>
            <w:tcW w:w="766" w:type="pct"/>
            <w:tcBorders>
              <w:left w:val="nil"/>
              <w:bottom w:val="single" w:sz="4" w:space="0" w:color="auto"/>
              <w:right w:val="single" w:sz="8" w:space="0" w:color="A6A6A6" w:themeColor="background1" w:themeShade="A6"/>
            </w:tcBorders>
            <w:vAlign w:val="center"/>
          </w:tcPr>
          <w:p w14:paraId="16F9CAA8"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18</w:t>
            </w:r>
          </w:p>
        </w:tc>
        <w:tc>
          <w:tcPr>
            <w:tcW w:w="4234" w:type="pct"/>
            <w:gridSpan w:val="3"/>
            <w:tcBorders>
              <w:left w:val="single" w:sz="8" w:space="0" w:color="A6A6A6" w:themeColor="background1" w:themeShade="A6"/>
              <w:bottom w:val="single" w:sz="4" w:space="0" w:color="auto"/>
              <w:right w:val="nil"/>
            </w:tcBorders>
            <w:vAlign w:val="center"/>
          </w:tcPr>
          <w:p w14:paraId="07E03B64"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高收益指數</w:t>
            </w:r>
          </w:p>
        </w:tc>
      </w:tr>
    </w:tbl>
    <w:p w14:paraId="52DF7355" w14:textId="77777777" w:rsidR="008F15AD" w:rsidRPr="00CA1A43" w:rsidRDefault="008F15AD" w:rsidP="000763CA">
      <w:pPr>
        <w:pStyle w:val="a7"/>
        <w:ind w:leftChars="0" w:left="360"/>
        <w:jc w:val="both"/>
        <w:rPr>
          <w:rFonts w:eastAsia="標楷體" w:cstheme="minorHAnsi"/>
          <w:szCs w:val="24"/>
        </w:rPr>
      </w:pPr>
    </w:p>
    <w:tbl>
      <w:tblPr>
        <w:tblStyle w:val="aa"/>
        <w:tblW w:w="5000" w:type="pct"/>
        <w:tblBorders>
          <w:left w:val="none" w:sz="0" w:space="0" w:color="auto"/>
          <w:right w:val="none" w:sz="0" w:space="0" w:color="auto"/>
        </w:tblBorders>
        <w:tblLayout w:type="fixed"/>
        <w:tblLook w:val="0000" w:firstRow="0" w:lastRow="0" w:firstColumn="0" w:lastColumn="0" w:noHBand="0" w:noVBand="0"/>
      </w:tblPr>
      <w:tblGrid>
        <w:gridCol w:w="3560"/>
        <w:gridCol w:w="2459"/>
        <w:gridCol w:w="2287"/>
      </w:tblGrid>
      <w:tr w:rsidR="008F15AD" w:rsidRPr="00CA1A43" w14:paraId="313A2B3F" w14:textId="77777777" w:rsidTr="00CC246B">
        <w:trPr>
          <w:trHeight w:val="454"/>
        </w:trPr>
        <w:tc>
          <w:tcPr>
            <w:tcW w:w="3623" w:type="pct"/>
            <w:gridSpan w:val="2"/>
            <w:tcBorders>
              <w:right w:val="nil"/>
            </w:tcBorders>
            <w:vAlign w:val="center"/>
          </w:tcPr>
          <w:p w14:paraId="615854E0" w14:textId="77777777" w:rsidR="008F15AD" w:rsidRPr="00CA1A43" w:rsidRDefault="008F15AD"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非證券化</w:t>
            </w:r>
            <w:r w:rsidRPr="00CA1A43">
              <w:rPr>
                <w:rFonts w:asciiTheme="minorHAnsi" w:hAnsiTheme="minorHAnsi" w:cstheme="minorHAnsi"/>
                <w:sz w:val="24"/>
                <w:szCs w:val="24"/>
              </w:rPr>
              <w:t>CSR</w:t>
            </w:r>
            <w:r w:rsidRPr="00CA1A43">
              <w:rPr>
                <w:rFonts w:asciiTheme="minorHAnsi" w:hAnsiTheme="minorHAnsi" w:cstheme="minorHAnsi"/>
                <w:sz w:val="24"/>
                <w:szCs w:val="24"/>
              </w:rPr>
              <w:t>之</w:t>
            </w:r>
            <w:r w:rsidRPr="00CA1A43">
              <w:rPr>
                <w:rFonts w:asciiTheme="minorHAnsi" w:hAnsiTheme="minorHAnsi" w:cstheme="minorHAnsi"/>
                <w:sz w:val="24"/>
                <w:szCs w:val="24"/>
              </w:rPr>
              <w:t>Delta</w:t>
            </w:r>
            <w:r w:rsidRPr="00CA1A43">
              <w:rPr>
                <w:rFonts w:asciiTheme="minorHAnsi" w:hAnsiTheme="minorHAnsi" w:cstheme="minorHAnsi"/>
                <w:sz w:val="24"/>
                <w:szCs w:val="24"/>
              </w:rPr>
              <w:t>風險組別</w:t>
            </w:r>
            <w:proofErr w:type="gramStart"/>
            <w:r w:rsidRPr="00CA1A43">
              <w:rPr>
                <w:rFonts w:asciiTheme="minorHAnsi" w:hAnsiTheme="minorHAnsi" w:cstheme="minorHAnsi"/>
                <w:sz w:val="24"/>
                <w:szCs w:val="24"/>
              </w:rPr>
              <w:t>之</w:t>
            </w:r>
            <w:proofErr w:type="gramEnd"/>
            <w:r w:rsidRPr="00CA1A43">
              <w:rPr>
                <w:rFonts w:asciiTheme="minorHAnsi" w:hAnsiTheme="minorHAnsi" w:cstheme="minorHAnsi"/>
                <w:sz w:val="24"/>
                <w:szCs w:val="24"/>
              </w:rPr>
              <w:t>風險權數</w:t>
            </w:r>
          </w:p>
        </w:tc>
        <w:tc>
          <w:tcPr>
            <w:tcW w:w="1377" w:type="pct"/>
            <w:tcBorders>
              <w:left w:val="nil"/>
            </w:tcBorders>
            <w:vAlign w:val="center"/>
          </w:tcPr>
          <w:p w14:paraId="14BCFCC7" w14:textId="77777777" w:rsidR="008F15AD" w:rsidRPr="00CA1A43" w:rsidRDefault="008F15AD" w:rsidP="00CC246B">
            <w:pPr>
              <w:pStyle w:val="Item"/>
              <w:ind w:left="352"/>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 xml:space="preserve"> 4 </w:t>
            </w:r>
          </w:p>
        </w:tc>
      </w:tr>
      <w:tr w:rsidR="008F15AD" w:rsidRPr="00CA1A43" w14:paraId="6CEB0163" w14:textId="77777777" w:rsidTr="00CC246B">
        <w:trPr>
          <w:trHeight w:val="74"/>
        </w:trPr>
        <w:tc>
          <w:tcPr>
            <w:tcW w:w="2143" w:type="pct"/>
            <w:tcBorders>
              <w:bottom w:val="single" w:sz="4" w:space="0" w:color="auto"/>
            </w:tcBorders>
            <w:vAlign w:val="center"/>
          </w:tcPr>
          <w:p w14:paraId="1F99D845"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2857" w:type="pct"/>
            <w:gridSpan w:val="2"/>
            <w:tcBorders>
              <w:bottom w:val="single" w:sz="4" w:space="0" w:color="auto"/>
            </w:tcBorders>
            <w:vAlign w:val="center"/>
          </w:tcPr>
          <w:p w14:paraId="6C0A945F"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風險權數</w:t>
            </w:r>
          </w:p>
        </w:tc>
      </w:tr>
      <w:tr w:rsidR="008F15AD" w:rsidRPr="00CA1A43" w14:paraId="57D9E8DE" w14:textId="77777777" w:rsidTr="00CC246B">
        <w:trPr>
          <w:trHeight w:val="74"/>
        </w:trPr>
        <w:tc>
          <w:tcPr>
            <w:tcW w:w="2143" w:type="pct"/>
            <w:tcBorders>
              <w:bottom w:val="single" w:sz="8" w:space="0" w:color="A6A6A6" w:themeColor="background1" w:themeShade="A6"/>
              <w:right w:val="single" w:sz="8" w:space="0" w:color="A6A6A6" w:themeColor="background1" w:themeShade="A6"/>
            </w:tcBorders>
            <w:vAlign w:val="center"/>
          </w:tcPr>
          <w:p w14:paraId="0EA11CFE"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2857" w:type="pct"/>
            <w:gridSpan w:val="2"/>
            <w:tcBorders>
              <w:left w:val="single" w:sz="8" w:space="0" w:color="A6A6A6" w:themeColor="background1" w:themeShade="A6"/>
              <w:bottom w:val="single" w:sz="8" w:space="0" w:color="A6A6A6" w:themeColor="background1" w:themeShade="A6"/>
            </w:tcBorders>
            <w:vAlign w:val="center"/>
          </w:tcPr>
          <w:p w14:paraId="55E1F0A6"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0.5%</w:t>
            </w:r>
          </w:p>
        </w:tc>
      </w:tr>
      <w:tr w:rsidR="008F15AD" w:rsidRPr="00CA1A43" w14:paraId="4CC962E0"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DC7814F"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9B8ACC8"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r>
      <w:tr w:rsidR="008F15AD" w:rsidRPr="00CA1A43" w14:paraId="4331333C"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4E30CA1"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756873D9"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r>
      <w:tr w:rsidR="008F15AD" w:rsidRPr="00CA1A43" w14:paraId="7D4A0CA8"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18751BF"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F57FB21"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r>
      <w:tr w:rsidR="008F15AD" w:rsidRPr="00CA1A43" w14:paraId="52435200"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CD489E9"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5</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0BB734F"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r>
      <w:tr w:rsidR="008F15AD" w:rsidRPr="00CA1A43" w14:paraId="31476BB6"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BAD9B98"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E370F01"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r>
      <w:tr w:rsidR="008F15AD" w:rsidRPr="00CA1A43" w14:paraId="389FC757"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BFBF07F"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B4607A3"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15AD" w:rsidRPr="00CA1A43" w14:paraId="3F5078E1" w14:textId="77777777" w:rsidTr="00CC246B">
        <w:trPr>
          <w:trHeight w:val="74"/>
        </w:trPr>
        <w:tc>
          <w:tcPr>
            <w:tcW w:w="2143" w:type="pct"/>
            <w:tcBorders>
              <w:top w:val="single" w:sz="8" w:space="0" w:color="A6A6A6" w:themeColor="background1" w:themeShade="A6"/>
              <w:bottom w:val="single" w:sz="4" w:space="0" w:color="auto"/>
              <w:right w:val="single" w:sz="8" w:space="0" w:color="A6A6A6" w:themeColor="background1" w:themeShade="A6"/>
            </w:tcBorders>
            <w:vAlign w:val="center"/>
          </w:tcPr>
          <w:p w14:paraId="64AF2740"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2857" w:type="pct"/>
            <w:gridSpan w:val="2"/>
            <w:tcBorders>
              <w:top w:val="single" w:sz="8" w:space="0" w:color="A6A6A6" w:themeColor="background1" w:themeShade="A6"/>
              <w:left w:val="single" w:sz="8" w:space="0" w:color="A6A6A6" w:themeColor="background1" w:themeShade="A6"/>
              <w:bottom w:val="single" w:sz="4" w:space="0" w:color="auto"/>
            </w:tcBorders>
            <w:vAlign w:val="center"/>
          </w:tcPr>
          <w:p w14:paraId="2E81A981"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2.5%</w:t>
            </w:r>
            <w:r w:rsidR="007D3E45" w:rsidRPr="00CA1A43">
              <w:rPr>
                <w:rStyle w:val="a5"/>
                <w:rFonts w:asciiTheme="minorHAnsi" w:hAnsiTheme="minorHAnsi" w:cstheme="minorHAnsi"/>
              </w:rPr>
              <w:footnoteReference w:id="28"/>
            </w:r>
          </w:p>
        </w:tc>
      </w:tr>
      <w:tr w:rsidR="008F15AD" w:rsidRPr="00CA1A43" w14:paraId="16C89587" w14:textId="77777777" w:rsidTr="00CC246B">
        <w:trPr>
          <w:trHeight w:val="74"/>
        </w:trPr>
        <w:tc>
          <w:tcPr>
            <w:tcW w:w="2143" w:type="pct"/>
            <w:tcBorders>
              <w:bottom w:val="single" w:sz="8" w:space="0" w:color="A6A6A6" w:themeColor="background1" w:themeShade="A6"/>
              <w:right w:val="single" w:sz="8" w:space="0" w:color="A6A6A6" w:themeColor="background1" w:themeShade="A6"/>
            </w:tcBorders>
            <w:vAlign w:val="center"/>
          </w:tcPr>
          <w:p w14:paraId="0D3A205D"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2857" w:type="pct"/>
            <w:gridSpan w:val="2"/>
            <w:tcBorders>
              <w:left w:val="single" w:sz="8" w:space="0" w:color="A6A6A6" w:themeColor="background1" w:themeShade="A6"/>
              <w:bottom w:val="single" w:sz="8" w:space="0" w:color="A6A6A6" w:themeColor="background1" w:themeShade="A6"/>
            </w:tcBorders>
            <w:vAlign w:val="center"/>
          </w:tcPr>
          <w:p w14:paraId="09F85459"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r>
      <w:tr w:rsidR="008F15AD" w:rsidRPr="00CA1A43" w14:paraId="6032FD87"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81D228D"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00C35225"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8F15AD" w:rsidRPr="00CA1A43" w14:paraId="003D2D96"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F3504B4"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50023878"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r>
      <w:tr w:rsidR="008F15AD" w:rsidRPr="00CA1A43" w14:paraId="4FF3858F"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60A8CBD"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1DC5FFD0"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7.0%</w:t>
            </w:r>
          </w:p>
        </w:tc>
      </w:tr>
      <w:tr w:rsidR="008F15AD" w:rsidRPr="00CA1A43" w14:paraId="64C74F53"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57A53A"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596A7996"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8.5%</w:t>
            </w:r>
          </w:p>
        </w:tc>
      </w:tr>
      <w:tr w:rsidR="008F15AD" w:rsidRPr="00CA1A43" w14:paraId="7444227B" w14:textId="77777777" w:rsidTr="00CC246B">
        <w:trPr>
          <w:trHeight w:val="74"/>
        </w:trPr>
        <w:tc>
          <w:tcPr>
            <w:tcW w:w="2143"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D3B0934"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14</w:t>
            </w:r>
          </w:p>
        </w:tc>
        <w:tc>
          <w:tcPr>
            <w:tcW w:w="285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CDCF8DD"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5.5%</w:t>
            </w:r>
          </w:p>
        </w:tc>
      </w:tr>
      <w:tr w:rsidR="008F15AD" w:rsidRPr="00CA1A43" w14:paraId="3A862DD9" w14:textId="77777777" w:rsidTr="00CC246B">
        <w:trPr>
          <w:trHeight w:val="74"/>
        </w:trPr>
        <w:tc>
          <w:tcPr>
            <w:tcW w:w="2143" w:type="pct"/>
            <w:tcBorders>
              <w:top w:val="single" w:sz="8" w:space="0" w:color="A6A6A6" w:themeColor="background1" w:themeShade="A6"/>
              <w:right w:val="single" w:sz="8" w:space="0" w:color="A6A6A6" w:themeColor="background1" w:themeShade="A6"/>
            </w:tcBorders>
            <w:vAlign w:val="center"/>
          </w:tcPr>
          <w:p w14:paraId="74EBAD9C"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c>
          <w:tcPr>
            <w:tcW w:w="2857" w:type="pct"/>
            <w:gridSpan w:val="2"/>
            <w:tcBorders>
              <w:top w:val="single" w:sz="8" w:space="0" w:color="A6A6A6" w:themeColor="background1" w:themeShade="A6"/>
              <w:left w:val="single" w:sz="8" w:space="0" w:color="A6A6A6" w:themeColor="background1" w:themeShade="A6"/>
            </w:tcBorders>
            <w:vAlign w:val="center"/>
          </w:tcPr>
          <w:p w14:paraId="10702D4A"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r>
      <w:tr w:rsidR="008F15AD" w:rsidRPr="00CA1A43" w14:paraId="08FBA8CA" w14:textId="77777777" w:rsidTr="00CC246B">
        <w:trPr>
          <w:trHeight w:val="74"/>
        </w:trPr>
        <w:tc>
          <w:tcPr>
            <w:tcW w:w="2143" w:type="pct"/>
            <w:vAlign w:val="center"/>
          </w:tcPr>
          <w:p w14:paraId="4899BFFD"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16</w:t>
            </w:r>
          </w:p>
        </w:tc>
        <w:tc>
          <w:tcPr>
            <w:tcW w:w="2857" w:type="pct"/>
            <w:gridSpan w:val="2"/>
            <w:vAlign w:val="center"/>
          </w:tcPr>
          <w:p w14:paraId="4D6724CD"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r>
      <w:tr w:rsidR="008F15AD" w:rsidRPr="00CA1A43" w14:paraId="5DCC51DA" w14:textId="77777777" w:rsidTr="00CC246B">
        <w:trPr>
          <w:trHeight w:val="74"/>
        </w:trPr>
        <w:tc>
          <w:tcPr>
            <w:tcW w:w="2143" w:type="pct"/>
            <w:vAlign w:val="center"/>
          </w:tcPr>
          <w:p w14:paraId="3986F878"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17</w:t>
            </w:r>
          </w:p>
        </w:tc>
        <w:tc>
          <w:tcPr>
            <w:tcW w:w="2857" w:type="pct"/>
            <w:gridSpan w:val="2"/>
            <w:vAlign w:val="center"/>
          </w:tcPr>
          <w:p w14:paraId="09F6D815"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15AD" w:rsidRPr="00CA1A43" w14:paraId="08C40B29" w14:textId="77777777" w:rsidTr="00CC246B">
        <w:trPr>
          <w:trHeight w:val="74"/>
        </w:trPr>
        <w:tc>
          <w:tcPr>
            <w:tcW w:w="2143" w:type="pct"/>
            <w:vAlign w:val="center"/>
          </w:tcPr>
          <w:p w14:paraId="026D0931"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18</w:t>
            </w:r>
          </w:p>
        </w:tc>
        <w:tc>
          <w:tcPr>
            <w:tcW w:w="2857" w:type="pct"/>
            <w:gridSpan w:val="2"/>
            <w:vAlign w:val="center"/>
          </w:tcPr>
          <w:p w14:paraId="2C064CFB" w14:textId="77777777" w:rsidR="008F15AD" w:rsidRPr="00CA1A43" w:rsidRDefault="008F15AD"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r>
    </w:tbl>
    <w:p w14:paraId="63ECE36F" w14:textId="77777777" w:rsidR="008F15AD" w:rsidRPr="00CA1A43" w:rsidRDefault="00366C51" w:rsidP="00605B1D">
      <w:pPr>
        <w:pStyle w:val="a7"/>
        <w:numPr>
          <w:ilvl w:val="0"/>
          <w:numId w:val="110"/>
        </w:numPr>
        <w:spacing w:beforeLines="50" w:before="180"/>
        <w:ind w:leftChars="0" w:left="1446" w:hanging="482"/>
        <w:jc w:val="both"/>
        <w:rPr>
          <w:rFonts w:eastAsia="標楷體" w:cstheme="minorHAnsi"/>
        </w:rPr>
      </w:pPr>
      <w:r w:rsidRPr="00CA1A43">
        <w:rPr>
          <w:rFonts w:eastAsia="標楷體" w:cstheme="minorHAnsi"/>
        </w:rPr>
        <w:t>銀行針對每一發行者</w:t>
      </w:r>
      <w:proofErr w:type="gramStart"/>
      <w:r w:rsidRPr="00CA1A43">
        <w:rPr>
          <w:rFonts w:eastAsia="標楷體" w:cstheme="minorHAnsi"/>
        </w:rPr>
        <w:t>之曝險部位指定到表</w:t>
      </w:r>
      <w:proofErr w:type="gramEnd"/>
      <w:r w:rsidRPr="00CA1A43">
        <w:rPr>
          <w:rFonts w:eastAsia="標楷體" w:cstheme="minorHAnsi"/>
        </w:rPr>
        <w:t>3</w:t>
      </w:r>
      <w:r w:rsidRPr="00CA1A43">
        <w:rPr>
          <w:rFonts w:eastAsia="標楷體" w:cstheme="minorHAnsi"/>
        </w:rPr>
        <w:t>中對應的單一產業組別。如</w:t>
      </w:r>
      <w:proofErr w:type="gramStart"/>
      <w:r w:rsidRPr="00CA1A43">
        <w:rPr>
          <w:rFonts w:eastAsia="標楷體" w:cstheme="minorHAnsi"/>
        </w:rPr>
        <w:t>無法依表</w:t>
      </w:r>
      <w:proofErr w:type="gramEnd"/>
      <w:r w:rsidRPr="00CA1A43">
        <w:rPr>
          <w:rFonts w:eastAsia="標楷體" w:cstheme="minorHAnsi"/>
        </w:rPr>
        <w:t>3</w:t>
      </w:r>
      <w:r w:rsidRPr="00CA1A43">
        <w:rPr>
          <w:rFonts w:eastAsia="標楷體" w:cstheme="minorHAnsi"/>
        </w:rPr>
        <w:t>指定產業</w:t>
      </w:r>
      <w:proofErr w:type="gramStart"/>
      <w:r w:rsidRPr="00CA1A43">
        <w:rPr>
          <w:rFonts w:eastAsia="標楷體" w:cstheme="minorHAnsi"/>
        </w:rPr>
        <w:t>組別者</w:t>
      </w:r>
      <w:proofErr w:type="gramEnd"/>
      <w:r w:rsidRPr="00CA1A43">
        <w:rPr>
          <w:rFonts w:eastAsia="標楷體" w:cstheme="minorHAnsi"/>
        </w:rPr>
        <w:t>，則分類在「其他產業」</w:t>
      </w:r>
      <w:r w:rsidRPr="00CA1A43">
        <w:rPr>
          <w:rFonts w:eastAsia="標楷體" w:cstheme="minorHAnsi"/>
        </w:rPr>
        <w:t>(</w:t>
      </w:r>
      <w:r w:rsidRPr="00CA1A43">
        <w:rPr>
          <w:rFonts w:eastAsia="標楷體" w:cstheme="minorHAnsi"/>
        </w:rPr>
        <w:t>即組別</w:t>
      </w:r>
      <w:r w:rsidRPr="00CA1A43">
        <w:rPr>
          <w:rFonts w:eastAsia="標楷體" w:cstheme="minorHAnsi"/>
        </w:rPr>
        <w:t>16)</w:t>
      </w:r>
      <w:r w:rsidRPr="00CA1A43">
        <w:rPr>
          <w:rFonts w:eastAsia="標楷體" w:cstheme="minorHAnsi"/>
        </w:rPr>
        <w:t>。</w:t>
      </w:r>
    </w:p>
    <w:p w14:paraId="11DDF45E" w14:textId="77777777" w:rsidR="00933007" w:rsidRPr="00CA1A43" w:rsidRDefault="00933007" w:rsidP="00605B1D">
      <w:pPr>
        <w:pStyle w:val="a7"/>
        <w:numPr>
          <w:ilvl w:val="0"/>
          <w:numId w:val="110"/>
        </w:numPr>
        <w:spacing w:beforeLines="50" w:before="180"/>
        <w:ind w:leftChars="0" w:left="1446" w:hanging="482"/>
        <w:jc w:val="both"/>
        <w:rPr>
          <w:rFonts w:eastAsia="標楷體" w:cstheme="minorHAnsi"/>
        </w:rPr>
      </w:pPr>
      <w:r w:rsidRPr="00CA1A43">
        <w:rPr>
          <w:rFonts w:eastAsia="標楷體" w:cstheme="minorHAnsi"/>
        </w:rPr>
        <w:t>針對組別</w:t>
      </w:r>
      <w:r w:rsidRPr="00CA1A43">
        <w:rPr>
          <w:rFonts w:eastAsia="標楷體" w:cstheme="minorHAnsi"/>
        </w:rPr>
        <w:t>1</w:t>
      </w:r>
      <w:r w:rsidRPr="00CA1A43">
        <w:rPr>
          <w:rFonts w:eastAsia="標楷體" w:cstheme="minorHAnsi"/>
        </w:rPr>
        <w:t>至</w:t>
      </w:r>
      <w:r w:rsidRPr="00CA1A43">
        <w:rPr>
          <w:rFonts w:eastAsia="標楷體" w:cstheme="minorHAnsi"/>
        </w:rPr>
        <w:t>15</w:t>
      </w:r>
      <w:r w:rsidRPr="00CA1A43">
        <w:rPr>
          <w:rFonts w:eastAsia="標楷體" w:cstheme="minorHAnsi"/>
        </w:rPr>
        <w:t>之同一組別的非證券化</w:t>
      </w:r>
      <w:r w:rsidRPr="00CA1A43">
        <w:rPr>
          <w:rFonts w:eastAsia="標楷體" w:cstheme="minorHAnsi"/>
        </w:rPr>
        <w:t>CSR delta</w:t>
      </w:r>
      <w:r w:rsidRPr="00CA1A43">
        <w:rPr>
          <w:rFonts w:eastAsia="標楷體" w:cstheme="minorHAnsi"/>
        </w:rPr>
        <w:t>風險部位加總，其同一</w:t>
      </w:r>
      <w:proofErr w:type="gramStart"/>
      <w:r w:rsidRPr="00CA1A43">
        <w:rPr>
          <w:rFonts w:eastAsia="標楷體" w:cstheme="minorHAnsi"/>
        </w:rPr>
        <w:t>組別內任</w:t>
      </w:r>
      <w:proofErr w:type="gramEnd"/>
      <w:r w:rsidRPr="00CA1A43">
        <w:rPr>
          <w:rFonts w:eastAsia="標楷體" w:cstheme="minorHAnsi"/>
        </w:rPr>
        <w:t>兩個加權敏感性部位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和</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𝑙</w:t>
      </w:r>
      <w:r w:rsidRPr="00CA1A43">
        <w:rPr>
          <w:rFonts w:eastAsia="標楷體" w:cstheme="minorHAnsi"/>
        </w:rPr>
        <w:t>間的相關係數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rPr>
        <w:t>如下：</w:t>
      </w:r>
    </w:p>
    <w:p w14:paraId="0AF461DD" w14:textId="77777777" w:rsidR="00933007" w:rsidRPr="00CA1A43" w:rsidRDefault="00AA1117" w:rsidP="00933007">
      <w:pPr>
        <w:pStyle w:val="a7"/>
        <w:spacing w:beforeLines="50" w:before="180"/>
        <w:ind w:leftChars="0" w:left="1446"/>
        <w:jc w:val="center"/>
        <w:rPr>
          <w:rFonts w:eastAsia="標楷體" w:cstheme="minorHAnsi"/>
        </w:rPr>
      </w:pPr>
      <m:oMath>
        <m:sSub>
          <m:sSubPr>
            <m:ctrlPr>
              <w:rPr>
                <w:rFonts w:ascii="Cambria Math" w:eastAsia="標楷體" w:hAnsi="Cambria Math" w:cstheme="minorHAnsi"/>
                <w:szCs w:val="24"/>
              </w:rPr>
            </m:ctrlPr>
          </m:sSubPr>
          <m:e>
            <m:r>
              <w:rPr>
                <w:rFonts w:ascii="Cambria Math" w:eastAsia="標楷體" w:hAnsi="Cambria Math" w:cstheme="minorHAnsi"/>
                <w:szCs w:val="24"/>
              </w:rPr>
              <m:t>ρ</m:t>
            </m:r>
          </m:e>
          <m:sub>
            <m:r>
              <w:rPr>
                <w:rFonts w:ascii="Cambria Math" w:eastAsia="標楷體" w:hAnsi="Cambria Math" w:cstheme="minorHAnsi"/>
                <w:szCs w:val="24"/>
              </w:rPr>
              <m:t>kl</m:t>
            </m:r>
          </m:sub>
        </m:sSub>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name</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tenor</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basis</m:t>
                </m:r>
              </m:e>
            </m:d>
          </m:sup>
        </m:sSubSup>
      </m:oMath>
      <w:r w:rsidR="00933007" w:rsidRPr="00CA1A43">
        <w:rPr>
          <w:rStyle w:val="a5"/>
          <w:rFonts w:eastAsia="標楷體" w:cstheme="minorHAnsi"/>
        </w:rPr>
        <w:footnoteReference w:id="29"/>
      </w:r>
    </w:p>
    <w:p w14:paraId="5C5B1919" w14:textId="77777777" w:rsidR="00933007" w:rsidRPr="00CA1A43" w:rsidRDefault="00933007" w:rsidP="00933007">
      <w:pPr>
        <w:ind w:left="1446"/>
        <w:jc w:val="both"/>
        <w:rPr>
          <w:rFonts w:eastAsia="標楷體" w:cstheme="minorHAnsi"/>
        </w:rPr>
      </w:pPr>
      <w:r w:rsidRPr="00CA1A43">
        <w:rPr>
          <w:rFonts w:eastAsia="標楷體" w:cstheme="minorHAnsi"/>
        </w:rPr>
        <w:t>其中：</w:t>
      </w:r>
    </w:p>
    <w:p w14:paraId="2DDECEAB" w14:textId="77777777" w:rsidR="00933007" w:rsidRPr="00CA1A43" w:rsidRDefault="00933007" w:rsidP="00605B1D">
      <w:pPr>
        <w:pStyle w:val="a7"/>
        <w:numPr>
          <w:ilvl w:val="0"/>
          <w:numId w:val="111"/>
        </w:numPr>
        <w:spacing w:beforeLines="50" w:before="180"/>
        <w:ind w:leftChars="0"/>
        <w:jc w:val="both"/>
        <w:rPr>
          <w:rFonts w:eastAsia="標楷體" w:cstheme="minorHAnsi"/>
        </w:rPr>
      </w:pPr>
      <w:r w:rsidRPr="00CA1A43">
        <w:rPr>
          <w:rFonts w:eastAsia="標楷體" w:cstheme="minorHAnsi"/>
        </w:rPr>
        <w:t>若敏感性部位因子</w:t>
      </w:r>
      <w:r w:rsidRPr="00CA1A43">
        <w:rPr>
          <w:rFonts w:eastAsia="標楷體" w:cstheme="minorHAnsi"/>
        </w:rPr>
        <w:t>k</w:t>
      </w:r>
      <w:r w:rsidRPr="00CA1A43">
        <w:rPr>
          <w:rFonts w:eastAsia="標楷體" w:cstheme="minorHAnsi"/>
        </w:rPr>
        <w:t>及</w:t>
      </w:r>
      <w:r w:rsidRPr="00CA1A43">
        <w:rPr>
          <w:rFonts w:eastAsia="標楷體" w:cstheme="minorHAnsi"/>
        </w:rPr>
        <w:t xml:space="preserve">l </w:t>
      </w:r>
      <w:r w:rsidRPr="00CA1A43">
        <w:rPr>
          <w:rFonts w:eastAsia="標楷體" w:cstheme="minorHAnsi"/>
        </w:rPr>
        <w:t>為同一參照實體</w:t>
      </w:r>
      <w:r w:rsidRPr="00CA1A43">
        <w:rPr>
          <w:rFonts w:eastAsia="標楷體" w:cstheme="minorHAnsi"/>
        </w:rPr>
        <w:t>(names)</w:t>
      </w:r>
      <w:r w:rsidRPr="00CA1A43">
        <w:rPr>
          <w:rFonts w:eastAsia="標楷體" w:cstheme="minorHAnsi"/>
        </w:rPr>
        <w:t>，其相關係數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(name)</w:t>
      </w:r>
      <w:r w:rsidRPr="00CA1A43">
        <w:rPr>
          <w:rFonts w:eastAsia="標楷體" w:cstheme="minorHAnsi"/>
        </w:rPr>
        <w:t>=1</w:t>
      </w:r>
      <w:r w:rsidRPr="00CA1A43">
        <w:rPr>
          <w:rFonts w:eastAsia="標楷體" w:cstheme="minorHAnsi"/>
        </w:rPr>
        <w:t>，否則為</w:t>
      </w:r>
      <w:r w:rsidRPr="00CA1A43">
        <w:rPr>
          <w:rFonts w:eastAsia="標楷體" w:cstheme="minorHAnsi"/>
        </w:rPr>
        <w:t>35%</w:t>
      </w:r>
      <w:r w:rsidRPr="00CA1A43">
        <w:rPr>
          <w:rFonts w:eastAsia="標楷體" w:cstheme="minorHAnsi"/>
        </w:rPr>
        <w:t>；</w:t>
      </w:r>
    </w:p>
    <w:p w14:paraId="57AB2FE4" w14:textId="77777777" w:rsidR="00933007" w:rsidRPr="00CA1A43" w:rsidRDefault="00933007" w:rsidP="00605B1D">
      <w:pPr>
        <w:pStyle w:val="a7"/>
        <w:numPr>
          <w:ilvl w:val="0"/>
          <w:numId w:val="111"/>
        </w:numPr>
        <w:spacing w:beforeLines="50" w:before="180"/>
        <w:ind w:leftChars="0"/>
        <w:jc w:val="both"/>
        <w:rPr>
          <w:rFonts w:eastAsia="標楷體" w:cstheme="minorHAnsi"/>
        </w:rPr>
      </w:pPr>
      <w:r w:rsidRPr="00CA1A43">
        <w:rPr>
          <w:rFonts w:eastAsia="標楷體" w:cstheme="minorHAnsi"/>
        </w:rPr>
        <w:t>若敏感性部位因子</w:t>
      </w:r>
      <w:r w:rsidRPr="00CA1A43">
        <w:rPr>
          <w:rFonts w:eastAsia="標楷體" w:cstheme="minorHAnsi"/>
        </w:rPr>
        <w:t>k</w:t>
      </w:r>
      <w:r w:rsidRPr="00CA1A43">
        <w:rPr>
          <w:rFonts w:eastAsia="標楷體" w:cstheme="minorHAnsi"/>
        </w:rPr>
        <w:t>及</w:t>
      </w:r>
      <w:r w:rsidRPr="00CA1A43">
        <w:rPr>
          <w:rFonts w:eastAsia="標楷體" w:cstheme="minorHAnsi"/>
        </w:rPr>
        <w:t xml:space="preserve">l </w:t>
      </w:r>
      <w:r w:rsidRPr="00CA1A43">
        <w:rPr>
          <w:rFonts w:eastAsia="標楷體" w:cstheme="minorHAnsi"/>
        </w:rPr>
        <w:t>具相同天期，其相關係數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(tenor)</w:t>
      </w:r>
      <w:r w:rsidRPr="00CA1A43">
        <w:rPr>
          <w:rFonts w:eastAsia="標楷體" w:cstheme="minorHAnsi"/>
        </w:rPr>
        <w:t>=1</w:t>
      </w:r>
      <w:r w:rsidRPr="00CA1A43">
        <w:rPr>
          <w:rFonts w:eastAsia="標楷體" w:cstheme="minorHAnsi"/>
        </w:rPr>
        <w:t>，否則等於</w:t>
      </w:r>
      <w:r w:rsidRPr="00CA1A43">
        <w:rPr>
          <w:rFonts w:eastAsia="標楷體" w:cstheme="minorHAnsi"/>
        </w:rPr>
        <w:t>65%</w:t>
      </w:r>
      <w:r w:rsidRPr="00CA1A43">
        <w:rPr>
          <w:rFonts w:eastAsia="標楷體" w:cstheme="minorHAnsi"/>
        </w:rPr>
        <w:t>；</w:t>
      </w:r>
    </w:p>
    <w:p w14:paraId="5D591964" w14:textId="77777777" w:rsidR="00933007" w:rsidRPr="00CA1A43" w:rsidRDefault="00933007" w:rsidP="00605B1D">
      <w:pPr>
        <w:pStyle w:val="a7"/>
        <w:numPr>
          <w:ilvl w:val="0"/>
          <w:numId w:val="111"/>
        </w:numPr>
        <w:spacing w:beforeLines="50" w:before="180"/>
        <w:ind w:leftChars="0"/>
        <w:jc w:val="both"/>
        <w:rPr>
          <w:rFonts w:eastAsia="標楷體" w:cstheme="minorHAnsi"/>
        </w:rPr>
      </w:pPr>
      <w:r w:rsidRPr="00CA1A43">
        <w:rPr>
          <w:rFonts w:eastAsia="標楷體" w:cstheme="minorHAnsi"/>
        </w:rPr>
        <w:t>若敏感性部位因子</w:t>
      </w:r>
      <w:r w:rsidRPr="00CA1A43">
        <w:rPr>
          <w:rFonts w:eastAsia="標楷體" w:cstheme="minorHAnsi"/>
        </w:rPr>
        <w:t>k</w:t>
      </w:r>
      <w:r w:rsidRPr="00CA1A43">
        <w:rPr>
          <w:rFonts w:eastAsia="標楷體" w:cstheme="minorHAnsi"/>
        </w:rPr>
        <w:t>及</w:t>
      </w:r>
      <w:r w:rsidRPr="00CA1A43">
        <w:rPr>
          <w:rFonts w:eastAsia="標楷體" w:cstheme="minorHAnsi"/>
        </w:rPr>
        <w:t xml:space="preserve">l </w:t>
      </w:r>
      <w:r w:rsidRPr="00CA1A43">
        <w:rPr>
          <w:rFonts w:eastAsia="標楷體" w:cstheme="minorHAnsi"/>
        </w:rPr>
        <w:t>為同一利率曲線，其相關係數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(basis)</w:t>
      </w:r>
      <w:r w:rsidRPr="00CA1A43">
        <w:rPr>
          <w:rFonts w:eastAsia="標楷體" w:cstheme="minorHAnsi"/>
        </w:rPr>
        <w:t>=1</w:t>
      </w:r>
      <w:r w:rsidRPr="00CA1A43">
        <w:rPr>
          <w:rFonts w:eastAsia="標楷體" w:cstheme="minorHAnsi"/>
        </w:rPr>
        <w:t>，否則為</w:t>
      </w:r>
      <w:r w:rsidRPr="00CA1A43">
        <w:rPr>
          <w:rFonts w:eastAsia="標楷體" w:cstheme="minorHAnsi"/>
        </w:rPr>
        <w:t>99.9%</w:t>
      </w:r>
      <w:r w:rsidRPr="00CA1A43">
        <w:rPr>
          <w:rFonts w:eastAsia="標楷體" w:cstheme="minorHAnsi"/>
        </w:rPr>
        <w:t>；</w:t>
      </w:r>
    </w:p>
    <w:p w14:paraId="3E2FE9D2" w14:textId="77777777" w:rsidR="00BD02FF" w:rsidRPr="00CA1A43" w:rsidRDefault="00BD02FF" w:rsidP="00605B1D">
      <w:pPr>
        <w:pStyle w:val="a7"/>
        <w:numPr>
          <w:ilvl w:val="0"/>
          <w:numId w:val="110"/>
        </w:numPr>
        <w:spacing w:beforeLines="50" w:before="180"/>
        <w:ind w:leftChars="0" w:left="1446" w:hanging="482"/>
        <w:jc w:val="both"/>
        <w:rPr>
          <w:rFonts w:eastAsia="標楷體" w:cstheme="minorHAnsi"/>
        </w:rPr>
      </w:pPr>
      <w:r w:rsidRPr="00CA1A43">
        <w:rPr>
          <w:rFonts w:eastAsia="標楷體" w:cstheme="minorHAnsi"/>
        </w:rPr>
        <w:t>針對組別</w:t>
      </w:r>
      <w:r w:rsidRPr="00CA1A43">
        <w:rPr>
          <w:rFonts w:eastAsia="標楷體" w:cstheme="minorHAnsi"/>
        </w:rPr>
        <w:t>17</w:t>
      </w:r>
      <w:r w:rsidRPr="00CA1A43">
        <w:rPr>
          <w:rFonts w:eastAsia="標楷體" w:cstheme="minorHAnsi"/>
        </w:rPr>
        <w:t>及</w:t>
      </w:r>
      <w:r w:rsidRPr="00CA1A43">
        <w:rPr>
          <w:rFonts w:eastAsia="標楷體" w:cstheme="minorHAnsi"/>
        </w:rPr>
        <w:t>18</w:t>
      </w:r>
      <w:r w:rsidRPr="00CA1A43">
        <w:rPr>
          <w:rFonts w:eastAsia="標楷體" w:cstheme="minorHAnsi"/>
        </w:rPr>
        <w:t>之同一組別的非證券化</w:t>
      </w:r>
      <w:r w:rsidRPr="00CA1A43">
        <w:rPr>
          <w:rFonts w:eastAsia="標楷體" w:cstheme="minorHAnsi"/>
        </w:rPr>
        <w:t>CSR delta</w:t>
      </w:r>
      <w:r w:rsidRPr="00CA1A43">
        <w:rPr>
          <w:rFonts w:eastAsia="標楷體" w:cstheme="minorHAnsi"/>
        </w:rPr>
        <w:t>風險部位之加總，其同一</w:t>
      </w:r>
      <w:proofErr w:type="gramStart"/>
      <w:r w:rsidRPr="00CA1A43">
        <w:rPr>
          <w:rFonts w:eastAsia="標楷體" w:cstheme="minorHAnsi"/>
        </w:rPr>
        <w:t>組別內任</w:t>
      </w:r>
      <w:proofErr w:type="gramEnd"/>
      <w:r w:rsidRPr="00CA1A43">
        <w:rPr>
          <w:rFonts w:eastAsia="標楷體" w:cstheme="minorHAnsi"/>
        </w:rPr>
        <w:t>兩個加權敏感性部位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和</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𝑙</w:t>
      </w:r>
      <w:r w:rsidRPr="00CA1A43">
        <w:rPr>
          <w:rFonts w:eastAsia="標楷體" w:cstheme="minorHAnsi"/>
        </w:rPr>
        <w:t>間的相關係數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rPr>
        <w:t>如下，</w:t>
      </w:r>
    </w:p>
    <w:p w14:paraId="4F29E49F" w14:textId="77777777" w:rsidR="00BD02FF" w:rsidRPr="00CA1A43" w:rsidRDefault="00AA1117" w:rsidP="00BD02FF">
      <w:pPr>
        <w:pStyle w:val="a7"/>
        <w:spacing w:beforeLines="50" w:before="180"/>
        <w:ind w:leftChars="0" w:left="1446"/>
        <w:jc w:val="both"/>
        <w:rPr>
          <w:rFonts w:eastAsia="標楷體" w:cstheme="minorHAnsi"/>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ρ</m:t>
              </m:r>
            </m:e>
            <m:sub>
              <m:r>
                <w:rPr>
                  <w:rFonts w:ascii="Cambria Math" w:eastAsia="標楷體" w:hAnsi="Cambria Math" w:cstheme="minorHAnsi"/>
                  <w:szCs w:val="24"/>
                </w:rPr>
                <m:t>kl</m:t>
              </m:r>
            </m:sub>
          </m:sSub>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name</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tenor</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basis</m:t>
                  </m:r>
                </m:e>
              </m:d>
            </m:sup>
          </m:sSubSup>
        </m:oMath>
      </m:oMathPara>
    </w:p>
    <w:p w14:paraId="15347E9B" w14:textId="77777777" w:rsidR="00BD02FF" w:rsidRPr="00CA1A43" w:rsidRDefault="00BD02FF" w:rsidP="00BD02FF">
      <w:pPr>
        <w:ind w:left="1446"/>
        <w:jc w:val="both"/>
        <w:rPr>
          <w:rFonts w:eastAsia="標楷體" w:cstheme="minorHAnsi"/>
        </w:rPr>
      </w:pPr>
      <w:r w:rsidRPr="00CA1A43">
        <w:rPr>
          <w:rFonts w:eastAsia="標楷體" w:cstheme="minorHAnsi"/>
        </w:rPr>
        <w:t>其中：</w:t>
      </w:r>
    </w:p>
    <w:p w14:paraId="19E9C7CB" w14:textId="77777777" w:rsidR="00BD02FF" w:rsidRPr="00CA1A43" w:rsidRDefault="00BD02FF" w:rsidP="00605B1D">
      <w:pPr>
        <w:pStyle w:val="a7"/>
        <w:numPr>
          <w:ilvl w:val="0"/>
          <w:numId w:val="112"/>
        </w:numPr>
        <w:spacing w:beforeLines="50" w:before="180"/>
        <w:ind w:leftChars="0"/>
        <w:jc w:val="both"/>
        <w:rPr>
          <w:rFonts w:eastAsia="標楷體" w:cstheme="minorHAnsi"/>
        </w:rPr>
      </w:pPr>
      <w:r w:rsidRPr="00CA1A43">
        <w:rPr>
          <w:rFonts w:eastAsia="標楷體" w:cstheme="minorHAnsi"/>
        </w:rPr>
        <w:lastRenderedPageBreak/>
        <w:t>若敏感性部位因子</w:t>
      </w:r>
      <w:r w:rsidRPr="00CA1A43">
        <w:rPr>
          <w:rFonts w:eastAsia="標楷體" w:cstheme="minorHAnsi"/>
        </w:rPr>
        <w:t>k</w:t>
      </w:r>
      <w:r w:rsidRPr="00CA1A43">
        <w:rPr>
          <w:rFonts w:eastAsia="標楷體" w:cstheme="minorHAnsi"/>
        </w:rPr>
        <w:t>及</w:t>
      </w:r>
      <w:r w:rsidRPr="00CA1A43">
        <w:rPr>
          <w:rFonts w:eastAsia="標楷體" w:cstheme="minorHAnsi"/>
        </w:rPr>
        <w:t xml:space="preserve">l </w:t>
      </w:r>
      <w:r w:rsidRPr="00CA1A43">
        <w:rPr>
          <w:rFonts w:eastAsia="標楷體" w:cstheme="minorHAnsi"/>
        </w:rPr>
        <w:t>為同一參照實體</w:t>
      </w:r>
      <w:r w:rsidRPr="00CA1A43">
        <w:rPr>
          <w:rFonts w:eastAsia="標楷體" w:cstheme="minorHAnsi"/>
        </w:rPr>
        <w:t>(names)</w:t>
      </w:r>
      <w:r w:rsidRPr="00CA1A43">
        <w:rPr>
          <w:rFonts w:eastAsia="標楷體" w:cstheme="minorHAnsi"/>
        </w:rPr>
        <w:t>，其相關係數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(name)</w:t>
      </w:r>
      <w:r w:rsidRPr="00CA1A43">
        <w:rPr>
          <w:rFonts w:eastAsia="標楷體" w:cstheme="minorHAnsi"/>
        </w:rPr>
        <w:t>=1</w:t>
      </w:r>
      <w:r w:rsidRPr="00CA1A43">
        <w:rPr>
          <w:rFonts w:eastAsia="標楷體" w:cstheme="minorHAnsi"/>
        </w:rPr>
        <w:t>，否則為</w:t>
      </w:r>
      <w:r w:rsidRPr="00CA1A43">
        <w:rPr>
          <w:rFonts w:eastAsia="標楷體" w:cstheme="minorHAnsi"/>
        </w:rPr>
        <w:t>80%</w:t>
      </w:r>
      <w:r w:rsidRPr="00CA1A43">
        <w:rPr>
          <w:rFonts w:eastAsia="標楷體" w:cstheme="minorHAnsi"/>
        </w:rPr>
        <w:t>；</w:t>
      </w:r>
    </w:p>
    <w:p w14:paraId="38A2752A" w14:textId="77777777" w:rsidR="00BD02FF" w:rsidRPr="00CA1A43" w:rsidRDefault="00BD02FF" w:rsidP="00605B1D">
      <w:pPr>
        <w:pStyle w:val="a7"/>
        <w:numPr>
          <w:ilvl w:val="0"/>
          <w:numId w:val="112"/>
        </w:numPr>
        <w:spacing w:beforeLines="50" w:before="180"/>
        <w:ind w:leftChars="0"/>
        <w:jc w:val="both"/>
        <w:rPr>
          <w:rFonts w:eastAsia="標楷體" w:cstheme="minorHAnsi"/>
        </w:rPr>
      </w:pPr>
      <w:r w:rsidRPr="00CA1A43">
        <w:rPr>
          <w:rFonts w:eastAsia="標楷體" w:cstheme="minorHAnsi"/>
        </w:rPr>
        <w:t>若敏感性部位因子</w:t>
      </w:r>
      <w:r w:rsidRPr="00CA1A43">
        <w:rPr>
          <w:rFonts w:eastAsia="標楷體" w:cstheme="minorHAnsi"/>
        </w:rPr>
        <w:t>k</w:t>
      </w:r>
      <w:r w:rsidRPr="00CA1A43">
        <w:rPr>
          <w:rFonts w:eastAsia="標楷體" w:cstheme="minorHAnsi"/>
        </w:rPr>
        <w:t>及</w:t>
      </w:r>
      <w:r w:rsidRPr="00CA1A43">
        <w:rPr>
          <w:rFonts w:eastAsia="標楷體" w:cstheme="minorHAnsi"/>
        </w:rPr>
        <w:t xml:space="preserve">l </w:t>
      </w:r>
      <w:r w:rsidRPr="00CA1A43">
        <w:rPr>
          <w:rFonts w:eastAsia="標楷體" w:cstheme="minorHAnsi"/>
        </w:rPr>
        <w:t>具相同天期，其相關係數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(tenor)</w:t>
      </w:r>
      <w:r w:rsidRPr="00CA1A43">
        <w:rPr>
          <w:rFonts w:eastAsia="標楷體" w:cstheme="minorHAnsi"/>
        </w:rPr>
        <w:t>=1</w:t>
      </w:r>
      <w:r w:rsidRPr="00CA1A43">
        <w:rPr>
          <w:rFonts w:eastAsia="標楷體" w:cstheme="minorHAnsi"/>
        </w:rPr>
        <w:t>，否則等於</w:t>
      </w:r>
      <w:r w:rsidRPr="00CA1A43">
        <w:rPr>
          <w:rFonts w:eastAsia="標楷體" w:cstheme="minorHAnsi"/>
        </w:rPr>
        <w:t>65%</w:t>
      </w:r>
      <w:r w:rsidRPr="00CA1A43">
        <w:rPr>
          <w:rFonts w:eastAsia="標楷體" w:cstheme="minorHAnsi"/>
        </w:rPr>
        <w:t>；</w:t>
      </w:r>
    </w:p>
    <w:p w14:paraId="4B758B7F" w14:textId="77777777" w:rsidR="00467D57" w:rsidRPr="00CA1A43" w:rsidRDefault="00BD02FF" w:rsidP="00605B1D">
      <w:pPr>
        <w:pStyle w:val="a7"/>
        <w:numPr>
          <w:ilvl w:val="0"/>
          <w:numId w:val="112"/>
        </w:numPr>
        <w:spacing w:beforeLines="50" w:before="180"/>
        <w:ind w:leftChars="0"/>
        <w:jc w:val="both"/>
        <w:rPr>
          <w:rFonts w:eastAsia="標楷體" w:cstheme="minorHAnsi"/>
        </w:rPr>
      </w:pPr>
      <w:r w:rsidRPr="00CA1A43">
        <w:rPr>
          <w:rFonts w:eastAsia="標楷體" w:cstheme="minorHAnsi"/>
        </w:rPr>
        <w:t>若敏感性部位因子</w:t>
      </w:r>
      <w:r w:rsidRPr="00CA1A43">
        <w:rPr>
          <w:rFonts w:eastAsia="標楷體" w:cstheme="minorHAnsi"/>
        </w:rPr>
        <w:t>k</w:t>
      </w:r>
      <w:r w:rsidRPr="00CA1A43">
        <w:rPr>
          <w:rFonts w:eastAsia="標楷體" w:cstheme="minorHAnsi"/>
        </w:rPr>
        <w:t>及</w:t>
      </w:r>
      <w:r w:rsidRPr="00CA1A43">
        <w:rPr>
          <w:rFonts w:eastAsia="標楷體" w:cstheme="minorHAnsi"/>
        </w:rPr>
        <w:t xml:space="preserve">l </w:t>
      </w:r>
      <w:r w:rsidRPr="00CA1A43">
        <w:rPr>
          <w:rFonts w:eastAsia="標楷體" w:cstheme="minorHAnsi"/>
        </w:rPr>
        <w:t>為同一利率曲線，其相關係數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(basis)</w:t>
      </w:r>
      <w:r w:rsidRPr="00CA1A43">
        <w:rPr>
          <w:rFonts w:eastAsia="標楷體" w:cstheme="minorHAnsi"/>
        </w:rPr>
        <w:t>=1</w:t>
      </w:r>
      <w:r w:rsidRPr="00CA1A43">
        <w:rPr>
          <w:rFonts w:eastAsia="標楷體" w:cstheme="minorHAnsi"/>
        </w:rPr>
        <w:t>，否則為</w:t>
      </w:r>
      <w:r w:rsidRPr="00CA1A43">
        <w:rPr>
          <w:rFonts w:eastAsia="標楷體" w:cstheme="minorHAnsi"/>
        </w:rPr>
        <w:t>99.9%</w:t>
      </w:r>
      <w:r w:rsidRPr="00CA1A43">
        <w:rPr>
          <w:rFonts w:eastAsia="標楷體" w:cstheme="minorHAnsi"/>
        </w:rPr>
        <w:t>；</w:t>
      </w:r>
    </w:p>
    <w:p w14:paraId="77756CA9" w14:textId="77777777" w:rsidR="00FC1029" w:rsidRPr="00CA1A43" w:rsidRDefault="00FC1029" w:rsidP="00605B1D">
      <w:pPr>
        <w:pStyle w:val="a7"/>
        <w:numPr>
          <w:ilvl w:val="0"/>
          <w:numId w:val="110"/>
        </w:numPr>
        <w:spacing w:beforeLines="50" w:before="180"/>
        <w:ind w:leftChars="0" w:left="1446" w:hanging="482"/>
        <w:jc w:val="both"/>
        <w:rPr>
          <w:rFonts w:eastAsia="標楷體" w:cstheme="minorHAnsi"/>
        </w:rPr>
      </w:pPr>
    </w:p>
    <w:p w14:paraId="6ED69451" w14:textId="77777777" w:rsidR="00FC1029" w:rsidRPr="00CA1A43" w:rsidRDefault="00FC1029" w:rsidP="00605B1D">
      <w:pPr>
        <w:pStyle w:val="a7"/>
        <w:numPr>
          <w:ilvl w:val="0"/>
          <w:numId w:val="113"/>
        </w:numPr>
        <w:spacing w:beforeLines="50" w:before="180"/>
        <w:ind w:leftChars="0"/>
        <w:jc w:val="both"/>
        <w:rPr>
          <w:rFonts w:eastAsia="標楷體" w:cstheme="minorHAnsi"/>
        </w:rPr>
      </w:pPr>
      <w:r w:rsidRPr="00CA1A43">
        <w:rPr>
          <w:rFonts w:eastAsia="標楷體" w:cstheme="minorHAnsi"/>
        </w:rPr>
        <w:t>針對組別</w:t>
      </w:r>
      <w:r w:rsidRPr="00CA1A43">
        <w:rPr>
          <w:rFonts w:eastAsia="標楷體" w:cstheme="minorHAnsi"/>
        </w:rPr>
        <w:t>16</w:t>
      </w:r>
      <w:r w:rsidRPr="00CA1A43">
        <w:rPr>
          <w:rFonts w:eastAsia="標楷體" w:cstheme="minorHAnsi"/>
        </w:rPr>
        <w:t>「其他產業」之組別的非證券化</w:t>
      </w:r>
      <w:r w:rsidRPr="00CA1A43">
        <w:rPr>
          <w:rFonts w:eastAsia="標楷體" w:cstheme="minorHAnsi"/>
        </w:rPr>
        <w:t>CSR delta</w:t>
      </w:r>
      <w:r w:rsidRPr="00CA1A43">
        <w:rPr>
          <w:rFonts w:eastAsia="標楷體" w:cstheme="minorHAnsi"/>
        </w:rPr>
        <w:t>風險部位彙總，為淨加權敏感性部位取絕對值簡單加總，同樣的方法亦適用於彙總</w:t>
      </w:r>
      <w:proofErr w:type="spellStart"/>
      <w:r w:rsidRPr="00CA1A43">
        <w:rPr>
          <w:rFonts w:eastAsia="標楷體" w:cstheme="minorHAnsi"/>
        </w:rPr>
        <w:t>vega</w:t>
      </w:r>
      <w:proofErr w:type="spellEnd"/>
      <w:r w:rsidRPr="00CA1A43">
        <w:rPr>
          <w:rFonts w:eastAsia="標楷體" w:cstheme="minorHAnsi"/>
        </w:rPr>
        <w:t>風險部位。</w:t>
      </w:r>
    </w:p>
    <w:p w14:paraId="3904CA42" w14:textId="77777777" w:rsidR="00FC1029" w:rsidRPr="00CA1A43" w:rsidRDefault="00AA1117" w:rsidP="00FC1029">
      <w:pPr>
        <w:pStyle w:val="a7"/>
        <w:spacing w:beforeLines="50" w:before="180"/>
        <w:ind w:leftChars="0" w:left="1941"/>
        <w:jc w:val="both"/>
        <w:rPr>
          <w:rFonts w:eastAsia="標楷體" w:cstheme="minorHAnsi"/>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K</m:t>
              </m:r>
            </m:e>
            <m:sub>
              <m:r>
                <w:rPr>
                  <w:rFonts w:ascii="Cambria Math" w:eastAsia="標楷體" w:hAnsi="Cambria Math" w:cstheme="minorHAnsi"/>
                  <w:szCs w:val="24"/>
                </w:rPr>
                <m:t>b</m:t>
              </m:r>
              <m:d>
                <m:dPr>
                  <m:ctrlPr>
                    <w:rPr>
                      <w:rFonts w:ascii="Cambria Math" w:eastAsia="標楷體" w:hAnsi="Cambria Math" w:cstheme="minorHAnsi"/>
                      <w:i/>
                      <w:szCs w:val="24"/>
                    </w:rPr>
                  </m:ctrlPr>
                </m:dPr>
                <m:e>
                  <m:r>
                    <w:rPr>
                      <w:rFonts w:ascii="Cambria Math" w:eastAsia="標楷體" w:hAnsi="Cambria Math" w:cstheme="minorHAnsi"/>
                      <w:szCs w:val="24"/>
                    </w:rPr>
                    <m:t>other bucket</m:t>
                  </m:r>
                </m:e>
              </m:d>
            </m:sub>
          </m:sSub>
          <m:r>
            <w:rPr>
              <w:rFonts w:ascii="Cambria Math" w:eastAsia="標楷體" w:hAnsi="Cambria Math" w:cstheme="minorHAnsi"/>
              <w:szCs w:val="24"/>
            </w:rPr>
            <m:t>=</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d>
                <m:dPr>
                  <m:begChr m:val="|"/>
                  <m:endChr m:val="|"/>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WS</m:t>
                      </m:r>
                    </m:e>
                    <m:sub>
                      <m:r>
                        <w:rPr>
                          <w:rFonts w:ascii="Cambria Math" w:eastAsia="標楷體" w:hAnsi="Cambria Math" w:cstheme="minorHAnsi"/>
                          <w:szCs w:val="24"/>
                        </w:rPr>
                        <m:t>k</m:t>
                      </m:r>
                    </m:sub>
                  </m:sSub>
                </m:e>
              </m:d>
            </m:e>
          </m:nary>
        </m:oMath>
      </m:oMathPara>
    </w:p>
    <w:p w14:paraId="07D00FEF" w14:textId="77777777" w:rsidR="00FC1029" w:rsidRPr="00CA1A43" w:rsidRDefault="00FC1029" w:rsidP="00605B1D">
      <w:pPr>
        <w:pStyle w:val="a7"/>
        <w:numPr>
          <w:ilvl w:val="0"/>
          <w:numId w:val="113"/>
        </w:numPr>
        <w:spacing w:beforeLines="50" w:before="180"/>
        <w:ind w:leftChars="0"/>
        <w:jc w:val="both"/>
        <w:rPr>
          <w:rFonts w:eastAsia="標楷體" w:cstheme="minorHAnsi"/>
        </w:rPr>
      </w:pPr>
      <w:r w:rsidRPr="00CA1A43">
        <w:rPr>
          <w:rFonts w:eastAsia="標楷體" w:cstheme="minorHAnsi"/>
        </w:rPr>
        <w:t>針對組別</w:t>
      </w:r>
      <w:r w:rsidRPr="00CA1A43">
        <w:rPr>
          <w:rFonts w:eastAsia="標楷體" w:cstheme="minorHAnsi"/>
        </w:rPr>
        <w:t>16</w:t>
      </w:r>
      <w:r w:rsidRPr="00CA1A43">
        <w:rPr>
          <w:rFonts w:eastAsia="標楷體" w:cstheme="minorHAnsi"/>
        </w:rPr>
        <w:t>「其他產業」之組別的非證券化</w:t>
      </w:r>
      <w:r w:rsidRPr="00CA1A43">
        <w:rPr>
          <w:rFonts w:eastAsia="標楷體" w:cstheme="minorHAnsi"/>
        </w:rPr>
        <w:t xml:space="preserve">CSR curvature </w:t>
      </w:r>
      <w:r w:rsidRPr="00CA1A43">
        <w:rPr>
          <w:rFonts w:eastAsia="標楷體" w:cstheme="minorHAnsi"/>
        </w:rPr>
        <w:t>風險彙總，計算公式如下。</w:t>
      </w:r>
    </w:p>
    <w:p w14:paraId="54000204" w14:textId="77777777" w:rsidR="00A6578A" w:rsidRPr="00CA1A43" w:rsidRDefault="00AA1117" w:rsidP="00FC1029">
      <w:pPr>
        <w:spacing w:beforeLines="50" w:before="180"/>
        <w:jc w:val="both"/>
        <w:rPr>
          <w:rFonts w:eastAsia="標楷體" w:cstheme="minorHAnsi"/>
        </w:rPr>
      </w:pPr>
      <m:oMathPara>
        <m:oMathParaPr>
          <m:jc m:val="center"/>
        </m:oMathParaPr>
        <m:oMath>
          <m:sSub>
            <m:sSubPr>
              <m:ctrlPr>
                <w:rPr>
                  <w:rFonts w:ascii="Cambria Math" w:eastAsia="標楷體" w:hAnsi="Cambria Math" w:cstheme="minorHAnsi"/>
                  <w:szCs w:val="24"/>
                </w:rPr>
              </m:ctrlPr>
            </m:sSubPr>
            <m:e>
              <m:r>
                <w:rPr>
                  <w:rFonts w:ascii="Cambria Math" w:eastAsia="標楷體" w:hAnsi="Cambria Math" w:cstheme="minorHAnsi"/>
                  <w:szCs w:val="24"/>
                </w:rPr>
                <m:t>K</m:t>
              </m:r>
            </m:e>
            <m:sub>
              <m:r>
                <w:rPr>
                  <w:rFonts w:ascii="Cambria Math" w:eastAsia="標楷體" w:hAnsi="Cambria Math" w:cstheme="minorHAnsi"/>
                  <w:szCs w:val="24"/>
                </w:rPr>
                <m:t>b</m:t>
              </m:r>
              <m:d>
                <m:dPr>
                  <m:ctrlPr>
                    <w:rPr>
                      <w:rFonts w:ascii="Cambria Math" w:eastAsia="標楷體" w:hAnsi="Cambria Math" w:cstheme="minorHAnsi"/>
                      <w:i/>
                      <w:szCs w:val="24"/>
                    </w:rPr>
                  </m:ctrlPr>
                </m:dPr>
                <m:e>
                  <m:r>
                    <w:rPr>
                      <w:rFonts w:ascii="Cambria Math" w:eastAsia="標楷體" w:hAnsi="Cambria Math" w:cstheme="minorHAnsi"/>
                      <w:szCs w:val="24"/>
                    </w:rPr>
                    <m:t>other bucket</m:t>
                  </m:r>
                </m:e>
              </m:d>
            </m:sub>
          </m:sSub>
          <m:r>
            <w:rPr>
              <w:rFonts w:ascii="Cambria Math" w:eastAsia="標楷體" w:hAnsi="Cambria Math" w:cstheme="minorHAnsi"/>
              <w:szCs w:val="24"/>
            </w:rPr>
            <m:t>=max</m:t>
          </m:r>
          <m:d>
            <m:dPr>
              <m:ctrlPr>
                <w:rPr>
                  <w:rFonts w:ascii="Cambria Math" w:eastAsia="標楷體" w:hAnsi="Cambria Math" w:cstheme="minorHAnsi"/>
                  <w:i/>
                  <w:szCs w:val="24"/>
                </w:rPr>
              </m:ctrlPr>
            </m:dPr>
            <m:e>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r>
                    <w:rPr>
                      <w:rFonts w:ascii="Cambria Math" w:eastAsia="標楷體" w:hAnsi="Cambria Math" w:cstheme="minorHAnsi"/>
                      <w:szCs w:val="24"/>
                    </w:rPr>
                    <m:t>max</m:t>
                  </m:r>
                  <m:d>
                    <m:dPr>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CVR</m:t>
                          </m:r>
                        </m:e>
                        <m:sub>
                          <m:r>
                            <w:rPr>
                              <w:rFonts w:ascii="Cambria Math" w:eastAsia="標楷體" w:hAnsi="Cambria Math" w:cstheme="minorHAnsi"/>
                              <w:szCs w:val="24"/>
                            </w:rPr>
                            <m:t>k</m:t>
                          </m:r>
                        </m:sub>
                        <m:sup>
                          <m:r>
                            <w:rPr>
                              <w:rFonts w:ascii="Cambria Math" w:eastAsia="標楷體" w:hAnsi="Cambria Math" w:cstheme="minorHAnsi"/>
                              <w:szCs w:val="24"/>
                            </w:rPr>
                            <m:t>+</m:t>
                          </m:r>
                        </m:sup>
                      </m:sSubSup>
                      <m:r>
                        <w:rPr>
                          <w:rFonts w:ascii="Cambria Math" w:eastAsia="標楷體" w:hAnsi="Cambria Math" w:cstheme="minorHAnsi"/>
                          <w:szCs w:val="24"/>
                        </w:rPr>
                        <m:t>, 0</m:t>
                      </m:r>
                    </m:e>
                  </m:d>
                </m:e>
              </m:nary>
              <m:r>
                <w:rPr>
                  <w:rFonts w:ascii="Cambria Math" w:eastAsia="標楷體" w:hAnsi="Cambria Math" w:cstheme="minorHAnsi"/>
                  <w:szCs w:val="24"/>
                </w:rPr>
                <m:t xml:space="preserve">, </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r>
                    <w:rPr>
                      <w:rFonts w:ascii="Cambria Math" w:eastAsia="標楷體" w:hAnsi="Cambria Math" w:cstheme="minorHAnsi"/>
                      <w:szCs w:val="24"/>
                    </w:rPr>
                    <m:t>max</m:t>
                  </m:r>
                  <m:d>
                    <m:dPr>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CVR</m:t>
                          </m:r>
                        </m:e>
                        <m:sub>
                          <m:r>
                            <w:rPr>
                              <w:rFonts w:ascii="Cambria Math" w:eastAsia="標楷體" w:hAnsi="Cambria Math" w:cstheme="minorHAnsi"/>
                              <w:szCs w:val="24"/>
                            </w:rPr>
                            <m:t>k</m:t>
                          </m:r>
                        </m:sub>
                        <m:sup>
                          <m:r>
                            <w:rPr>
                              <w:rFonts w:ascii="Cambria Math" w:eastAsia="標楷體" w:hAnsi="Cambria Math" w:cstheme="minorHAnsi"/>
                              <w:szCs w:val="24"/>
                            </w:rPr>
                            <m:t>-</m:t>
                          </m:r>
                        </m:sup>
                      </m:sSubSup>
                      <m:r>
                        <w:rPr>
                          <w:rFonts w:ascii="Cambria Math" w:eastAsia="標楷體" w:hAnsi="Cambria Math" w:cstheme="minorHAnsi"/>
                          <w:szCs w:val="24"/>
                        </w:rPr>
                        <m:t>, 0</m:t>
                      </m:r>
                    </m:e>
                  </m:d>
                </m:e>
              </m:nary>
            </m:e>
          </m:d>
        </m:oMath>
      </m:oMathPara>
    </w:p>
    <w:p w14:paraId="1F5A2427" w14:textId="77777777" w:rsidR="00FC1029" w:rsidRPr="00CA1A43" w:rsidRDefault="00FC1029" w:rsidP="00605B1D">
      <w:pPr>
        <w:pStyle w:val="a7"/>
        <w:numPr>
          <w:ilvl w:val="0"/>
          <w:numId w:val="110"/>
        </w:numPr>
        <w:spacing w:beforeLines="50" w:before="180"/>
        <w:ind w:leftChars="0" w:left="1446" w:hanging="482"/>
        <w:jc w:val="both"/>
        <w:rPr>
          <w:rFonts w:eastAsia="標楷體" w:cstheme="minorHAnsi"/>
        </w:rPr>
      </w:pPr>
      <w:r w:rsidRPr="00CA1A43">
        <w:rPr>
          <w:rFonts w:eastAsia="標楷體" w:cstheme="minorHAnsi"/>
        </w:rPr>
        <w:t>針對組別</w:t>
      </w:r>
      <w:r w:rsidRPr="00CA1A43">
        <w:rPr>
          <w:rFonts w:eastAsia="標楷體" w:cstheme="minorHAnsi"/>
        </w:rPr>
        <w:t>1</w:t>
      </w:r>
      <w:r w:rsidRPr="00CA1A43">
        <w:rPr>
          <w:rFonts w:eastAsia="標楷體" w:cstheme="minorHAnsi"/>
        </w:rPr>
        <w:t>到</w:t>
      </w:r>
      <w:r w:rsidRPr="00CA1A43">
        <w:rPr>
          <w:rFonts w:eastAsia="標楷體" w:cstheme="minorHAnsi"/>
        </w:rPr>
        <w:t>18</w:t>
      </w:r>
      <w:r w:rsidRPr="00CA1A43">
        <w:rPr>
          <w:rFonts w:eastAsia="標楷體" w:cstheme="minorHAnsi"/>
        </w:rPr>
        <w:t>的非證券化</w:t>
      </w:r>
      <w:r w:rsidRPr="00CA1A43">
        <w:rPr>
          <w:rFonts w:eastAsia="標楷體" w:cstheme="minorHAnsi"/>
        </w:rPr>
        <w:t>CSR delta</w:t>
      </w:r>
      <w:r w:rsidRPr="00CA1A43">
        <w:rPr>
          <w:rFonts w:eastAsia="標楷體" w:cstheme="minorHAnsi"/>
        </w:rPr>
        <w:t>風險部位之跨組</w:t>
      </w:r>
      <w:proofErr w:type="gramStart"/>
      <w:r w:rsidRPr="00CA1A43">
        <w:rPr>
          <w:rFonts w:eastAsia="標楷體" w:cstheme="minorHAnsi"/>
        </w:rPr>
        <w:t>別間加總</w:t>
      </w:r>
      <w:proofErr w:type="gramEnd"/>
      <w:r w:rsidRPr="00CA1A43">
        <w:rPr>
          <w:rFonts w:eastAsia="標楷體" w:cstheme="minorHAnsi"/>
        </w:rPr>
        <w:t>，其相關係數</w:t>
      </w:r>
      <w:r w:rsidRPr="00CA1A43">
        <w:rPr>
          <w:rFonts w:eastAsia="標楷體" w:cstheme="minorHAnsi"/>
        </w:rPr>
        <w:t>(</w:t>
      </w:r>
      <w:r w:rsidRPr="00CA1A43">
        <w:rPr>
          <w:rFonts w:ascii="Cambria Math" w:eastAsia="標楷體" w:hAnsi="Cambria Math" w:cs="Cambria Math"/>
        </w:rPr>
        <w:t>𝛾</w:t>
      </w:r>
      <w:r w:rsidRPr="00CA1A43">
        <w:rPr>
          <w:rFonts w:ascii="Cambria Math" w:eastAsia="標楷體" w:hAnsi="Cambria Math" w:cs="Cambria Math"/>
          <w:vertAlign w:val="subscript"/>
        </w:rPr>
        <w:t>𝑏</w:t>
      </w:r>
      <w:r w:rsidRPr="00CA1A43">
        <w:rPr>
          <w:rFonts w:eastAsia="標楷體" w:cstheme="minorHAnsi"/>
          <w:vertAlign w:val="subscript"/>
        </w:rPr>
        <w:t>c</w:t>
      </w:r>
      <w:r w:rsidRPr="00CA1A43">
        <w:rPr>
          <w:rFonts w:eastAsia="標楷體" w:cstheme="minorHAnsi"/>
        </w:rPr>
        <w:t>)</w:t>
      </w:r>
      <w:r w:rsidRPr="00CA1A43">
        <w:rPr>
          <w:rFonts w:eastAsia="標楷體" w:cstheme="minorHAnsi"/>
        </w:rPr>
        <w:t>設定如下，</w:t>
      </w:r>
    </w:p>
    <w:p w14:paraId="6029B7B2" w14:textId="77777777" w:rsidR="00FC1029" w:rsidRPr="00CA1A43" w:rsidRDefault="00AA1117" w:rsidP="00FC1029">
      <w:pPr>
        <w:jc w:val="both"/>
        <w:rPr>
          <w:rFonts w:eastAsia="標楷體" w:cstheme="minorHAnsi"/>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γ</m:t>
              </m:r>
            </m:e>
            <m:sub>
              <m:r>
                <w:rPr>
                  <w:rFonts w:ascii="Cambria Math" w:eastAsia="標楷體" w:hAnsi="Cambria Math" w:cstheme="minorHAnsi"/>
                  <w:szCs w:val="24"/>
                </w:rPr>
                <m:t>bc</m:t>
              </m:r>
            </m:sub>
          </m:sSub>
          <m:r>
            <m:rPr>
              <m:sty m:val="p"/>
            </m:rPr>
            <w:rPr>
              <w:rFonts w:ascii="Cambria Math" w:eastAsia="標楷體" w:hAnsi="Cambria Math" w:cstheme="minorHAnsi"/>
              <w:szCs w:val="24"/>
            </w:rPr>
            <m:t>=</m:t>
          </m:r>
          <m:sSubSup>
            <m:sSubSupPr>
              <m:ctrlPr>
                <w:rPr>
                  <w:rFonts w:ascii="Cambria Math" w:eastAsia="標楷體" w:hAnsi="Cambria Math" w:cstheme="minorHAnsi"/>
                  <w:szCs w:val="24"/>
                </w:rPr>
              </m:ctrlPr>
            </m:sSubSupPr>
            <m:e>
              <m:r>
                <w:rPr>
                  <w:rFonts w:ascii="Cambria Math" w:eastAsia="標楷體" w:hAnsi="Cambria Math" w:cstheme="minorHAnsi"/>
                  <w:szCs w:val="24"/>
                </w:rPr>
                <m:t>γ</m:t>
              </m:r>
            </m:e>
            <m:sub>
              <m:r>
                <w:rPr>
                  <w:rFonts w:ascii="Cambria Math" w:eastAsia="標楷體" w:hAnsi="Cambria Math" w:cstheme="minorHAnsi"/>
                  <w:szCs w:val="24"/>
                </w:rPr>
                <m:t>bc</m:t>
              </m:r>
            </m:sub>
            <m:sup>
              <m:d>
                <m:dPr>
                  <m:ctrlPr>
                    <w:rPr>
                      <w:rFonts w:ascii="Cambria Math" w:eastAsia="標楷體" w:hAnsi="Cambria Math" w:cstheme="minorHAnsi"/>
                      <w:i/>
                      <w:szCs w:val="24"/>
                    </w:rPr>
                  </m:ctrlPr>
                </m:dPr>
                <m:e>
                  <m:r>
                    <w:rPr>
                      <w:rFonts w:ascii="Cambria Math" w:eastAsia="標楷體" w:hAnsi="Cambria Math" w:cstheme="minorHAnsi"/>
                      <w:szCs w:val="24"/>
                    </w:rPr>
                    <m:t>rating</m:t>
                  </m:r>
                </m:e>
              </m:d>
            </m:sup>
          </m:sSubSup>
          <m:r>
            <w:rPr>
              <w:rFonts w:ascii="Cambria Math" w:eastAsia="標楷體" w:hAnsi="Cambria Math" w:cstheme="minorHAnsi"/>
              <w:szCs w:val="24"/>
            </w:rPr>
            <m:t>∙</m:t>
          </m:r>
          <m:sSubSup>
            <m:sSubSupPr>
              <m:ctrlPr>
                <w:rPr>
                  <w:rFonts w:ascii="Cambria Math" w:eastAsia="標楷體" w:hAnsi="Cambria Math" w:cstheme="minorHAnsi"/>
                  <w:szCs w:val="24"/>
                </w:rPr>
              </m:ctrlPr>
            </m:sSubSupPr>
            <m:e>
              <m:r>
                <w:rPr>
                  <w:rFonts w:ascii="Cambria Math" w:eastAsia="標楷體" w:hAnsi="Cambria Math" w:cstheme="minorHAnsi"/>
                  <w:szCs w:val="24"/>
                </w:rPr>
                <m:t>γ</m:t>
              </m:r>
            </m:e>
            <m:sub>
              <m:r>
                <w:rPr>
                  <w:rFonts w:ascii="Cambria Math" w:eastAsia="標楷體" w:hAnsi="Cambria Math" w:cstheme="minorHAnsi"/>
                  <w:szCs w:val="24"/>
                </w:rPr>
                <m:t>bc</m:t>
              </m:r>
            </m:sub>
            <m:sup>
              <m:d>
                <m:dPr>
                  <m:ctrlPr>
                    <w:rPr>
                      <w:rFonts w:ascii="Cambria Math" w:eastAsia="標楷體" w:hAnsi="Cambria Math" w:cstheme="minorHAnsi"/>
                      <w:i/>
                      <w:szCs w:val="24"/>
                    </w:rPr>
                  </m:ctrlPr>
                </m:dPr>
                <m:e>
                  <m:r>
                    <w:rPr>
                      <w:rFonts w:ascii="Cambria Math" w:eastAsia="標楷體" w:hAnsi="Cambria Math" w:cstheme="minorHAnsi"/>
                      <w:szCs w:val="24"/>
                    </w:rPr>
                    <m:t>sector</m:t>
                  </m:r>
                </m:e>
              </m:d>
            </m:sup>
          </m:sSubSup>
        </m:oMath>
      </m:oMathPara>
    </w:p>
    <w:p w14:paraId="3B79051A" w14:textId="77777777" w:rsidR="00FC1029" w:rsidRPr="00CA1A43" w:rsidRDefault="00FC1029" w:rsidP="00FC1029">
      <w:pPr>
        <w:ind w:left="1446"/>
        <w:jc w:val="both"/>
        <w:rPr>
          <w:rFonts w:eastAsia="標楷體" w:cstheme="minorHAnsi"/>
        </w:rPr>
      </w:pPr>
      <w:r w:rsidRPr="00CA1A43">
        <w:rPr>
          <w:rFonts w:eastAsia="標楷體" w:cstheme="minorHAnsi"/>
        </w:rPr>
        <w:t>其中：</w:t>
      </w:r>
    </w:p>
    <w:p w14:paraId="2CC57D54" w14:textId="77777777" w:rsidR="00FC1029" w:rsidRPr="00CA1A43" w:rsidRDefault="00FC1029" w:rsidP="00605B1D">
      <w:pPr>
        <w:pStyle w:val="a7"/>
        <w:numPr>
          <w:ilvl w:val="0"/>
          <w:numId w:val="114"/>
        </w:numPr>
        <w:spacing w:beforeLines="50" w:before="180"/>
        <w:ind w:leftChars="0"/>
        <w:jc w:val="both"/>
        <w:rPr>
          <w:rFonts w:eastAsia="標楷體" w:cstheme="minorHAnsi"/>
        </w:rPr>
      </w:pPr>
      <w:r w:rsidRPr="00CA1A43">
        <w:rPr>
          <w:rFonts w:eastAsia="標楷體" w:cstheme="minorHAnsi"/>
        </w:rPr>
        <w:t>若兩組別</w:t>
      </w:r>
      <w:proofErr w:type="gramStart"/>
      <w:r w:rsidRPr="00CA1A43">
        <w:rPr>
          <w:rFonts w:eastAsia="標楷體" w:cstheme="minorHAnsi"/>
        </w:rPr>
        <w:t>均屬組</w:t>
      </w:r>
      <w:proofErr w:type="gramEnd"/>
      <w:r w:rsidRPr="00CA1A43">
        <w:rPr>
          <w:rFonts w:eastAsia="標楷體" w:cstheme="minorHAnsi"/>
        </w:rPr>
        <w:t>別</w:t>
      </w:r>
      <w:r w:rsidRPr="00CA1A43">
        <w:rPr>
          <w:rFonts w:eastAsia="標楷體" w:cstheme="minorHAnsi"/>
        </w:rPr>
        <w:t>1</w:t>
      </w:r>
      <w:r w:rsidRPr="00CA1A43">
        <w:rPr>
          <w:rFonts w:eastAsia="標楷體" w:cstheme="minorHAnsi"/>
        </w:rPr>
        <w:t>至</w:t>
      </w:r>
      <w:r w:rsidRPr="00CA1A43">
        <w:rPr>
          <w:rFonts w:eastAsia="標楷體" w:cstheme="minorHAnsi"/>
        </w:rPr>
        <w:t>15</w:t>
      </w:r>
      <w:r w:rsidRPr="00CA1A43">
        <w:rPr>
          <w:rFonts w:eastAsia="標楷體" w:cstheme="minorHAnsi"/>
        </w:rPr>
        <w:t>，且信評不同等級</w:t>
      </w:r>
      <w:r w:rsidRPr="00CA1A43">
        <w:rPr>
          <w:rFonts w:eastAsia="標楷體" w:cstheme="minorHAnsi"/>
        </w:rPr>
        <w:t>(</w:t>
      </w:r>
      <w:r w:rsidRPr="00CA1A43">
        <w:rPr>
          <w:rFonts w:eastAsia="標楷體" w:cstheme="minorHAnsi"/>
        </w:rPr>
        <w:t>投資等級或高收益</w:t>
      </w:r>
      <w:r w:rsidRPr="00CA1A43">
        <w:rPr>
          <w:rFonts w:eastAsia="標楷體" w:cstheme="minorHAnsi"/>
        </w:rPr>
        <w:t>/</w:t>
      </w:r>
      <w:proofErr w:type="gramStart"/>
      <w:r w:rsidRPr="00CA1A43">
        <w:rPr>
          <w:rFonts w:eastAsia="標楷體" w:cstheme="minorHAnsi"/>
        </w:rPr>
        <w:t>無評等</w:t>
      </w:r>
      <w:proofErr w:type="gramEnd"/>
      <w:r w:rsidRPr="00CA1A43">
        <w:rPr>
          <w:rFonts w:eastAsia="標楷體" w:cstheme="minorHAnsi"/>
        </w:rPr>
        <w:t>)</w:t>
      </w:r>
      <w:r w:rsidRPr="00CA1A43">
        <w:rPr>
          <w:rFonts w:eastAsia="標楷體" w:cstheme="minorHAnsi"/>
        </w:rPr>
        <w:t>，其相關係數</w:t>
      </w:r>
      <w:r w:rsidRPr="00CA1A43">
        <w:rPr>
          <w:rFonts w:ascii="Cambria Math" w:eastAsia="標楷體" w:hAnsi="Cambria Math" w:cs="Cambria Math"/>
        </w:rPr>
        <w:t>𝛾</w:t>
      </w:r>
      <w:r w:rsidRPr="00CA1A43">
        <w:rPr>
          <w:rFonts w:ascii="Cambria Math" w:eastAsia="標楷體" w:hAnsi="Cambria Math" w:cs="Cambria Math"/>
          <w:vertAlign w:val="subscript"/>
        </w:rPr>
        <w:t>𝑏</w:t>
      </w:r>
      <w:r w:rsidRPr="00CA1A43">
        <w:rPr>
          <w:rFonts w:eastAsia="標楷體" w:cstheme="minorHAnsi"/>
          <w:vertAlign w:val="subscript"/>
        </w:rPr>
        <w:t>c</w:t>
      </w:r>
      <w:r w:rsidRPr="00CA1A43">
        <w:rPr>
          <w:rFonts w:eastAsia="標楷體" w:cstheme="minorHAnsi"/>
          <w:vertAlign w:val="superscript"/>
        </w:rPr>
        <w:t>(rating)</w:t>
      </w:r>
      <w:r w:rsidRPr="00CA1A43">
        <w:rPr>
          <w:rFonts w:eastAsia="標楷體" w:cstheme="minorHAnsi"/>
        </w:rPr>
        <w:t>=50%</w:t>
      </w:r>
      <w:r w:rsidRPr="00CA1A43">
        <w:rPr>
          <w:rFonts w:eastAsia="標楷體" w:cstheme="minorHAnsi"/>
        </w:rPr>
        <w:t>，否則為</w:t>
      </w:r>
      <w:r w:rsidRPr="00CA1A43">
        <w:rPr>
          <w:rFonts w:eastAsia="標楷體" w:cstheme="minorHAnsi"/>
        </w:rPr>
        <w:t>1</w:t>
      </w:r>
      <w:r w:rsidRPr="00CA1A43">
        <w:rPr>
          <w:rFonts w:eastAsia="標楷體" w:cstheme="minorHAnsi"/>
        </w:rPr>
        <w:t>。</w:t>
      </w:r>
    </w:p>
    <w:p w14:paraId="2F65D2EA" w14:textId="77777777" w:rsidR="00BD02FF" w:rsidRPr="00CA1A43" w:rsidRDefault="00FC1029" w:rsidP="00605B1D">
      <w:pPr>
        <w:pStyle w:val="a7"/>
        <w:numPr>
          <w:ilvl w:val="0"/>
          <w:numId w:val="114"/>
        </w:numPr>
        <w:spacing w:beforeLines="50" w:before="180"/>
        <w:ind w:leftChars="0"/>
        <w:jc w:val="both"/>
        <w:rPr>
          <w:rFonts w:eastAsia="標楷體" w:cstheme="minorHAnsi"/>
        </w:rPr>
      </w:pPr>
      <w:r w:rsidRPr="00CA1A43">
        <w:rPr>
          <w:rFonts w:eastAsia="標楷體" w:cstheme="minorHAnsi"/>
        </w:rPr>
        <w:t>若兩個</w:t>
      </w:r>
      <w:proofErr w:type="gramStart"/>
      <w:r w:rsidRPr="00CA1A43">
        <w:rPr>
          <w:rFonts w:eastAsia="標楷體" w:cstheme="minorHAnsi"/>
        </w:rPr>
        <w:t>組別屬同一</w:t>
      </w:r>
      <w:proofErr w:type="gramEnd"/>
      <w:r w:rsidRPr="00CA1A43">
        <w:rPr>
          <w:rFonts w:eastAsia="標楷體" w:cstheme="minorHAnsi"/>
        </w:rPr>
        <w:t>產業分類，其相關係數</w:t>
      </w:r>
      <w:r w:rsidRPr="00CA1A43">
        <w:rPr>
          <w:rFonts w:ascii="Cambria Math" w:eastAsia="標楷體" w:hAnsi="Cambria Math" w:cs="Cambria Math"/>
        </w:rPr>
        <w:t>𝛾</w:t>
      </w:r>
      <w:r w:rsidRPr="00CA1A43">
        <w:rPr>
          <w:rFonts w:ascii="Cambria Math" w:eastAsia="標楷體" w:hAnsi="Cambria Math" w:cs="Cambria Math"/>
          <w:vertAlign w:val="subscript"/>
        </w:rPr>
        <w:t>𝑏</w:t>
      </w:r>
      <w:r w:rsidRPr="00CA1A43">
        <w:rPr>
          <w:rFonts w:eastAsia="標楷體" w:cstheme="minorHAnsi"/>
          <w:vertAlign w:val="subscript"/>
        </w:rPr>
        <w:t>c</w:t>
      </w:r>
      <w:r w:rsidRPr="00CA1A43">
        <w:rPr>
          <w:rFonts w:eastAsia="標楷體" w:cstheme="minorHAnsi"/>
          <w:vertAlign w:val="superscript"/>
        </w:rPr>
        <w:t>(sector)</w:t>
      </w:r>
      <w:r w:rsidRPr="00CA1A43">
        <w:rPr>
          <w:rFonts w:eastAsia="標楷體" w:cstheme="minorHAnsi"/>
        </w:rPr>
        <w:t>=1</w:t>
      </w:r>
      <w:r w:rsidRPr="00CA1A43">
        <w:rPr>
          <w:rFonts w:eastAsia="標楷體" w:cstheme="minorHAnsi"/>
        </w:rPr>
        <w:t>，否則依照表</w:t>
      </w:r>
      <w:r w:rsidRPr="00CA1A43">
        <w:rPr>
          <w:rFonts w:eastAsia="標楷體" w:cstheme="minorHAnsi"/>
        </w:rPr>
        <w:t>5</w:t>
      </w:r>
      <w:r w:rsidRPr="00CA1A43">
        <w:rPr>
          <w:rFonts w:eastAsia="標楷體" w:cstheme="minorHAnsi"/>
        </w:rPr>
        <w:t>規定：</w:t>
      </w:r>
    </w:p>
    <w:tbl>
      <w:tblPr>
        <w:tblStyle w:val="aa"/>
        <w:tblW w:w="5000" w:type="pct"/>
        <w:tblLayout w:type="fixed"/>
        <w:tblLook w:val="0000" w:firstRow="0" w:lastRow="0" w:firstColumn="0" w:lastColumn="0" w:noHBand="0" w:noVBand="0"/>
      </w:tblPr>
      <w:tblGrid>
        <w:gridCol w:w="669"/>
        <w:gridCol w:w="664"/>
        <w:gridCol w:w="707"/>
        <w:gridCol w:w="707"/>
        <w:gridCol w:w="707"/>
        <w:gridCol w:w="707"/>
        <w:gridCol w:w="707"/>
        <w:gridCol w:w="753"/>
        <w:gridCol w:w="667"/>
        <w:gridCol w:w="669"/>
        <w:gridCol w:w="665"/>
        <w:gridCol w:w="674"/>
      </w:tblGrid>
      <w:tr w:rsidR="00FC1029" w:rsidRPr="00CA1A43" w14:paraId="2357A104" w14:textId="77777777" w:rsidTr="00C01C22">
        <w:trPr>
          <w:trHeight w:val="179"/>
        </w:trPr>
        <w:tc>
          <w:tcPr>
            <w:tcW w:w="4193" w:type="pct"/>
            <w:gridSpan w:val="10"/>
            <w:tcBorders>
              <w:right w:val="nil"/>
            </w:tcBorders>
          </w:tcPr>
          <w:p w14:paraId="705914DA" w14:textId="77777777" w:rsidR="00FC1029" w:rsidRPr="00CA1A43" w:rsidRDefault="00FC1029" w:rsidP="00CC246B">
            <w:pPr>
              <w:autoSpaceDE w:val="0"/>
              <w:autoSpaceDN w:val="0"/>
              <w:adjustRightInd w:val="0"/>
              <w:rPr>
                <w:rFonts w:eastAsia="標楷體" w:cstheme="minorHAnsi"/>
                <w:kern w:val="0"/>
                <w:szCs w:val="24"/>
              </w:rPr>
            </w:pPr>
            <w:r w:rsidRPr="00CA1A43">
              <w:rPr>
                <w:rFonts w:eastAsia="標楷體" w:cstheme="minorHAnsi"/>
                <w:kern w:val="0"/>
                <w:szCs w:val="24"/>
              </w:rPr>
              <w:t>不同產業分類組別</w:t>
            </w:r>
            <w:proofErr w:type="gramStart"/>
            <w:r w:rsidRPr="00CA1A43">
              <w:rPr>
                <w:rFonts w:eastAsia="標楷體" w:cstheme="minorHAnsi"/>
                <w:kern w:val="0"/>
                <w:szCs w:val="24"/>
              </w:rPr>
              <w:t>之</w:t>
            </w:r>
            <w:proofErr w:type="gramEnd"/>
            <w:r w:rsidRPr="00CA1A43">
              <w:rPr>
                <w:rFonts w:eastAsia="標楷體" w:cstheme="minorHAnsi"/>
                <w:kern w:val="0"/>
                <w:szCs w:val="24"/>
              </w:rPr>
              <w:t>相關係數</w:t>
            </w:r>
            <w:r w:rsidRPr="00CA1A43">
              <w:rPr>
                <w:rFonts w:ascii="Cambria Math" w:eastAsia="標楷體" w:hAnsi="Cambria Math" w:cs="Cambria Math"/>
                <w:szCs w:val="24"/>
              </w:rPr>
              <w:t>𝛾</w:t>
            </w:r>
            <w:r w:rsidRPr="00CA1A43">
              <w:rPr>
                <w:rFonts w:ascii="Cambria Math" w:eastAsia="標楷體" w:hAnsi="Cambria Math" w:cs="Cambria Math"/>
                <w:szCs w:val="24"/>
                <w:vertAlign w:val="subscript"/>
              </w:rPr>
              <w:t>𝑏</w:t>
            </w:r>
            <w:r w:rsidRPr="00CA1A43">
              <w:rPr>
                <w:rFonts w:eastAsia="標楷體" w:cstheme="minorHAnsi"/>
                <w:szCs w:val="24"/>
                <w:vertAlign w:val="subscript"/>
              </w:rPr>
              <w:t>c</w:t>
            </w:r>
            <w:r w:rsidRPr="00CA1A43">
              <w:rPr>
                <w:rFonts w:eastAsia="標楷體" w:cstheme="minorHAnsi"/>
                <w:szCs w:val="24"/>
                <w:vertAlign w:val="superscript"/>
              </w:rPr>
              <w:t>(sector)</w:t>
            </w:r>
          </w:p>
        </w:tc>
        <w:tc>
          <w:tcPr>
            <w:tcW w:w="807" w:type="pct"/>
            <w:gridSpan w:val="2"/>
            <w:tcBorders>
              <w:left w:val="nil"/>
            </w:tcBorders>
          </w:tcPr>
          <w:p w14:paraId="2481D1BA" w14:textId="77777777" w:rsidR="00FC1029" w:rsidRPr="00CA1A43" w:rsidRDefault="00FC1029" w:rsidP="00CC246B">
            <w:pPr>
              <w:autoSpaceDE w:val="0"/>
              <w:autoSpaceDN w:val="0"/>
              <w:adjustRightInd w:val="0"/>
              <w:jc w:val="right"/>
              <w:rPr>
                <w:rFonts w:eastAsia="標楷體" w:cstheme="minorHAnsi"/>
                <w:kern w:val="0"/>
                <w:szCs w:val="24"/>
              </w:rPr>
            </w:pPr>
            <w:r w:rsidRPr="00CA1A43">
              <w:rPr>
                <w:rFonts w:eastAsia="標楷體" w:cstheme="minorHAnsi"/>
                <w:kern w:val="0"/>
                <w:szCs w:val="24"/>
              </w:rPr>
              <w:t>表</w:t>
            </w:r>
            <w:r w:rsidRPr="00CA1A43">
              <w:rPr>
                <w:rFonts w:eastAsia="標楷體" w:cstheme="minorHAnsi"/>
                <w:kern w:val="0"/>
                <w:szCs w:val="24"/>
              </w:rPr>
              <w:t xml:space="preserve">5 </w:t>
            </w:r>
          </w:p>
        </w:tc>
      </w:tr>
      <w:tr w:rsidR="00FC1029" w:rsidRPr="00CA1A43" w14:paraId="2CDECE76" w14:textId="77777777" w:rsidTr="00C01C22">
        <w:trPr>
          <w:trHeight w:val="477"/>
        </w:trPr>
        <w:tc>
          <w:tcPr>
            <w:tcW w:w="404" w:type="pct"/>
          </w:tcPr>
          <w:p w14:paraId="73C8E520" w14:textId="77777777" w:rsidR="00FC1029" w:rsidRPr="00CA1A43" w:rsidRDefault="00FC1029" w:rsidP="00CC246B">
            <w:pPr>
              <w:autoSpaceDE w:val="0"/>
              <w:autoSpaceDN w:val="0"/>
              <w:adjustRightInd w:val="0"/>
              <w:rPr>
                <w:rFonts w:eastAsia="標楷體" w:cstheme="minorHAnsi"/>
                <w:kern w:val="0"/>
                <w:sz w:val="18"/>
                <w:szCs w:val="18"/>
              </w:rPr>
            </w:pPr>
            <w:r w:rsidRPr="00CA1A43">
              <w:rPr>
                <w:rFonts w:eastAsia="標楷體" w:cstheme="minorHAnsi"/>
                <w:kern w:val="0"/>
                <w:sz w:val="18"/>
                <w:szCs w:val="18"/>
              </w:rPr>
              <w:t>.</w:t>
            </w:r>
          </w:p>
        </w:tc>
        <w:tc>
          <w:tcPr>
            <w:tcW w:w="400" w:type="pct"/>
            <w:vAlign w:val="center"/>
          </w:tcPr>
          <w:p w14:paraId="7D0AF22F"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 / 9</w:t>
            </w:r>
          </w:p>
        </w:tc>
        <w:tc>
          <w:tcPr>
            <w:tcW w:w="426" w:type="pct"/>
            <w:vAlign w:val="center"/>
          </w:tcPr>
          <w:p w14:paraId="27F9F52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 / 10</w:t>
            </w:r>
          </w:p>
        </w:tc>
        <w:tc>
          <w:tcPr>
            <w:tcW w:w="426" w:type="pct"/>
            <w:vAlign w:val="center"/>
          </w:tcPr>
          <w:p w14:paraId="3B3DB6C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3 / 11</w:t>
            </w:r>
          </w:p>
        </w:tc>
        <w:tc>
          <w:tcPr>
            <w:tcW w:w="426" w:type="pct"/>
            <w:vAlign w:val="center"/>
          </w:tcPr>
          <w:p w14:paraId="499A98B6"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 / 12</w:t>
            </w:r>
          </w:p>
        </w:tc>
        <w:tc>
          <w:tcPr>
            <w:tcW w:w="426" w:type="pct"/>
            <w:vAlign w:val="center"/>
          </w:tcPr>
          <w:p w14:paraId="4AE14779"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 / 13</w:t>
            </w:r>
          </w:p>
        </w:tc>
        <w:tc>
          <w:tcPr>
            <w:tcW w:w="426" w:type="pct"/>
            <w:vAlign w:val="center"/>
          </w:tcPr>
          <w:p w14:paraId="3F7FC02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6 / 14</w:t>
            </w:r>
          </w:p>
        </w:tc>
        <w:tc>
          <w:tcPr>
            <w:tcW w:w="454" w:type="pct"/>
            <w:vAlign w:val="center"/>
          </w:tcPr>
          <w:p w14:paraId="22FA7D4B"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7 / 15</w:t>
            </w:r>
          </w:p>
        </w:tc>
        <w:tc>
          <w:tcPr>
            <w:tcW w:w="402" w:type="pct"/>
            <w:vAlign w:val="center"/>
          </w:tcPr>
          <w:p w14:paraId="7EA56EC6"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8</w:t>
            </w:r>
          </w:p>
        </w:tc>
        <w:tc>
          <w:tcPr>
            <w:tcW w:w="402" w:type="pct"/>
            <w:vAlign w:val="center"/>
          </w:tcPr>
          <w:p w14:paraId="2B979B8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16</w:t>
            </w:r>
          </w:p>
        </w:tc>
        <w:tc>
          <w:tcPr>
            <w:tcW w:w="401" w:type="pct"/>
            <w:vAlign w:val="center"/>
          </w:tcPr>
          <w:p w14:paraId="7236CF7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17</w:t>
            </w:r>
          </w:p>
        </w:tc>
        <w:tc>
          <w:tcPr>
            <w:tcW w:w="406" w:type="pct"/>
            <w:vAlign w:val="center"/>
          </w:tcPr>
          <w:p w14:paraId="3BC26D10"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18</w:t>
            </w:r>
          </w:p>
        </w:tc>
      </w:tr>
      <w:tr w:rsidR="00FC1029" w:rsidRPr="00CA1A43" w14:paraId="4A0CC10D" w14:textId="77777777" w:rsidTr="00C01C22">
        <w:trPr>
          <w:trHeight w:val="97"/>
        </w:trPr>
        <w:tc>
          <w:tcPr>
            <w:tcW w:w="404" w:type="pct"/>
            <w:vAlign w:val="center"/>
          </w:tcPr>
          <w:p w14:paraId="7AA361E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 / 9</w:t>
            </w:r>
          </w:p>
        </w:tc>
        <w:tc>
          <w:tcPr>
            <w:tcW w:w="400" w:type="pct"/>
            <w:shd w:val="clear" w:color="auto" w:fill="D9D9D9" w:themeFill="background1" w:themeFillShade="D9"/>
          </w:tcPr>
          <w:p w14:paraId="68F0B1DD"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tcPr>
          <w:p w14:paraId="74E4535C"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75%</w:t>
            </w:r>
          </w:p>
        </w:tc>
        <w:tc>
          <w:tcPr>
            <w:tcW w:w="426" w:type="pct"/>
          </w:tcPr>
          <w:p w14:paraId="765ED5B9"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10%</w:t>
            </w:r>
          </w:p>
        </w:tc>
        <w:tc>
          <w:tcPr>
            <w:tcW w:w="426" w:type="pct"/>
          </w:tcPr>
          <w:p w14:paraId="2F3A0A3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20%</w:t>
            </w:r>
          </w:p>
        </w:tc>
        <w:tc>
          <w:tcPr>
            <w:tcW w:w="426" w:type="pct"/>
          </w:tcPr>
          <w:p w14:paraId="60A71BD3"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25%</w:t>
            </w:r>
          </w:p>
        </w:tc>
        <w:tc>
          <w:tcPr>
            <w:tcW w:w="426" w:type="pct"/>
          </w:tcPr>
          <w:p w14:paraId="05E355CE"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20%</w:t>
            </w:r>
          </w:p>
        </w:tc>
        <w:tc>
          <w:tcPr>
            <w:tcW w:w="454" w:type="pct"/>
          </w:tcPr>
          <w:p w14:paraId="7D5F85BE"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15%</w:t>
            </w:r>
          </w:p>
        </w:tc>
        <w:tc>
          <w:tcPr>
            <w:tcW w:w="402" w:type="pct"/>
          </w:tcPr>
          <w:p w14:paraId="549AB5EB"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10%</w:t>
            </w:r>
          </w:p>
        </w:tc>
        <w:tc>
          <w:tcPr>
            <w:tcW w:w="402" w:type="pct"/>
          </w:tcPr>
          <w:p w14:paraId="4E41E7C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51660E0B"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533597C8"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7087F738" w14:textId="77777777" w:rsidTr="00C01C22">
        <w:trPr>
          <w:trHeight w:val="97"/>
        </w:trPr>
        <w:tc>
          <w:tcPr>
            <w:tcW w:w="404" w:type="pct"/>
            <w:vAlign w:val="center"/>
          </w:tcPr>
          <w:p w14:paraId="6656F10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 / 10</w:t>
            </w:r>
          </w:p>
        </w:tc>
        <w:tc>
          <w:tcPr>
            <w:tcW w:w="400" w:type="pct"/>
            <w:shd w:val="clear" w:color="auto" w:fill="D9D9D9" w:themeFill="background1" w:themeFillShade="D9"/>
          </w:tcPr>
          <w:p w14:paraId="306A7E0E"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0729C02"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tcPr>
          <w:p w14:paraId="47D79FB0"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26" w:type="pct"/>
          </w:tcPr>
          <w:p w14:paraId="36160E29"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15%</w:t>
            </w:r>
          </w:p>
        </w:tc>
        <w:tc>
          <w:tcPr>
            <w:tcW w:w="426" w:type="pct"/>
          </w:tcPr>
          <w:p w14:paraId="072A1D6E"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20%</w:t>
            </w:r>
          </w:p>
        </w:tc>
        <w:tc>
          <w:tcPr>
            <w:tcW w:w="426" w:type="pct"/>
          </w:tcPr>
          <w:p w14:paraId="75B7B2F7"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15%</w:t>
            </w:r>
          </w:p>
        </w:tc>
        <w:tc>
          <w:tcPr>
            <w:tcW w:w="454" w:type="pct"/>
          </w:tcPr>
          <w:p w14:paraId="23599BC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10%</w:t>
            </w:r>
          </w:p>
        </w:tc>
        <w:tc>
          <w:tcPr>
            <w:tcW w:w="402" w:type="pct"/>
          </w:tcPr>
          <w:p w14:paraId="3FBADADE"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10%</w:t>
            </w:r>
          </w:p>
        </w:tc>
        <w:tc>
          <w:tcPr>
            <w:tcW w:w="402" w:type="pct"/>
          </w:tcPr>
          <w:p w14:paraId="7E6B56D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76EFF216"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6E2730CC"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73CD460E" w14:textId="77777777" w:rsidTr="00C01C22">
        <w:trPr>
          <w:trHeight w:val="97"/>
        </w:trPr>
        <w:tc>
          <w:tcPr>
            <w:tcW w:w="404" w:type="pct"/>
            <w:vAlign w:val="center"/>
          </w:tcPr>
          <w:p w14:paraId="2B241BF3"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3 / 11</w:t>
            </w:r>
          </w:p>
        </w:tc>
        <w:tc>
          <w:tcPr>
            <w:tcW w:w="400" w:type="pct"/>
            <w:shd w:val="clear" w:color="auto" w:fill="D9D9D9" w:themeFill="background1" w:themeFillShade="D9"/>
          </w:tcPr>
          <w:p w14:paraId="235115D1"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78BEB2E9"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46E2997E"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tcPr>
          <w:p w14:paraId="7E27528F"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26" w:type="pct"/>
          </w:tcPr>
          <w:p w14:paraId="45972558"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15%</w:t>
            </w:r>
          </w:p>
        </w:tc>
        <w:tc>
          <w:tcPr>
            <w:tcW w:w="426" w:type="pct"/>
          </w:tcPr>
          <w:p w14:paraId="5280824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20%</w:t>
            </w:r>
          </w:p>
        </w:tc>
        <w:tc>
          <w:tcPr>
            <w:tcW w:w="454" w:type="pct"/>
          </w:tcPr>
          <w:p w14:paraId="27139BF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02" w:type="pct"/>
          </w:tcPr>
          <w:p w14:paraId="36522978"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20%</w:t>
            </w:r>
          </w:p>
        </w:tc>
        <w:tc>
          <w:tcPr>
            <w:tcW w:w="402" w:type="pct"/>
          </w:tcPr>
          <w:p w14:paraId="090DADEC"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6CD5FB97"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6821CD49"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1818DD0F" w14:textId="77777777" w:rsidTr="00C01C22">
        <w:trPr>
          <w:trHeight w:val="97"/>
        </w:trPr>
        <w:tc>
          <w:tcPr>
            <w:tcW w:w="404" w:type="pct"/>
            <w:vAlign w:val="center"/>
          </w:tcPr>
          <w:p w14:paraId="25056D7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 / 12</w:t>
            </w:r>
          </w:p>
        </w:tc>
        <w:tc>
          <w:tcPr>
            <w:tcW w:w="400" w:type="pct"/>
            <w:shd w:val="clear" w:color="auto" w:fill="D9D9D9" w:themeFill="background1" w:themeFillShade="D9"/>
          </w:tcPr>
          <w:p w14:paraId="5C444052"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41647370"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45AD6DDF"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295CEA37"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tcPr>
          <w:p w14:paraId="6C921087"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20%</w:t>
            </w:r>
          </w:p>
        </w:tc>
        <w:tc>
          <w:tcPr>
            <w:tcW w:w="426" w:type="pct"/>
          </w:tcPr>
          <w:p w14:paraId="3A90EEFF"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25%</w:t>
            </w:r>
          </w:p>
        </w:tc>
        <w:tc>
          <w:tcPr>
            <w:tcW w:w="454" w:type="pct"/>
          </w:tcPr>
          <w:p w14:paraId="652D9276"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02" w:type="pct"/>
          </w:tcPr>
          <w:p w14:paraId="2058B34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02" w:type="pct"/>
          </w:tcPr>
          <w:p w14:paraId="05E3632C"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7F604C6C"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2C60C957"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67E3530E" w14:textId="77777777" w:rsidTr="00C01C22">
        <w:trPr>
          <w:trHeight w:val="97"/>
        </w:trPr>
        <w:tc>
          <w:tcPr>
            <w:tcW w:w="404" w:type="pct"/>
            <w:vAlign w:val="center"/>
          </w:tcPr>
          <w:p w14:paraId="0CE542BF"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 / 13</w:t>
            </w:r>
          </w:p>
        </w:tc>
        <w:tc>
          <w:tcPr>
            <w:tcW w:w="400" w:type="pct"/>
            <w:shd w:val="clear" w:color="auto" w:fill="D9D9D9" w:themeFill="background1" w:themeFillShade="D9"/>
          </w:tcPr>
          <w:p w14:paraId="523E5900"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3CE93702"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59F011AE"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69E324C3"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4A0643E7"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tcPr>
          <w:p w14:paraId="6D67C07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25%</w:t>
            </w:r>
          </w:p>
        </w:tc>
        <w:tc>
          <w:tcPr>
            <w:tcW w:w="454" w:type="pct"/>
          </w:tcPr>
          <w:p w14:paraId="404EB2D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02" w:type="pct"/>
          </w:tcPr>
          <w:p w14:paraId="26301C28"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15%</w:t>
            </w:r>
          </w:p>
        </w:tc>
        <w:tc>
          <w:tcPr>
            <w:tcW w:w="402" w:type="pct"/>
          </w:tcPr>
          <w:p w14:paraId="1EB4DE89"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1BC9E37F"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2B293BAE"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23775327" w14:textId="77777777" w:rsidTr="00C01C22">
        <w:trPr>
          <w:trHeight w:val="97"/>
        </w:trPr>
        <w:tc>
          <w:tcPr>
            <w:tcW w:w="404" w:type="pct"/>
            <w:vAlign w:val="center"/>
          </w:tcPr>
          <w:p w14:paraId="16F63FEB"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6 / 14</w:t>
            </w:r>
          </w:p>
        </w:tc>
        <w:tc>
          <w:tcPr>
            <w:tcW w:w="400" w:type="pct"/>
            <w:shd w:val="clear" w:color="auto" w:fill="D9D9D9" w:themeFill="background1" w:themeFillShade="D9"/>
          </w:tcPr>
          <w:p w14:paraId="7FFEC933"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6C799785"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FB6BC09"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70585C57"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8DB62DB"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636C18BD"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54" w:type="pct"/>
          </w:tcPr>
          <w:p w14:paraId="44FDF8CE"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02" w:type="pct"/>
          </w:tcPr>
          <w:p w14:paraId="5E3ED11F"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20%</w:t>
            </w:r>
          </w:p>
        </w:tc>
        <w:tc>
          <w:tcPr>
            <w:tcW w:w="402" w:type="pct"/>
          </w:tcPr>
          <w:p w14:paraId="2AE98DBF"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5CEF990C"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6ECF583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15FF68A8" w14:textId="77777777" w:rsidTr="00C01C22">
        <w:trPr>
          <w:trHeight w:val="97"/>
        </w:trPr>
        <w:tc>
          <w:tcPr>
            <w:tcW w:w="404" w:type="pct"/>
            <w:vAlign w:val="center"/>
          </w:tcPr>
          <w:p w14:paraId="33BDC2AE"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lastRenderedPageBreak/>
              <w:t>7 / 15</w:t>
            </w:r>
          </w:p>
        </w:tc>
        <w:tc>
          <w:tcPr>
            <w:tcW w:w="400" w:type="pct"/>
            <w:shd w:val="clear" w:color="auto" w:fill="D9D9D9" w:themeFill="background1" w:themeFillShade="D9"/>
          </w:tcPr>
          <w:p w14:paraId="11E259F1"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33A12607"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483CAC37"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5AA7935E"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69CD71BC"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9912B6B"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54" w:type="pct"/>
            <w:shd w:val="clear" w:color="auto" w:fill="D9D9D9" w:themeFill="background1" w:themeFillShade="D9"/>
          </w:tcPr>
          <w:p w14:paraId="213B4D7D"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tcPr>
          <w:p w14:paraId="7B186EE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5%</w:t>
            </w:r>
          </w:p>
        </w:tc>
        <w:tc>
          <w:tcPr>
            <w:tcW w:w="402" w:type="pct"/>
          </w:tcPr>
          <w:p w14:paraId="736474F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6FE896D3"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48EF0E2B"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79CFEF19" w14:textId="77777777" w:rsidTr="00C01C22">
        <w:trPr>
          <w:trHeight w:val="97"/>
        </w:trPr>
        <w:tc>
          <w:tcPr>
            <w:tcW w:w="404" w:type="pct"/>
            <w:vAlign w:val="center"/>
          </w:tcPr>
          <w:p w14:paraId="025EB12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8</w:t>
            </w:r>
          </w:p>
        </w:tc>
        <w:tc>
          <w:tcPr>
            <w:tcW w:w="400" w:type="pct"/>
            <w:shd w:val="clear" w:color="auto" w:fill="D9D9D9" w:themeFill="background1" w:themeFillShade="D9"/>
          </w:tcPr>
          <w:p w14:paraId="05BDE608"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612E665F"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4C1A3473"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245B0A8D"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53B096D7"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3897AB38"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54" w:type="pct"/>
            <w:shd w:val="clear" w:color="auto" w:fill="D9D9D9" w:themeFill="background1" w:themeFillShade="D9"/>
          </w:tcPr>
          <w:p w14:paraId="2D905983"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shd w:val="clear" w:color="auto" w:fill="D9D9D9" w:themeFill="background1" w:themeFillShade="D9"/>
          </w:tcPr>
          <w:p w14:paraId="15C6CC16"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tcPr>
          <w:p w14:paraId="06902523"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1" w:type="pct"/>
          </w:tcPr>
          <w:p w14:paraId="62ED6B95"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c>
          <w:tcPr>
            <w:tcW w:w="406" w:type="pct"/>
          </w:tcPr>
          <w:p w14:paraId="494511FD"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45%</w:t>
            </w:r>
          </w:p>
        </w:tc>
      </w:tr>
      <w:tr w:rsidR="00FC1029" w:rsidRPr="00CA1A43" w14:paraId="78AA7B05" w14:textId="77777777" w:rsidTr="00C01C22">
        <w:trPr>
          <w:trHeight w:val="97"/>
        </w:trPr>
        <w:tc>
          <w:tcPr>
            <w:tcW w:w="404" w:type="pct"/>
            <w:vAlign w:val="center"/>
          </w:tcPr>
          <w:p w14:paraId="39148A45"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16</w:t>
            </w:r>
          </w:p>
        </w:tc>
        <w:tc>
          <w:tcPr>
            <w:tcW w:w="400" w:type="pct"/>
            <w:shd w:val="clear" w:color="auto" w:fill="D9D9D9" w:themeFill="background1" w:themeFillShade="D9"/>
          </w:tcPr>
          <w:p w14:paraId="64093A07"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51040AE3"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23229955"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16116D1"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4B5079A"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2FF150DA"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54" w:type="pct"/>
            <w:shd w:val="clear" w:color="auto" w:fill="D9D9D9" w:themeFill="background1" w:themeFillShade="D9"/>
          </w:tcPr>
          <w:p w14:paraId="57B7791E"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shd w:val="clear" w:color="auto" w:fill="D9D9D9" w:themeFill="background1" w:themeFillShade="D9"/>
          </w:tcPr>
          <w:p w14:paraId="34AE5E1C"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shd w:val="clear" w:color="auto" w:fill="D9D9D9" w:themeFill="background1" w:themeFillShade="D9"/>
          </w:tcPr>
          <w:p w14:paraId="205D310A"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1" w:type="pct"/>
          </w:tcPr>
          <w:p w14:paraId="322F1072"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c>
          <w:tcPr>
            <w:tcW w:w="406" w:type="pct"/>
          </w:tcPr>
          <w:p w14:paraId="5296A7A6"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0%</w:t>
            </w:r>
          </w:p>
        </w:tc>
      </w:tr>
      <w:tr w:rsidR="00FC1029" w:rsidRPr="00CA1A43" w14:paraId="7C56C9A3" w14:textId="77777777" w:rsidTr="00C01C22">
        <w:trPr>
          <w:trHeight w:val="97"/>
        </w:trPr>
        <w:tc>
          <w:tcPr>
            <w:tcW w:w="404" w:type="pct"/>
            <w:vAlign w:val="center"/>
          </w:tcPr>
          <w:p w14:paraId="3F3E685A"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17</w:t>
            </w:r>
          </w:p>
        </w:tc>
        <w:tc>
          <w:tcPr>
            <w:tcW w:w="400" w:type="pct"/>
            <w:shd w:val="clear" w:color="auto" w:fill="D9D9D9" w:themeFill="background1" w:themeFillShade="D9"/>
          </w:tcPr>
          <w:p w14:paraId="58361026"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2D165846"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4D45406F"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74C5B558"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5FCAD4B2"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34EA7E1"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54" w:type="pct"/>
            <w:shd w:val="clear" w:color="auto" w:fill="D9D9D9" w:themeFill="background1" w:themeFillShade="D9"/>
          </w:tcPr>
          <w:p w14:paraId="7B8B15D6"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shd w:val="clear" w:color="auto" w:fill="D9D9D9" w:themeFill="background1" w:themeFillShade="D9"/>
          </w:tcPr>
          <w:p w14:paraId="21D1AE4E"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shd w:val="clear" w:color="auto" w:fill="D9D9D9" w:themeFill="background1" w:themeFillShade="D9"/>
          </w:tcPr>
          <w:p w14:paraId="04189E9C"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1" w:type="pct"/>
            <w:shd w:val="clear" w:color="auto" w:fill="D9D9D9" w:themeFill="background1" w:themeFillShade="D9"/>
          </w:tcPr>
          <w:p w14:paraId="3F8989F5"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6" w:type="pct"/>
          </w:tcPr>
          <w:p w14:paraId="1A7E5A3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75%</w:t>
            </w:r>
          </w:p>
        </w:tc>
      </w:tr>
      <w:tr w:rsidR="00FC1029" w:rsidRPr="00CA1A43" w14:paraId="6A0F231A" w14:textId="77777777" w:rsidTr="00C01C22">
        <w:trPr>
          <w:trHeight w:val="97"/>
        </w:trPr>
        <w:tc>
          <w:tcPr>
            <w:tcW w:w="404" w:type="pct"/>
            <w:vAlign w:val="center"/>
          </w:tcPr>
          <w:p w14:paraId="28826921" w14:textId="77777777" w:rsidR="00FC1029" w:rsidRPr="00CA1A43" w:rsidRDefault="00FC1029" w:rsidP="00CC246B">
            <w:pPr>
              <w:autoSpaceDE w:val="0"/>
              <w:autoSpaceDN w:val="0"/>
              <w:adjustRightInd w:val="0"/>
              <w:jc w:val="center"/>
              <w:rPr>
                <w:rFonts w:eastAsia="標楷體" w:cstheme="minorHAnsi"/>
                <w:kern w:val="0"/>
                <w:sz w:val="18"/>
                <w:szCs w:val="18"/>
              </w:rPr>
            </w:pPr>
            <w:r w:rsidRPr="00CA1A43">
              <w:rPr>
                <w:rFonts w:eastAsia="標楷體" w:cstheme="minorHAnsi"/>
                <w:kern w:val="0"/>
                <w:sz w:val="18"/>
                <w:szCs w:val="18"/>
              </w:rPr>
              <w:t>18</w:t>
            </w:r>
          </w:p>
        </w:tc>
        <w:tc>
          <w:tcPr>
            <w:tcW w:w="400" w:type="pct"/>
            <w:shd w:val="clear" w:color="auto" w:fill="D9D9D9" w:themeFill="background1" w:themeFillShade="D9"/>
          </w:tcPr>
          <w:p w14:paraId="2E07D4A8"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7D75F750"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319DA070"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720C394"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0EFBC4E8"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26" w:type="pct"/>
            <w:shd w:val="clear" w:color="auto" w:fill="D9D9D9" w:themeFill="background1" w:themeFillShade="D9"/>
          </w:tcPr>
          <w:p w14:paraId="6BBDBE56"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54" w:type="pct"/>
            <w:shd w:val="clear" w:color="auto" w:fill="D9D9D9" w:themeFill="background1" w:themeFillShade="D9"/>
          </w:tcPr>
          <w:p w14:paraId="693BE313"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shd w:val="clear" w:color="auto" w:fill="D9D9D9" w:themeFill="background1" w:themeFillShade="D9"/>
          </w:tcPr>
          <w:p w14:paraId="3983373B"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2" w:type="pct"/>
            <w:shd w:val="clear" w:color="auto" w:fill="D9D9D9" w:themeFill="background1" w:themeFillShade="D9"/>
          </w:tcPr>
          <w:p w14:paraId="79EA986A"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1" w:type="pct"/>
            <w:shd w:val="clear" w:color="auto" w:fill="D9D9D9" w:themeFill="background1" w:themeFillShade="D9"/>
          </w:tcPr>
          <w:p w14:paraId="37E60D60" w14:textId="77777777" w:rsidR="00FC1029" w:rsidRPr="00CA1A43" w:rsidRDefault="00FC1029" w:rsidP="00CC246B">
            <w:pPr>
              <w:autoSpaceDE w:val="0"/>
              <w:autoSpaceDN w:val="0"/>
              <w:adjustRightInd w:val="0"/>
              <w:jc w:val="center"/>
              <w:rPr>
                <w:rFonts w:eastAsia="標楷體" w:cstheme="minorHAnsi"/>
                <w:kern w:val="0"/>
                <w:sz w:val="18"/>
                <w:szCs w:val="18"/>
              </w:rPr>
            </w:pPr>
          </w:p>
        </w:tc>
        <w:tc>
          <w:tcPr>
            <w:tcW w:w="406" w:type="pct"/>
            <w:shd w:val="clear" w:color="auto" w:fill="D9D9D9" w:themeFill="background1" w:themeFillShade="D9"/>
          </w:tcPr>
          <w:p w14:paraId="0F9BE0E3" w14:textId="77777777" w:rsidR="00FC1029" w:rsidRPr="00CA1A43" w:rsidRDefault="00FC1029" w:rsidP="00CC246B">
            <w:pPr>
              <w:autoSpaceDE w:val="0"/>
              <w:autoSpaceDN w:val="0"/>
              <w:adjustRightInd w:val="0"/>
              <w:jc w:val="center"/>
              <w:rPr>
                <w:rFonts w:eastAsia="標楷體" w:cstheme="minorHAnsi"/>
                <w:kern w:val="0"/>
                <w:sz w:val="18"/>
                <w:szCs w:val="18"/>
              </w:rPr>
            </w:pPr>
          </w:p>
        </w:tc>
      </w:tr>
    </w:tbl>
    <w:p w14:paraId="61C296F4" w14:textId="77777777" w:rsidR="00FC1029" w:rsidRPr="00CA1A43" w:rsidRDefault="00C01C22" w:rsidP="00605B1D">
      <w:pPr>
        <w:pStyle w:val="a7"/>
        <w:numPr>
          <w:ilvl w:val="0"/>
          <w:numId w:val="107"/>
        </w:numPr>
        <w:spacing w:beforeLines="50" w:before="180"/>
        <w:ind w:leftChars="0" w:left="964" w:hanging="482"/>
        <w:jc w:val="both"/>
        <w:rPr>
          <w:rFonts w:eastAsia="標楷體" w:cstheme="minorHAnsi"/>
          <w:szCs w:val="24"/>
        </w:rPr>
      </w:pPr>
      <w:r w:rsidRPr="00CA1A43">
        <w:rPr>
          <w:rFonts w:eastAsia="標楷體" w:cstheme="minorHAnsi"/>
          <w:szCs w:val="24"/>
        </w:rPr>
        <w:t>證券化</w:t>
      </w:r>
      <w:r w:rsidRPr="00CA1A43">
        <w:rPr>
          <w:rFonts w:eastAsia="標楷體" w:cstheme="minorHAnsi"/>
          <w:szCs w:val="24"/>
        </w:rPr>
        <w:t>CSR(</w:t>
      </w:r>
      <w:r w:rsidRPr="00CA1A43">
        <w:rPr>
          <w:rFonts w:eastAsia="標楷體" w:cstheme="minorHAnsi"/>
          <w:szCs w:val="24"/>
        </w:rPr>
        <w:t>相關性交易組合</w:t>
      </w:r>
      <w:r w:rsidRPr="00CA1A43">
        <w:rPr>
          <w:rFonts w:eastAsia="標楷體" w:cstheme="minorHAnsi"/>
          <w:szCs w:val="24"/>
        </w:rPr>
        <w:t>,CTP)</w:t>
      </w:r>
      <w:r w:rsidRPr="00CA1A43">
        <w:rPr>
          <w:rFonts w:eastAsia="標楷體" w:cstheme="minorHAnsi"/>
          <w:szCs w:val="24"/>
        </w:rPr>
        <w:t>之</w:t>
      </w:r>
      <w:r w:rsidRPr="00CA1A43">
        <w:rPr>
          <w:rFonts w:eastAsia="標楷體" w:cstheme="minorHAnsi"/>
          <w:szCs w:val="24"/>
        </w:rPr>
        <w:t>delta</w:t>
      </w:r>
      <w:r w:rsidRPr="00CA1A43">
        <w:rPr>
          <w:rFonts w:eastAsia="標楷體" w:cstheme="minorHAnsi"/>
          <w:szCs w:val="24"/>
        </w:rPr>
        <w:t>風險組別、風險權數及相關係數</w:t>
      </w:r>
    </w:p>
    <w:p w14:paraId="0125E7CF" w14:textId="77777777" w:rsidR="00C01C22" w:rsidRPr="00CA1A43" w:rsidRDefault="00C01C22" w:rsidP="00605B1D">
      <w:pPr>
        <w:pStyle w:val="a7"/>
        <w:numPr>
          <w:ilvl w:val="0"/>
          <w:numId w:val="115"/>
        </w:numPr>
        <w:spacing w:beforeLines="50" w:before="180"/>
        <w:ind w:leftChars="0" w:left="1446" w:hanging="482"/>
        <w:jc w:val="both"/>
        <w:rPr>
          <w:rFonts w:eastAsia="標楷體" w:cstheme="minorHAnsi"/>
        </w:rPr>
      </w:pPr>
      <w:r w:rsidRPr="00CA1A43">
        <w:rPr>
          <w:rFonts w:eastAsia="標楷體" w:cstheme="minorHAnsi"/>
        </w:rPr>
        <w:t>相關性交易組合</w:t>
      </w:r>
      <w:r w:rsidRPr="00CA1A43">
        <w:rPr>
          <w:rFonts w:eastAsia="標楷體" w:cstheme="minorHAnsi"/>
        </w:rPr>
        <w:t>(CTP)</w:t>
      </w:r>
      <w:r w:rsidRPr="00CA1A43">
        <w:rPr>
          <w:rFonts w:eastAsia="標楷體" w:cstheme="minorHAnsi"/>
        </w:rPr>
        <w:t>及其避險交易之</w:t>
      </w:r>
      <w:r w:rsidRPr="00CA1A43">
        <w:rPr>
          <w:rFonts w:eastAsia="標楷體" w:cstheme="minorHAnsi"/>
        </w:rPr>
        <w:t>CSR delta</w:t>
      </w:r>
      <w:r w:rsidRPr="00CA1A43">
        <w:rPr>
          <w:rFonts w:eastAsia="標楷體" w:cstheme="minorHAnsi"/>
        </w:rPr>
        <w:t>敏感性部位適用的組別、風險權數和相關係數如下：</w:t>
      </w:r>
    </w:p>
    <w:p w14:paraId="263AA985" w14:textId="77777777" w:rsidR="00C01C22" w:rsidRPr="00CA1A43" w:rsidRDefault="00C01C22" w:rsidP="00C01C22">
      <w:pPr>
        <w:pStyle w:val="a7"/>
        <w:spacing w:beforeLines="50" w:before="180"/>
        <w:ind w:leftChars="0" w:left="1446"/>
        <w:jc w:val="both"/>
        <w:rPr>
          <w:rFonts w:eastAsia="標楷體" w:cstheme="minorHAnsi"/>
        </w:rPr>
      </w:pPr>
      <w:r w:rsidRPr="00CA1A43">
        <w:rPr>
          <w:rFonts w:eastAsia="標楷體" w:cstheme="minorHAnsi"/>
        </w:rPr>
        <w:t>其組別及相關係數適用第</w:t>
      </w:r>
      <w:r w:rsidRPr="00CA1A43">
        <w:rPr>
          <w:rFonts w:eastAsia="標楷體" w:cstheme="minorHAnsi"/>
        </w:rPr>
        <w:t>(</w:t>
      </w:r>
      <w:r w:rsidRPr="00CA1A43">
        <w:rPr>
          <w:rFonts w:eastAsia="標楷體" w:cstheme="minorHAnsi"/>
        </w:rPr>
        <w:t>十一</w:t>
      </w:r>
      <w:r w:rsidRPr="00CA1A43">
        <w:rPr>
          <w:rFonts w:eastAsia="標楷體" w:cstheme="minorHAnsi"/>
        </w:rPr>
        <w:t>)</w:t>
      </w:r>
      <w:r w:rsidRPr="00CA1A43">
        <w:rPr>
          <w:rFonts w:eastAsia="標楷體" w:cstheme="minorHAnsi"/>
        </w:rPr>
        <w:t>點第</w:t>
      </w:r>
      <w:r w:rsidRPr="00CA1A43">
        <w:rPr>
          <w:rFonts w:eastAsia="標楷體" w:cstheme="minorHAnsi"/>
        </w:rPr>
        <w:t>2</w:t>
      </w:r>
      <w:r w:rsidRPr="00CA1A43">
        <w:rPr>
          <w:rFonts w:eastAsia="標楷體" w:cstheme="minorHAnsi"/>
        </w:rPr>
        <w:t>項所述的非證券化</w:t>
      </w:r>
      <w:r w:rsidRPr="00CA1A43">
        <w:rPr>
          <w:rFonts w:eastAsia="標楷體" w:cstheme="minorHAnsi"/>
        </w:rPr>
        <w:t>CSR</w:t>
      </w:r>
      <w:r w:rsidRPr="00CA1A43">
        <w:rPr>
          <w:rFonts w:eastAsia="標楷體" w:cstheme="minorHAnsi"/>
        </w:rPr>
        <w:t>之架構，但不包含指數組別</w:t>
      </w:r>
      <w:r w:rsidRPr="00CA1A43">
        <w:rPr>
          <w:rFonts w:eastAsia="標楷體" w:cstheme="minorHAnsi"/>
        </w:rPr>
        <w:t>(</w:t>
      </w:r>
      <w:r w:rsidRPr="00CA1A43">
        <w:rPr>
          <w:rFonts w:eastAsia="標楷體" w:cstheme="minorHAnsi"/>
        </w:rPr>
        <w:t>即組別</w:t>
      </w:r>
      <w:r w:rsidRPr="00CA1A43">
        <w:rPr>
          <w:rFonts w:eastAsia="標楷體" w:cstheme="minorHAnsi"/>
        </w:rPr>
        <w:t>17</w:t>
      </w:r>
      <w:r w:rsidRPr="00CA1A43">
        <w:rPr>
          <w:rFonts w:eastAsia="標楷體" w:cstheme="minorHAnsi"/>
        </w:rPr>
        <w:t>及</w:t>
      </w:r>
      <w:r w:rsidRPr="00CA1A43">
        <w:rPr>
          <w:rFonts w:eastAsia="標楷體" w:cstheme="minorHAnsi"/>
        </w:rPr>
        <w:t>18)</w:t>
      </w:r>
      <w:r w:rsidRPr="00CA1A43">
        <w:rPr>
          <w:rFonts w:eastAsia="標楷體" w:cstheme="minorHAnsi"/>
        </w:rPr>
        <w:t>。</w:t>
      </w:r>
    </w:p>
    <w:p w14:paraId="33862B6F" w14:textId="77777777" w:rsidR="00C01C22" w:rsidRPr="00CA1A43" w:rsidRDefault="00C01C22" w:rsidP="00605B1D">
      <w:pPr>
        <w:pStyle w:val="a7"/>
        <w:numPr>
          <w:ilvl w:val="0"/>
          <w:numId w:val="115"/>
        </w:numPr>
        <w:spacing w:beforeLines="50" w:before="180"/>
        <w:ind w:leftChars="0" w:left="1446" w:hanging="482"/>
        <w:jc w:val="both"/>
        <w:rPr>
          <w:rFonts w:eastAsia="標楷體" w:cstheme="minorHAnsi"/>
        </w:rPr>
      </w:pPr>
      <w:r w:rsidRPr="00CA1A43">
        <w:rPr>
          <w:rFonts w:eastAsia="標楷體" w:cstheme="minorHAnsi"/>
        </w:rPr>
        <w:t>用以計算加權風險性部位，組別</w:t>
      </w:r>
      <w:r w:rsidRPr="00CA1A43">
        <w:rPr>
          <w:rFonts w:eastAsia="標楷體" w:cstheme="minorHAnsi"/>
        </w:rPr>
        <w:t>1</w:t>
      </w:r>
      <w:r w:rsidRPr="00CA1A43">
        <w:rPr>
          <w:rFonts w:eastAsia="標楷體" w:cstheme="minorHAnsi"/>
        </w:rPr>
        <w:t>至</w:t>
      </w:r>
      <w:r w:rsidRPr="00CA1A43">
        <w:rPr>
          <w:rFonts w:eastAsia="標楷體" w:cstheme="minorHAnsi"/>
        </w:rPr>
        <w:t>16</w:t>
      </w:r>
      <w:r w:rsidRPr="00CA1A43">
        <w:rPr>
          <w:rFonts w:eastAsia="標楷體" w:cstheme="minorHAnsi"/>
        </w:rPr>
        <w:t>的風險權數如表</w:t>
      </w:r>
      <w:r w:rsidRPr="00CA1A43">
        <w:rPr>
          <w:rFonts w:eastAsia="標楷體" w:cstheme="minorHAnsi"/>
        </w:rPr>
        <w:t>6</w:t>
      </w:r>
      <w:r w:rsidRPr="00CA1A43">
        <w:rPr>
          <w:rFonts w:eastAsia="標楷體" w:cstheme="minorHAnsi"/>
        </w:rPr>
        <w:t>所示，每</w:t>
      </w:r>
      <w:proofErr w:type="gramStart"/>
      <w:r w:rsidRPr="00CA1A43">
        <w:rPr>
          <w:rFonts w:eastAsia="標楷體" w:cstheme="minorHAnsi"/>
        </w:rPr>
        <w:t>個組別下</w:t>
      </w:r>
      <w:proofErr w:type="gramEnd"/>
      <w:r w:rsidRPr="00CA1A43">
        <w:rPr>
          <w:rFonts w:eastAsia="標楷體" w:cstheme="minorHAnsi"/>
        </w:rPr>
        <w:t>，所有天期</w:t>
      </w:r>
      <w:r w:rsidRPr="00CA1A43">
        <w:rPr>
          <w:rFonts w:eastAsia="標楷體" w:cstheme="minorHAnsi"/>
        </w:rPr>
        <w:t>(</w:t>
      </w:r>
      <w:r w:rsidRPr="00CA1A43">
        <w:rPr>
          <w:rFonts w:eastAsia="標楷體" w:cstheme="minorHAnsi"/>
        </w:rPr>
        <w:t>即</w:t>
      </w:r>
      <w:r w:rsidRPr="00CA1A43">
        <w:rPr>
          <w:rFonts w:eastAsia="標楷體" w:cstheme="minorHAnsi"/>
        </w:rPr>
        <w:t xml:space="preserve">0.5 </w:t>
      </w:r>
      <w:r w:rsidRPr="00CA1A43">
        <w:rPr>
          <w:rFonts w:eastAsia="標楷體" w:cstheme="minorHAnsi"/>
        </w:rPr>
        <w:t>年、</w:t>
      </w:r>
      <w:r w:rsidRPr="00CA1A43">
        <w:rPr>
          <w:rFonts w:eastAsia="標楷體" w:cstheme="minorHAnsi"/>
        </w:rPr>
        <w:t xml:space="preserve">1 </w:t>
      </w:r>
      <w:r w:rsidRPr="00CA1A43">
        <w:rPr>
          <w:rFonts w:eastAsia="標楷體" w:cstheme="minorHAnsi"/>
        </w:rPr>
        <w:t>年、</w:t>
      </w:r>
      <w:r w:rsidRPr="00CA1A43">
        <w:rPr>
          <w:rFonts w:eastAsia="標楷體" w:cstheme="minorHAnsi"/>
        </w:rPr>
        <w:t xml:space="preserve">3 </w:t>
      </w:r>
      <w:r w:rsidRPr="00CA1A43">
        <w:rPr>
          <w:rFonts w:eastAsia="標楷體" w:cstheme="minorHAnsi"/>
        </w:rPr>
        <w:t>年、</w:t>
      </w:r>
      <w:r w:rsidRPr="00CA1A43">
        <w:rPr>
          <w:rFonts w:eastAsia="標楷體" w:cstheme="minorHAnsi"/>
        </w:rPr>
        <w:t xml:space="preserve">5 </w:t>
      </w:r>
      <w:r w:rsidRPr="00CA1A43">
        <w:rPr>
          <w:rFonts w:eastAsia="標楷體" w:cstheme="minorHAnsi"/>
        </w:rPr>
        <w:t>年、</w:t>
      </w:r>
      <w:r w:rsidRPr="00CA1A43">
        <w:rPr>
          <w:rFonts w:eastAsia="標楷體" w:cstheme="minorHAnsi"/>
        </w:rPr>
        <w:t xml:space="preserve">10 </w:t>
      </w:r>
      <w:r w:rsidRPr="00CA1A43">
        <w:rPr>
          <w:rFonts w:eastAsia="標楷體" w:cstheme="minorHAnsi"/>
        </w:rPr>
        <w:t>年</w:t>
      </w:r>
      <w:r w:rsidRPr="00CA1A43">
        <w:rPr>
          <w:rFonts w:eastAsia="標楷體" w:cstheme="minorHAnsi"/>
        </w:rPr>
        <w:t>)</w:t>
      </w:r>
      <w:r w:rsidRPr="00CA1A43">
        <w:rPr>
          <w:rFonts w:eastAsia="標楷體" w:cstheme="minorHAnsi"/>
        </w:rPr>
        <w:t>之風險權數均相同：</w:t>
      </w:r>
    </w:p>
    <w:tbl>
      <w:tblPr>
        <w:tblStyle w:val="aa"/>
        <w:tblW w:w="4061" w:type="pct"/>
        <w:tblInd w:w="1560" w:type="dxa"/>
        <w:tblBorders>
          <w:left w:val="none" w:sz="0" w:space="0" w:color="auto"/>
          <w:right w:val="none" w:sz="0" w:space="0" w:color="auto"/>
        </w:tblBorders>
        <w:tblLayout w:type="fixed"/>
        <w:tblLook w:val="0000" w:firstRow="0" w:lastRow="0" w:firstColumn="0" w:lastColumn="0" w:noHBand="0" w:noVBand="0"/>
      </w:tblPr>
      <w:tblGrid>
        <w:gridCol w:w="3401"/>
        <w:gridCol w:w="2106"/>
        <w:gridCol w:w="1239"/>
      </w:tblGrid>
      <w:tr w:rsidR="00C01C22" w:rsidRPr="00CA1A43" w14:paraId="1668A6E6" w14:textId="77777777" w:rsidTr="00C01C22">
        <w:trPr>
          <w:trHeight w:val="454"/>
        </w:trPr>
        <w:tc>
          <w:tcPr>
            <w:tcW w:w="4082" w:type="pct"/>
            <w:gridSpan w:val="2"/>
            <w:tcBorders>
              <w:right w:val="nil"/>
            </w:tcBorders>
            <w:vAlign w:val="center"/>
          </w:tcPr>
          <w:p w14:paraId="3D3D17AE" w14:textId="77777777" w:rsidR="00C01C22" w:rsidRPr="00CA1A43" w:rsidRDefault="00C01C22"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相關性交易組合之</w:t>
            </w:r>
            <w:r w:rsidRPr="00CA1A43">
              <w:rPr>
                <w:rFonts w:asciiTheme="minorHAnsi" w:hAnsiTheme="minorHAnsi" w:cstheme="minorHAnsi"/>
                <w:sz w:val="24"/>
                <w:szCs w:val="24"/>
              </w:rPr>
              <w:t>CSR</w:t>
            </w:r>
            <w:r w:rsidRPr="00CA1A43">
              <w:rPr>
                <w:rFonts w:asciiTheme="minorHAnsi" w:hAnsiTheme="minorHAnsi" w:cstheme="minorHAnsi"/>
                <w:sz w:val="24"/>
                <w:szCs w:val="24"/>
              </w:rPr>
              <w:t>敏感性部位風險權數</w:t>
            </w:r>
          </w:p>
        </w:tc>
        <w:tc>
          <w:tcPr>
            <w:tcW w:w="918" w:type="pct"/>
            <w:tcBorders>
              <w:left w:val="nil"/>
            </w:tcBorders>
            <w:vAlign w:val="center"/>
          </w:tcPr>
          <w:p w14:paraId="6BC241F1" w14:textId="77777777" w:rsidR="00C01C22" w:rsidRPr="00CA1A43" w:rsidRDefault="00C01C22" w:rsidP="00CC246B">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 xml:space="preserve"> 6</w:t>
            </w:r>
          </w:p>
        </w:tc>
      </w:tr>
      <w:tr w:rsidR="00C01C22" w:rsidRPr="00CA1A43" w14:paraId="03C0776C" w14:textId="77777777" w:rsidTr="00C01C22">
        <w:trPr>
          <w:trHeight w:val="103"/>
        </w:trPr>
        <w:tc>
          <w:tcPr>
            <w:tcW w:w="2521" w:type="pct"/>
          </w:tcPr>
          <w:p w14:paraId="47D79235"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2479" w:type="pct"/>
            <w:gridSpan w:val="2"/>
          </w:tcPr>
          <w:p w14:paraId="3410CE20"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風險權數</w:t>
            </w:r>
          </w:p>
        </w:tc>
      </w:tr>
      <w:tr w:rsidR="00C01C22" w:rsidRPr="00CA1A43" w14:paraId="6E60B1F9" w14:textId="77777777" w:rsidTr="00C01C22">
        <w:trPr>
          <w:trHeight w:val="103"/>
        </w:trPr>
        <w:tc>
          <w:tcPr>
            <w:tcW w:w="2521" w:type="pct"/>
          </w:tcPr>
          <w:p w14:paraId="09B21CE4"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2479" w:type="pct"/>
            <w:gridSpan w:val="2"/>
          </w:tcPr>
          <w:p w14:paraId="110B0237"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C01C22" w:rsidRPr="00CA1A43" w14:paraId="70651E65" w14:textId="77777777" w:rsidTr="00C01C22">
        <w:trPr>
          <w:trHeight w:val="103"/>
        </w:trPr>
        <w:tc>
          <w:tcPr>
            <w:tcW w:w="2521" w:type="pct"/>
          </w:tcPr>
          <w:p w14:paraId="0E988DEE"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2479" w:type="pct"/>
            <w:gridSpan w:val="2"/>
          </w:tcPr>
          <w:p w14:paraId="0D89894E"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C01C22" w:rsidRPr="00CA1A43" w14:paraId="290CDB6D" w14:textId="77777777" w:rsidTr="00C01C22">
        <w:trPr>
          <w:trHeight w:val="103"/>
        </w:trPr>
        <w:tc>
          <w:tcPr>
            <w:tcW w:w="2521" w:type="pct"/>
          </w:tcPr>
          <w:p w14:paraId="724BF735"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2479" w:type="pct"/>
            <w:gridSpan w:val="2"/>
          </w:tcPr>
          <w:p w14:paraId="6757A975"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8.0%</w:t>
            </w:r>
          </w:p>
        </w:tc>
      </w:tr>
      <w:tr w:rsidR="00C01C22" w:rsidRPr="00CA1A43" w14:paraId="0095D6BD" w14:textId="77777777" w:rsidTr="00C01C22">
        <w:trPr>
          <w:trHeight w:val="103"/>
        </w:trPr>
        <w:tc>
          <w:tcPr>
            <w:tcW w:w="2521" w:type="pct"/>
          </w:tcPr>
          <w:p w14:paraId="6D4AA9FB"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2479" w:type="pct"/>
            <w:gridSpan w:val="2"/>
          </w:tcPr>
          <w:p w14:paraId="6467E3AA"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r>
      <w:tr w:rsidR="00C01C22" w:rsidRPr="00CA1A43" w14:paraId="1DC784F1" w14:textId="77777777" w:rsidTr="00C01C22">
        <w:trPr>
          <w:trHeight w:val="103"/>
        </w:trPr>
        <w:tc>
          <w:tcPr>
            <w:tcW w:w="2521" w:type="pct"/>
          </w:tcPr>
          <w:p w14:paraId="0F5BCC4E"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2479" w:type="pct"/>
            <w:gridSpan w:val="2"/>
          </w:tcPr>
          <w:p w14:paraId="4FB9964A"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C01C22" w:rsidRPr="00CA1A43" w14:paraId="02CD9C64" w14:textId="77777777" w:rsidTr="00C01C22">
        <w:trPr>
          <w:trHeight w:val="103"/>
        </w:trPr>
        <w:tc>
          <w:tcPr>
            <w:tcW w:w="2521" w:type="pct"/>
          </w:tcPr>
          <w:p w14:paraId="0A43CA80"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c>
          <w:tcPr>
            <w:tcW w:w="2479" w:type="pct"/>
            <w:gridSpan w:val="2"/>
          </w:tcPr>
          <w:p w14:paraId="65BC45C6"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r>
      <w:tr w:rsidR="00C01C22" w:rsidRPr="00CA1A43" w14:paraId="79B5ABA8" w14:textId="77777777" w:rsidTr="00C01C22">
        <w:trPr>
          <w:trHeight w:val="103"/>
        </w:trPr>
        <w:tc>
          <w:tcPr>
            <w:tcW w:w="2521" w:type="pct"/>
          </w:tcPr>
          <w:p w14:paraId="24F56B8A"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2479" w:type="pct"/>
            <w:gridSpan w:val="2"/>
          </w:tcPr>
          <w:p w14:paraId="762B6459"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r>
      <w:tr w:rsidR="00C01C22" w:rsidRPr="00CA1A43" w14:paraId="2CE7FEF9" w14:textId="77777777" w:rsidTr="00C01C22">
        <w:trPr>
          <w:trHeight w:val="103"/>
        </w:trPr>
        <w:tc>
          <w:tcPr>
            <w:tcW w:w="2521" w:type="pct"/>
          </w:tcPr>
          <w:p w14:paraId="498739A7"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2479" w:type="pct"/>
            <w:gridSpan w:val="2"/>
          </w:tcPr>
          <w:p w14:paraId="63BB8B9D"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6.0%</w:t>
            </w:r>
          </w:p>
        </w:tc>
      </w:tr>
      <w:tr w:rsidR="00C01C22" w:rsidRPr="00CA1A43" w14:paraId="3BF19F20" w14:textId="77777777" w:rsidTr="00C01C22">
        <w:trPr>
          <w:trHeight w:val="103"/>
        </w:trPr>
        <w:tc>
          <w:tcPr>
            <w:tcW w:w="2521" w:type="pct"/>
          </w:tcPr>
          <w:p w14:paraId="5B2D5060"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2479" w:type="pct"/>
            <w:gridSpan w:val="2"/>
          </w:tcPr>
          <w:p w14:paraId="74715C5F"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13.0%</w:t>
            </w:r>
          </w:p>
        </w:tc>
      </w:tr>
      <w:tr w:rsidR="00C01C22" w:rsidRPr="00CA1A43" w14:paraId="38A7CF1D" w14:textId="77777777" w:rsidTr="00C01C22">
        <w:trPr>
          <w:trHeight w:val="103"/>
        </w:trPr>
        <w:tc>
          <w:tcPr>
            <w:tcW w:w="2521" w:type="pct"/>
          </w:tcPr>
          <w:p w14:paraId="3F7256C8"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c>
          <w:tcPr>
            <w:tcW w:w="2479" w:type="pct"/>
            <w:gridSpan w:val="2"/>
          </w:tcPr>
          <w:p w14:paraId="20780D6D"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13.0%</w:t>
            </w:r>
          </w:p>
        </w:tc>
      </w:tr>
      <w:tr w:rsidR="00C01C22" w:rsidRPr="00CA1A43" w14:paraId="189A6141" w14:textId="77777777" w:rsidTr="00C01C22">
        <w:trPr>
          <w:trHeight w:val="103"/>
        </w:trPr>
        <w:tc>
          <w:tcPr>
            <w:tcW w:w="2521" w:type="pct"/>
          </w:tcPr>
          <w:p w14:paraId="18C14E13"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2479" w:type="pct"/>
            <w:gridSpan w:val="2"/>
          </w:tcPr>
          <w:p w14:paraId="4ADCEDC4"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16.0%</w:t>
            </w:r>
          </w:p>
        </w:tc>
      </w:tr>
      <w:tr w:rsidR="00C01C22" w:rsidRPr="00CA1A43" w14:paraId="21DE06FB" w14:textId="77777777" w:rsidTr="00C01C22">
        <w:trPr>
          <w:trHeight w:val="103"/>
        </w:trPr>
        <w:tc>
          <w:tcPr>
            <w:tcW w:w="2521" w:type="pct"/>
          </w:tcPr>
          <w:p w14:paraId="7591C769"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c>
          <w:tcPr>
            <w:tcW w:w="2479" w:type="pct"/>
            <w:gridSpan w:val="2"/>
          </w:tcPr>
          <w:p w14:paraId="749C0E50"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C01C22" w:rsidRPr="00CA1A43" w14:paraId="60FFC490" w14:textId="77777777" w:rsidTr="00C01C22">
        <w:trPr>
          <w:trHeight w:val="103"/>
        </w:trPr>
        <w:tc>
          <w:tcPr>
            <w:tcW w:w="2521" w:type="pct"/>
          </w:tcPr>
          <w:p w14:paraId="5DBE7EA8"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w:t>
            </w:r>
          </w:p>
        </w:tc>
        <w:tc>
          <w:tcPr>
            <w:tcW w:w="2479" w:type="pct"/>
            <w:gridSpan w:val="2"/>
          </w:tcPr>
          <w:p w14:paraId="700DEB10"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r>
      <w:tr w:rsidR="00C01C22" w:rsidRPr="00CA1A43" w14:paraId="79DFBD59" w14:textId="77777777" w:rsidTr="00C01C22">
        <w:trPr>
          <w:trHeight w:val="103"/>
        </w:trPr>
        <w:tc>
          <w:tcPr>
            <w:tcW w:w="2521" w:type="pct"/>
          </w:tcPr>
          <w:p w14:paraId="4F24BCFA"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14</w:t>
            </w:r>
          </w:p>
        </w:tc>
        <w:tc>
          <w:tcPr>
            <w:tcW w:w="2479" w:type="pct"/>
            <w:gridSpan w:val="2"/>
          </w:tcPr>
          <w:p w14:paraId="4F72958A"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r>
      <w:tr w:rsidR="00C01C22" w:rsidRPr="00CA1A43" w14:paraId="65E4075B" w14:textId="77777777" w:rsidTr="00C01C22">
        <w:trPr>
          <w:trHeight w:val="103"/>
        </w:trPr>
        <w:tc>
          <w:tcPr>
            <w:tcW w:w="2521" w:type="pct"/>
          </w:tcPr>
          <w:p w14:paraId="177006F4"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c>
          <w:tcPr>
            <w:tcW w:w="2479" w:type="pct"/>
            <w:gridSpan w:val="2"/>
          </w:tcPr>
          <w:p w14:paraId="3FC78FCA"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r>
      <w:tr w:rsidR="00C01C22" w:rsidRPr="00CA1A43" w14:paraId="549FB150" w14:textId="77777777" w:rsidTr="00C01C22">
        <w:trPr>
          <w:trHeight w:val="103"/>
        </w:trPr>
        <w:tc>
          <w:tcPr>
            <w:tcW w:w="2521" w:type="pct"/>
          </w:tcPr>
          <w:p w14:paraId="77FB1921"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16</w:t>
            </w:r>
          </w:p>
        </w:tc>
        <w:tc>
          <w:tcPr>
            <w:tcW w:w="2479" w:type="pct"/>
            <w:gridSpan w:val="2"/>
          </w:tcPr>
          <w:p w14:paraId="76FFF67B" w14:textId="77777777" w:rsidR="00C01C22" w:rsidRPr="00CA1A43" w:rsidRDefault="00C01C22"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13.0%</w:t>
            </w:r>
          </w:p>
        </w:tc>
      </w:tr>
    </w:tbl>
    <w:p w14:paraId="0D6221CF" w14:textId="77777777" w:rsidR="001C0EF3" w:rsidRPr="00CA1A43" w:rsidRDefault="001C0EF3" w:rsidP="00605B1D">
      <w:pPr>
        <w:pStyle w:val="a7"/>
        <w:numPr>
          <w:ilvl w:val="0"/>
          <w:numId w:val="115"/>
        </w:numPr>
        <w:spacing w:beforeLines="50" w:before="180"/>
        <w:ind w:leftChars="0" w:left="1446" w:hanging="482"/>
        <w:jc w:val="both"/>
        <w:rPr>
          <w:rFonts w:eastAsia="標楷體" w:cstheme="minorHAnsi"/>
        </w:rPr>
      </w:pPr>
      <w:r w:rsidRPr="00CA1A43">
        <w:rPr>
          <w:rFonts w:eastAsia="標楷體" w:cstheme="minorHAnsi"/>
        </w:rPr>
        <w:t>同一組別</w:t>
      </w:r>
      <w:proofErr w:type="gramStart"/>
      <w:r w:rsidRPr="00CA1A43">
        <w:rPr>
          <w:rFonts w:eastAsia="標楷體" w:cstheme="minorHAnsi"/>
        </w:rPr>
        <w:t>之</w:t>
      </w:r>
      <w:proofErr w:type="gramEnd"/>
      <w:r w:rsidRPr="00CA1A43">
        <w:rPr>
          <w:rFonts w:eastAsia="標楷體" w:cstheme="minorHAnsi"/>
        </w:rPr>
        <w:t>證券化</w:t>
      </w:r>
      <w:r w:rsidRPr="00CA1A43">
        <w:rPr>
          <w:rFonts w:eastAsia="標楷體" w:cstheme="minorHAnsi"/>
        </w:rPr>
        <w:t>CSR(CTP) delta</w:t>
      </w:r>
      <w:r w:rsidRPr="00CA1A43">
        <w:rPr>
          <w:rFonts w:eastAsia="標楷體" w:cstheme="minorHAnsi"/>
        </w:rPr>
        <w:t>風險部位之加總，其</w:t>
      </w:r>
      <w:r w:rsidRPr="00CA1A43">
        <w:rPr>
          <w:rFonts w:eastAsia="標楷體" w:cstheme="minorHAnsi"/>
        </w:rPr>
        <w:t>delta</w:t>
      </w:r>
      <w:r w:rsidRPr="00CA1A43">
        <w:rPr>
          <w:rFonts w:eastAsia="標楷體" w:cstheme="minorHAnsi"/>
        </w:rPr>
        <w:t>風險相關係數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rPr>
        <w:t>的計算方式與第</w:t>
      </w:r>
      <w:r w:rsidRPr="00CA1A43">
        <w:rPr>
          <w:rFonts w:eastAsia="標楷體" w:cstheme="minorHAnsi"/>
        </w:rPr>
        <w:t>(</w:t>
      </w:r>
      <w:r w:rsidRPr="00CA1A43">
        <w:rPr>
          <w:rFonts w:eastAsia="標楷體" w:cstheme="minorHAnsi"/>
        </w:rPr>
        <w:t>十一</w:t>
      </w:r>
      <w:r w:rsidRPr="00CA1A43">
        <w:rPr>
          <w:rFonts w:eastAsia="標楷體" w:cstheme="minorHAnsi"/>
        </w:rPr>
        <w:t>)</w:t>
      </w:r>
      <w:r w:rsidRPr="00CA1A43">
        <w:rPr>
          <w:rFonts w:eastAsia="標楷體" w:cstheme="minorHAnsi"/>
        </w:rPr>
        <w:t>點第</w:t>
      </w:r>
      <w:r w:rsidRPr="00CA1A43">
        <w:rPr>
          <w:rFonts w:eastAsia="標楷體" w:cstheme="minorHAnsi"/>
        </w:rPr>
        <w:t>2</w:t>
      </w:r>
      <w:r w:rsidRPr="00CA1A43">
        <w:rPr>
          <w:rFonts w:eastAsia="標楷體" w:cstheme="minorHAnsi"/>
        </w:rPr>
        <w:t>項</w:t>
      </w:r>
      <w:r w:rsidRPr="00CA1A43">
        <w:rPr>
          <w:rFonts w:eastAsia="標楷體" w:cstheme="minorHAnsi"/>
        </w:rPr>
        <w:t>(3)</w:t>
      </w:r>
      <w:r w:rsidRPr="00CA1A43">
        <w:rPr>
          <w:rFonts w:eastAsia="標楷體" w:cstheme="minorHAnsi"/>
        </w:rPr>
        <w:t>所述相同，惟敏感性部位未對應相同利率曲線，其適用的相關係數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w:t>
      </w:r>
      <w:r w:rsidRPr="00CA1A43">
        <w:rPr>
          <w:rFonts w:ascii="Cambria Math" w:eastAsia="標楷體" w:hAnsi="Cambria Math" w:cs="Cambria Math"/>
          <w:vertAlign w:val="superscript"/>
        </w:rPr>
        <w:t>𝑏</w:t>
      </w:r>
      <w:proofErr w:type="spellStart"/>
      <w:r w:rsidRPr="00CA1A43">
        <w:rPr>
          <w:rFonts w:eastAsia="標楷體" w:cstheme="minorHAnsi"/>
          <w:vertAlign w:val="superscript"/>
        </w:rPr>
        <w:t>asic</w:t>
      </w:r>
      <w:proofErr w:type="spellEnd"/>
      <w:r w:rsidRPr="00CA1A43">
        <w:rPr>
          <w:rFonts w:eastAsia="標楷體" w:cstheme="minorHAnsi"/>
          <w:vertAlign w:val="superscript"/>
        </w:rPr>
        <w:t>)</w:t>
      </w:r>
      <w:r w:rsidRPr="00CA1A43">
        <w:rPr>
          <w:rFonts w:eastAsia="標楷體" w:cstheme="minorHAnsi"/>
        </w:rPr>
        <w:t>如下。</w:t>
      </w:r>
    </w:p>
    <w:p w14:paraId="08B7AA37" w14:textId="77777777" w:rsidR="001C0EF3" w:rsidRPr="00CA1A43" w:rsidRDefault="001C0EF3" w:rsidP="00605B1D">
      <w:pPr>
        <w:pStyle w:val="a7"/>
        <w:numPr>
          <w:ilvl w:val="0"/>
          <w:numId w:val="116"/>
        </w:numPr>
        <w:spacing w:beforeLines="50" w:before="180"/>
        <w:ind w:leftChars="0"/>
        <w:jc w:val="both"/>
        <w:rPr>
          <w:rFonts w:eastAsia="標楷體" w:cstheme="minorHAnsi"/>
        </w:rPr>
      </w:pPr>
      <w:r w:rsidRPr="00CA1A43">
        <w:rPr>
          <w:rFonts w:eastAsia="標楷體" w:cstheme="minorHAnsi"/>
        </w:rPr>
        <w:t>若兩敏感性部位對應相同利率曲線，則</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w:t>
      </w:r>
      <w:r w:rsidRPr="00CA1A43">
        <w:rPr>
          <w:rFonts w:ascii="Cambria Math" w:eastAsia="標楷體" w:hAnsi="Cambria Math" w:cs="Cambria Math"/>
          <w:vertAlign w:val="superscript"/>
        </w:rPr>
        <w:t>𝑏</w:t>
      </w:r>
      <w:proofErr w:type="spellStart"/>
      <w:r w:rsidRPr="00CA1A43">
        <w:rPr>
          <w:rFonts w:eastAsia="標楷體" w:cstheme="minorHAnsi"/>
          <w:vertAlign w:val="superscript"/>
        </w:rPr>
        <w:t>asic</w:t>
      </w:r>
      <w:proofErr w:type="spellEnd"/>
      <w:r w:rsidRPr="00CA1A43">
        <w:rPr>
          <w:rFonts w:eastAsia="標楷體" w:cstheme="minorHAnsi"/>
          <w:vertAlign w:val="superscript"/>
        </w:rPr>
        <w:t>)</w:t>
      </w:r>
      <w:r w:rsidRPr="00CA1A43">
        <w:rPr>
          <w:rFonts w:eastAsia="標楷體" w:cstheme="minorHAnsi"/>
        </w:rPr>
        <w:t>=1</w:t>
      </w:r>
      <w:r w:rsidRPr="00CA1A43">
        <w:rPr>
          <w:rFonts w:eastAsia="標楷體" w:cstheme="minorHAnsi"/>
        </w:rPr>
        <w:t>，否則為</w:t>
      </w:r>
      <w:r w:rsidRPr="00CA1A43">
        <w:rPr>
          <w:rFonts w:eastAsia="標楷體" w:cstheme="minorHAnsi"/>
        </w:rPr>
        <w:t>99.00%</w:t>
      </w:r>
      <w:r w:rsidRPr="00CA1A43">
        <w:rPr>
          <w:rFonts w:eastAsia="標楷體" w:cstheme="minorHAnsi"/>
        </w:rPr>
        <w:t>。</w:t>
      </w:r>
    </w:p>
    <w:p w14:paraId="0909B34F" w14:textId="77777777" w:rsidR="00C01C22" w:rsidRPr="00CA1A43" w:rsidRDefault="001C0EF3" w:rsidP="00605B1D">
      <w:pPr>
        <w:pStyle w:val="a7"/>
        <w:numPr>
          <w:ilvl w:val="0"/>
          <w:numId w:val="116"/>
        </w:numPr>
        <w:spacing w:beforeLines="50" w:before="180"/>
        <w:ind w:leftChars="0"/>
        <w:jc w:val="both"/>
        <w:rPr>
          <w:rFonts w:eastAsia="標楷體" w:cstheme="minorHAnsi"/>
        </w:rPr>
      </w:pPr>
      <w:r w:rsidRPr="00CA1A43">
        <w:rPr>
          <w:rFonts w:eastAsia="標楷體" w:cstheme="minorHAnsi"/>
        </w:rPr>
        <w:lastRenderedPageBreak/>
        <w:t>相關係數</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(name)</w:t>
      </w:r>
      <w:r w:rsidRPr="00CA1A43">
        <w:rPr>
          <w:rFonts w:eastAsia="標楷體" w:cstheme="minorHAnsi"/>
        </w:rPr>
        <w:t>及</w:t>
      </w:r>
      <w:r w:rsidRPr="00CA1A43">
        <w:rPr>
          <w:rFonts w:ascii="Cambria Math" w:eastAsia="標楷體" w:hAnsi="Cambria Math" w:cs="Cambria Math"/>
        </w:rPr>
        <w:t>𝜌</w:t>
      </w:r>
      <w:r w:rsidRPr="00CA1A43">
        <w:rPr>
          <w:rFonts w:ascii="Cambria Math" w:eastAsia="標楷體" w:hAnsi="Cambria Math" w:cs="Cambria Math"/>
          <w:vertAlign w:val="subscript"/>
        </w:rPr>
        <w:t>𝑘</w:t>
      </w:r>
      <w:r w:rsidRPr="00CA1A43">
        <w:rPr>
          <w:rFonts w:eastAsia="標楷體" w:cstheme="minorHAnsi"/>
          <w:vertAlign w:val="subscript"/>
        </w:rPr>
        <w:t>l</w:t>
      </w:r>
      <w:r w:rsidRPr="00CA1A43">
        <w:rPr>
          <w:rFonts w:eastAsia="標楷體" w:cstheme="minorHAnsi"/>
          <w:vertAlign w:val="superscript"/>
        </w:rPr>
        <w:t>(tenor)</w:t>
      </w:r>
      <w:r w:rsidRPr="00CA1A43">
        <w:rPr>
          <w:rFonts w:eastAsia="標楷體" w:cstheme="minorHAnsi"/>
        </w:rPr>
        <w:t>之適用與第</w:t>
      </w:r>
      <w:r w:rsidRPr="00CA1A43">
        <w:rPr>
          <w:rFonts w:eastAsia="標楷體" w:cstheme="minorHAnsi"/>
        </w:rPr>
        <w:t>(</w:t>
      </w:r>
      <w:r w:rsidRPr="00CA1A43">
        <w:rPr>
          <w:rFonts w:eastAsia="標楷體" w:cstheme="minorHAnsi"/>
        </w:rPr>
        <w:t>十一</w:t>
      </w:r>
      <w:r w:rsidRPr="00CA1A43">
        <w:rPr>
          <w:rFonts w:eastAsia="標楷體" w:cstheme="minorHAnsi"/>
        </w:rPr>
        <w:t>)</w:t>
      </w:r>
      <w:r w:rsidRPr="00CA1A43">
        <w:rPr>
          <w:rFonts w:eastAsia="標楷體" w:cstheme="minorHAnsi"/>
        </w:rPr>
        <w:t>點第</w:t>
      </w:r>
      <w:r w:rsidRPr="00CA1A43">
        <w:rPr>
          <w:rFonts w:eastAsia="標楷體" w:cstheme="minorHAnsi"/>
        </w:rPr>
        <w:t>2</w:t>
      </w:r>
      <w:r w:rsidRPr="00CA1A43">
        <w:rPr>
          <w:rFonts w:eastAsia="標楷體" w:cstheme="minorHAnsi"/>
        </w:rPr>
        <w:t>項</w:t>
      </w:r>
      <w:r w:rsidRPr="00CA1A43">
        <w:rPr>
          <w:rFonts w:eastAsia="標楷體" w:cstheme="minorHAnsi"/>
        </w:rPr>
        <w:t>(3)</w:t>
      </w:r>
      <w:r w:rsidRPr="00CA1A43">
        <w:rPr>
          <w:rFonts w:eastAsia="標楷體" w:cstheme="minorHAnsi"/>
        </w:rPr>
        <w:t>所述之非證券化</w:t>
      </w:r>
      <w:r w:rsidRPr="00CA1A43">
        <w:rPr>
          <w:rFonts w:eastAsia="標楷體" w:cstheme="minorHAnsi"/>
        </w:rPr>
        <w:t>CSR</w:t>
      </w:r>
      <w:r w:rsidRPr="00CA1A43">
        <w:rPr>
          <w:rFonts w:eastAsia="標楷體" w:cstheme="minorHAnsi"/>
        </w:rPr>
        <w:t>相同。</w:t>
      </w:r>
    </w:p>
    <w:p w14:paraId="5430A16F" w14:textId="77777777" w:rsidR="00BD02FF" w:rsidRPr="00CA1A43" w:rsidRDefault="006A0213" w:rsidP="00605B1D">
      <w:pPr>
        <w:pStyle w:val="a7"/>
        <w:numPr>
          <w:ilvl w:val="0"/>
          <w:numId w:val="115"/>
        </w:numPr>
        <w:spacing w:beforeLines="50" w:before="180"/>
        <w:ind w:leftChars="0" w:left="1446" w:hanging="482"/>
        <w:jc w:val="both"/>
        <w:rPr>
          <w:rFonts w:eastAsia="標楷體" w:cstheme="minorHAnsi"/>
        </w:rPr>
      </w:pPr>
      <w:r w:rsidRPr="00CA1A43">
        <w:rPr>
          <w:rFonts w:eastAsia="標楷體" w:cstheme="minorHAnsi"/>
        </w:rPr>
        <w:t>跨組別證券化</w:t>
      </w:r>
      <w:r w:rsidRPr="00CA1A43">
        <w:rPr>
          <w:rFonts w:eastAsia="標楷體" w:cstheme="minorHAnsi"/>
        </w:rPr>
        <w:t>CSR(CTP) delta</w:t>
      </w:r>
      <w:r w:rsidRPr="00CA1A43">
        <w:rPr>
          <w:rFonts w:eastAsia="標楷體" w:cstheme="minorHAnsi"/>
        </w:rPr>
        <w:t>風險部位之加總，其相關係數</w:t>
      </w:r>
      <w:r w:rsidRPr="00CA1A43">
        <w:rPr>
          <w:rFonts w:ascii="Cambria Math" w:eastAsia="標楷體" w:hAnsi="Cambria Math" w:cs="Cambria Math"/>
        </w:rPr>
        <w:t>𝛾</w:t>
      </w:r>
      <w:r w:rsidRPr="00CA1A43">
        <w:rPr>
          <w:rFonts w:ascii="Cambria Math" w:eastAsia="標楷體" w:hAnsi="Cambria Math" w:cs="Cambria Math"/>
          <w:vertAlign w:val="subscript"/>
        </w:rPr>
        <w:t>𝑏</w:t>
      </w:r>
      <w:r w:rsidRPr="00CA1A43">
        <w:rPr>
          <w:rFonts w:eastAsia="標楷體" w:cstheme="minorHAnsi"/>
          <w:vertAlign w:val="subscript"/>
        </w:rPr>
        <w:t>c</w:t>
      </w:r>
      <w:r w:rsidRPr="00CA1A43">
        <w:rPr>
          <w:rFonts w:eastAsia="標楷體" w:cstheme="minorHAnsi"/>
        </w:rPr>
        <w:t>之適用與第</w:t>
      </w:r>
      <w:r w:rsidRPr="00CA1A43">
        <w:rPr>
          <w:rFonts w:eastAsia="標楷體" w:cstheme="minorHAnsi"/>
        </w:rPr>
        <w:t>(</w:t>
      </w:r>
      <w:r w:rsidRPr="00CA1A43">
        <w:rPr>
          <w:rFonts w:eastAsia="標楷體" w:cstheme="minorHAnsi"/>
        </w:rPr>
        <w:t>十一</w:t>
      </w:r>
      <w:r w:rsidRPr="00CA1A43">
        <w:rPr>
          <w:rFonts w:eastAsia="標楷體" w:cstheme="minorHAnsi"/>
        </w:rPr>
        <w:t>)</w:t>
      </w:r>
      <w:r w:rsidRPr="00CA1A43">
        <w:rPr>
          <w:rFonts w:eastAsia="標楷體" w:cstheme="minorHAnsi"/>
        </w:rPr>
        <w:t>點第</w:t>
      </w:r>
      <w:r w:rsidRPr="00CA1A43">
        <w:rPr>
          <w:rFonts w:eastAsia="標楷體" w:cstheme="minorHAnsi"/>
        </w:rPr>
        <w:t>2.(6)</w:t>
      </w:r>
      <w:r w:rsidRPr="00CA1A43">
        <w:rPr>
          <w:rFonts w:eastAsia="標楷體" w:cstheme="minorHAnsi"/>
        </w:rPr>
        <w:t>項所述之非證券化</w:t>
      </w:r>
      <w:r w:rsidRPr="00CA1A43">
        <w:rPr>
          <w:rFonts w:eastAsia="標楷體" w:cstheme="minorHAnsi"/>
        </w:rPr>
        <w:t>CSR</w:t>
      </w:r>
      <w:r w:rsidRPr="00CA1A43">
        <w:rPr>
          <w:rFonts w:eastAsia="標楷體" w:cstheme="minorHAnsi"/>
        </w:rPr>
        <w:t>相同。</w:t>
      </w:r>
    </w:p>
    <w:p w14:paraId="68AE00F4" w14:textId="77777777" w:rsidR="00BD02FF" w:rsidRPr="00CA1A43" w:rsidRDefault="004E2543" w:rsidP="00605B1D">
      <w:pPr>
        <w:pStyle w:val="a7"/>
        <w:numPr>
          <w:ilvl w:val="0"/>
          <w:numId w:val="107"/>
        </w:numPr>
        <w:spacing w:beforeLines="50" w:before="180"/>
        <w:ind w:leftChars="0" w:left="964" w:hanging="482"/>
        <w:jc w:val="both"/>
        <w:rPr>
          <w:rFonts w:eastAsia="標楷體" w:cstheme="minorHAnsi"/>
          <w:szCs w:val="24"/>
        </w:rPr>
      </w:pPr>
      <w:r w:rsidRPr="00CA1A43">
        <w:rPr>
          <w:rFonts w:eastAsia="標楷體" w:cstheme="minorHAnsi"/>
          <w:szCs w:val="24"/>
        </w:rPr>
        <w:t>證券化</w:t>
      </w:r>
      <w:r w:rsidRPr="00CA1A43">
        <w:rPr>
          <w:rFonts w:eastAsia="標楷體" w:cstheme="minorHAnsi"/>
          <w:szCs w:val="24"/>
        </w:rPr>
        <w:t>CSR(</w:t>
      </w:r>
      <w:r w:rsidRPr="00CA1A43">
        <w:rPr>
          <w:rFonts w:eastAsia="標楷體" w:cstheme="minorHAnsi"/>
          <w:szCs w:val="24"/>
        </w:rPr>
        <w:t>非相關性交易組合</w:t>
      </w:r>
      <w:r w:rsidRPr="00CA1A43">
        <w:rPr>
          <w:rFonts w:eastAsia="標楷體" w:cstheme="minorHAnsi"/>
          <w:szCs w:val="24"/>
        </w:rPr>
        <w:t>, non-CTP)</w:t>
      </w:r>
      <w:r w:rsidRPr="00CA1A43">
        <w:rPr>
          <w:rFonts w:eastAsia="標楷體" w:cstheme="minorHAnsi"/>
          <w:szCs w:val="24"/>
        </w:rPr>
        <w:t>之</w:t>
      </w:r>
      <w:r w:rsidRPr="00CA1A43">
        <w:rPr>
          <w:rFonts w:eastAsia="標楷體" w:cstheme="minorHAnsi"/>
          <w:szCs w:val="24"/>
        </w:rPr>
        <w:t>Delta</w:t>
      </w:r>
      <w:r w:rsidRPr="00CA1A43">
        <w:rPr>
          <w:rFonts w:eastAsia="標楷體" w:cstheme="minorHAnsi"/>
          <w:szCs w:val="24"/>
        </w:rPr>
        <w:t>風險組別、風險權數及相關係數</w:t>
      </w:r>
    </w:p>
    <w:p w14:paraId="7667847A" w14:textId="77777777" w:rsidR="00BD02FF" w:rsidRPr="00CA1A43" w:rsidRDefault="004E2543" w:rsidP="00605B1D">
      <w:pPr>
        <w:pStyle w:val="a7"/>
        <w:numPr>
          <w:ilvl w:val="0"/>
          <w:numId w:val="117"/>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CSR(non-CTP)</w:t>
      </w:r>
      <w:r w:rsidRPr="00CA1A43">
        <w:rPr>
          <w:rFonts w:eastAsia="標楷體" w:cstheme="minorHAnsi"/>
        </w:rPr>
        <w:t>之</w:t>
      </w:r>
      <w:r w:rsidRPr="00CA1A43">
        <w:rPr>
          <w:rFonts w:eastAsia="標楷體" w:cstheme="minorHAnsi"/>
        </w:rPr>
        <w:t>Delta</w:t>
      </w:r>
      <w:r w:rsidRPr="00CA1A43">
        <w:rPr>
          <w:rFonts w:eastAsia="標楷體" w:cstheme="minorHAnsi"/>
        </w:rPr>
        <w:t>風險，其組別係按信用品質及資產類別等兩個面向定義，如下表</w:t>
      </w:r>
      <w:r w:rsidRPr="00CA1A43">
        <w:rPr>
          <w:rFonts w:eastAsia="標楷體" w:cstheme="minorHAnsi"/>
        </w:rPr>
        <w:t>7</w:t>
      </w:r>
      <w:r w:rsidRPr="00CA1A43">
        <w:rPr>
          <w:rFonts w:eastAsia="標楷體" w:cstheme="minorHAnsi"/>
        </w:rPr>
        <w:t>。在計算加權敏感性部位前，首先須將證券化</w:t>
      </w:r>
      <w:r w:rsidRPr="00CA1A43">
        <w:rPr>
          <w:rFonts w:eastAsia="標楷體" w:cstheme="minorHAnsi"/>
        </w:rPr>
        <w:t>CSR(non-CTP)</w:t>
      </w:r>
      <w:r w:rsidRPr="00CA1A43">
        <w:rPr>
          <w:rFonts w:eastAsia="標楷體" w:cstheme="minorHAnsi"/>
        </w:rPr>
        <w:t>之</w:t>
      </w:r>
      <w:r w:rsidRPr="00CA1A43">
        <w:rPr>
          <w:rFonts w:eastAsia="標楷體" w:cstheme="minorHAnsi"/>
        </w:rPr>
        <w:t>Delta</w:t>
      </w:r>
      <w:r w:rsidRPr="00CA1A43">
        <w:rPr>
          <w:rFonts w:eastAsia="標楷體" w:cstheme="minorHAnsi"/>
        </w:rPr>
        <w:t>風險的敏感性部位</w:t>
      </w:r>
      <w:proofErr w:type="gramStart"/>
      <w:r w:rsidRPr="00CA1A43">
        <w:rPr>
          <w:rFonts w:eastAsia="標楷體" w:cstheme="minorHAnsi"/>
        </w:rPr>
        <w:t>或暴險指定</w:t>
      </w:r>
      <w:proofErr w:type="gramEnd"/>
      <w:r w:rsidRPr="00CA1A43">
        <w:rPr>
          <w:rFonts w:eastAsia="標楷體" w:cstheme="minorHAnsi"/>
        </w:rPr>
        <w:t>組別。</w:t>
      </w:r>
    </w:p>
    <w:tbl>
      <w:tblPr>
        <w:tblStyle w:val="aa"/>
        <w:tblW w:w="5000" w:type="pct"/>
        <w:tblBorders>
          <w:left w:val="none" w:sz="0" w:space="0" w:color="auto"/>
          <w:right w:val="none" w:sz="0" w:space="0" w:color="auto"/>
        </w:tblBorders>
        <w:tblLayout w:type="fixed"/>
        <w:tblLook w:val="04A0" w:firstRow="1" w:lastRow="0" w:firstColumn="1" w:lastColumn="0" w:noHBand="0" w:noVBand="1"/>
      </w:tblPr>
      <w:tblGrid>
        <w:gridCol w:w="1290"/>
        <w:gridCol w:w="2110"/>
        <w:gridCol w:w="2507"/>
        <w:gridCol w:w="2399"/>
      </w:tblGrid>
      <w:tr w:rsidR="004E2543" w:rsidRPr="00CA1A43" w14:paraId="7136FE4E" w14:textId="77777777" w:rsidTr="00CC246B">
        <w:trPr>
          <w:trHeight w:val="454"/>
        </w:trPr>
        <w:tc>
          <w:tcPr>
            <w:tcW w:w="3556" w:type="pct"/>
            <w:gridSpan w:val="3"/>
            <w:tcBorders>
              <w:right w:val="nil"/>
            </w:tcBorders>
            <w:vAlign w:val="center"/>
          </w:tcPr>
          <w:p w14:paraId="7C52357A"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證券化</w:t>
            </w:r>
            <w:r w:rsidRPr="00CA1A43">
              <w:rPr>
                <w:rFonts w:asciiTheme="minorHAnsi" w:hAnsiTheme="minorHAnsi" w:cstheme="minorHAnsi"/>
                <w:sz w:val="24"/>
                <w:szCs w:val="24"/>
              </w:rPr>
              <w:t>CSR(non-CTP)</w:t>
            </w:r>
            <w:r w:rsidRPr="00CA1A43">
              <w:rPr>
                <w:rFonts w:asciiTheme="minorHAnsi" w:hAnsiTheme="minorHAnsi" w:cstheme="minorHAnsi"/>
                <w:sz w:val="24"/>
                <w:szCs w:val="24"/>
              </w:rPr>
              <w:t>之</w:t>
            </w:r>
            <w:r w:rsidRPr="00CA1A43">
              <w:rPr>
                <w:rFonts w:asciiTheme="minorHAnsi" w:hAnsiTheme="minorHAnsi" w:cstheme="minorHAnsi"/>
                <w:sz w:val="24"/>
                <w:szCs w:val="24"/>
              </w:rPr>
              <w:t>Delta</w:t>
            </w:r>
            <w:r w:rsidRPr="00CA1A43">
              <w:rPr>
                <w:rFonts w:asciiTheme="minorHAnsi" w:hAnsiTheme="minorHAnsi" w:cstheme="minorHAnsi"/>
                <w:sz w:val="24"/>
                <w:szCs w:val="24"/>
              </w:rPr>
              <w:t>風險組別</w:t>
            </w:r>
          </w:p>
        </w:tc>
        <w:tc>
          <w:tcPr>
            <w:tcW w:w="1444" w:type="pct"/>
            <w:tcBorders>
              <w:left w:val="nil"/>
              <w:bottom w:val="nil"/>
            </w:tcBorders>
            <w:vAlign w:val="center"/>
          </w:tcPr>
          <w:p w14:paraId="78DA7E94" w14:textId="77777777" w:rsidR="004E2543" w:rsidRPr="00CA1A43" w:rsidRDefault="004E2543" w:rsidP="00CC246B">
            <w:pPr>
              <w:pStyle w:val="Item"/>
              <w:ind w:left="26"/>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7</w:t>
            </w:r>
          </w:p>
        </w:tc>
      </w:tr>
      <w:tr w:rsidR="004E2543" w:rsidRPr="00CA1A43" w14:paraId="69A1172E" w14:textId="77777777" w:rsidTr="00CC246B">
        <w:trPr>
          <w:trHeight w:val="97"/>
        </w:trPr>
        <w:tc>
          <w:tcPr>
            <w:tcW w:w="777" w:type="pct"/>
            <w:tcBorders>
              <w:bottom w:val="single" w:sz="4" w:space="0" w:color="auto"/>
            </w:tcBorders>
            <w:vAlign w:val="center"/>
          </w:tcPr>
          <w:p w14:paraId="65C6F0FE"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1270" w:type="pct"/>
            <w:tcBorders>
              <w:bottom w:val="single" w:sz="4" w:space="0" w:color="auto"/>
            </w:tcBorders>
            <w:vAlign w:val="center"/>
          </w:tcPr>
          <w:p w14:paraId="1C182774"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信用等級</w:t>
            </w:r>
          </w:p>
        </w:tc>
        <w:tc>
          <w:tcPr>
            <w:tcW w:w="2953" w:type="pct"/>
            <w:gridSpan w:val="2"/>
            <w:tcBorders>
              <w:bottom w:val="single" w:sz="4" w:space="0" w:color="auto"/>
            </w:tcBorders>
            <w:vAlign w:val="center"/>
          </w:tcPr>
          <w:p w14:paraId="65AE452F"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資產類別</w:t>
            </w:r>
          </w:p>
        </w:tc>
      </w:tr>
      <w:tr w:rsidR="004E2543" w:rsidRPr="00CA1A43" w14:paraId="40E3C092" w14:textId="77777777" w:rsidTr="00CC246B">
        <w:trPr>
          <w:trHeight w:val="316"/>
        </w:trPr>
        <w:tc>
          <w:tcPr>
            <w:tcW w:w="777" w:type="pct"/>
            <w:tcBorders>
              <w:bottom w:val="single" w:sz="8" w:space="0" w:color="A6A6A6" w:themeColor="background1" w:themeShade="A6"/>
              <w:right w:val="single" w:sz="8" w:space="0" w:color="A6A6A6" w:themeColor="background1" w:themeShade="A6"/>
            </w:tcBorders>
            <w:vAlign w:val="center"/>
          </w:tcPr>
          <w:p w14:paraId="64032A42"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1270"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8790B0D"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投資等級主順位債券</w:t>
            </w:r>
            <w:r w:rsidRPr="00CA1A43">
              <w:rPr>
                <w:rFonts w:asciiTheme="minorHAnsi" w:hAnsiTheme="minorHAnsi" w:cstheme="minorHAnsi"/>
                <w:sz w:val="24"/>
                <w:szCs w:val="24"/>
              </w:rPr>
              <w:t xml:space="preserve"> (IG)</w:t>
            </w:r>
          </w:p>
        </w:tc>
        <w:tc>
          <w:tcPr>
            <w:tcW w:w="2953" w:type="pct"/>
            <w:gridSpan w:val="2"/>
            <w:tcBorders>
              <w:left w:val="single" w:sz="8" w:space="0" w:color="A6A6A6" w:themeColor="background1" w:themeShade="A6"/>
              <w:bottom w:val="single" w:sz="8" w:space="0" w:color="A6A6A6" w:themeColor="background1" w:themeShade="A6"/>
            </w:tcBorders>
            <w:vAlign w:val="center"/>
          </w:tcPr>
          <w:p w14:paraId="06A9F334"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優級</w:t>
            </w:r>
            <w:proofErr w:type="gramEnd"/>
            <w:r w:rsidRPr="00CA1A43">
              <w:rPr>
                <w:rFonts w:asciiTheme="minorHAnsi" w:hAnsiTheme="minorHAnsi" w:cstheme="minorHAnsi"/>
                <w:sz w:val="24"/>
                <w:szCs w:val="24"/>
              </w:rPr>
              <w:t xml:space="preserve">(RMBS </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 xml:space="preserve"> Prime )</w:t>
            </w:r>
          </w:p>
        </w:tc>
      </w:tr>
      <w:tr w:rsidR="004E2543" w:rsidRPr="00CA1A43" w14:paraId="413E4AC5"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C5F8118"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6E870AC"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E377989"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次優級</w:t>
            </w:r>
            <w:proofErr w:type="gramEnd"/>
            <w:r w:rsidRPr="00CA1A43">
              <w:rPr>
                <w:rFonts w:asciiTheme="minorHAnsi" w:hAnsiTheme="minorHAnsi" w:cstheme="minorHAnsi"/>
                <w:sz w:val="24"/>
                <w:szCs w:val="24"/>
              </w:rPr>
              <w:t xml:space="preserve">(RMBS </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 xml:space="preserve"> Mid -Prime)</w:t>
            </w:r>
          </w:p>
        </w:tc>
      </w:tr>
      <w:tr w:rsidR="004E2543" w:rsidRPr="00CA1A43" w14:paraId="234CDBC2"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DC744C8"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0A65EA2"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79894C9B"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r w:rsidRPr="00CA1A43">
              <w:rPr>
                <w:rFonts w:asciiTheme="minorHAnsi" w:hAnsiTheme="minorHAnsi" w:cstheme="minorHAnsi"/>
                <w:sz w:val="24"/>
                <w:szCs w:val="24"/>
              </w:rPr>
              <w:t>次級</w:t>
            </w:r>
            <w:r w:rsidRPr="00CA1A43">
              <w:rPr>
                <w:rFonts w:asciiTheme="minorHAnsi" w:hAnsiTheme="minorHAnsi" w:cstheme="minorHAnsi"/>
                <w:sz w:val="24"/>
                <w:szCs w:val="24"/>
              </w:rPr>
              <w:t>(RMBS- Sub-Prime)</w:t>
            </w:r>
          </w:p>
        </w:tc>
      </w:tr>
      <w:tr w:rsidR="004E2543" w:rsidRPr="00CA1A43" w14:paraId="098558AF" w14:textId="77777777" w:rsidTr="00CC246B">
        <w:trPr>
          <w:trHeight w:val="330"/>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6976848"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98884F3"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55611C3E"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商用不動產抵押貸款證券</w:t>
            </w:r>
            <w:r w:rsidRPr="00CA1A43">
              <w:rPr>
                <w:rFonts w:asciiTheme="minorHAnsi" w:hAnsiTheme="minorHAnsi" w:cstheme="minorHAnsi"/>
                <w:sz w:val="24"/>
                <w:szCs w:val="24"/>
              </w:rPr>
              <w:t>(CMBS)</w:t>
            </w:r>
          </w:p>
        </w:tc>
      </w:tr>
      <w:tr w:rsidR="004E2543" w:rsidRPr="00CA1A43" w14:paraId="5B5DB795"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BA7E31A"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2C038C2"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334E3BED"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學生貸款</w:t>
            </w:r>
            <w:r w:rsidRPr="00CA1A43">
              <w:rPr>
                <w:rFonts w:asciiTheme="minorHAnsi" w:hAnsiTheme="minorHAnsi" w:cstheme="minorHAnsi"/>
                <w:sz w:val="24"/>
                <w:szCs w:val="24"/>
              </w:rPr>
              <w:t>(ABS - Student loans)</w:t>
            </w:r>
          </w:p>
        </w:tc>
      </w:tr>
      <w:tr w:rsidR="004E2543" w:rsidRPr="00CA1A43" w14:paraId="2A4D6A79"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558A9B8"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573C279"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4F8727F"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信用卡貸款</w:t>
            </w:r>
            <w:r w:rsidRPr="00CA1A43">
              <w:rPr>
                <w:rFonts w:asciiTheme="minorHAnsi" w:hAnsiTheme="minorHAnsi" w:cstheme="minorHAnsi"/>
                <w:sz w:val="24"/>
                <w:szCs w:val="24"/>
              </w:rPr>
              <w:t>(ABS- Credit cards)</w:t>
            </w:r>
          </w:p>
        </w:tc>
      </w:tr>
      <w:tr w:rsidR="004E2543" w:rsidRPr="00CA1A43" w14:paraId="38F752FC"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6FA72DA"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1151FAB"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26C8A03"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汽車貸款</w:t>
            </w:r>
            <w:r w:rsidRPr="00CA1A43">
              <w:rPr>
                <w:rFonts w:asciiTheme="minorHAnsi" w:hAnsiTheme="minorHAnsi" w:cstheme="minorHAnsi"/>
                <w:sz w:val="24"/>
                <w:szCs w:val="24"/>
              </w:rPr>
              <w:t>(ABS-Auto)</w:t>
            </w:r>
          </w:p>
        </w:tc>
      </w:tr>
      <w:tr w:rsidR="004E2543" w:rsidRPr="00CA1A43" w14:paraId="1DC33771" w14:textId="77777777" w:rsidTr="00CC246B">
        <w:trPr>
          <w:trHeight w:val="316"/>
        </w:trPr>
        <w:tc>
          <w:tcPr>
            <w:tcW w:w="777" w:type="pct"/>
            <w:tcBorders>
              <w:top w:val="single" w:sz="8" w:space="0" w:color="A6A6A6" w:themeColor="background1" w:themeShade="A6"/>
              <w:bottom w:val="single" w:sz="4" w:space="0" w:color="auto"/>
              <w:right w:val="single" w:sz="8" w:space="0" w:color="A6A6A6" w:themeColor="background1" w:themeShade="A6"/>
            </w:tcBorders>
            <w:vAlign w:val="center"/>
          </w:tcPr>
          <w:p w14:paraId="03374DE0"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1270" w:type="pct"/>
            <w:vMerge/>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14:paraId="7BB34EB5"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4" w:space="0" w:color="auto"/>
            </w:tcBorders>
            <w:vAlign w:val="center"/>
          </w:tcPr>
          <w:p w14:paraId="28DF68C6"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貸款抵押證券</w:t>
            </w:r>
            <w:r w:rsidRPr="00CA1A43">
              <w:rPr>
                <w:rFonts w:asciiTheme="minorHAnsi" w:hAnsiTheme="minorHAnsi" w:cstheme="minorHAnsi"/>
                <w:sz w:val="24"/>
                <w:szCs w:val="24"/>
              </w:rPr>
              <w:t>-</w:t>
            </w:r>
            <w:r w:rsidRPr="00CA1A43">
              <w:rPr>
                <w:rFonts w:asciiTheme="minorHAnsi" w:hAnsiTheme="minorHAnsi" w:cstheme="minorHAnsi"/>
                <w:sz w:val="24"/>
                <w:szCs w:val="24"/>
              </w:rPr>
              <w:t>非相關性交易組合</w:t>
            </w:r>
            <w:r w:rsidRPr="00CA1A43">
              <w:rPr>
                <w:rFonts w:asciiTheme="minorHAnsi" w:hAnsiTheme="minorHAnsi" w:cstheme="minorHAnsi"/>
                <w:sz w:val="24"/>
                <w:szCs w:val="24"/>
              </w:rPr>
              <w:t>(CLO non-CTP)</w:t>
            </w:r>
          </w:p>
        </w:tc>
      </w:tr>
      <w:tr w:rsidR="004E2543" w:rsidRPr="00CA1A43" w14:paraId="5CF65B91" w14:textId="77777777" w:rsidTr="00CC246B">
        <w:trPr>
          <w:trHeight w:val="316"/>
        </w:trPr>
        <w:tc>
          <w:tcPr>
            <w:tcW w:w="777" w:type="pct"/>
            <w:tcBorders>
              <w:bottom w:val="single" w:sz="8" w:space="0" w:color="A6A6A6" w:themeColor="background1" w:themeShade="A6"/>
              <w:right w:val="single" w:sz="8" w:space="0" w:color="A6A6A6" w:themeColor="background1" w:themeShade="A6"/>
            </w:tcBorders>
            <w:vAlign w:val="center"/>
          </w:tcPr>
          <w:p w14:paraId="6532B6C7"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1270"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59ACA21"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投資等級非主順位債券</w:t>
            </w:r>
            <w:r w:rsidRPr="00CA1A43">
              <w:rPr>
                <w:rFonts w:asciiTheme="minorHAnsi" w:hAnsiTheme="minorHAnsi" w:cstheme="minorHAnsi"/>
                <w:sz w:val="24"/>
                <w:szCs w:val="24"/>
              </w:rPr>
              <w:t>(IG)</w:t>
            </w:r>
          </w:p>
        </w:tc>
        <w:tc>
          <w:tcPr>
            <w:tcW w:w="2953" w:type="pct"/>
            <w:gridSpan w:val="2"/>
            <w:tcBorders>
              <w:left w:val="single" w:sz="8" w:space="0" w:color="A6A6A6" w:themeColor="background1" w:themeShade="A6"/>
              <w:bottom w:val="single" w:sz="8" w:space="0" w:color="A6A6A6" w:themeColor="background1" w:themeShade="A6"/>
            </w:tcBorders>
            <w:vAlign w:val="center"/>
          </w:tcPr>
          <w:p w14:paraId="7E494C05"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優級</w:t>
            </w:r>
            <w:proofErr w:type="gramEnd"/>
            <w:r w:rsidRPr="00CA1A43">
              <w:rPr>
                <w:rFonts w:asciiTheme="minorHAnsi" w:hAnsiTheme="minorHAnsi" w:cstheme="minorHAnsi"/>
                <w:sz w:val="24"/>
                <w:szCs w:val="24"/>
              </w:rPr>
              <w:t xml:space="preserve">(RMBS </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 xml:space="preserve"> Prime )</w:t>
            </w:r>
          </w:p>
        </w:tc>
      </w:tr>
      <w:tr w:rsidR="004E2543" w:rsidRPr="00CA1A43" w14:paraId="7B22B5C4"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223BE56"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049E253"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0D7C7860"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次優級</w:t>
            </w:r>
            <w:proofErr w:type="gramEnd"/>
            <w:r w:rsidRPr="00CA1A43">
              <w:rPr>
                <w:rFonts w:asciiTheme="minorHAnsi" w:hAnsiTheme="minorHAnsi" w:cstheme="minorHAnsi"/>
                <w:sz w:val="24"/>
                <w:szCs w:val="24"/>
              </w:rPr>
              <w:t xml:space="preserve">(RMBS </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 xml:space="preserve"> Mid -Prime)</w:t>
            </w:r>
          </w:p>
        </w:tc>
      </w:tr>
      <w:tr w:rsidR="004E2543" w:rsidRPr="00CA1A43" w14:paraId="02876F78"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DA4178F"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B28D6CB"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08C4D762"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r w:rsidRPr="00CA1A43">
              <w:rPr>
                <w:rFonts w:asciiTheme="minorHAnsi" w:hAnsiTheme="minorHAnsi" w:cstheme="minorHAnsi"/>
                <w:sz w:val="24"/>
                <w:szCs w:val="24"/>
              </w:rPr>
              <w:t>次級</w:t>
            </w:r>
            <w:r w:rsidRPr="00CA1A43">
              <w:rPr>
                <w:rFonts w:asciiTheme="minorHAnsi" w:hAnsiTheme="minorHAnsi" w:cstheme="minorHAnsi"/>
                <w:sz w:val="24"/>
                <w:szCs w:val="24"/>
              </w:rPr>
              <w:t>(RMBS- Sub-Prime)</w:t>
            </w:r>
          </w:p>
        </w:tc>
      </w:tr>
      <w:tr w:rsidR="004E2543" w:rsidRPr="00CA1A43" w14:paraId="581AB45E" w14:textId="77777777" w:rsidTr="00CC246B">
        <w:trPr>
          <w:trHeight w:val="648"/>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0CC1029"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F94A5E6"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14AD5175"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商用不動產抵押貸款證券</w:t>
            </w:r>
            <w:r w:rsidRPr="00CA1A43">
              <w:rPr>
                <w:rFonts w:asciiTheme="minorHAnsi" w:hAnsiTheme="minorHAnsi" w:cstheme="minorHAnsi"/>
                <w:sz w:val="24"/>
                <w:szCs w:val="24"/>
              </w:rPr>
              <w:t>(CMBS)</w:t>
            </w:r>
          </w:p>
        </w:tc>
      </w:tr>
      <w:tr w:rsidR="004E2543" w:rsidRPr="00CA1A43" w14:paraId="5C7520B4"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3866333"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5986855"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2E73F52"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學生貸款</w:t>
            </w:r>
            <w:r w:rsidRPr="00CA1A43">
              <w:rPr>
                <w:rFonts w:asciiTheme="minorHAnsi" w:hAnsiTheme="minorHAnsi" w:cstheme="minorHAnsi"/>
                <w:sz w:val="24"/>
                <w:szCs w:val="24"/>
              </w:rPr>
              <w:t>(ABS - Student loans)</w:t>
            </w:r>
          </w:p>
        </w:tc>
      </w:tr>
      <w:tr w:rsidR="004E2543" w:rsidRPr="00CA1A43" w14:paraId="70CE438C"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4747328"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14</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272903C"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10142B50"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信用卡貸款</w:t>
            </w:r>
            <w:r w:rsidRPr="00CA1A43">
              <w:rPr>
                <w:rFonts w:asciiTheme="minorHAnsi" w:hAnsiTheme="minorHAnsi" w:cstheme="minorHAnsi"/>
                <w:sz w:val="24"/>
                <w:szCs w:val="24"/>
              </w:rPr>
              <w:t>(ABS - Credit cards)</w:t>
            </w:r>
          </w:p>
        </w:tc>
      </w:tr>
      <w:tr w:rsidR="004E2543" w:rsidRPr="00CA1A43" w14:paraId="1909FD1B"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402477F"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67DB3DE"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F6A3898"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汽車貸款</w:t>
            </w:r>
            <w:r w:rsidRPr="00CA1A43">
              <w:rPr>
                <w:rFonts w:asciiTheme="minorHAnsi" w:hAnsiTheme="minorHAnsi" w:cstheme="minorHAnsi"/>
                <w:sz w:val="24"/>
                <w:szCs w:val="24"/>
              </w:rPr>
              <w:t>(ABS-Auto)</w:t>
            </w:r>
          </w:p>
        </w:tc>
      </w:tr>
      <w:tr w:rsidR="004E2543" w:rsidRPr="00CA1A43" w14:paraId="0BFB1AE0" w14:textId="77777777" w:rsidTr="00CC246B">
        <w:trPr>
          <w:trHeight w:val="316"/>
        </w:trPr>
        <w:tc>
          <w:tcPr>
            <w:tcW w:w="777" w:type="pct"/>
            <w:tcBorders>
              <w:top w:val="single" w:sz="8" w:space="0" w:color="A6A6A6" w:themeColor="background1" w:themeShade="A6"/>
              <w:bottom w:val="single" w:sz="4" w:space="0" w:color="auto"/>
              <w:right w:val="single" w:sz="8" w:space="0" w:color="A6A6A6" w:themeColor="background1" w:themeShade="A6"/>
            </w:tcBorders>
            <w:vAlign w:val="center"/>
          </w:tcPr>
          <w:p w14:paraId="2F3FBF24"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16</w:t>
            </w:r>
          </w:p>
        </w:tc>
        <w:tc>
          <w:tcPr>
            <w:tcW w:w="1270" w:type="pct"/>
            <w:vMerge/>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14:paraId="3B9482BF"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4" w:space="0" w:color="auto"/>
            </w:tcBorders>
            <w:vAlign w:val="center"/>
          </w:tcPr>
          <w:p w14:paraId="4B68BBD8"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貸款抵押證券</w:t>
            </w:r>
            <w:r w:rsidRPr="00CA1A43">
              <w:rPr>
                <w:rFonts w:asciiTheme="minorHAnsi" w:hAnsiTheme="minorHAnsi" w:cstheme="minorHAnsi"/>
                <w:sz w:val="24"/>
                <w:szCs w:val="24"/>
              </w:rPr>
              <w:t>-</w:t>
            </w:r>
            <w:r w:rsidRPr="00CA1A43">
              <w:rPr>
                <w:rFonts w:asciiTheme="minorHAnsi" w:hAnsiTheme="minorHAnsi" w:cstheme="minorHAnsi"/>
                <w:sz w:val="24"/>
                <w:szCs w:val="24"/>
              </w:rPr>
              <w:t>非相關性交易組合</w:t>
            </w:r>
            <w:r w:rsidRPr="00CA1A43">
              <w:rPr>
                <w:rFonts w:asciiTheme="minorHAnsi" w:hAnsiTheme="minorHAnsi" w:cstheme="minorHAnsi"/>
                <w:sz w:val="24"/>
                <w:szCs w:val="24"/>
              </w:rPr>
              <w:t>(CLO non-CTP)</w:t>
            </w:r>
          </w:p>
        </w:tc>
      </w:tr>
      <w:tr w:rsidR="004E2543" w:rsidRPr="00CA1A43" w14:paraId="224487F1" w14:textId="77777777" w:rsidTr="00CC246B">
        <w:trPr>
          <w:trHeight w:val="316"/>
        </w:trPr>
        <w:tc>
          <w:tcPr>
            <w:tcW w:w="777" w:type="pct"/>
            <w:tcBorders>
              <w:bottom w:val="single" w:sz="8" w:space="0" w:color="A6A6A6" w:themeColor="background1" w:themeShade="A6"/>
              <w:right w:val="single" w:sz="8" w:space="0" w:color="A6A6A6" w:themeColor="background1" w:themeShade="A6"/>
            </w:tcBorders>
            <w:vAlign w:val="center"/>
          </w:tcPr>
          <w:p w14:paraId="3B42A8D7"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17</w:t>
            </w:r>
          </w:p>
        </w:tc>
        <w:tc>
          <w:tcPr>
            <w:tcW w:w="1270"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754130E"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高收益率</w:t>
            </w:r>
            <w:r w:rsidRPr="00CA1A43">
              <w:rPr>
                <w:rFonts w:asciiTheme="minorHAnsi" w:hAnsiTheme="minorHAnsi" w:cstheme="minorHAnsi"/>
                <w:sz w:val="24"/>
                <w:szCs w:val="24"/>
              </w:rPr>
              <w:t>(HY)</w:t>
            </w:r>
            <w:r w:rsidRPr="00CA1A43">
              <w:rPr>
                <w:rFonts w:asciiTheme="minorHAnsi" w:hAnsiTheme="minorHAnsi" w:cstheme="minorHAnsi"/>
                <w:sz w:val="24"/>
                <w:szCs w:val="24"/>
              </w:rPr>
              <w:t>或無信評債券</w:t>
            </w:r>
            <w:r w:rsidRPr="00CA1A43">
              <w:rPr>
                <w:rFonts w:asciiTheme="minorHAnsi" w:hAnsiTheme="minorHAnsi" w:cstheme="minorHAnsi"/>
                <w:sz w:val="24"/>
                <w:szCs w:val="24"/>
              </w:rPr>
              <w:t>(NR)</w:t>
            </w:r>
          </w:p>
        </w:tc>
        <w:tc>
          <w:tcPr>
            <w:tcW w:w="2953" w:type="pct"/>
            <w:gridSpan w:val="2"/>
            <w:tcBorders>
              <w:left w:val="single" w:sz="8" w:space="0" w:color="A6A6A6" w:themeColor="background1" w:themeShade="A6"/>
              <w:bottom w:val="single" w:sz="8" w:space="0" w:color="A6A6A6" w:themeColor="background1" w:themeShade="A6"/>
            </w:tcBorders>
            <w:vAlign w:val="center"/>
          </w:tcPr>
          <w:p w14:paraId="3F6BB67C"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優級</w:t>
            </w:r>
            <w:proofErr w:type="gramEnd"/>
            <w:r w:rsidRPr="00CA1A43">
              <w:rPr>
                <w:rFonts w:asciiTheme="minorHAnsi" w:hAnsiTheme="minorHAnsi" w:cstheme="minorHAnsi"/>
                <w:sz w:val="24"/>
                <w:szCs w:val="24"/>
              </w:rPr>
              <w:t xml:space="preserve">(RMBS </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 xml:space="preserve"> Prime )</w:t>
            </w:r>
          </w:p>
        </w:tc>
      </w:tr>
      <w:tr w:rsidR="004E2543" w:rsidRPr="00CA1A43" w14:paraId="4F6322D1"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A1FFAAC"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18</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7E07551"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7901A6A6"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次優級</w:t>
            </w:r>
            <w:proofErr w:type="gramEnd"/>
            <w:r w:rsidRPr="00CA1A43">
              <w:rPr>
                <w:rFonts w:asciiTheme="minorHAnsi" w:hAnsiTheme="minorHAnsi" w:cstheme="minorHAnsi"/>
                <w:sz w:val="24"/>
                <w:szCs w:val="24"/>
              </w:rPr>
              <w:t xml:space="preserve">(RMBS </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 xml:space="preserve"> Mid -Prime)</w:t>
            </w:r>
          </w:p>
        </w:tc>
      </w:tr>
      <w:tr w:rsidR="004E2543" w:rsidRPr="00CA1A43" w14:paraId="128CA78C"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93B9726"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19</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E2263DE"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385E3E66"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住宅用不動產抵押貸款證券次級</w:t>
            </w:r>
            <w:r w:rsidRPr="00CA1A43">
              <w:rPr>
                <w:rFonts w:asciiTheme="minorHAnsi" w:hAnsiTheme="minorHAnsi" w:cstheme="minorHAnsi"/>
                <w:sz w:val="24"/>
                <w:szCs w:val="24"/>
              </w:rPr>
              <w:t>(RMBS- Sub-Prime)</w:t>
            </w:r>
          </w:p>
        </w:tc>
      </w:tr>
      <w:tr w:rsidR="004E2543" w:rsidRPr="00CA1A43" w14:paraId="6CEF3029"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9046D31"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9DDC7A4"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C40CC6C"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商用不動產抵押貸款證券</w:t>
            </w:r>
            <w:r w:rsidRPr="00CA1A43">
              <w:rPr>
                <w:rFonts w:asciiTheme="minorHAnsi" w:hAnsiTheme="minorHAnsi" w:cstheme="minorHAnsi"/>
                <w:sz w:val="24"/>
                <w:szCs w:val="24"/>
              </w:rPr>
              <w:t>(CMBS)</w:t>
            </w:r>
          </w:p>
        </w:tc>
      </w:tr>
      <w:tr w:rsidR="004E2543" w:rsidRPr="00CA1A43" w14:paraId="6CE58E9A"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F17886F"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21</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4D9E7C3"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69CEAB9"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學生貸款</w:t>
            </w:r>
            <w:r w:rsidRPr="00CA1A43">
              <w:rPr>
                <w:rFonts w:asciiTheme="minorHAnsi" w:hAnsiTheme="minorHAnsi" w:cstheme="minorHAnsi"/>
                <w:sz w:val="24"/>
                <w:szCs w:val="24"/>
              </w:rPr>
              <w:t>(ABS - Student loans)</w:t>
            </w:r>
          </w:p>
        </w:tc>
      </w:tr>
      <w:tr w:rsidR="004E2543" w:rsidRPr="00CA1A43" w14:paraId="743277C2"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D9C8A27"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22</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96CDCB3"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05B9366"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信用卡貸款</w:t>
            </w:r>
            <w:r w:rsidRPr="00CA1A43">
              <w:rPr>
                <w:rFonts w:asciiTheme="minorHAnsi" w:hAnsiTheme="minorHAnsi" w:cstheme="minorHAnsi"/>
                <w:sz w:val="24"/>
                <w:szCs w:val="24"/>
              </w:rPr>
              <w:t>(ABS - Credit cards)</w:t>
            </w:r>
          </w:p>
        </w:tc>
      </w:tr>
      <w:tr w:rsidR="004E2543" w:rsidRPr="00CA1A43" w14:paraId="36266E82" w14:textId="77777777" w:rsidTr="00CC246B">
        <w:trPr>
          <w:trHeight w:val="316"/>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F294729"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23</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D9BC921"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5C800400"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資產擔保抵押證券</w:t>
            </w:r>
            <w:r w:rsidRPr="00CA1A43">
              <w:rPr>
                <w:rFonts w:asciiTheme="minorHAnsi" w:hAnsiTheme="minorHAnsi" w:cstheme="minorHAnsi"/>
                <w:sz w:val="24"/>
                <w:szCs w:val="24"/>
              </w:rPr>
              <w:t>-</w:t>
            </w:r>
            <w:r w:rsidRPr="00CA1A43">
              <w:rPr>
                <w:rFonts w:asciiTheme="minorHAnsi" w:hAnsiTheme="minorHAnsi" w:cstheme="minorHAnsi"/>
                <w:sz w:val="24"/>
                <w:szCs w:val="24"/>
              </w:rPr>
              <w:t>汽車貸款</w:t>
            </w:r>
            <w:r w:rsidRPr="00CA1A43">
              <w:rPr>
                <w:rFonts w:asciiTheme="minorHAnsi" w:hAnsiTheme="minorHAnsi" w:cstheme="minorHAnsi"/>
                <w:sz w:val="24"/>
                <w:szCs w:val="24"/>
              </w:rPr>
              <w:t>(ABS-Auto)</w:t>
            </w:r>
          </w:p>
        </w:tc>
      </w:tr>
      <w:tr w:rsidR="004E2543" w:rsidRPr="00CA1A43" w14:paraId="573D08FA" w14:textId="77777777" w:rsidTr="00CC246B">
        <w:trPr>
          <w:trHeight w:val="330"/>
        </w:trPr>
        <w:tc>
          <w:tcPr>
            <w:tcW w:w="77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B6A4A63"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24</w:t>
            </w:r>
          </w:p>
        </w:tc>
        <w:tc>
          <w:tcPr>
            <w:tcW w:w="1270"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7B4BE03" w14:textId="77777777" w:rsidR="004E2543" w:rsidRPr="00CA1A43" w:rsidRDefault="004E2543" w:rsidP="00CC246B">
            <w:pPr>
              <w:pStyle w:val="Item"/>
              <w:jc w:val="both"/>
              <w:rPr>
                <w:rFonts w:asciiTheme="minorHAnsi" w:hAnsiTheme="minorHAnsi" w:cstheme="minorHAnsi"/>
                <w:sz w:val="24"/>
                <w:szCs w:val="24"/>
              </w:rPr>
            </w:pPr>
          </w:p>
        </w:tc>
        <w:tc>
          <w:tcPr>
            <w:tcW w:w="2953"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BEA5148"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貸款抵押證券</w:t>
            </w:r>
            <w:r w:rsidRPr="00CA1A43">
              <w:rPr>
                <w:rFonts w:asciiTheme="minorHAnsi" w:hAnsiTheme="minorHAnsi" w:cstheme="minorHAnsi"/>
                <w:sz w:val="24"/>
                <w:szCs w:val="24"/>
              </w:rPr>
              <w:t>-</w:t>
            </w:r>
            <w:r w:rsidRPr="00CA1A43">
              <w:rPr>
                <w:rFonts w:asciiTheme="minorHAnsi" w:hAnsiTheme="minorHAnsi" w:cstheme="minorHAnsi"/>
                <w:sz w:val="24"/>
                <w:szCs w:val="24"/>
              </w:rPr>
              <w:t>非相關性交易組合</w:t>
            </w:r>
            <w:r w:rsidRPr="00CA1A43">
              <w:rPr>
                <w:rFonts w:asciiTheme="minorHAnsi" w:hAnsiTheme="minorHAnsi" w:cstheme="minorHAnsi"/>
                <w:sz w:val="24"/>
                <w:szCs w:val="24"/>
              </w:rPr>
              <w:t>(CLO non-CTP)</w:t>
            </w:r>
          </w:p>
        </w:tc>
      </w:tr>
      <w:tr w:rsidR="004E2543" w:rsidRPr="00CA1A43" w14:paraId="54ED42E2" w14:textId="77777777" w:rsidTr="00CC246B">
        <w:trPr>
          <w:trHeight w:val="300"/>
        </w:trPr>
        <w:tc>
          <w:tcPr>
            <w:tcW w:w="777" w:type="pct"/>
            <w:tcBorders>
              <w:top w:val="single" w:sz="8" w:space="0" w:color="A6A6A6" w:themeColor="background1" w:themeShade="A6"/>
              <w:right w:val="single" w:sz="8" w:space="0" w:color="A6A6A6" w:themeColor="background1" w:themeShade="A6"/>
            </w:tcBorders>
            <w:vAlign w:val="center"/>
          </w:tcPr>
          <w:p w14:paraId="5B8E4625" w14:textId="77777777" w:rsidR="004E2543" w:rsidRPr="00CA1A43" w:rsidRDefault="004E2543"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25</w:t>
            </w:r>
          </w:p>
        </w:tc>
        <w:tc>
          <w:tcPr>
            <w:tcW w:w="4223" w:type="pct"/>
            <w:gridSpan w:val="3"/>
            <w:tcBorders>
              <w:top w:val="single" w:sz="8" w:space="0" w:color="A6A6A6" w:themeColor="background1" w:themeShade="A6"/>
              <w:left w:val="single" w:sz="8" w:space="0" w:color="A6A6A6" w:themeColor="background1" w:themeShade="A6"/>
            </w:tcBorders>
            <w:vAlign w:val="center"/>
          </w:tcPr>
          <w:p w14:paraId="7C25E5C9" w14:textId="77777777" w:rsidR="004E2543" w:rsidRPr="00CA1A43" w:rsidRDefault="004E2543"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其他資產</w:t>
            </w:r>
            <w:r w:rsidR="00B9313E" w:rsidRPr="00CA1A43">
              <w:rPr>
                <w:rStyle w:val="a5"/>
                <w:rFonts w:asciiTheme="minorHAnsi" w:hAnsiTheme="minorHAnsi" w:cstheme="minorHAnsi"/>
              </w:rPr>
              <w:footnoteReference w:id="30"/>
            </w:r>
          </w:p>
        </w:tc>
      </w:tr>
    </w:tbl>
    <w:p w14:paraId="2D2BC37A" w14:textId="77777777" w:rsidR="00097218" w:rsidRPr="00CA1A43" w:rsidRDefault="00097218" w:rsidP="00605B1D">
      <w:pPr>
        <w:pStyle w:val="a7"/>
        <w:numPr>
          <w:ilvl w:val="0"/>
          <w:numId w:val="117"/>
        </w:numPr>
        <w:spacing w:beforeLines="50" w:before="180"/>
        <w:ind w:leftChars="0" w:left="1446" w:hanging="482"/>
        <w:jc w:val="both"/>
        <w:rPr>
          <w:rFonts w:eastAsia="標楷體" w:cstheme="minorHAnsi"/>
        </w:rPr>
      </w:pPr>
      <w:r w:rsidRPr="00CA1A43">
        <w:rPr>
          <w:rFonts w:eastAsia="標楷體" w:cstheme="minorHAnsi"/>
        </w:rPr>
        <w:t>為指定</w:t>
      </w:r>
      <w:proofErr w:type="gramStart"/>
      <w:r w:rsidRPr="00CA1A43">
        <w:rPr>
          <w:rFonts w:eastAsia="標楷體" w:cstheme="minorHAnsi"/>
        </w:rPr>
        <w:t>暴險至一</w:t>
      </w:r>
      <w:proofErr w:type="gramEnd"/>
      <w:r w:rsidRPr="00CA1A43">
        <w:rPr>
          <w:rFonts w:eastAsia="標楷體" w:cstheme="minorHAnsi"/>
        </w:rPr>
        <w:t>資產類別，銀行須依市場上區分證劵化資產分券的常用方式。</w:t>
      </w:r>
    </w:p>
    <w:p w14:paraId="02F6DDF7" w14:textId="77777777" w:rsidR="00097218" w:rsidRPr="00CA1A43" w:rsidRDefault="00097218" w:rsidP="00605B1D">
      <w:pPr>
        <w:pStyle w:val="a7"/>
        <w:numPr>
          <w:ilvl w:val="0"/>
          <w:numId w:val="118"/>
        </w:numPr>
        <w:spacing w:beforeLines="50" w:before="180"/>
        <w:ind w:leftChars="0"/>
        <w:jc w:val="both"/>
        <w:rPr>
          <w:rFonts w:eastAsia="標楷體" w:cstheme="minorHAnsi"/>
        </w:rPr>
      </w:pPr>
      <w:r w:rsidRPr="00CA1A43">
        <w:rPr>
          <w:rFonts w:eastAsia="標楷體" w:cstheme="minorHAnsi"/>
        </w:rPr>
        <w:t>銀行必須將每</w:t>
      </w:r>
      <w:proofErr w:type="gramStart"/>
      <w:r w:rsidRPr="00CA1A43">
        <w:rPr>
          <w:rFonts w:eastAsia="標楷體" w:cstheme="minorHAnsi"/>
        </w:rPr>
        <w:t>個</w:t>
      </w:r>
      <w:proofErr w:type="gramEnd"/>
      <w:r w:rsidRPr="00CA1A43">
        <w:rPr>
          <w:rFonts w:eastAsia="標楷體" w:cstheme="minorHAnsi"/>
        </w:rPr>
        <w:t>分</w:t>
      </w:r>
      <w:proofErr w:type="gramStart"/>
      <w:r w:rsidRPr="00CA1A43">
        <w:rPr>
          <w:rFonts w:eastAsia="標楷體" w:cstheme="minorHAnsi"/>
        </w:rPr>
        <w:t>券</w:t>
      </w:r>
      <w:proofErr w:type="gramEnd"/>
      <w:r w:rsidRPr="00CA1A43">
        <w:rPr>
          <w:rFonts w:eastAsia="標楷體" w:cstheme="minorHAnsi"/>
        </w:rPr>
        <w:t>指定至如表</w:t>
      </w:r>
      <w:r w:rsidRPr="00CA1A43">
        <w:rPr>
          <w:rFonts w:eastAsia="標楷體" w:cstheme="minorHAnsi"/>
        </w:rPr>
        <w:t>7</w:t>
      </w:r>
      <w:r w:rsidRPr="00CA1A43">
        <w:rPr>
          <w:rFonts w:eastAsia="標楷體" w:cstheme="minorHAnsi"/>
        </w:rPr>
        <w:t>所示之一個組別。</w:t>
      </w:r>
    </w:p>
    <w:p w14:paraId="53ADFA83" w14:textId="77777777" w:rsidR="004E2543" w:rsidRPr="00CA1A43" w:rsidRDefault="00097218" w:rsidP="00605B1D">
      <w:pPr>
        <w:pStyle w:val="a7"/>
        <w:numPr>
          <w:ilvl w:val="0"/>
          <w:numId w:val="118"/>
        </w:numPr>
        <w:spacing w:beforeLines="50" w:before="180"/>
        <w:ind w:leftChars="0"/>
        <w:jc w:val="both"/>
        <w:rPr>
          <w:rFonts w:eastAsia="標楷體" w:cstheme="minorHAnsi"/>
        </w:rPr>
      </w:pPr>
      <w:r w:rsidRPr="00CA1A43">
        <w:rPr>
          <w:rFonts w:eastAsia="標楷體" w:cstheme="minorHAnsi"/>
        </w:rPr>
        <w:t>無法依上述表格分類者，應分類在「其他資產」</w:t>
      </w:r>
      <w:r w:rsidRPr="00CA1A43">
        <w:rPr>
          <w:rFonts w:eastAsia="標楷體" w:cstheme="minorHAnsi"/>
        </w:rPr>
        <w:t>(</w:t>
      </w:r>
      <w:r w:rsidRPr="00CA1A43">
        <w:rPr>
          <w:rFonts w:eastAsia="標楷體" w:cstheme="minorHAnsi"/>
        </w:rPr>
        <w:t>即組別</w:t>
      </w:r>
      <w:r w:rsidRPr="00CA1A43">
        <w:rPr>
          <w:rFonts w:eastAsia="標楷體" w:cstheme="minorHAnsi"/>
        </w:rPr>
        <w:t>25)</w:t>
      </w:r>
      <w:r w:rsidRPr="00CA1A43">
        <w:rPr>
          <w:rFonts w:eastAsia="標楷體" w:cstheme="minorHAnsi"/>
        </w:rPr>
        <w:t>。</w:t>
      </w:r>
    </w:p>
    <w:p w14:paraId="54704CC2" w14:textId="77777777" w:rsidR="00DB3B87" w:rsidRPr="00CA1A43" w:rsidRDefault="00DB3B87" w:rsidP="00605B1D">
      <w:pPr>
        <w:pStyle w:val="a7"/>
        <w:numPr>
          <w:ilvl w:val="0"/>
          <w:numId w:val="117"/>
        </w:numPr>
        <w:spacing w:beforeLines="50" w:before="180"/>
        <w:ind w:leftChars="0" w:left="1446" w:hanging="482"/>
        <w:jc w:val="both"/>
        <w:rPr>
          <w:rFonts w:eastAsia="標楷體" w:cstheme="minorHAnsi"/>
        </w:rPr>
      </w:pPr>
      <w:r w:rsidRPr="00CA1A43">
        <w:rPr>
          <w:rFonts w:eastAsia="標楷體" w:cstheme="minorHAnsi"/>
        </w:rPr>
        <w:t>為計算加權敏感性部位，證券化</w:t>
      </w:r>
      <w:r w:rsidRPr="00CA1A43">
        <w:rPr>
          <w:rFonts w:eastAsia="標楷體" w:cstheme="minorHAnsi"/>
        </w:rPr>
        <w:t>CSR(non-CTP)</w:t>
      </w:r>
      <w:r w:rsidRPr="00CA1A43">
        <w:rPr>
          <w:rFonts w:eastAsia="標楷體" w:cstheme="minorHAnsi"/>
        </w:rPr>
        <w:t>之</w:t>
      </w:r>
      <w:r w:rsidRPr="00CA1A43">
        <w:rPr>
          <w:rFonts w:eastAsia="標楷體" w:cstheme="minorHAnsi"/>
        </w:rPr>
        <w:t>Delta</w:t>
      </w:r>
      <w:r w:rsidRPr="00CA1A43">
        <w:rPr>
          <w:rFonts w:eastAsia="標楷體" w:cstheme="minorHAnsi"/>
        </w:rPr>
        <w:t>風險之組別風險權數如表</w:t>
      </w:r>
      <w:r w:rsidRPr="00CA1A43">
        <w:rPr>
          <w:rFonts w:eastAsia="標楷體" w:cstheme="minorHAnsi"/>
        </w:rPr>
        <w:t>8</w:t>
      </w:r>
      <w:r w:rsidRPr="00CA1A43">
        <w:rPr>
          <w:rFonts w:eastAsia="標楷體" w:cstheme="minorHAnsi"/>
        </w:rPr>
        <w:t>所示：</w:t>
      </w:r>
    </w:p>
    <w:tbl>
      <w:tblPr>
        <w:tblW w:w="4146" w:type="pct"/>
        <w:tblInd w:w="141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2127"/>
        <w:gridCol w:w="1216"/>
      </w:tblGrid>
      <w:tr w:rsidR="00DB3B87" w:rsidRPr="00CA1A43" w14:paraId="5348D96E" w14:textId="77777777" w:rsidTr="00DB3B87">
        <w:trPr>
          <w:trHeight w:val="454"/>
        </w:trPr>
        <w:tc>
          <w:tcPr>
            <w:tcW w:w="4117" w:type="pct"/>
            <w:gridSpan w:val="2"/>
            <w:tcBorders>
              <w:right w:val="nil"/>
            </w:tcBorders>
            <w:vAlign w:val="center"/>
          </w:tcPr>
          <w:p w14:paraId="733D7ECC" w14:textId="77777777" w:rsidR="00DB3B87" w:rsidRPr="00CA1A43" w:rsidRDefault="00DB3B87"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證券化</w:t>
            </w:r>
            <w:r w:rsidRPr="00CA1A43">
              <w:rPr>
                <w:rFonts w:asciiTheme="minorHAnsi" w:hAnsiTheme="minorHAnsi" w:cstheme="minorHAnsi"/>
                <w:sz w:val="24"/>
                <w:szCs w:val="24"/>
              </w:rPr>
              <w:t>CSR(non-CTP)</w:t>
            </w:r>
            <w:r w:rsidRPr="00CA1A43">
              <w:rPr>
                <w:rFonts w:asciiTheme="minorHAnsi" w:hAnsiTheme="minorHAnsi" w:cstheme="minorHAnsi"/>
                <w:sz w:val="24"/>
                <w:szCs w:val="24"/>
              </w:rPr>
              <w:t>之</w:t>
            </w:r>
            <w:r w:rsidRPr="00CA1A43">
              <w:rPr>
                <w:rFonts w:asciiTheme="minorHAnsi" w:hAnsiTheme="minorHAnsi" w:cstheme="minorHAnsi"/>
                <w:sz w:val="24"/>
                <w:szCs w:val="24"/>
              </w:rPr>
              <w:t>Delta</w:t>
            </w:r>
            <w:r w:rsidRPr="00CA1A43">
              <w:rPr>
                <w:rFonts w:asciiTheme="minorHAnsi" w:hAnsiTheme="minorHAnsi" w:cstheme="minorHAnsi"/>
                <w:sz w:val="24"/>
                <w:szCs w:val="24"/>
              </w:rPr>
              <w:t>風險組別</w:t>
            </w:r>
            <w:proofErr w:type="gramStart"/>
            <w:r w:rsidRPr="00CA1A43">
              <w:rPr>
                <w:rFonts w:asciiTheme="minorHAnsi" w:hAnsiTheme="minorHAnsi" w:cstheme="minorHAnsi"/>
                <w:sz w:val="24"/>
                <w:szCs w:val="24"/>
              </w:rPr>
              <w:t>之</w:t>
            </w:r>
            <w:proofErr w:type="gramEnd"/>
            <w:r w:rsidRPr="00CA1A43">
              <w:rPr>
                <w:rFonts w:asciiTheme="minorHAnsi" w:hAnsiTheme="minorHAnsi" w:cstheme="minorHAnsi"/>
                <w:sz w:val="24"/>
                <w:szCs w:val="24"/>
              </w:rPr>
              <w:t>風險權數</w:t>
            </w:r>
          </w:p>
        </w:tc>
        <w:tc>
          <w:tcPr>
            <w:tcW w:w="883" w:type="pct"/>
            <w:tcBorders>
              <w:left w:val="nil"/>
            </w:tcBorders>
            <w:vAlign w:val="center"/>
          </w:tcPr>
          <w:p w14:paraId="19364D86" w14:textId="77777777" w:rsidR="00DB3B87" w:rsidRPr="00CA1A43" w:rsidRDefault="00DB3B87" w:rsidP="00CC246B">
            <w:pPr>
              <w:pStyle w:val="Item"/>
              <w:ind w:left="230"/>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8</w:t>
            </w:r>
          </w:p>
        </w:tc>
      </w:tr>
      <w:tr w:rsidR="00DB3B87" w:rsidRPr="00CA1A43" w14:paraId="0E0DC315" w14:textId="77777777" w:rsidTr="00DB3B87">
        <w:trPr>
          <w:trHeight w:val="60"/>
        </w:trPr>
        <w:tc>
          <w:tcPr>
            <w:tcW w:w="2573" w:type="pct"/>
            <w:tcBorders>
              <w:bottom w:val="single" w:sz="4" w:space="0" w:color="auto"/>
            </w:tcBorders>
          </w:tcPr>
          <w:p w14:paraId="2CCA434E"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2427" w:type="pct"/>
            <w:gridSpan w:val="2"/>
            <w:tcBorders>
              <w:bottom w:val="single" w:sz="4" w:space="0" w:color="auto"/>
            </w:tcBorders>
          </w:tcPr>
          <w:p w14:paraId="6684C1DA"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風險權數</w:t>
            </w:r>
            <w:r w:rsidRPr="00CA1A43">
              <w:rPr>
                <w:rFonts w:asciiTheme="minorHAnsi" w:hAnsiTheme="minorHAnsi" w:cstheme="minorHAnsi"/>
                <w:sz w:val="24"/>
                <w:szCs w:val="24"/>
              </w:rPr>
              <w:t>(%)</w:t>
            </w:r>
          </w:p>
        </w:tc>
      </w:tr>
      <w:tr w:rsidR="00DB3B87" w:rsidRPr="00CA1A43" w14:paraId="6AE99732" w14:textId="77777777" w:rsidTr="00DB3B87">
        <w:trPr>
          <w:trHeight w:val="70"/>
        </w:trPr>
        <w:tc>
          <w:tcPr>
            <w:tcW w:w="2573" w:type="pct"/>
            <w:tcBorders>
              <w:bottom w:val="single" w:sz="8" w:space="0" w:color="A6A6A6" w:themeColor="background1" w:themeShade="A6"/>
              <w:right w:val="single" w:sz="8" w:space="0" w:color="A6A6A6" w:themeColor="background1" w:themeShade="A6"/>
            </w:tcBorders>
          </w:tcPr>
          <w:p w14:paraId="4101ABE9"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2427" w:type="pct"/>
            <w:gridSpan w:val="2"/>
            <w:tcBorders>
              <w:left w:val="single" w:sz="8" w:space="0" w:color="A6A6A6" w:themeColor="background1" w:themeShade="A6"/>
              <w:bottom w:val="single" w:sz="8" w:space="0" w:color="A6A6A6" w:themeColor="background1" w:themeShade="A6"/>
            </w:tcBorders>
          </w:tcPr>
          <w:p w14:paraId="782CD4B8"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0.9%</w:t>
            </w:r>
          </w:p>
        </w:tc>
      </w:tr>
      <w:tr w:rsidR="00DB3B87" w:rsidRPr="00CA1A43" w14:paraId="6E847900"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1E5A38DA"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0643B507"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DB3B87" w:rsidRPr="00CA1A43" w14:paraId="35CC02F3"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6B22DC53"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336B4893"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r>
      <w:tr w:rsidR="00DB3B87" w:rsidRPr="00CA1A43" w14:paraId="3B7188DB"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6E99EC0E"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2201D5BD"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r>
      <w:tr w:rsidR="00DB3B87" w:rsidRPr="00CA1A43" w14:paraId="09F59288"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0D9C0132"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34E68127"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0.8%</w:t>
            </w:r>
          </w:p>
        </w:tc>
      </w:tr>
      <w:tr w:rsidR="00DB3B87" w:rsidRPr="00CA1A43" w14:paraId="715B502B"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2D032B52"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6DA1C04E"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r>
      <w:tr w:rsidR="00DB3B87" w:rsidRPr="00CA1A43" w14:paraId="14223077"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571F67BF"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6ADBFA67"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r>
      <w:tr w:rsidR="00DB3B87" w:rsidRPr="00CA1A43" w14:paraId="7172D133"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7EAA0032"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5AD67C7E"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1.4%</w:t>
            </w:r>
          </w:p>
        </w:tc>
      </w:tr>
      <w:tr w:rsidR="00DB3B87" w:rsidRPr="00CA1A43" w14:paraId="41F2A35D"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5CD09327"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48AA224C"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1.125%</w:t>
            </w:r>
          </w:p>
        </w:tc>
      </w:tr>
      <w:tr w:rsidR="00DB3B87" w:rsidRPr="00CA1A43" w14:paraId="6A6AD915"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1471F3E4"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72A621C8"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1.875%</w:t>
            </w:r>
          </w:p>
        </w:tc>
      </w:tr>
      <w:tr w:rsidR="00DB3B87" w:rsidRPr="00CA1A43" w14:paraId="6A7A04EC"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2016FC55"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2CDB0C77"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2.5%</w:t>
            </w:r>
          </w:p>
        </w:tc>
      </w:tr>
      <w:tr w:rsidR="00DB3B87" w:rsidRPr="00CA1A43" w14:paraId="2C99D254"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661BCDD0"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53B39CF9"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2.5%</w:t>
            </w:r>
          </w:p>
        </w:tc>
      </w:tr>
      <w:tr w:rsidR="00DB3B87" w:rsidRPr="00CA1A43" w14:paraId="66713056"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24269A23"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77F3FE56"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r>
      <w:tr w:rsidR="00DB3B87" w:rsidRPr="00CA1A43" w14:paraId="5D6D575F"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1F584044"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14</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17A62F32"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DB3B87" w:rsidRPr="00CA1A43" w14:paraId="02A20580"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46BDB8EB"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776BEE4D"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DB3B87" w:rsidRPr="00CA1A43" w14:paraId="7B488DA8"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1CB9A6FD"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16</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19480730"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1.75%</w:t>
            </w:r>
          </w:p>
        </w:tc>
      </w:tr>
      <w:tr w:rsidR="00DB3B87" w:rsidRPr="00CA1A43" w14:paraId="293F7B8B"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296F6257"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17</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311C6445"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1.575%</w:t>
            </w:r>
          </w:p>
        </w:tc>
      </w:tr>
      <w:tr w:rsidR="00DB3B87" w:rsidRPr="00CA1A43" w14:paraId="1334EACA"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03733A1F"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18</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76897AB2"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2.625%</w:t>
            </w:r>
          </w:p>
        </w:tc>
      </w:tr>
      <w:tr w:rsidR="00DB3B87" w:rsidRPr="00CA1A43" w14:paraId="10B019A3"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701FFF0D"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19</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1688945B"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r w:rsidR="00DB3B87" w:rsidRPr="00CA1A43" w14:paraId="61B005D7"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4ED44CFE"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419A90C1"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r w:rsidR="00DB3B87" w:rsidRPr="00CA1A43" w14:paraId="12C8EDC6"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38DCFF1E"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21</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1133FEF6"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1.4%</w:t>
            </w:r>
          </w:p>
        </w:tc>
      </w:tr>
      <w:tr w:rsidR="00DB3B87" w:rsidRPr="00CA1A43" w14:paraId="41320BDE"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41568691"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22</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2F754703"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2.1%</w:t>
            </w:r>
          </w:p>
        </w:tc>
      </w:tr>
      <w:tr w:rsidR="00DB3B87" w:rsidRPr="00CA1A43" w14:paraId="0D05329B"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37FE0BF4"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23</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281D7459"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2.1%</w:t>
            </w:r>
          </w:p>
        </w:tc>
      </w:tr>
      <w:tr w:rsidR="00DB3B87" w:rsidRPr="00CA1A43" w14:paraId="6BC1E59E" w14:textId="77777777" w:rsidTr="00DB3B87">
        <w:trPr>
          <w:trHeight w:val="70"/>
        </w:trPr>
        <w:tc>
          <w:tcPr>
            <w:tcW w:w="2573" w:type="pct"/>
            <w:tcBorders>
              <w:top w:val="single" w:sz="8" w:space="0" w:color="A6A6A6" w:themeColor="background1" w:themeShade="A6"/>
              <w:bottom w:val="single" w:sz="8" w:space="0" w:color="A6A6A6" w:themeColor="background1" w:themeShade="A6"/>
              <w:right w:val="single" w:sz="8" w:space="0" w:color="A6A6A6" w:themeColor="background1" w:themeShade="A6"/>
            </w:tcBorders>
          </w:tcPr>
          <w:p w14:paraId="1B732799"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24</w:t>
            </w:r>
          </w:p>
        </w:tc>
        <w:tc>
          <w:tcPr>
            <w:tcW w:w="242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2BC2D068"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2.45%</w:t>
            </w:r>
          </w:p>
        </w:tc>
      </w:tr>
      <w:tr w:rsidR="00DB3B87" w:rsidRPr="00CA1A43" w14:paraId="2C4A9B38" w14:textId="77777777" w:rsidTr="00DB3B87">
        <w:trPr>
          <w:trHeight w:val="70"/>
        </w:trPr>
        <w:tc>
          <w:tcPr>
            <w:tcW w:w="2573" w:type="pct"/>
            <w:tcBorders>
              <w:top w:val="single" w:sz="8" w:space="0" w:color="A6A6A6" w:themeColor="background1" w:themeShade="A6"/>
              <w:right w:val="single" w:sz="8" w:space="0" w:color="A6A6A6" w:themeColor="background1" w:themeShade="A6"/>
            </w:tcBorders>
          </w:tcPr>
          <w:p w14:paraId="0892D550"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25</w:t>
            </w:r>
          </w:p>
        </w:tc>
        <w:tc>
          <w:tcPr>
            <w:tcW w:w="2427" w:type="pct"/>
            <w:gridSpan w:val="2"/>
            <w:tcBorders>
              <w:top w:val="single" w:sz="8" w:space="0" w:color="A6A6A6" w:themeColor="background1" w:themeShade="A6"/>
              <w:left w:val="single" w:sz="8" w:space="0" w:color="A6A6A6" w:themeColor="background1" w:themeShade="A6"/>
            </w:tcBorders>
          </w:tcPr>
          <w:p w14:paraId="040E1BBC" w14:textId="77777777" w:rsidR="00DB3B87" w:rsidRPr="00CA1A43" w:rsidRDefault="00DB3B87"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bl>
    <w:p w14:paraId="4531755B" w14:textId="77777777" w:rsidR="006E798F" w:rsidRPr="00CA1A43" w:rsidRDefault="006E798F" w:rsidP="00605B1D">
      <w:pPr>
        <w:pStyle w:val="a7"/>
        <w:numPr>
          <w:ilvl w:val="0"/>
          <w:numId w:val="117"/>
        </w:numPr>
        <w:spacing w:beforeLines="50" w:before="180"/>
        <w:ind w:leftChars="0" w:left="1446" w:hanging="482"/>
        <w:jc w:val="both"/>
        <w:rPr>
          <w:rFonts w:eastAsia="標楷體" w:cstheme="minorHAnsi"/>
          <w:szCs w:val="24"/>
        </w:rPr>
      </w:pPr>
      <w:r w:rsidRPr="00CA1A43">
        <w:rPr>
          <w:rFonts w:eastAsia="標楷體" w:cstheme="minorHAnsi"/>
        </w:rPr>
        <w:t>加總同一組別證券化</w:t>
      </w:r>
      <w:r w:rsidRPr="00CA1A43">
        <w:rPr>
          <w:rFonts w:eastAsia="標楷體" w:cstheme="minorHAnsi"/>
        </w:rPr>
        <w:t>CSR(non-CTP)</w:t>
      </w:r>
      <w:r w:rsidRPr="00CA1A43">
        <w:rPr>
          <w:rFonts w:eastAsia="標楷體" w:cstheme="minorHAnsi"/>
        </w:rPr>
        <w:t>之</w:t>
      </w:r>
      <w:r w:rsidRPr="00CA1A43">
        <w:rPr>
          <w:rFonts w:eastAsia="標楷體" w:cstheme="minorHAnsi"/>
        </w:rPr>
        <w:t xml:space="preserve"> Delta</w:t>
      </w:r>
      <w:r w:rsidRPr="00CA1A43">
        <w:rPr>
          <w:rFonts w:eastAsia="標楷體" w:cstheme="minorHAnsi"/>
        </w:rPr>
        <w:t>風險時，相同</w:t>
      </w:r>
      <w:proofErr w:type="gramStart"/>
      <w:r w:rsidRPr="00CA1A43">
        <w:rPr>
          <w:rFonts w:eastAsia="標楷體" w:cstheme="minorHAnsi"/>
        </w:rPr>
        <w:t>組別內任</w:t>
      </w:r>
      <w:proofErr w:type="gramEnd"/>
      <w:r w:rsidRPr="00CA1A43">
        <w:rPr>
          <w:rFonts w:eastAsia="標楷體" w:cstheme="minorHAnsi"/>
        </w:rPr>
        <w:t>兩個敏感性部位</w:t>
      </w:r>
      <w:r w:rsidRPr="00CA1A43">
        <w:rPr>
          <w:rFonts w:ascii="Cambria Math" w:eastAsia="標楷體" w:hAnsi="Cambria Math" w:cs="Cambria Math"/>
        </w:rPr>
        <w:t>𝑊</w:t>
      </w:r>
      <w:r w:rsidRPr="00CA1A43">
        <w:rPr>
          <w:rFonts w:eastAsia="標楷體" w:cstheme="minorHAnsi"/>
        </w:rPr>
        <w:t>S</w:t>
      </w:r>
      <w:r w:rsidRPr="00CA1A43">
        <w:rPr>
          <w:rFonts w:ascii="Cambria Math" w:eastAsia="標楷體" w:hAnsi="Cambria Math" w:cs="Cambria Math"/>
          <w:vertAlign w:val="subscript"/>
        </w:rPr>
        <w:t>𝑘</w:t>
      </w:r>
      <w:r w:rsidRPr="00CA1A43">
        <w:rPr>
          <w:rFonts w:eastAsia="標楷體" w:cstheme="minorHAnsi"/>
        </w:rPr>
        <w:t>及</w:t>
      </w:r>
      <w:r w:rsidRPr="00CA1A43">
        <w:rPr>
          <w:rFonts w:ascii="Cambria Math" w:eastAsia="標楷體" w:hAnsi="Cambria Math" w:cs="Cambria Math"/>
        </w:rPr>
        <w:t>𝑊</w:t>
      </w:r>
      <w:proofErr w:type="spellStart"/>
      <w:r w:rsidRPr="00CA1A43">
        <w:rPr>
          <w:rFonts w:eastAsia="標楷體" w:cstheme="minorHAnsi"/>
        </w:rPr>
        <w:t>S</w:t>
      </w:r>
      <w:r w:rsidRPr="00CA1A43">
        <w:rPr>
          <w:rFonts w:eastAsia="標楷體" w:cstheme="minorHAnsi"/>
          <w:vertAlign w:val="subscript"/>
        </w:rPr>
        <w:t>l</w:t>
      </w:r>
      <w:proofErr w:type="spellEnd"/>
      <w:r w:rsidRPr="00CA1A43">
        <w:rPr>
          <w:rFonts w:eastAsia="標楷體" w:cstheme="minorHAnsi"/>
        </w:rPr>
        <w:t>間之相關係數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，公式如下：</w:t>
      </w:r>
    </w:p>
    <w:p w14:paraId="156FFEE0" w14:textId="77777777" w:rsidR="006E798F" w:rsidRPr="00CA1A43" w:rsidRDefault="00AA1117" w:rsidP="006E798F">
      <w:pPr>
        <w:pStyle w:val="a7"/>
        <w:spacing w:beforeLines="50" w:before="180"/>
        <w:ind w:leftChars="0" w:left="1446"/>
        <w:jc w:val="center"/>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ρ</m:t>
              </m:r>
            </m:e>
            <m:sub>
              <m:r>
                <w:rPr>
                  <w:rFonts w:ascii="Cambria Math" w:eastAsia="標楷體" w:hAnsi="Cambria Math" w:cstheme="minorHAnsi"/>
                  <w:szCs w:val="24"/>
                </w:rPr>
                <m:t>kl</m:t>
              </m:r>
            </m:sub>
          </m:sSub>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tranche</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tenor</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basis</m:t>
                  </m:r>
                </m:e>
              </m:d>
            </m:sup>
          </m:sSubSup>
        </m:oMath>
      </m:oMathPara>
    </w:p>
    <w:p w14:paraId="0491908D" w14:textId="77777777" w:rsidR="006E798F" w:rsidRPr="00CA1A43" w:rsidRDefault="006E798F" w:rsidP="006E798F">
      <w:pPr>
        <w:ind w:left="1446"/>
        <w:jc w:val="both"/>
        <w:rPr>
          <w:rFonts w:eastAsia="標楷體" w:cstheme="minorHAnsi"/>
        </w:rPr>
      </w:pPr>
      <w:r w:rsidRPr="00CA1A43">
        <w:rPr>
          <w:rFonts w:eastAsia="標楷體" w:cstheme="minorHAnsi"/>
          <w:szCs w:val="24"/>
        </w:rPr>
        <w:t>其中：</w:t>
      </w:r>
    </w:p>
    <w:p w14:paraId="5F631509" w14:textId="77777777" w:rsidR="006E798F" w:rsidRPr="00CA1A43" w:rsidRDefault="006E798F" w:rsidP="00605B1D">
      <w:pPr>
        <w:pStyle w:val="a7"/>
        <w:numPr>
          <w:ilvl w:val="0"/>
          <w:numId w:val="119"/>
        </w:numPr>
        <w:spacing w:beforeLines="50" w:before="180"/>
        <w:ind w:leftChars="0"/>
        <w:jc w:val="both"/>
        <w:rPr>
          <w:rFonts w:eastAsia="標楷體" w:cstheme="minorHAnsi"/>
        </w:rPr>
      </w:pPr>
      <w:r w:rsidRPr="00CA1A43">
        <w:rPr>
          <w:rFonts w:eastAsia="標楷體" w:cstheme="minorHAnsi"/>
        </w:rPr>
        <w:t>相同</w:t>
      </w:r>
      <w:proofErr w:type="gramStart"/>
      <w:r w:rsidRPr="00CA1A43">
        <w:rPr>
          <w:rFonts w:eastAsia="標楷體" w:cstheme="minorHAnsi"/>
        </w:rPr>
        <w:t>組別內</w:t>
      </w:r>
      <w:proofErr w:type="gramEnd"/>
      <w:r w:rsidRPr="00CA1A43">
        <w:rPr>
          <w:rFonts w:eastAsia="標楷體" w:cstheme="minorHAnsi"/>
        </w:rPr>
        <w:t>，若兩個敏感性部位</w:t>
      </w:r>
      <w:r w:rsidRPr="00CA1A43">
        <w:rPr>
          <w:rFonts w:eastAsia="標楷體" w:cstheme="minorHAnsi"/>
        </w:rPr>
        <w:t>k</w:t>
      </w:r>
      <w:r w:rsidRPr="00CA1A43">
        <w:rPr>
          <w:rFonts w:eastAsia="標楷體" w:cstheme="minorHAnsi"/>
        </w:rPr>
        <w:t>和</w:t>
      </w:r>
      <w:r w:rsidRPr="00CA1A43">
        <w:rPr>
          <w:rFonts w:eastAsia="標楷體" w:cstheme="minorHAnsi"/>
        </w:rPr>
        <w:t>l</w:t>
      </w:r>
      <w:r w:rsidRPr="00CA1A43">
        <w:rPr>
          <w:rFonts w:eastAsia="標楷體" w:cstheme="minorHAnsi"/>
        </w:rPr>
        <w:t>對應到相同證劵化分券</w:t>
      </w:r>
      <w:r w:rsidRPr="00CA1A43">
        <w:rPr>
          <w:rFonts w:eastAsia="標楷體" w:cstheme="minorHAnsi"/>
        </w:rPr>
        <w:t>(</w:t>
      </w:r>
      <w:r w:rsidRPr="00CA1A43">
        <w:rPr>
          <w:rFonts w:eastAsia="標楷體" w:cstheme="minorHAnsi"/>
        </w:rPr>
        <w:t>本金重疊超過</w:t>
      </w:r>
      <w:r w:rsidRPr="00CA1A43">
        <w:rPr>
          <w:rFonts w:eastAsia="標楷體" w:cstheme="minorHAnsi"/>
        </w:rPr>
        <w:t>80%)</w:t>
      </w:r>
      <w:r w:rsidRPr="00CA1A43">
        <w:rPr>
          <w:rFonts w:eastAsia="標楷體" w:cstheme="minorHAnsi"/>
        </w:rPr>
        <w:t>，則相關係數</w:t>
      </w:r>
      <m:oMath>
        <m:sSubSup>
          <m:sSubSupPr>
            <m:ctrlPr>
              <w:rPr>
                <w:rFonts w:ascii="Cambria Math" w:eastAsia="標楷體" w:hAnsi="Cambria Math" w:cstheme="minorHAnsi"/>
                <w:i/>
              </w:rPr>
            </m:ctrlPr>
          </m:sSubSupPr>
          <m:e>
            <m:r>
              <w:rPr>
                <w:rFonts w:ascii="Cambria Math" w:eastAsia="標楷體" w:hAnsi="Cambria Math" w:cstheme="minorHAnsi"/>
              </w:rPr>
              <m:t>ρ</m:t>
            </m:r>
          </m:e>
          <m:sub>
            <m:r>
              <w:rPr>
                <w:rFonts w:ascii="Cambria Math" w:eastAsia="標楷體" w:hAnsi="Cambria Math" w:cstheme="minorHAnsi"/>
              </w:rPr>
              <m:t>kl</m:t>
            </m:r>
          </m:sub>
          <m:sup>
            <m:d>
              <m:dPr>
                <m:ctrlPr>
                  <w:rPr>
                    <w:rFonts w:ascii="Cambria Math" w:eastAsia="標楷體" w:hAnsi="Cambria Math" w:cstheme="minorHAnsi"/>
                    <w:i/>
                  </w:rPr>
                </m:ctrlPr>
              </m:dPr>
              <m:e>
                <m:r>
                  <w:rPr>
                    <w:rFonts w:ascii="Cambria Math" w:eastAsia="標楷體" w:hAnsi="Cambria Math" w:cstheme="minorHAnsi"/>
                  </w:rPr>
                  <m:t>tranche</m:t>
                </m:r>
              </m:e>
            </m:d>
          </m:sup>
        </m:sSubSup>
        <m:r>
          <w:rPr>
            <w:rFonts w:ascii="Cambria Math" w:eastAsia="標楷體" w:hAnsi="Cambria Math" w:cstheme="minorHAnsi"/>
          </w:rPr>
          <m:t>=1</m:t>
        </m:r>
      </m:oMath>
      <w:r w:rsidRPr="00CA1A43">
        <w:rPr>
          <w:rFonts w:eastAsia="標楷體" w:cstheme="minorHAnsi"/>
        </w:rPr>
        <w:t>，否則為</w:t>
      </w:r>
      <w:r w:rsidRPr="00CA1A43">
        <w:rPr>
          <w:rFonts w:eastAsia="標楷體" w:cstheme="minorHAnsi"/>
        </w:rPr>
        <w:t>40%</w:t>
      </w:r>
      <w:r w:rsidRPr="00CA1A43">
        <w:rPr>
          <w:rFonts w:eastAsia="標楷體" w:cstheme="minorHAnsi"/>
        </w:rPr>
        <w:t>。</w:t>
      </w:r>
    </w:p>
    <w:p w14:paraId="772AF3BA" w14:textId="77777777" w:rsidR="006E798F" w:rsidRPr="00CA1A43" w:rsidRDefault="006E798F" w:rsidP="00605B1D">
      <w:pPr>
        <w:pStyle w:val="a7"/>
        <w:numPr>
          <w:ilvl w:val="0"/>
          <w:numId w:val="119"/>
        </w:numPr>
        <w:spacing w:beforeLines="50" w:before="180"/>
        <w:ind w:leftChars="0"/>
        <w:jc w:val="both"/>
        <w:rPr>
          <w:rFonts w:eastAsia="標楷體" w:cstheme="minorHAnsi"/>
        </w:rPr>
      </w:pPr>
      <w:r w:rsidRPr="00CA1A43">
        <w:rPr>
          <w:rFonts w:eastAsia="標楷體" w:cstheme="minorHAnsi"/>
        </w:rPr>
        <w:t>若兩個敏感性部位</w:t>
      </w:r>
      <w:r w:rsidRPr="00CA1A43">
        <w:rPr>
          <w:rFonts w:eastAsia="標楷體" w:cstheme="minorHAnsi"/>
        </w:rPr>
        <w:t>k</w:t>
      </w:r>
      <w:r w:rsidRPr="00CA1A43">
        <w:rPr>
          <w:rFonts w:eastAsia="標楷體" w:cstheme="minorHAnsi"/>
        </w:rPr>
        <w:t>和</w:t>
      </w:r>
      <w:r w:rsidRPr="00CA1A43">
        <w:rPr>
          <w:rFonts w:eastAsia="標楷體" w:cstheme="minorHAnsi"/>
        </w:rPr>
        <w:t>l</w:t>
      </w:r>
      <w:r w:rsidRPr="00CA1A43">
        <w:rPr>
          <w:rFonts w:eastAsia="標楷體" w:cstheme="minorHAnsi"/>
        </w:rPr>
        <w:t>的天期相同，則相關係數</w:t>
      </w:r>
      <m:oMath>
        <m:sSubSup>
          <m:sSubSupPr>
            <m:ctrlPr>
              <w:rPr>
                <w:rFonts w:ascii="Cambria Math" w:eastAsia="標楷體" w:hAnsi="Cambria Math" w:cstheme="minorHAnsi"/>
                <w:i/>
              </w:rPr>
            </m:ctrlPr>
          </m:sSubSupPr>
          <m:e>
            <m:r>
              <w:rPr>
                <w:rFonts w:ascii="Cambria Math" w:eastAsia="標楷體" w:hAnsi="Cambria Math" w:cstheme="minorHAnsi"/>
              </w:rPr>
              <m:t>ρ</m:t>
            </m:r>
          </m:e>
          <m:sub>
            <m:r>
              <w:rPr>
                <w:rFonts w:ascii="Cambria Math" w:eastAsia="標楷體" w:hAnsi="Cambria Math" w:cstheme="minorHAnsi"/>
              </w:rPr>
              <m:t>kl</m:t>
            </m:r>
          </m:sub>
          <m:sup>
            <m:d>
              <m:dPr>
                <m:ctrlPr>
                  <w:rPr>
                    <w:rFonts w:ascii="Cambria Math" w:eastAsia="標楷體" w:hAnsi="Cambria Math" w:cstheme="minorHAnsi"/>
                    <w:i/>
                  </w:rPr>
                </m:ctrlPr>
              </m:dPr>
              <m:e>
                <m:r>
                  <w:rPr>
                    <w:rFonts w:ascii="Cambria Math" w:eastAsia="標楷體" w:hAnsi="Cambria Math" w:cstheme="minorHAnsi"/>
                  </w:rPr>
                  <m:t>tenor</m:t>
                </m:r>
              </m:e>
            </m:d>
          </m:sup>
        </m:sSubSup>
        <m:r>
          <w:rPr>
            <w:rFonts w:ascii="Cambria Math" w:eastAsia="標楷體" w:hAnsi="Cambria Math" w:cstheme="minorHAnsi"/>
          </w:rPr>
          <m:t>=1</m:t>
        </m:r>
      </m:oMath>
      <w:r w:rsidRPr="00CA1A43">
        <w:rPr>
          <w:rFonts w:eastAsia="標楷體" w:cstheme="minorHAnsi"/>
        </w:rPr>
        <w:t>，否則為</w:t>
      </w:r>
      <w:r w:rsidRPr="00CA1A43">
        <w:rPr>
          <w:rFonts w:eastAsia="標楷體" w:cstheme="minorHAnsi"/>
        </w:rPr>
        <w:t>80%</w:t>
      </w:r>
      <w:r w:rsidRPr="00CA1A43">
        <w:rPr>
          <w:rFonts w:eastAsia="標楷體" w:cstheme="minorHAnsi"/>
        </w:rPr>
        <w:t>。</w:t>
      </w:r>
    </w:p>
    <w:p w14:paraId="45D51145" w14:textId="77777777" w:rsidR="00DB3B87" w:rsidRPr="00CA1A43" w:rsidRDefault="006E798F" w:rsidP="00605B1D">
      <w:pPr>
        <w:pStyle w:val="a7"/>
        <w:numPr>
          <w:ilvl w:val="0"/>
          <w:numId w:val="119"/>
        </w:numPr>
        <w:spacing w:beforeLines="50" w:before="180"/>
        <w:ind w:leftChars="0"/>
        <w:jc w:val="both"/>
        <w:rPr>
          <w:rFonts w:eastAsia="標楷體" w:cstheme="minorHAnsi"/>
        </w:rPr>
      </w:pPr>
      <w:r w:rsidRPr="00CA1A43">
        <w:rPr>
          <w:rFonts w:eastAsia="標楷體" w:cstheme="minorHAnsi"/>
        </w:rPr>
        <w:t>若兩個敏感性部位</w:t>
      </w:r>
      <w:r w:rsidRPr="00CA1A43">
        <w:rPr>
          <w:rFonts w:eastAsia="標楷體" w:cstheme="minorHAnsi"/>
          <w:i/>
          <w:iCs/>
        </w:rPr>
        <w:t>k</w:t>
      </w:r>
      <w:r w:rsidRPr="00CA1A43">
        <w:rPr>
          <w:rFonts w:eastAsia="標楷體" w:cstheme="minorHAnsi"/>
          <w:iCs/>
        </w:rPr>
        <w:t>和</w:t>
      </w:r>
      <w:r w:rsidRPr="00CA1A43">
        <w:rPr>
          <w:rFonts w:eastAsia="標楷體" w:cstheme="minorHAnsi"/>
          <w:i/>
          <w:iCs/>
        </w:rPr>
        <w:t>l</w:t>
      </w:r>
      <w:r w:rsidRPr="00CA1A43">
        <w:rPr>
          <w:rFonts w:eastAsia="標楷體" w:cstheme="minorHAnsi"/>
          <w:iCs/>
        </w:rPr>
        <w:t>對應到相同</w:t>
      </w:r>
      <w:r w:rsidRPr="00CA1A43">
        <w:rPr>
          <w:rFonts w:eastAsia="標楷體" w:cstheme="minorHAnsi"/>
        </w:rPr>
        <w:t>曲線，則相關係數</w:t>
      </w:r>
      <m:oMath>
        <m:sSubSup>
          <m:sSubSupPr>
            <m:ctrlPr>
              <w:rPr>
                <w:rFonts w:ascii="Cambria Math" w:eastAsia="標楷體" w:hAnsi="Cambria Math" w:cstheme="minorHAnsi"/>
                <w:i/>
              </w:rPr>
            </m:ctrlPr>
          </m:sSubSupPr>
          <m:e>
            <m:r>
              <w:rPr>
                <w:rFonts w:ascii="Cambria Math" w:eastAsia="標楷體" w:hAnsi="Cambria Math" w:cstheme="minorHAnsi"/>
              </w:rPr>
              <m:t>ρ</m:t>
            </m:r>
          </m:e>
          <m:sub>
            <m:r>
              <w:rPr>
                <w:rFonts w:ascii="Cambria Math" w:eastAsia="標楷體" w:hAnsi="Cambria Math" w:cstheme="minorHAnsi"/>
              </w:rPr>
              <m:t>kl</m:t>
            </m:r>
          </m:sub>
          <m:sup>
            <m:d>
              <m:dPr>
                <m:ctrlPr>
                  <w:rPr>
                    <w:rFonts w:ascii="Cambria Math" w:eastAsia="標楷體" w:hAnsi="Cambria Math" w:cstheme="minorHAnsi"/>
                    <w:i/>
                  </w:rPr>
                </m:ctrlPr>
              </m:dPr>
              <m:e>
                <m:r>
                  <w:rPr>
                    <w:rFonts w:ascii="Cambria Math" w:eastAsia="標楷體" w:hAnsi="Cambria Math" w:cstheme="minorHAnsi"/>
                  </w:rPr>
                  <m:t>basis</m:t>
                </m:r>
              </m:e>
            </m:d>
          </m:sup>
        </m:sSubSup>
        <m:r>
          <m:rPr>
            <m:sty m:val="p"/>
          </m:rPr>
          <w:rPr>
            <w:rFonts w:ascii="Cambria Math" w:eastAsia="標楷體" w:hAnsi="Cambria Math" w:cstheme="minorHAnsi"/>
          </w:rPr>
          <m:t>=1</m:t>
        </m:r>
      </m:oMath>
      <w:r w:rsidRPr="00CA1A43">
        <w:rPr>
          <w:rFonts w:eastAsia="標楷體" w:cstheme="minorHAnsi"/>
        </w:rPr>
        <w:t>，否則為</w:t>
      </w:r>
      <w:r w:rsidRPr="00CA1A43">
        <w:rPr>
          <w:rFonts w:eastAsia="標楷體" w:cstheme="minorHAnsi"/>
        </w:rPr>
        <w:t>99.90%</w:t>
      </w:r>
      <w:r w:rsidRPr="00CA1A43">
        <w:rPr>
          <w:rFonts w:eastAsia="標楷體" w:cstheme="minorHAnsi"/>
        </w:rPr>
        <w:t>。</w:t>
      </w:r>
    </w:p>
    <w:p w14:paraId="1A0450B8" w14:textId="77777777" w:rsidR="00562EA4" w:rsidRPr="00CA1A43" w:rsidRDefault="00562EA4" w:rsidP="00605B1D">
      <w:pPr>
        <w:pStyle w:val="a7"/>
        <w:numPr>
          <w:ilvl w:val="0"/>
          <w:numId w:val="117"/>
        </w:numPr>
        <w:spacing w:beforeLines="50" w:before="180"/>
        <w:ind w:leftChars="0" w:left="1446" w:hanging="482"/>
        <w:jc w:val="both"/>
        <w:rPr>
          <w:rFonts w:eastAsia="標楷體" w:cstheme="minorHAnsi"/>
        </w:rPr>
      </w:pPr>
      <w:r w:rsidRPr="00CA1A43">
        <w:rPr>
          <w:rFonts w:eastAsia="標楷體" w:cstheme="minorHAnsi"/>
        </w:rPr>
        <w:t>上述相關係數不適用於「其他資產」組別</w:t>
      </w:r>
      <w:r w:rsidRPr="00CA1A43">
        <w:rPr>
          <w:rFonts w:eastAsia="標楷體" w:cstheme="minorHAnsi"/>
        </w:rPr>
        <w:t>(</w:t>
      </w:r>
      <w:r w:rsidRPr="00CA1A43">
        <w:rPr>
          <w:rFonts w:eastAsia="標楷體" w:cstheme="minorHAnsi"/>
        </w:rPr>
        <w:t>即組別</w:t>
      </w:r>
      <w:r w:rsidRPr="00CA1A43">
        <w:rPr>
          <w:rFonts w:eastAsia="標楷體" w:cstheme="minorHAnsi"/>
        </w:rPr>
        <w:t>25)</w:t>
      </w:r>
      <w:r w:rsidRPr="00CA1A43">
        <w:rPr>
          <w:rFonts w:eastAsia="標楷體" w:cstheme="minorHAnsi"/>
        </w:rPr>
        <w:t>。</w:t>
      </w:r>
    </w:p>
    <w:p w14:paraId="329975B7" w14:textId="77777777" w:rsidR="00562EA4" w:rsidRPr="00CA1A43" w:rsidRDefault="00562EA4" w:rsidP="00605B1D">
      <w:pPr>
        <w:pStyle w:val="a7"/>
        <w:numPr>
          <w:ilvl w:val="0"/>
          <w:numId w:val="120"/>
        </w:numPr>
        <w:spacing w:beforeLines="50" w:before="180"/>
        <w:ind w:leftChars="0"/>
        <w:jc w:val="both"/>
        <w:rPr>
          <w:rFonts w:eastAsia="標楷體" w:cstheme="minorHAnsi"/>
        </w:rPr>
      </w:pPr>
      <w:r w:rsidRPr="00CA1A43">
        <w:rPr>
          <w:rFonts w:eastAsia="標楷體" w:cstheme="minorHAnsi"/>
        </w:rPr>
        <w:t>於「其他資產」</w:t>
      </w:r>
      <w:proofErr w:type="gramStart"/>
      <w:r w:rsidRPr="00CA1A43">
        <w:rPr>
          <w:rFonts w:eastAsia="標楷體" w:cstheme="minorHAnsi"/>
        </w:rPr>
        <w:t>組別內證券化</w:t>
      </w:r>
      <w:proofErr w:type="gramEnd"/>
      <w:r w:rsidRPr="00CA1A43">
        <w:rPr>
          <w:rFonts w:eastAsia="標楷體" w:cstheme="minorHAnsi"/>
        </w:rPr>
        <w:t>CSR(non-CTP)</w:t>
      </w:r>
      <w:r w:rsidRPr="00CA1A43">
        <w:rPr>
          <w:rFonts w:eastAsia="標楷體" w:cstheme="minorHAnsi"/>
        </w:rPr>
        <w:t>之</w:t>
      </w:r>
      <w:r w:rsidRPr="00CA1A43">
        <w:rPr>
          <w:rFonts w:eastAsia="標楷體" w:cstheme="minorHAnsi"/>
        </w:rPr>
        <w:t xml:space="preserve"> delta</w:t>
      </w:r>
      <w:r w:rsidRPr="00CA1A43">
        <w:rPr>
          <w:rFonts w:eastAsia="標楷體" w:cstheme="minorHAnsi"/>
        </w:rPr>
        <w:t>風險為淨加權敏感性部位絕對值的簡單加總。</w:t>
      </w:r>
      <w:proofErr w:type="spellStart"/>
      <w:r w:rsidRPr="00CA1A43">
        <w:rPr>
          <w:rFonts w:eastAsia="標楷體" w:cstheme="minorHAnsi"/>
        </w:rPr>
        <w:t>vega</w:t>
      </w:r>
      <w:proofErr w:type="spellEnd"/>
      <w:r w:rsidRPr="00CA1A43">
        <w:rPr>
          <w:rFonts w:eastAsia="標楷體" w:cstheme="minorHAnsi"/>
        </w:rPr>
        <w:t>風險部位適用相同方式。</w:t>
      </w:r>
    </w:p>
    <w:p w14:paraId="4445C346" w14:textId="77777777" w:rsidR="00562EA4" w:rsidRPr="00CA1A43" w:rsidRDefault="00AA1117" w:rsidP="00562EA4">
      <w:pPr>
        <w:pStyle w:val="a7"/>
        <w:ind w:leftChars="0" w:left="1941"/>
        <w:jc w:val="center"/>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K</m:t>
              </m:r>
            </m:e>
            <m:sub>
              <m:r>
                <w:rPr>
                  <w:rFonts w:ascii="Cambria Math" w:eastAsia="標楷體" w:hAnsi="Cambria Math" w:cstheme="minorHAnsi"/>
                  <w:szCs w:val="24"/>
                </w:rPr>
                <m:t>b</m:t>
              </m:r>
              <m:d>
                <m:dPr>
                  <m:ctrlPr>
                    <w:rPr>
                      <w:rFonts w:ascii="Cambria Math" w:eastAsia="標楷體" w:hAnsi="Cambria Math" w:cstheme="minorHAnsi"/>
                      <w:i/>
                      <w:szCs w:val="24"/>
                    </w:rPr>
                  </m:ctrlPr>
                </m:dPr>
                <m:e>
                  <m:r>
                    <w:rPr>
                      <w:rFonts w:ascii="Cambria Math" w:eastAsia="標楷體" w:hAnsi="Cambria Math" w:cstheme="minorHAnsi"/>
                      <w:szCs w:val="24"/>
                    </w:rPr>
                    <m:t>other bucket</m:t>
                  </m:r>
                </m:e>
              </m:d>
            </m:sub>
          </m:sSub>
          <m:r>
            <w:rPr>
              <w:rFonts w:ascii="Cambria Math" w:eastAsia="標楷體" w:hAnsi="Cambria Math" w:cstheme="minorHAnsi"/>
              <w:szCs w:val="24"/>
            </w:rPr>
            <m:t>=</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d>
                <m:dPr>
                  <m:begChr m:val="|"/>
                  <m:endChr m:val="|"/>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WS</m:t>
                      </m:r>
                    </m:e>
                    <m:sub>
                      <m:r>
                        <w:rPr>
                          <w:rFonts w:ascii="Cambria Math" w:eastAsia="標楷體" w:hAnsi="Cambria Math" w:cstheme="minorHAnsi"/>
                          <w:szCs w:val="24"/>
                        </w:rPr>
                        <m:t>k</m:t>
                      </m:r>
                    </m:sub>
                  </m:sSub>
                </m:e>
              </m:d>
            </m:e>
          </m:nary>
        </m:oMath>
      </m:oMathPara>
    </w:p>
    <w:p w14:paraId="43612D72" w14:textId="77777777" w:rsidR="00562EA4" w:rsidRPr="00CA1A43" w:rsidRDefault="00562EA4" w:rsidP="00605B1D">
      <w:pPr>
        <w:pStyle w:val="a7"/>
        <w:numPr>
          <w:ilvl w:val="0"/>
          <w:numId w:val="120"/>
        </w:numPr>
        <w:spacing w:beforeLines="50" w:before="180"/>
        <w:ind w:leftChars="0"/>
        <w:jc w:val="both"/>
        <w:rPr>
          <w:rFonts w:eastAsia="標楷體" w:cstheme="minorHAnsi"/>
        </w:rPr>
      </w:pPr>
      <w:r w:rsidRPr="00CA1A43">
        <w:rPr>
          <w:rFonts w:eastAsia="標楷體" w:cstheme="minorHAnsi"/>
        </w:rPr>
        <w:t>於「其他資產」</w:t>
      </w:r>
      <w:proofErr w:type="gramStart"/>
      <w:r w:rsidRPr="00CA1A43">
        <w:rPr>
          <w:rFonts w:eastAsia="標楷體" w:cstheme="minorHAnsi"/>
        </w:rPr>
        <w:t>組別內</w:t>
      </w:r>
      <w:proofErr w:type="gramEnd"/>
      <w:r w:rsidRPr="00CA1A43">
        <w:rPr>
          <w:rFonts w:eastAsia="標楷體" w:cstheme="minorHAnsi"/>
        </w:rPr>
        <w:t xml:space="preserve">CSR(non-CTP) </w:t>
      </w:r>
      <w:r w:rsidRPr="00CA1A43">
        <w:rPr>
          <w:rFonts w:eastAsia="標楷體" w:cstheme="minorHAnsi"/>
        </w:rPr>
        <w:t>之</w:t>
      </w:r>
      <w:r w:rsidRPr="00CA1A43">
        <w:rPr>
          <w:rFonts w:eastAsia="標楷體" w:cstheme="minorHAnsi"/>
        </w:rPr>
        <w:t>curvature</w:t>
      </w:r>
      <w:r w:rsidRPr="00CA1A43">
        <w:rPr>
          <w:rFonts w:eastAsia="標楷體" w:cstheme="minorHAnsi"/>
        </w:rPr>
        <w:t>風險</w:t>
      </w:r>
      <w:r w:rsidRPr="00CA1A43">
        <w:rPr>
          <w:rFonts w:eastAsia="標楷體" w:cstheme="minorHAnsi"/>
        </w:rPr>
        <w:t>(</w:t>
      </w:r>
      <w:r w:rsidRPr="00CA1A43">
        <w:rPr>
          <w:rFonts w:eastAsia="標楷體" w:cstheme="minorHAnsi"/>
        </w:rPr>
        <w:t>即組別</w:t>
      </w:r>
      <w:r w:rsidRPr="00CA1A43">
        <w:rPr>
          <w:rFonts w:eastAsia="標楷體" w:cstheme="minorHAnsi"/>
        </w:rPr>
        <w:t>25)</w:t>
      </w:r>
      <w:r w:rsidRPr="00CA1A43">
        <w:rPr>
          <w:rFonts w:eastAsia="標楷體" w:cstheme="minorHAnsi"/>
        </w:rPr>
        <w:t>之計算公式如下：</w:t>
      </w:r>
    </w:p>
    <w:p w14:paraId="0219402A" w14:textId="77777777" w:rsidR="004E2543" w:rsidRPr="00CA1A43" w:rsidRDefault="00AA1117" w:rsidP="00562EA4">
      <w:pPr>
        <w:spacing w:beforeLines="50" w:before="180"/>
        <w:jc w:val="both"/>
        <w:rPr>
          <w:rFonts w:eastAsia="標楷體" w:cstheme="minorHAnsi"/>
        </w:rPr>
      </w:pPr>
      <m:oMathPara>
        <m:oMath>
          <m:sSub>
            <m:sSubPr>
              <m:ctrlPr>
                <w:rPr>
                  <w:rFonts w:ascii="Cambria Math" w:eastAsia="標楷體" w:hAnsi="Cambria Math" w:cstheme="minorHAnsi"/>
                </w:rPr>
              </m:ctrlPr>
            </m:sSubPr>
            <m:e>
              <m:r>
                <w:rPr>
                  <w:rFonts w:ascii="Cambria Math" w:eastAsia="標楷體" w:hAnsi="Cambria Math" w:cstheme="minorHAnsi"/>
                </w:rPr>
                <m:t>K</m:t>
              </m:r>
            </m:e>
            <m:sub>
              <m:r>
                <w:rPr>
                  <w:rFonts w:ascii="Cambria Math" w:eastAsia="標楷體" w:hAnsi="Cambria Math" w:cstheme="minorHAnsi"/>
                </w:rPr>
                <m:t>b</m:t>
              </m:r>
              <m:d>
                <m:dPr>
                  <m:ctrlPr>
                    <w:rPr>
                      <w:rFonts w:ascii="Cambria Math" w:eastAsia="標楷體" w:hAnsi="Cambria Math" w:cstheme="minorHAnsi"/>
                      <w:i/>
                    </w:rPr>
                  </m:ctrlPr>
                </m:dPr>
                <m:e>
                  <m:r>
                    <w:rPr>
                      <w:rFonts w:ascii="Cambria Math" w:eastAsia="標楷體" w:hAnsi="Cambria Math" w:cstheme="minorHAnsi"/>
                    </w:rPr>
                    <m:t>other bucket</m:t>
                  </m:r>
                </m:e>
              </m:d>
            </m:sub>
          </m:sSub>
          <m:r>
            <w:rPr>
              <w:rFonts w:ascii="Cambria Math" w:eastAsia="標楷體" w:hAnsi="Cambria Math" w:cstheme="minorHAnsi"/>
            </w:rPr>
            <m:t>=max</m:t>
          </m:r>
          <m:d>
            <m:dPr>
              <m:ctrlPr>
                <w:rPr>
                  <w:rFonts w:ascii="Cambria Math" w:eastAsia="標楷體" w:hAnsi="Cambria Math" w:cstheme="minorHAnsi"/>
                  <w:i/>
                </w:rPr>
              </m:ctrlPr>
            </m:dPr>
            <m:e>
              <m:nary>
                <m:naryPr>
                  <m:chr m:val="∑"/>
                  <m:limLoc m:val="undOvr"/>
                  <m:supHide m:val="1"/>
                  <m:ctrlPr>
                    <w:rPr>
                      <w:rFonts w:ascii="Cambria Math" w:eastAsia="標楷體" w:hAnsi="Cambria Math" w:cstheme="minorHAnsi"/>
                      <w:i/>
                    </w:rPr>
                  </m:ctrlPr>
                </m:naryPr>
                <m:sub>
                  <m:r>
                    <w:rPr>
                      <w:rFonts w:ascii="Cambria Math" w:eastAsia="標楷體" w:hAnsi="Cambria Math" w:cstheme="minorHAnsi"/>
                    </w:rPr>
                    <m:t>k</m:t>
                  </m:r>
                </m:sub>
                <m:sup/>
                <m:e>
                  <m:r>
                    <w:rPr>
                      <w:rFonts w:ascii="Cambria Math" w:eastAsia="標楷體" w:hAnsi="Cambria Math" w:cstheme="minorHAnsi"/>
                    </w:rPr>
                    <m:t>max</m:t>
                  </m:r>
                  <m:d>
                    <m:dPr>
                      <m:ctrlPr>
                        <w:rPr>
                          <w:rFonts w:ascii="Cambria Math" w:eastAsia="標楷體" w:hAnsi="Cambria Math" w:cstheme="minorHAnsi"/>
                          <w:i/>
                        </w:rPr>
                      </m:ctrlPr>
                    </m:dPr>
                    <m:e>
                      <m:sSubSup>
                        <m:sSubSupPr>
                          <m:ctrlPr>
                            <w:rPr>
                              <w:rFonts w:ascii="Cambria Math" w:eastAsia="標楷體" w:hAnsi="Cambria Math" w:cstheme="minorHAnsi"/>
                              <w:i/>
                            </w:rPr>
                          </m:ctrlPr>
                        </m:sSubSupPr>
                        <m:e>
                          <m:r>
                            <w:rPr>
                              <w:rFonts w:ascii="Cambria Math" w:eastAsia="標楷體" w:hAnsi="Cambria Math" w:cstheme="minorHAnsi"/>
                            </w:rPr>
                            <m:t>CVR</m:t>
                          </m:r>
                        </m:e>
                        <m:sub>
                          <m:r>
                            <w:rPr>
                              <w:rFonts w:ascii="Cambria Math" w:eastAsia="標楷體" w:hAnsi="Cambria Math" w:cstheme="minorHAnsi"/>
                            </w:rPr>
                            <m:t>k</m:t>
                          </m:r>
                        </m:sub>
                        <m:sup>
                          <m:r>
                            <w:rPr>
                              <w:rFonts w:ascii="Cambria Math" w:eastAsia="標楷體" w:hAnsi="Cambria Math" w:cstheme="minorHAnsi"/>
                            </w:rPr>
                            <m:t>+</m:t>
                          </m:r>
                        </m:sup>
                      </m:sSubSup>
                      <m:r>
                        <w:rPr>
                          <w:rFonts w:ascii="Cambria Math" w:eastAsia="標楷體" w:hAnsi="Cambria Math" w:cstheme="minorHAnsi"/>
                        </w:rPr>
                        <m:t>, 0</m:t>
                      </m:r>
                    </m:e>
                  </m:d>
                </m:e>
              </m:nary>
              <m:r>
                <w:rPr>
                  <w:rFonts w:ascii="Cambria Math" w:eastAsia="標楷體" w:hAnsi="Cambria Math" w:cstheme="minorHAnsi"/>
                </w:rPr>
                <m:t xml:space="preserve">, </m:t>
              </m:r>
              <m:nary>
                <m:naryPr>
                  <m:chr m:val="∑"/>
                  <m:limLoc m:val="undOvr"/>
                  <m:supHide m:val="1"/>
                  <m:ctrlPr>
                    <w:rPr>
                      <w:rFonts w:ascii="Cambria Math" w:eastAsia="標楷體" w:hAnsi="Cambria Math" w:cstheme="minorHAnsi"/>
                      <w:i/>
                    </w:rPr>
                  </m:ctrlPr>
                </m:naryPr>
                <m:sub>
                  <m:r>
                    <w:rPr>
                      <w:rFonts w:ascii="Cambria Math" w:eastAsia="標楷體" w:hAnsi="Cambria Math" w:cstheme="minorHAnsi"/>
                    </w:rPr>
                    <m:t>k</m:t>
                  </m:r>
                </m:sub>
                <m:sup/>
                <m:e>
                  <m:r>
                    <w:rPr>
                      <w:rFonts w:ascii="Cambria Math" w:eastAsia="標楷體" w:hAnsi="Cambria Math" w:cstheme="minorHAnsi"/>
                    </w:rPr>
                    <m:t>max</m:t>
                  </m:r>
                  <m:d>
                    <m:dPr>
                      <m:ctrlPr>
                        <w:rPr>
                          <w:rFonts w:ascii="Cambria Math" w:eastAsia="標楷體" w:hAnsi="Cambria Math" w:cstheme="minorHAnsi"/>
                          <w:i/>
                        </w:rPr>
                      </m:ctrlPr>
                    </m:dPr>
                    <m:e>
                      <m:sSubSup>
                        <m:sSubSupPr>
                          <m:ctrlPr>
                            <w:rPr>
                              <w:rFonts w:ascii="Cambria Math" w:eastAsia="標楷體" w:hAnsi="Cambria Math" w:cstheme="minorHAnsi"/>
                              <w:i/>
                            </w:rPr>
                          </m:ctrlPr>
                        </m:sSubSupPr>
                        <m:e>
                          <m:r>
                            <w:rPr>
                              <w:rFonts w:ascii="Cambria Math" w:eastAsia="標楷體" w:hAnsi="Cambria Math" w:cstheme="minorHAnsi"/>
                            </w:rPr>
                            <m:t>CVR</m:t>
                          </m:r>
                        </m:e>
                        <m:sub>
                          <m:r>
                            <w:rPr>
                              <w:rFonts w:ascii="Cambria Math" w:eastAsia="標楷體" w:hAnsi="Cambria Math" w:cstheme="minorHAnsi"/>
                            </w:rPr>
                            <m:t>k</m:t>
                          </m:r>
                        </m:sub>
                        <m:sup>
                          <m:r>
                            <w:rPr>
                              <w:rFonts w:ascii="Cambria Math" w:eastAsia="標楷體" w:hAnsi="Cambria Math" w:cstheme="minorHAnsi"/>
                            </w:rPr>
                            <m:t>-</m:t>
                          </m:r>
                        </m:sup>
                      </m:sSubSup>
                      <m:r>
                        <w:rPr>
                          <w:rFonts w:ascii="Cambria Math" w:eastAsia="標楷體" w:hAnsi="Cambria Math" w:cstheme="minorHAnsi"/>
                        </w:rPr>
                        <m:t>, 0</m:t>
                      </m:r>
                    </m:e>
                  </m:d>
                </m:e>
              </m:nary>
            </m:e>
          </m:d>
        </m:oMath>
      </m:oMathPara>
    </w:p>
    <w:p w14:paraId="1DBF4541" w14:textId="77777777" w:rsidR="00BD02FF" w:rsidRPr="00CA1A43" w:rsidRDefault="000C4E00" w:rsidP="00605B1D">
      <w:pPr>
        <w:pStyle w:val="a7"/>
        <w:numPr>
          <w:ilvl w:val="0"/>
          <w:numId w:val="117"/>
        </w:numPr>
        <w:spacing w:beforeLines="50" w:before="180"/>
        <w:ind w:leftChars="0" w:left="1446" w:hanging="482"/>
        <w:jc w:val="both"/>
        <w:rPr>
          <w:rFonts w:eastAsia="標楷體" w:cstheme="minorHAnsi"/>
        </w:rPr>
      </w:pPr>
      <w:r w:rsidRPr="00CA1A43">
        <w:rPr>
          <w:rFonts w:eastAsia="標楷體" w:cstheme="minorHAnsi"/>
        </w:rPr>
        <w:t>加總</w:t>
      </w:r>
      <w:r w:rsidRPr="00CA1A43">
        <w:rPr>
          <w:rFonts w:eastAsia="標楷體" w:cstheme="minorHAnsi"/>
        </w:rPr>
        <w:t>1~24</w:t>
      </w:r>
      <w:r w:rsidRPr="00CA1A43">
        <w:rPr>
          <w:rFonts w:eastAsia="標楷體" w:cstheme="minorHAnsi"/>
        </w:rPr>
        <w:t>組跨組別證券化</w:t>
      </w:r>
      <w:r w:rsidRPr="00CA1A43">
        <w:rPr>
          <w:rFonts w:eastAsia="標楷體" w:cstheme="minorHAnsi"/>
        </w:rPr>
        <w:t>CSR(non-CTP)</w:t>
      </w:r>
      <w:r w:rsidRPr="00CA1A43">
        <w:rPr>
          <w:rFonts w:eastAsia="標楷體" w:cstheme="minorHAnsi"/>
        </w:rPr>
        <w:t>之</w:t>
      </w:r>
      <w:r w:rsidRPr="00CA1A43">
        <w:rPr>
          <w:rFonts w:eastAsia="標楷體" w:cstheme="minorHAnsi"/>
        </w:rPr>
        <w:t xml:space="preserve"> Delta</w:t>
      </w:r>
      <w:r w:rsidRPr="00CA1A43">
        <w:rPr>
          <w:rFonts w:eastAsia="標楷體" w:cstheme="minorHAnsi"/>
        </w:rPr>
        <w:t>風險，其相關係</w:t>
      </w:r>
      <w:r w:rsidRPr="00CA1A43">
        <w:rPr>
          <w:rFonts w:eastAsia="標楷體" w:cstheme="minorHAnsi"/>
        </w:rPr>
        <w:lastRenderedPageBreak/>
        <w:t>數</w:t>
      </w:r>
      <w:proofErr w:type="spellStart"/>
      <w:r w:rsidRPr="00CA1A43">
        <w:rPr>
          <w:rFonts w:eastAsia="標楷體" w:cstheme="minorHAnsi"/>
          <w:i/>
          <w:iCs/>
        </w:rPr>
        <w:t>γ</w:t>
      </w:r>
      <w:r w:rsidRPr="00CA1A43">
        <w:rPr>
          <w:rFonts w:eastAsia="標楷體" w:cstheme="minorHAnsi"/>
          <w:i/>
          <w:iCs/>
          <w:vertAlign w:val="subscript"/>
        </w:rPr>
        <w:t>bc</w:t>
      </w:r>
      <w:proofErr w:type="spellEnd"/>
      <w:r w:rsidRPr="00CA1A43">
        <w:rPr>
          <w:rFonts w:eastAsia="標楷體" w:cstheme="minorHAnsi"/>
        </w:rPr>
        <w:t>設為</w:t>
      </w:r>
      <w:r w:rsidRPr="00CA1A43">
        <w:rPr>
          <w:rFonts w:eastAsia="標楷體" w:cstheme="minorHAnsi"/>
        </w:rPr>
        <w:t>0%</w:t>
      </w:r>
      <w:r w:rsidRPr="00CA1A43">
        <w:rPr>
          <w:rFonts w:eastAsia="標楷體" w:cstheme="minorHAnsi"/>
          <w:b/>
        </w:rPr>
        <w:t>。</w:t>
      </w:r>
    </w:p>
    <w:p w14:paraId="4DD098B8" w14:textId="77777777" w:rsidR="00562EA4" w:rsidRPr="00CA1A43" w:rsidRDefault="000C4E00" w:rsidP="00605B1D">
      <w:pPr>
        <w:pStyle w:val="a7"/>
        <w:numPr>
          <w:ilvl w:val="0"/>
          <w:numId w:val="117"/>
        </w:numPr>
        <w:spacing w:beforeLines="50" w:before="180"/>
        <w:ind w:leftChars="0" w:left="1446" w:hanging="482"/>
        <w:jc w:val="both"/>
        <w:rPr>
          <w:rFonts w:eastAsia="標楷體" w:cstheme="minorHAnsi"/>
        </w:rPr>
      </w:pPr>
      <w:r w:rsidRPr="0067643C">
        <w:rPr>
          <w:rFonts w:eastAsia="標楷體" w:cstheme="minorHAnsi"/>
        </w:rPr>
        <w:t>加總其他資產組別</w:t>
      </w:r>
      <w:r w:rsidRPr="0067643C">
        <w:rPr>
          <w:rFonts w:eastAsia="標楷體" w:cstheme="minorHAnsi"/>
        </w:rPr>
        <w:t>(</w:t>
      </w:r>
      <w:r w:rsidRPr="0067643C">
        <w:rPr>
          <w:rFonts w:eastAsia="標楷體" w:cstheme="minorHAnsi"/>
        </w:rPr>
        <w:t>即組別</w:t>
      </w:r>
      <w:r w:rsidRPr="0067643C">
        <w:rPr>
          <w:rFonts w:eastAsia="標楷體" w:cstheme="minorHAnsi"/>
        </w:rPr>
        <w:t>25)</w:t>
      </w:r>
      <w:r w:rsidRPr="0067643C">
        <w:rPr>
          <w:rFonts w:eastAsia="標楷體" w:cstheme="minorHAnsi"/>
        </w:rPr>
        <w:t>與其他</w:t>
      </w:r>
      <w:r w:rsidRPr="0067643C">
        <w:rPr>
          <w:rFonts w:eastAsia="標楷體" w:cstheme="minorHAnsi"/>
        </w:rPr>
        <w:t>1~24</w:t>
      </w:r>
      <w:r w:rsidRPr="0067643C">
        <w:rPr>
          <w:rFonts w:eastAsia="標楷體" w:cstheme="minorHAnsi"/>
        </w:rPr>
        <w:t>組跨組別證券化</w:t>
      </w:r>
      <w:r w:rsidRPr="0067643C">
        <w:rPr>
          <w:rFonts w:eastAsia="標楷體" w:cstheme="minorHAnsi"/>
        </w:rPr>
        <w:t>CSR(non-CTP)</w:t>
      </w:r>
      <w:r w:rsidRPr="0067643C">
        <w:rPr>
          <w:rFonts w:eastAsia="標楷體" w:cstheme="minorHAnsi"/>
        </w:rPr>
        <w:t>之</w:t>
      </w:r>
      <w:r w:rsidRPr="0067643C">
        <w:rPr>
          <w:rFonts w:eastAsia="標楷體" w:cstheme="minorHAnsi"/>
        </w:rPr>
        <w:t>Delta</w:t>
      </w:r>
      <w:r w:rsidRPr="0067643C">
        <w:rPr>
          <w:rFonts w:eastAsia="標楷體" w:cstheme="minorHAnsi"/>
        </w:rPr>
        <w:t>風險，</w:t>
      </w:r>
      <w:r w:rsidR="0067643C" w:rsidRPr="0067643C">
        <w:rPr>
          <w:rFonts w:eastAsia="標楷體" w:cstheme="minorHAnsi" w:hint="eastAsia"/>
        </w:rPr>
        <w:t>(</w:t>
      </w:r>
      <w:proofErr w:type="spellStart"/>
      <w:r w:rsidR="0067643C" w:rsidRPr="0067643C">
        <w:rPr>
          <w:rFonts w:eastAsia="標楷體" w:cstheme="minorHAnsi"/>
        </w:rPr>
        <w:t>i</w:t>
      </w:r>
      <w:proofErr w:type="spellEnd"/>
      <w:r w:rsidR="0067643C" w:rsidRPr="0067643C">
        <w:rPr>
          <w:rFonts w:eastAsia="標楷體" w:cstheme="minorHAnsi" w:hint="eastAsia"/>
        </w:rPr>
        <w:t>)</w:t>
      </w:r>
      <w:r w:rsidR="0067643C" w:rsidRPr="0067643C">
        <w:rPr>
          <w:rFonts w:eastAsia="標楷體" w:cstheme="minorHAnsi" w:hint="eastAsia"/>
        </w:rPr>
        <w:t>組別</w:t>
      </w:r>
      <w:r w:rsidR="0067643C" w:rsidRPr="0067643C">
        <w:rPr>
          <w:rFonts w:eastAsia="標楷體" w:cstheme="minorHAnsi"/>
        </w:rPr>
        <w:t>25</w:t>
      </w:r>
      <w:r w:rsidR="0067643C" w:rsidRPr="0067643C">
        <w:rPr>
          <w:rFonts w:eastAsia="標楷體" w:cstheme="minorHAnsi"/>
        </w:rPr>
        <w:t>的資本要求，以及</w:t>
      </w:r>
      <w:r w:rsidR="0067643C" w:rsidRPr="0067643C">
        <w:rPr>
          <w:rFonts w:eastAsia="標楷體" w:cstheme="minorHAnsi" w:hint="eastAsia"/>
        </w:rPr>
        <w:t>(</w:t>
      </w:r>
      <w:r w:rsidR="0067643C" w:rsidRPr="0067643C">
        <w:rPr>
          <w:rFonts w:eastAsia="標楷體" w:cstheme="minorHAnsi"/>
        </w:rPr>
        <w:t>ii</w:t>
      </w:r>
      <w:r w:rsidR="0067643C" w:rsidRPr="0067643C">
        <w:rPr>
          <w:rFonts w:eastAsia="標楷體" w:cstheme="minorHAnsi" w:hint="eastAsia"/>
        </w:rPr>
        <w:t>)</w:t>
      </w:r>
      <w:r w:rsidR="0067643C" w:rsidRPr="0067643C">
        <w:rPr>
          <w:rFonts w:eastAsia="標楷體" w:cstheme="minorHAnsi" w:hint="eastAsia"/>
        </w:rPr>
        <w:t>組別</w:t>
      </w:r>
      <w:r w:rsidR="0067643C" w:rsidRPr="0067643C">
        <w:rPr>
          <w:rFonts w:eastAsia="標楷體" w:cstheme="minorHAnsi"/>
        </w:rPr>
        <w:t>1</w:t>
      </w:r>
      <w:r w:rsidR="0067643C" w:rsidRPr="0067643C">
        <w:rPr>
          <w:rFonts w:eastAsia="標楷體" w:cstheme="minorHAnsi"/>
        </w:rPr>
        <w:t>至</w:t>
      </w:r>
      <w:r w:rsidR="0067643C" w:rsidRPr="0067643C">
        <w:rPr>
          <w:rFonts w:eastAsia="標楷體" w:cstheme="minorHAnsi"/>
        </w:rPr>
        <w:t>24</w:t>
      </w:r>
      <w:r w:rsidR="0067643C" w:rsidRPr="0067643C">
        <w:rPr>
          <w:rFonts w:eastAsia="標楷體" w:cstheme="minorHAnsi"/>
        </w:rPr>
        <w:t>的總資本要求將簡單地</w:t>
      </w:r>
      <w:r w:rsidR="0067643C" w:rsidRPr="00B479EE">
        <w:rPr>
          <w:rFonts w:eastAsia="標楷體" w:cstheme="minorHAnsi"/>
        </w:rPr>
        <w:t>總結為整體風險類別級別的資本要求。將其他</w:t>
      </w:r>
      <w:r w:rsidR="0067643C">
        <w:rPr>
          <w:rFonts w:eastAsia="標楷體" w:cstheme="minorHAnsi" w:hint="eastAsia"/>
        </w:rPr>
        <w:t>資產組別</w:t>
      </w:r>
      <w:r w:rsidR="0067643C">
        <w:rPr>
          <w:rFonts w:eastAsia="標楷體" w:cstheme="minorHAnsi" w:hint="eastAsia"/>
        </w:rPr>
        <w:t>(</w:t>
      </w:r>
      <w:r w:rsidR="0067643C" w:rsidRPr="00B479EE">
        <w:rPr>
          <w:rFonts w:eastAsia="標楷體" w:cstheme="minorHAnsi"/>
        </w:rPr>
        <w:t>即</w:t>
      </w:r>
      <w:r w:rsidR="0067643C">
        <w:rPr>
          <w:rFonts w:eastAsia="標楷體" w:cstheme="minorHAnsi" w:hint="eastAsia"/>
        </w:rPr>
        <w:t>組別</w:t>
      </w:r>
      <w:r w:rsidR="0067643C" w:rsidRPr="00B479EE">
        <w:rPr>
          <w:rFonts w:eastAsia="標楷體" w:cstheme="minorHAnsi"/>
        </w:rPr>
        <w:t>25</w:t>
      </w:r>
      <w:r w:rsidR="0067643C">
        <w:rPr>
          <w:rFonts w:eastAsia="標楷體" w:cstheme="minorHAnsi" w:hint="eastAsia"/>
        </w:rPr>
        <w:t>)</w:t>
      </w:r>
      <w:r w:rsidR="0067643C" w:rsidRPr="00B479EE">
        <w:rPr>
          <w:rFonts w:eastAsia="標楷體" w:cstheme="minorHAnsi"/>
        </w:rPr>
        <w:t>和</w:t>
      </w:r>
      <w:r w:rsidR="0067643C">
        <w:rPr>
          <w:rFonts w:eastAsia="標楷體" w:cstheme="minorHAnsi" w:hint="eastAsia"/>
        </w:rPr>
        <w:t>組別</w:t>
      </w:r>
      <w:r w:rsidR="0067643C" w:rsidRPr="00B479EE">
        <w:rPr>
          <w:rFonts w:eastAsia="標楷體" w:cstheme="minorHAnsi"/>
        </w:rPr>
        <w:t>1</w:t>
      </w:r>
      <w:proofErr w:type="gramStart"/>
      <w:r w:rsidR="0067643C" w:rsidRPr="00B479EE">
        <w:rPr>
          <w:rFonts w:eastAsia="標楷體" w:cstheme="minorHAnsi"/>
        </w:rPr>
        <w:t>至</w:t>
      </w:r>
      <w:r w:rsidR="0067643C">
        <w:rPr>
          <w:rFonts w:eastAsia="標楷體" w:cstheme="minorHAnsi" w:hint="eastAsia"/>
        </w:rPr>
        <w:t>組別</w:t>
      </w:r>
      <w:proofErr w:type="gramEnd"/>
      <w:r w:rsidR="0067643C" w:rsidRPr="00B479EE">
        <w:rPr>
          <w:rFonts w:eastAsia="標楷體" w:cstheme="minorHAnsi"/>
        </w:rPr>
        <w:t>24</w:t>
      </w:r>
      <w:r w:rsidR="0067643C" w:rsidRPr="00B479EE">
        <w:rPr>
          <w:rFonts w:eastAsia="標楷體" w:cstheme="minorHAnsi"/>
        </w:rPr>
        <w:t>的資本要求合計時，不</w:t>
      </w:r>
      <w:r w:rsidR="0067643C">
        <w:rPr>
          <w:rFonts w:eastAsia="標楷體" w:cstheme="minorHAnsi" w:hint="eastAsia"/>
        </w:rPr>
        <w:t>考慮任何分散或避險效果</w:t>
      </w:r>
      <w:r w:rsidR="0067643C" w:rsidRPr="00B479EE">
        <w:rPr>
          <w:rFonts w:eastAsia="標楷體" w:cstheme="minorHAnsi"/>
        </w:rPr>
        <w:t>。</w:t>
      </w:r>
    </w:p>
    <w:p w14:paraId="567FADF9" w14:textId="77777777" w:rsidR="00562EA4" w:rsidRPr="00CA1A43" w:rsidRDefault="00A143C0" w:rsidP="00605B1D">
      <w:pPr>
        <w:pStyle w:val="a7"/>
        <w:numPr>
          <w:ilvl w:val="0"/>
          <w:numId w:val="107"/>
        </w:numPr>
        <w:spacing w:beforeLines="50" w:before="180"/>
        <w:ind w:leftChars="0" w:left="964" w:hanging="482"/>
        <w:jc w:val="both"/>
        <w:rPr>
          <w:rFonts w:eastAsia="標楷體" w:cstheme="minorHAnsi"/>
          <w:szCs w:val="24"/>
        </w:rPr>
      </w:pPr>
      <w:r w:rsidRPr="00CA1A43">
        <w:rPr>
          <w:rFonts w:eastAsia="標楷體" w:cstheme="minorHAnsi"/>
          <w:szCs w:val="24"/>
        </w:rPr>
        <w:t>權益證券風險組別、風險權數及相關係數</w:t>
      </w:r>
    </w:p>
    <w:p w14:paraId="7B420F35" w14:textId="77777777" w:rsidR="00562EA4" w:rsidRPr="00CA1A43" w:rsidRDefault="00A143C0" w:rsidP="00605B1D">
      <w:pPr>
        <w:pStyle w:val="a7"/>
        <w:numPr>
          <w:ilvl w:val="0"/>
          <w:numId w:val="121"/>
        </w:numPr>
        <w:spacing w:beforeLines="50" w:before="180"/>
        <w:ind w:leftChars="0" w:left="1446" w:hanging="482"/>
        <w:jc w:val="both"/>
        <w:rPr>
          <w:rFonts w:eastAsia="標楷體" w:cstheme="minorHAnsi"/>
        </w:rPr>
      </w:pPr>
      <w:r w:rsidRPr="00CA1A43">
        <w:rPr>
          <w:rFonts w:eastAsia="標楷體" w:cstheme="minorHAnsi"/>
        </w:rPr>
        <w:t>對權益證券</w:t>
      </w:r>
      <w:r w:rsidRPr="00CA1A43">
        <w:rPr>
          <w:rFonts w:eastAsia="標楷體" w:cstheme="minorHAnsi"/>
        </w:rPr>
        <w:t xml:space="preserve">Delta </w:t>
      </w:r>
      <w:r w:rsidRPr="00CA1A43">
        <w:rPr>
          <w:rFonts w:eastAsia="標楷體" w:cstheme="minorHAnsi"/>
        </w:rPr>
        <w:t>風險，依市值、經濟體及產業別三個維度分組，如下表</w:t>
      </w:r>
      <w:r w:rsidRPr="00CA1A43">
        <w:rPr>
          <w:rFonts w:eastAsia="標楷體" w:cstheme="minorHAnsi"/>
        </w:rPr>
        <w:t>9</w:t>
      </w:r>
      <w:r w:rsidRPr="00CA1A43">
        <w:rPr>
          <w:rFonts w:eastAsia="標楷體" w:cstheme="minorHAnsi"/>
        </w:rPr>
        <w:t>。在計算加權敏感性部位前，權益證券風險敏感性部位</w:t>
      </w:r>
      <w:proofErr w:type="gramStart"/>
      <w:r w:rsidRPr="00CA1A43">
        <w:rPr>
          <w:rFonts w:eastAsia="標楷體" w:cstheme="minorHAnsi"/>
        </w:rPr>
        <w:t>或暴險必須</w:t>
      </w:r>
      <w:proofErr w:type="gramEnd"/>
      <w:r w:rsidRPr="00CA1A43">
        <w:rPr>
          <w:rFonts w:eastAsia="標楷體" w:cstheme="minorHAnsi"/>
        </w:rPr>
        <w:t>先指定至其一組別。</w:t>
      </w:r>
    </w:p>
    <w:tbl>
      <w:tblPr>
        <w:tblStyle w:val="aa"/>
        <w:tblW w:w="5000" w:type="pct"/>
        <w:tblBorders>
          <w:left w:val="none" w:sz="0" w:space="0" w:color="auto"/>
          <w:right w:val="none" w:sz="0" w:space="0" w:color="auto"/>
        </w:tblBorders>
        <w:tblLayout w:type="fixed"/>
        <w:tblLook w:val="04A0" w:firstRow="1" w:lastRow="0" w:firstColumn="1" w:lastColumn="0" w:noHBand="0" w:noVBand="1"/>
      </w:tblPr>
      <w:tblGrid>
        <w:gridCol w:w="1926"/>
        <w:gridCol w:w="871"/>
        <w:gridCol w:w="1287"/>
        <w:gridCol w:w="2126"/>
        <w:gridCol w:w="2096"/>
      </w:tblGrid>
      <w:tr w:rsidR="00A143C0" w:rsidRPr="00CA1A43" w14:paraId="25175C32" w14:textId="77777777" w:rsidTr="00CC246B">
        <w:trPr>
          <w:trHeight w:val="454"/>
        </w:trPr>
        <w:tc>
          <w:tcPr>
            <w:tcW w:w="3738" w:type="pct"/>
            <w:gridSpan w:val="4"/>
            <w:tcBorders>
              <w:right w:val="nil"/>
            </w:tcBorders>
            <w:vAlign w:val="center"/>
          </w:tcPr>
          <w:p w14:paraId="304E57B8" w14:textId="77777777" w:rsidR="00A143C0" w:rsidRPr="00CA1A43" w:rsidRDefault="00A143C0"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w:t>
            </w:r>
            <w:r w:rsidRPr="00CA1A43">
              <w:rPr>
                <w:rFonts w:asciiTheme="minorHAnsi" w:hAnsiTheme="minorHAnsi" w:cstheme="minorHAnsi"/>
                <w:sz w:val="24"/>
                <w:szCs w:val="24"/>
              </w:rPr>
              <w:t xml:space="preserve">Delta </w:t>
            </w:r>
            <w:r w:rsidRPr="00CA1A43">
              <w:rPr>
                <w:rFonts w:asciiTheme="minorHAnsi" w:hAnsiTheme="minorHAnsi" w:cstheme="minorHAnsi"/>
                <w:sz w:val="24"/>
                <w:szCs w:val="24"/>
              </w:rPr>
              <w:t>風險組別</w:t>
            </w:r>
          </w:p>
        </w:tc>
        <w:tc>
          <w:tcPr>
            <w:tcW w:w="1262" w:type="pct"/>
            <w:tcBorders>
              <w:left w:val="nil"/>
            </w:tcBorders>
            <w:vAlign w:val="center"/>
          </w:tcPr>
          <w:p w14:paraId="4888043C" w14:textId="77777777" w:rsidR="00A143C0" w:rsidRPr="00CA1A43" w:rsidRDefault="00A143C0" w:rsidP="00CC246B">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9</w:t>
            </w:r>
          </w:p>
        </w:tc>
      </w:tr>
      <w:tr w:rsidR="00A143C0" w:rsidRPr="00CA1A43" w14:paraId="1B8D511B" w14:textId="77777777" w:rsidTr="00CC246B">
        <w:trPr>
          <w:trHeight w:val="194"/>
        </w:trPr>
        <w:tc>
          <w:tcPr>
            <w:tcW w:w="1159" w:type="pct"/>
            <w:tcBorders>
              <w:bottom w:val="single" w:sz="4" w:space="0" w:color="auto"/>
              <w:right w:val="single" w:sz="8" w:space="0" w:color="A6A6A6" w:themeColor="background1" w:themeShade="A6"/>
            </w:tcBorders>
            <w:vAlign w:val="center"/>
          </w:tcPr>
          <w:p w14:paraId="0C38C14F"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524" w:type="pct"/>
            <w:tcBorders>
              <w:left w:val="single" w:sz="8" w:space="0" w:color="A6A6A6" w:themeColor="background1" w:themeShade="A6"/>
              <w:bottom w:val="single" w:sz="4" w:space="0" w:color="auto"/>
              <w:right w:val="single" w:sz="8" w:space="0" w:color="A6A6A6" w:themeColor="background1" w:themeShade="A6"/>
            </w:tcBorders>
            <w:vAlign w:val="center"/>
          </w:tcPr>
          <w:p w14:paraId="785CB0B0"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市值</w:t>
            </w:r>
            <w:r w:rsidR="003B1CCC" w:rsidRPr="00CA1A43">
              <w:rPr>
                <w:rStyle w:val="a5"/>
                <w:rFonts w:asciiTheme="minorHAnsi" w:hAnsiTheme="minorHAnsi" w:cstheme="minorHAnsi"/>
              </w:rPr>
              <w:footnoteReference w:id="31"/>
            </w:r>
          </w:p>
        </w:tc>
        <w:tc>
          <w:tcPr>
            <w:tcW w:w="775" w:type="pct"/>
            <w:tcBorders>
              <w:left w:val="single" w:sz="8" w:space="0" w:color="A6A6A6" w:themeColor="background1" w:themeShade="A6"/>
              <w:bottom w:val="single" w:sz="4" w:space="0" w:color="auto"/>
              <w:right w:val="single" w:sz="8" w:space="0" w:color="A6A6A6" w:themeColor="background1" w:themeShade="A6"/>
            </w:tcBorders>
            <w:vAlign w:val="center"/>
          </w:tcPr>
          <w:p w14:paraId="16F34A99"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經濟體</w:t>
            </w:r>
          </w:p>
        </w:tc>
        <w:tc>
          <w:tcPr>
            <w:tcW w:w="2542" w:type="pct"/>
            <w:gridSpan w:val="2"/>
            <w:tcBorders>
              <w:left w:val="single" w:sz="8" w:space="0" w:color="A6A6A6" w:themeColor="background1" w:themeShade="A6"/>
              <w:bottom w:val="single" w:sz="4" w:space="0" w:color="auto"/>
            </w:tcBorders>
            <w:vAlign w:val="center"/>
          </w:tcPr>
          <w:p w14:paraId="0E819066"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產業別</w:t>
            </w:r>
          </w:p>
        </w:tc>
      </w:tr>
      <w:tr w:rsidR="00A143C0" w:rsidRPr="00CA1A43" w14:paraId="702DA034" w14:textId="77777777" w:rsidTr="00CC246B">
        <w:trPr>
          <w:trHeight w:val="1020"/>
        </w:trPr>
        <w:tc>
          <w:tcPr>
            <w:tcW w:w="1159" w:type="pct"/>
            <w:tcBorders>
              <w:bottom w:val="single" w:sz="8" w:space="0" w:color="A6A6A6" w:themeColor="background1" w:themeShade="A6"/>
              <w:right w:val="single" w:sz="8" w:space="0" w:color="A6A6A6" w:themeColor="background1" w:themeShade="A6"/>
            </w:tcBorders>
            <w:vAlign w:val="center"/>
          </w:tcPr>
          <w:p w14:paraId="176D2731"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524"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18546FC"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大型</w:t>
            </w:r>
          </w:p>
        </w:tc>
        <w:tc>
          <w:tcPr>
            <w:tcW w:w="775" w:type="pct"/>
            <w:vMerge w:val="restar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10116A1"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新興市場經濟體</w:t>
            </w:r>
          </w:p>
        </w:tc>
        <w:tc>
          <w:tcPr>
            <w:tcW w:w="2542" w:type="pct"/>
            <w:gridSpan w:val="2"/>
            <w:tcBorders>
              <w:left w:val="single" w:sz="8" w:space="0" w:color="A6A6A6" w:themeColor="background1" w:themeShade="A6"/>
              <w:bottom w:val="single" w:sz="8" w:space="0" w:color="A6A6A6" w:themeColor="background1" w:themeShade="A6"/>
            </w:tcBorders>
            <w:vAlign w:val="center"/>
          </w:tcPr>
          <w:p w14:paraId="21CDD33D"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消費商品及服務業、運輸及倉儲業、管理及支援服務業、醫療保健業、公用事業</w:t>
            </w:r>
          </w:p>
        </w:tc>
      </w:tr>
      <w:tr w:rsidR="00A143C0" w:rsidRPr="00CA1A43" w14:paraId="04504750" w14:textId="77777777" w:rsidTr="00CC246B">
        <w:trPr>
          <w:trHeight w:val="203"/>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167D674"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79ADD0F" w14:textId="77777777" w:rsidR="00A143C0" w:rsidRPr="00CA1A43" w:rsidRDefault="00A143C0" w:rsidP="00CC246B">
            <w:pPr>
              <w:pStyle w:val="Item"/>
              <w:jc w:val="center"/>
              <w:rPr>
                <w:rFonts w:asciiTheme="minorHAnsi" w:hAnsiTheme="minorHAnsi" w:cstheme="minorHAnsi"/>
                <w:sz w:val="24"/>
                <w:szCs w:val="24"/>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B1F55C6" w14:textId="77777777" w:rsidR="00A143C0" w:rsidRPr="00CA1A43" w:rsidRDefault="00A143C0" w:rsidP="00CC246B">
            <w:pPr>
              <w:pStyle w:val="Item"/>
              <w:jc w:val="center"/>
              <w:rPr>
                <w:rFonts w:asciiTheme="minorHAnsi" w:hAnsiTheme="minorHAnsi" w:cstheme="minorHAnsi"/>
                <w:sz w:val="24"/>
                <w:szCs w:val="24"/>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7C2A7826"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電信業、工業</w:t>
            </w:r>
          </w:p>
        </w:tc>
      </w:tr>
      <w:tr w:rsidR="00A143C0" w:rsidRPr="00CA1A43" w14:paraId="79A55F97" w14:textId="77777777" w:rsidTr="00CC246B">
        <w:trPr>
          <w:trHeight w:val="603"/>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6CC8522"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F1C1E40" w14:textId="77777777" w:rsidR="00A143C0" w:rsidRPr="00CA1A43" w:rsidRDefault="00A143C0" w:rsidP="00CC246B">
            <w:pPr>
              <w:pStyle w:val="Item"/>
              <w:jc w:val="center"/>
              <w:rPr>
                <w:rFonts w:asciiTheme="minorHAnsi" w:hAnsiTheme="minorHAnsi" w:cstheme="minorHAnsi"/>
                <w:sz w:val="24"/>
                <w:szCs w:val="24"/>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4C1603B" w14:textId="77777777" w:rsidR="00A143C0" w:rsidRPr="00CA1A43" w:rsidRDefault="00A143C0" w:rsidP="00CC246B">
            <w:pPr>
              <w:pStyle w:val="Item"/>
              <w:jc w:val="center"/>
              <w:rPr>
                <w:rFonts w:asciiTheme="minorHAnsi" w:hAnsiTheme="minorHAnsi" w:cstheme="minorHAnsi"/>
                <w:sz w:val="24"/>
                <w:szCs w:val="24"/>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79958F3F"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基礎</w:t>
            </w:r>
            <w:proofErr w:type="gramStart"/>
            <w:r w:rsidRPr="00CA1A43">
              <w:rPr>
                <w:rFonts w:asciiTheme="minorHAnsi" w:hAnsiTheme="minorHAnsi" w:cstheme="minorHAnsi"/>
                <w:sz w:val="24"/>
                <w:szCs w:val="24"/>
              </w:rPr>
              <w:t>原物料業</w:t>
            </w:r>
            <w:proofErr w:type="gramEnd"/>
            <w:r w:rsidRPr="00CA1A43">
              <w:rPr>
                <w:rFonts w:asciiTheme="minorHAnsi" w:hAnsiTheme="minorHAnsi" w:cstheme="minorHAnsi"/>
                <w:sz w:val="24"/>
                <w:szCs w:val="24"/>
              </w:rPr>
              <w:t>、能源業、農業、製造業、採礦業</w:t>
            </w:r>
          </w:p>
        </w:tc>
      </w:tr>
      <w:tr w:rsidR="00A143C0" w:rsidRPr="00CA1A43" w14:paraId="6191FB7B" w14:textId="77777777" w:rsidTr="00CC246B">
        <w:trPr>
          <w:trHeight w:val="612"/>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8511FDC"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B402C70" w14:textId="77777777" w:rsidR="00A143C0" w:rsidRPr="00CA1A43" w:rsidRDefault="00A143C0" w:rsidP="00CC246B">
            <w:pPr>
              <w:pStyle w:val="Item"/>
              <w:jc w:val="center"/>
              <w:rPr>
                <w:rFonts w:asciiTheme="minorHAnsi" w:hAnsiTheme="minorHAnsi" w:cstheme="minorHAnsi"/>
                <w:sz w:val="24"/>
                <w:szCs w:val="24"/>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7F5A5A6" w14:textId="77777777" w:rsidR="00A143C0" w:rsidRPr="00CA1A43" w:rsidRDefault="00A143C0" w:rsidP="00CC246B">
            <w:pPr>
              <w:pStyle w:val="Item"/>
              <w:jc w:val="center"/>
              <w:rPr>
                <w:rFonts w:asciiTheme="minorHAnsi" w:hAnsiTheme="minorHAnsi" w:cstheme="minorHAnsi"/>
                <w:sz w:val="24"/>
                <w:szCs w:val="24"/>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15E0866F"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金融業包含政府支持的金融業、不動產業、科技業</w:t>
            </w:r>
          </w:p>
        </w:tc>
      </w:tr>
      <w:tr w:rsidR="00A143C0" w:rsidRPr="00CA1A43" w14:paraId="2A53032D" w14:textId="77777777" w:rsidTr="00CC246B">
        <w:trPr>
          <w:trHeight w:val="1020"/>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8698F80"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4B2F7F8" w14:textId="77777777" w:rsidR="00A143C0" w:rsidRPr="00CA1A43" w:rsidRDefault="00A143C0" w:rsidP="00CC246B">
            <w:pPr>
              <w:pStyle w:val="Item"/>
              <w:jc w:val="center"/>
              <w:rPr>
                <w:rFonts w:asciiTheme="minorHAnsi" w:hAnsiTheme="minorHAnsi" w:cstheme="minorHAnsi"/>
                <w:sz w:val="24"/>
                <w:szCs w:val="24"/>
              </w:rPr>
            </w:pPr>
          </w:p>
        </w:tc>
        <w:tc>
          <w:tcPr>
            <w:tcW w:w="775" w:type="pct"/>
            <w:vMerge w:val="restar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0DFB019"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先進國家經濟體</w:t>
            </w: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073821A"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消費商品及服務業、運輸及倉儲業、管理及支援服務業、醫療保健業、公用事業</w:t>
            </w:r>
          </w:p>
        </w:tc>
      </w:tr>
      <w:tr w:rsidR="00A143C0" w:rsidRPr="00CA1A43" w14:paraId="4896D93D" w14:textId="77777777" w:rsidTr="00CC246B">
        <w:trPr>
          <w:trHeight w:val="194"/>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DADA61F"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9CAC5C3" w14:textId="77777777" w:rsidR="00A143C0" w:rsidRPr="00CA1A43" w:rsidRDefault="00A143C0" w:rsidP="00CC246B">
            <w:pPr>
              <w:pStyle w:val="Item"/>
              <w:jc w:val="center"/>
              <w:rPr>
                <w:rFonts w:asciiTheme="minorHAnsi" w:hAnsiTheme="minorHAnsi" w:cstheme="minorHAnsi"/>
                <w:sz w:val="24"/>
                <w:szCs w:val="24"/>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3117CCB" w14:textId="77777777" w:rsidR="00A143C0" w:rsidRPr="00CA1A43" w:rsidRDefault="00A143C0" w:rsidP="00CC246B">
            <w:pPr>
              <w:pStyle w:val="Item"/>
              <w:jc w:val="center"/>
              <w:rPr>
                <w:rFonts w:asciiTheme="minorHAnsi" w:hAnsiTheme="minorHAnsi" w:cstheme="minorHAnsi"/>
                <w:sz w:val="24"/>
                <w:szCs w:val="24"/>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0ED3F01"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電信業、工業</w:t>
            </w:r>
          </w:p>
        </w:tc>
      </w:tr>
      <w:tr w:rsidR="00A143C0" w:rsidRPr="00CA1A43" w14:paraId="64209975" w14:textId="77777777" w:rsidTr="00CC246B">
        <w:trPr>
          <w:trHeight w:val="612"/>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E18C4C3"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741513E" w14:textId="77777777" w:rsidR="00A143C0" w:rsidRPr="00CA1A43" w:rsidRDefault="00A143C0" w:rsidP="00CC246B">
            <w:pPr>
              <w:pStyle w:val="Item"/>
              <w:jc w:val="center"/>
              <w:rPr>
                <w:rFonts w:asciiTheme="minorHAnsi" w:hAnsiTheme="minorHAnsi" w:cstheme="minorHAnsi"/>
                <w:sz w:val="24"/>
                <w:szCs w:val="24"/>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FD6A0A6" w14:textId="77777777" w:rsidR="00A143C0" w:rsidRPr="00CA1A43" w:rsidRDefault="00A143C0" w:rsidP="00CC246B">
            <w:pPr>
              <w:pStyle w:val="Item"/>
              <w:jc w:val="center"/>
              <w:rPr>
                <w:rFonts w:asciiTheme="minorHAnsi" w:hAnsiTheme="minorHAnsi" w:cstheme="minorHAnsi"/>
                <w:sz w:val="24"/>
                <w:szCs w:val="24"/>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07DDD427"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基礎</w:t>
            </w:r>
            <w:proofErr w:type="gramStart"/>
            <w:r w:rsidRPr="00CA1A43">
              <w:rPr>
                <w:rFonts w:asciiTheme="minorHAnsi" w:hAnsiTheme="minorHAnsi" w:cstheme="minorHAnsi"/>
                <w:sz w:val="24"/>
                <w:szCs w:val="24"/>
              </w:rPr>
              <w:t>原物料業</w:t>
            </w:r>
            <w:proofErr w:type="gramEnd"/>
            <w:r w:rsidRPr="00CA1A43">
              <w:rPr>
                <w:rFonts w:asciiTheme="minorHAnsi" w:hAnsiTheme="minorHAnsi" w:cstheme="minorHAnsi"/>
                <w:sz w:val="24"/>
                <w:szCs w:val="24"/>
              </w:rPr>
              <w:t>、能源業、農業、製造業、採礦業</w:t>
            </w:r>
          </w:p>
        </w:tc>
      </w:tr>
      <w:tr w:rsidR="00A143C0" w:rsidRPr="00CA1A43" w14:paraId="0C785981" w14:textId="77777777" w:rsidTr="00CC246B">
        <w:trPr>
          <w:trHeight w:val="612"/>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1AC0DAC"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095561A" w14:textId="77777777" w:rsidR="00A143C0" w:rsidRPr="00CA1A43" w:rsidRDefault="00A143C0" w:rsidP="00CC246B">
            <w:pPr>
              <w:pStyle w:val="Item"/>
              <w:jc w:val="center"/>
              <w:rPr>
                <w:rFonts w:asciiTheme="minorHAnsi" w:hAnsiTheme="minorHAnsi" w:cstheme="minorHAnsi"/>
                <w:sz w:val="24"/>
                <w:szCs w:val="24"/>
              </w:rPr>
            </w:pPr>
          </w:p>
        </w:tc>
        <w:tc>
          <w:tcPr>
            <w:tcW w:w="775"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C14FC64" w14:textId="77777777" w:rsidR="00A143C0" w:rsidRPr="00CA1A43" w:rsidRDefault="00A143C0" w:rsidP="00CC246B">
            <w:pPr>
              <w:pStyle w:val="Item"/>
              <w:jc w:val="center"/>
              <w:rPr>
                <w:rFonts w:asciiTheme="minorHAnsi" w:hAnsiTheme="minorHAnsi" w:cstheme="minorHAnsi"/>
                <w:sz w:val="24"/>
                <w:szCs w:val="24"/>
              </w:rPr>
            </w:pP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1C232CBF"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金融業包含政府支持的金融業、不動產業、科技業</w:t>
            </w:r>
          </w:p>
        </w:tc>
      </w:tr>
      <w:tr w:rsidR="00A143C0" w:rsidRPr="00CA1A43" w14:paraId="24A188C8" w14:textId="77777777" w:rsidTr="00CC246B">
        <w:trPr>
          <w:trHeight w:val="399"/>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00E7399"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524" w:type="pct"/>
            <w:vMerge w:val="restar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5755DDE"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小型</w:t>
            </w:r>
          </w:p>
        </w:tc>
        <w:tc>
          <w:tcPr>
            <w:tcW w:w="7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29EEAB6"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新興市場經濟體</w:t>
            </w: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59F2028"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同組別</w:t>
            </w:r>
            <w:r w:rsidRPr="00CA1A43">
              <w:rPr>
                <w:rFonts w:asciiTheme="minorHAnsi" w:hAnsiTheme="minorHAnsi" w:cstheme="minorHAnsi"/>
                <w:sz w:val="24"/>
                <w:szCs w:val="24"/>
              </w:rPr>
              <w:t xml:space="preserve">1, 2, 3 </w:t>
            </w:r>
            <w:r w:rsidRPr="00CA1A43">
              <w:rPr>
                <w:rFonts w:asciiTheme="minorHAnsi" w:hAnsiTheme="minorHAnsi" w:cstheme="minorHAnsi"/>
                <w:sz w:val="24"/>
                <w:szCs w:val="24"/>
              </w:rPr>
              <w:t>及</w:t>
            </w:r>
            <w:r w:rsidRPr="00CA1A43">
              <w:rPr>
                <w:rFonts w:asciiTheme="minorHAnsi" w:hAnsiTheme="minorHAnsi" w:cstheme="minorHAnsi"/>
                <w:sz w:val="24"/>
                <w:szCs w:val="24"/>
              </w:rPr>
              <w:t>4</w:t>
            </w:r>
            <w:r w:rsidRPr="00CA1A43">
              <w:rPr>
                <w:rFonts w:asciiTheme="minorHAnsi" w:hAnsiTheme="minorHAnsi" w:cstheme="minorHAnsi"/>
                <w:sz w:val="24"/>
                <w:szCs w:val="24"/>
              </w:rPr>
              <w:t>之產業描述</w:t>
            </w:r>
          </w:p>
        </w:tc>
      </w:tr>
      <w:tr w:rsidR="00A143C0" w:rsidRPr="00CA1A43" w14:paraId="3A4B6577" w14:textId="77777777" w:rsidTr="00CC246B">
        <w:trPr>
          <w:trHeight w:val="408"/>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40929DC"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c>
          <w:tcPr>
            <w:tcW w:w="524" w:type="pct"/>
            <w:vMerge/>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E97C885" w14:textId="77777777" w:rsidR="00A143C0" w:rsidRPr="00CA1A43" w:rsidRDefault="00A143C0" w:rsidP="00CC246B">
            <w:pPr>
              <w:pStyle w:val="Item"/>
              <w:jc w:val="center"/>
              <w:rPr>
                <w:rFonts w:asciiTheme="minorHAnsi" w:hAnsiTheme="minorHAnsi" w:cstheme="minorHAnsi"/>
                <w:sz w:val="24"/>
                <w:szCs w:val="24"/>
              </w:rPr>
            </w:pPr>
          </w:p>
        </w:tc>
        <w:tc>
          <w:tcPr>
            <w:tcW w:w="7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FF469DD"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先進國家經濟體</w:t>
            </w:r>
          </w:p>
        </w:tc>
        <w:tc>
          <w:tcPr>
            <w:tcW w:w="2542"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E8E0B11"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同組別</w:t>
            </w:r>
            <w:r w:rsidRPr="00CA1A43">
              <w:rPr>
                <w:rFonts w:asciiTheme="minorHAnsi" w:hAnsiTheme="minorHAnsi" w:cstheme="minorHAnsi"/>
                <w:sz w:val="24"/>
                <w:szCs w:val="24"/>
              </w:rPr>
              <w:t xml:space="preserve">5, 6, 7 </w:t>
            </w:r>
            <w:r w:rsidRPr="00CA1A43">
              <w:rPr>
                <w:rFonts w:asciiTheme="minorHAnsi" w:hAnsiTheme="minorHAnsi" w:cstheme="minorHAnsi"/>
                <w:sz w:val="24"/>
                <w:szCs w:val="24"/>
              </w:rPr>
              <w:t>及</w:t>
            </w:r>
            <w:r w:rsidRPr="00CA1A43">
              <w:rPr>
                <w:rFonts w:asciiTheme="minorHAnsi" w:hAnsiTheme="minorHAnsi" w:cstheme="minorHAnsi"/>
                <w:sz w:val="24"/>
                <w:szCs w:val="24"/>
              </w:rPr>
              <w:t>8</w:t>
            </w:r>
            <w:r w:rsidRPr="00CA1A43">
              <w:rPr>
                <w:rFonts w:asciiTheme="minorHAnsi" w:hAnsiTheme="minorHAnsi" w:cstheme="minorHAnsi"/>
                <w:sz w:val="24"/>
                <w:szCs w:val="24"/>
              </w:rPr>
              <w:t>之產業描述</w:t>
            </w:r>
          </w:p>
        </w:tc>
      </w:tr>
      <w:tr w:rsidR="00A143C0" w:rsidRPr="00CA1A43" w14:paraId="66A735F8" w14:textId="77777777" w:rsidTr="00CC246B">
        <w:trPr>
          <w:trHeight w:val="203"/>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9805B59"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3841" w:type="pct"/>
            <w:gridSpan w:val="4"/>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C3D4C5C"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其他產業</w:t>
            </w:r>
            <w:r w:rsidR="003B1CCC" w:rsidRPr="00CA1A43">
              <w:rPr>
                <w:rStyle w:val="a5"/>
                <w:rFonts w:asciiTheme="minorHAnsi" w:hAnsiTheme="minorHAnsi" w:cstheme="minorHAnsi"/>
              </w:rPr>
              <w:footnoteReference w:id="32"/>
            </w:r>
          </w:p>
        </w:tc>
      </w:tr>
      <w:tr w:rsidR="00A143C0" w:rsidRPr="00CA1A43" w14:paraId="301FF6C4" w14:textId="77777777" w:rsidTr="00CC246B">
        <w:trPr>
          <w:trHeight w:val="399"/>
        </w:trPr>
        <w:tc>
          <w:tcPr>
            <w:tcW w:w="1159"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7CE4F0D"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12</w:t>
            </w:r>
          </w:p>
        </w:tc>
        <w:tc>
          <w:tcPr>
            <w:tcW w:w="3841" w:type="pct"/>
            <w:gridSpan w:val="4"/>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00BB650B"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大型市值，先進國家</w:t>
            </w:r>
            <w:r w:rsidR="003B1CCC" w:rsidRPr="00CA1A43">
              <w:rPr>
                <w:rStyle w:val="a5"/>
                <w:rFonts w:asciiTheme="minorHAnsi" w:hAnsiTheme="minorHAnsi" w:cstheme="minorHAnsi"/>
              </w:rPr>
              <w:footnoteReference w:id="33"/>
            </w:r>
            <w:r w:rsidRPr="00CA1A43">
              <w:rPr>
                <w:rFonts w:asciiTheme="minorHAnsi" w:hAnsiTheme="minorHAnsi" w:cstheme="minorHAnsi"/>
                <w:sz w:val="24"/>
                <w:szCs w:val="24"/>
              </w:rPr>
              <w:t>經濟體股票指數</w:t>
            </w:r>
            <w:r w:rsidRPr="00CA1A43">
              <w:rPr>
                <w:rFonts w:asciiTheme="minorHAnsi" w:hAnsiTheme="minorHAnsi" w:cstheme="minorHAnsi"/>
                <w:sz w:val="24"/>
                <w:szCs w:val="24"/>
              </w:rPr>
              <w:t>(</w:t>
            </w:r>
            <w:r w:rsidRPr="00CA1A43">
              <w:rPr>
                <w:rFonts w:asciiTheme="minorHAnsi" w:hAnsiTheme="minorHAnsi" w:cstheme="minorHAnsi"/>
                <w:sz w:val="24"/>
                <w:szCs w:val="24"/>
              </w:rPr>
              <w:t>非特定產業</w:t>
            </w:r>
            <w:r w:rsidRPr="00CA1A43">
              <w:rPr>
                <w:rFonts w:asciiTheme="minorHAnsi" w:hAnsiTheme="minorHAnsi" w:cstheme="minorHAnsi"/>
                <w:sz w:val="24"/>
                <w:szCs w:val="24"/>
              </w:rPr>
              <w:t>)</w:t>
            </w:r>
          </w:p>
        </w:tc>
      </w:tr>
      <w:tr w:rsidR="00A143C0" w:rsidRPr="00CA1A43" w14:paraId="3B09CEBF" w14:textId="77777777" w:rsidTr="00CC246B">
        <w:trPr>
          <w:trHeight w:val="203"/>
        </w:trPr>
        <w:tc>
          <w:tcPr>
            <w:tcW w:w="1159" w:type="pct"/>
            <w:tcBorders>
              <w:top w:val="single" w:sz="8" w:space="0" w:color="A6A6A6" w:themeColor="background1" w:themeShade="A6"/>
              <w:right w:val="single" w:sz="8" w:space="0" w:color="A6A6A6" w:themeColor="background1" w:themeShade="A6"/>
            </w:tcBorders>
            <w:vAlign w:val="center"/>
          </w:tcPr>
          <w:p w14:paraId="554A97A4"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w:t>
            </w:r>
          </w:p>
        </w:tc>
        <w:tc>
          <w:tcPr>
            <w:tcW w:w="3841" w:type="pct"/>
            <w:gridSpan w:val="4"/>
            <w:tcBorders>
              <w:top w:val="single" w:sz="8" w:space="0" w:color="A6A6A6" w:themeColor="background1" w:themeShade="A6"/>
              <w:left w:val="single" w:sz="8" w:space="0" w:color="A6A6A6" w:themeColor="background1" w:themeShade="A6"/>
            </w:tcBorders>
            <w:vAlign w:val="center"/>
          </w:tcPr>
          <w:p w14:paraId="29A85D23" w14:textId="77777777" w:rsidR="00A143C0" w:rsidRPr="00CA1A43" w:rsidRDefault="00A143C0"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其他股票指數</w:t>
            </w:r>
            <w:r w:rsidRPr="00CA1A43">
              <w:rPr>
                <w:rFonts w:asciiTheme="minorHAnsi" w:hAnsiTheme="minorHAnsi" w:cstheme="minorHAnsi"/>
                <w:sz w:val="24"/>
                <w:szCs w:val="24"/>
              </w:rPr>
              <w:t>(</w:t>
            </w:r>
            <w:r w:rsidRPr="00CA1A43">
              <w:rPr>
                <w:rFonts w:asciiTheme="minorHAnsi" w:hAnsiTheme="minorHAnsi" w:cstheme="minorHAnsi"/>
                <w:sz w:val="24"/>
                <w:szCs w:val="24"/>
              </w:rPr>
              <w:t>非特定產業</w:t>
            </w:r>
            <w:r w:rsidRPr="00CA1A43">
              <w:rPr>
                <w:rFonts w:asciiTheme="minorHAnsi" w:hAnsiTheme="minorHAnsi" w:cstheme="minorHAnsi"/>
                <w:sz w:val="24"/>
                <w:szCs w:val="24"/>
              </w:rPr>
              <w:t>)</w:t>
            </w:r>
          </w:p>
        </w:tc>
      </w:tr>
    </w:tbl>
    <w:p w14:paraId="024D56B9" w14:textId="77777777" w:rsidR="00A143C0" w:rsidRPr="00CA1A43" w:rsidRDefault="00A143C0" w:rsidP="00605B1D">
      <w:pPr>
        <w:pStyle w:val="a7"/>
        <w:numPr>
          <w:ilvl w:val="0"/>
          <w:numId w:val="121"/>
        </w:numPr>
        <w:spacing w:beforeLines="50" w:before="180"/>
        <w:ind w:leftChars="0" w:left="1446" w:hanging="482"/>
        <w:jc w:val="both"/>
        <w:rPr>
          <w:rFonts w:eastAsia="標楷體" w:cstheme="minorHAnsi"/>
        </w:rPr>
      </w:pPr>
      <w:r w:rsidRPr="00CA1A43">
        <w:rPr>
          <w:rFonts w:eastAsia="標楷體" w:cstheme="minorHAnsi"/>
        </w:rPr>
        <w:t>銀行應依市場上區分發行人產業別的常用方式，</w:t>
      </w:r>
      <w:proofErr w:type="gramStart"/>
      <w:r w:rsidRPr="00CA1A43">
        <w:rPr>
          <w:rFonts w:eastAsia="標楷體" w:cstheme="minorHAnsi"/>
        </w:rPr>
        <w:t>將暴險指定</w:t>
      </w:r>
      <w:proofErr w:type="gramEnd"/>
      <w:r w:rsidRPr="00CA1A43">
        <w:rPr>
          <w:rFonts w:eastAsia="標楷體" w:cstheme="minorHAnsi"/>
        </w:rPr>
        <w:t>至單一產業別：</w:t>
      </w:r>
    </w:p>
    <w:p w14:paraId="6C04A8CF" w14:textId="77777777" w:rsidR="00A143C0" w:rsidRPr="00CA1A43" w:rsidRDefault="00A143C0" w:rsidP="00605B1D">
      <w:pPr>
        <w:pStyle w:val="a7"/>
        <w:numPr>
          <w:ilvl w:val="0"/>
          <w:numId w:val="122"/>
        </w:numPr>
        <w:spacing w:beforeLines="50" w:before="180"/>
        <w:ind w:leftChars="0"/>
        <w:jc w:val="both"/>
        <w:rPr>
          <w:rFonts w:eastAsia="標楷體" w:cstheme="minorHAnsi"/>
        </w:rPr>
      </w:pPr>
      <w:r w:rsidRPr="00CA1A43">
        <w:rPr>
          <w:rFonts w:eastAsia="標楷體" w:cstheme="minorHAnsi"/>
        </w:rPr>
        <w:t>銀行須將每一發行人</w:t>
      </w:r>
      <w:proofErr w:type="gramStart"/>
      <w:r w:rsidRPr="00CA1A43">
        <w:rPr>
          <w:rFonts w:eastAsia="標楷體" w:cstheme="minorHAnsi"/>
        </w:rPr>
        <w:t>指定到表</w:t>
      </w:r>
      <w:proofErr w:type="gramEnd"/>
      <w:r w:rsidRPr="00CA1A43">
        <w:rPr>
          <w:rFonts w:eastAsia="標楷體" w:cstheme="minorHAnsi"/>
        </w:rPr>
        <w:t>9</w:t>
      </w:r>
      <w:r w:rsidRPr="00CA1A43">
        <w:rPr>
          <w:rFonts w:eastAsia="標楷體" w:cstheme="minorHAnsi"/>
        </w:rPr>
        <w:t>之產業分類，且所有相同產業之發行者應指定至同一產業別。</w:t>
      </w:r>
    </w:p>
    <w:p w14:paraId="09CCF07C" w14:textId="77777777" w:rsidR="00A143C0" w:rsidRPr="00CA1A43" w:rsidRDefault="00A143C0" w:rsidP="00605B1D">
      <w:pPr>
        <w:pStyle w:val="a7"/>
        <w:numPr>
          <w:ilvl w:val="0"/>
          <w:numId w:val="122"/>
        </w:numPr>
        <w:spacing w:beforeLines="50" w:before="180"/>
        <w:ind w:leftChars="0"/>
        <w:jc w:val="both"/>
        <w:rPr>
          <w:rFonts w:eastAsia="標楷體" w:cstheme="minorHAnsi"/>
        </w:rPr>
      </w:pPr>
      <w:r w:rsidRPr="00CA1A43">
        <w:rPr>
          <w:rFonts w:eastAsia="標楷體" w:cstheme="minorHAnsi"/>
        </w:rPr>
        <w:t>無法依上述表格分類者，應分類在「其他產業」</w:t>
      </w:r>
      <w:r w:rsidRPr="00CA1A43">
        <w:rPr>
          <w:rFonts w:eastAsia="標楷體" w:cstheme="minorHAnsi"/>
        </w:rPr>
        <w:t>(</w:t>
      </w:r>
      <w:r w:rsidRPr="00CA1A43">
        <w:rPr>
          <w:rFonts w:eastAsia="標楷體" w:cstheme="minorHAnsi"/>
        </w:rPr>
        <w:t>即組別</w:t>
      </w:r>
      <w:r w:rsidRPr="00CA1A43">
        <w:rPr>
          <w:rFonts w:eastAsia="標楷體" w:cstheme="minorHAnsi"/>
        </w:rPr>
        <w:t>11)</w:t>
      </w:r>
      <w:r w:rsidRPr="00CA1A43">
        <w:rPr>
          <w:rFonts w:eastAsia="標楷體" w:cstheme="minorHAnsi"/>
        </w:rPr>
        <w:t>。</w:t>
      </w:r>
    </w:p>
    <w:p w14:paraId="16328304" w14:textId="77777777" w:rsidR="00A143C0" w:rsidRPr="00CA1A43" w:rsidRDefault="00A143C0" w:rsidP="00605B1D">
      <w:pPr>
        <w:pStyle w:val="a7"/>
        <w:numPr>
          <w:ilvl w:val="0"/>
          <w:numId w:val="122"/>
        </w:numPr>
        <w:spacing w:beforeLines="50" w:before="180"/>
        <w:ind w:leftChars="0"/>
        <w:jc w:val="both"/>
        <w:rPr>
          <w:rFonts w:eastAsia="標楷體" w:cstheme="minorHAnsi"/>
        </w:rPr>
      </w:pPr>
      <w:r w:rsidRPr="00CA1A43">
        <w:rPr>
          <w:rFonts w:eastAsia="標楷體" w:cstheme="minorHAnsi"/>
        </w:rPr>
        <w:t>針對跨國跨產業之權益證券發行人，必須根據該發行人最主要營運之區域與產業來指定其組別。</w:t>
      </w:r>
    </w:p>
    <w:p w14:paraId="2AD8EC3F" w14:textId="77777777" w:rsidR="00A143C0" w:rsidRPr="00CA1A43" w:rsidRDefault="00944AAA" w:rsidP="00605B1D">
      <w:pPr>
        <w:pStyle w:val="a7"/>
        <w:numPr>
          <w:ilvl w:val="0"/>
          <w:numId w:val="121"/>
        </w:numPr>
        <w:spacing w:beforeLines="50" w:before="180"/>
        <w:ind w:leftChars="0" w:left="1446" w:hanging="482"/>
        <w:jc w:val="both"/>
        <w:rPr>
          <w:rFonts w:eastAsia="標楷體" w:cstheme="minorHAnsi"/>
        </w:rPr>
      </w:pPr>
      <w:r w:rsidRPr="00CA1A43">
        <w:rPr>
          <w:rFonts w:eastAsia="標楷體" w:cstheme="minorHAnsi"/>
        </w:rPr>
        <w:t>計算加權敏感性部位，組別</w:t>
      </w:r>
      <w:r w:rsidRPr="00CA1A43">
        <w:rPr>
          <w:rFonts w:eastAsia="標楷體" w:cstheme="minorHAnsi"/>
        </w:rPr>
        <w:t>1</w:t>
      </w:r>
      <w:r w:rsidRPr="00CA1A43">
        <w:rPr>
          <w:rFonts w:eastAsia="標楷體" w:cstheme="minorHAnsi"/>
        </w:rPr>
        <w:t>到</w:t>
      </w:r>
      <w:r w:rsidRPr="00CA1A43">
        <w:rPr>
          <w:rFonts w:eastAsia="標楷體" w:cstheme="minorHAnsi"/>
        </w:rPr>
        <w:t>13</w:t>
      </w:r>
      <w:r w:rsidRPr="00CA1A43">
        <w:rPr>
          <w:rFonts w:eastAsia="標楷體" w:cstheme="minorHAnsi"/>
        </w:rPr>
        <w:t>權益證券現貨價格及權益證券附買回利率敏感性部位對應風險權數如表</w:t>
      </w:r>
      <w:r w:rsidRPr="00CA1A43">
        <w:rPr>
          <w:rFonts w:eastAsia="標楷體" w:cstheme="minorHAnsi"/>
        </w:rPr>
        <w:t>10</w:t>
      </w:r>
      <w:r w:rsidRPr="00CA1A43">
        <w:rPr>
          <w:rFonts w:eastAsia="標楷體" w:cstheme="minorHAnsi"/>
        </w:rPr>
        <w:t>：</w:t>
      </w:r>
    </w:p>
    <w:tbl>
      <w:tblPr>
        <w:tblW w:w="4146" w:type="pct"/>
        <w:tblInd w:w="141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411"/>
        <w:gridCol w:w="2125"/>
        <w:gridCol w:w="1559"/>
        <w:gridCol w:w="792"/>
      </w:tblGrid>
      <w:tr w:rsidR="00944AAA" w:rsidRPr="00CA1A43" w14:paraId="11BC65C2" w14:textId="77777777" w:rsidTr="00944AAA">
        <w:trPr>
          <w:trHeight w:val="454"/>
        </w:trPr>
        <w:tc>
          <w:tcPr>
            <w:tcW w:w="4425" w:type="pct"/>
            <w:gridSpan w:val="3"/>
            <w:tcBorders>
              <w:right w:val="nil"/>
            </w:tcBorders>
            <w:vAlign w:val="center"/>
          </w:tcPr>
          <w:p w14:paraId="5EEC04C7" w14:textId="77777777" w:rsidR="00944AAA" w:rsidRPr="00CA1A43" w:rsidRDefault="00944AAA"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權益證券風險敏感性部位組別</w:t>
            </w:r>
            <w:r w:rsidRPr="00CA1A43">
              <w:rPr>
                <w:rFonts w:asciiTheme="minorHAnsi" w:hAnsiTheme="minorHAnsi" w:cstheme="minorHAnsi"/>
                <w:sz w:val="24"/>
                <w:szCs w:val="24"/>
              </w:rPr>
              <w:t>1</w:t>
            </w:r>
            <w:r w:rsidRPr="00CA1A43">
              <w:rPr>
                <w:rFonts w:asciiTheme="minorHAnsi" w:hAnsiTheme="minorHAnsi" w:cstheme="minorHAnsi"/>
                <w:sz w:val="24"/>
                <w:szCs w:val="24"/>
              </w:rPr>
              <w:t>到</w:t>
            </w:r>
            <w:r w:rsidRPr="00CA1A43">
              <w:rPr>
                <w:rFonts w:asciiTheme="minorHAnsi" w:hAnsiTheme="minorHAnsi" w:cstheme="minorHAnsi"/>
                <w:sz w:val="24"/>
                <w:szCs w:val="24"/>
              </w:rPr>
              <w:t>13</w:t>
            </w:r>
            <w:r w:rsidRPr="00CA1A43">
              <w:rPr>
                <w:rFonts w:asciiTheme="minorHAnsi" w:hAnsiTheme="minorHAnsi" w:cstheme="minorHAnsi"/>
                <w:sz w:val="24"/>
                <w:szCs w:val="24"/>
              </w:rPr>
              <w:t>對應之風險權數</w:t>
            </w:r>
          </w:p>
        </w:tc>
        <w:tc>
          <w:tcPr>
            <w:tcW w:w="575" w:type="pct"/>
            <w:tcBorders>
              <w:left w:val="nil"/>
            </w:tcBorders>
            <w:vAlign w:val="center"/>
          </w:tcPr>
          <w:p w14:paraId="1F80229B" w14:textId="77777777" w:rsidR="00944AAA" w:rsidRPr="00CA1A43" w:rsidRDefault="00944AAA" w:rsidP="00CC246B">
            <w:pPr>
              <w:pStyle w:val="Item"/>
              <w:ind w:left="14"/>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10</w:t>
            </w:r>
          </w:p>
        </w:tc>
      </w:tr>
      <w:tr w:rsidR="00944AAA" w:rsidRPr="00CA1A43" w14:paraId="6CDD4C64" w14:textId="77777777" w:rsidTr="000F3B4F">
        <w:trPr>
          <w:trHeight w:val="139"/>
        </w:trPr>
        <w:tc>
          <w:tcPr>
            <w:tcW w:w="1750" w:type="pct"/>
            <w:tcBorders>
              <w:bottom w:val="single" w:sz="4" w:space="0" w:color="auto"/>
              <w:right w:val="single" w:sz="8" w:space="0" w:color="A6A6A6" w:themeColor="background1" w:themeShade="A6"/>
            </w:tcBorders>
            <w:vAlign w:val="center"/>
          </w:tcPr>
          <w:p w14:paraId="039887F7"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1543" w:type="pct"/>
            <w:tcBorders>
              <w:left w:val="single" w:sz="8" w:space="0" w:color="A6A6A6" w:themeColor="background1" w:themeShade="A6"/>
              <w:bottom w:val="single" w:sz="4" w:space="0" w:color="auto"/>
              <w:right w:val="single" w:sz="8" w:space="0" w:color="A6A6A6" w:themeColor="background1" w:themeShade="A6"/>
            </w:tcBorders>
            <w:vAlign w:val="center"/>
          </w:tcPr>
          <w:p w14:paraId="0DA4C2F5"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權益證券價格之風險權數</w:t>
            </w:r>
            <w:r w:rsidRPr="00CA1A43">
              <w:rPr>
                <w:rFonts w:asciiTheme="minorHAnsi" w:hAnsiTheme="minorHAnsi" w:cstheme="minorHAnsi"/>
                <w:sz w:val="24"/>
                <w:szCs w:val="24"/>
              </w:rPr>
              <w:t>(%)</w:t>
            </w:r>
          </w:p>
        </w:tc>
        <w:tc>
          <w:tcPr>
            <w:tcW w:w="1707" w:type="pct"/>
            <w:gridSpan w:val="2"/>
            <w:tcBorders>
              <w:left w:val="single" w:sz="8" w:space="0" w:color="A6A6A6" w:themeColor="background1" w:themeShade="A6"/>
              <w:bottom w:val="single" w:sz="4" w:space="0" w:color="auto"/>
            </w:tcBorders>
            <w:vAlign w:val="center"/>
          </w:tcPr>
          <w:p w14:paraId="04D7FBA3"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權益證券附買回利率之風險權數</w:t>
            </w:r>
            <w:r w:rsidRPr="00CA1A43">
              <w:rPr>
                <w:rFonts w:asciiTheme="minorHAnsi" w:hAnsiTheme="minorHAnsi" w:cstheme="minorHAnsi"/>
                <w:sz w:val="24"/>
                <w:szCs w:val="24"/>
              </w:rPr>
              <w:t>(%)</w:t>
            </w:r>
          </w:p>
        </w:tc>
      </w:tr>
      <w:tr w:rsidR="00944AAA" w:rsidRPr="00CA1A43" w14:paraId="2B9A7040" w14:textId="77777777" w:rsidTr="000F3B4F">
        <w:trPr>
          <w:trHeight w:val="86"/>
        </w:trPr>
        <w:tc>
          <w:tcPr>
            <w:tcW w:w="1750" w:type="pct"/>
            <w:tcBorders>
              <w:bottom w:val="single" w:sz="8" w:space="0" w:color="A6A6A6" w:themeColor="background1" w:themeShade="A6"/>
              <w:right w:val="single" w:sz="8" w:space="0" w:color="A6A6A6" w:themeColor="background1" w:themeShade="A6"/>
            </w:tcBorders>
            <w:vAlign w:val="center"/>
          </w:tcPr>
          <w:p w14:paraId="00C890AB"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1543" w:type="pc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96298CF"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55%</w:t>
            </w:r>
          </w:p>
        </w:tc>
        <w:tc>
          <w:tcPr>
            <w:tcW w:w="1707" w:type="pct"/>
            <w:gridSpan w:val="2"/>
            <w:tcBorders>
              <w:left w:val="single" w:sz="8" w:space="0" w:color="A6A6A6" w:themeColor="background1" w:themeShade="A6"/>
              <w:bottom w:val="single" w:sz="8" w:space="0" w:color="A6A6A6" w:themeColor="background1" w:themeShade="A6"/>
            </w:tcBorders>
            <w:vAlign w:val="center"/>
          </w:tcPr>
          <w:p w14:paraId="468D08E1"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0.55%</w:t>
            </w:r>
          </w:p>
        </w:tc>
      </w:tr>
      <w:tr w:rsidR="00944AAA" w:rsidRPr="00CA1A43" w14:paraId="45498730"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ED11493"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60F36A1"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60%</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0AF6F31"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944AAA" w:rsidRPr="00CA1A43" w14:paraId="6D942F22"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0D414DB"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330D5EC"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45%</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138B99B3"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0.45%</w:t>
            </w:r>
          </w:p>
        </w:tc>
      </w:tr>
      <w:tr w:rsidR="00944AAA" w:rsidRPr="00CA1A43" w14:paraId="3E8C14B1"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8E113A6"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DBBC184"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55%</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6FBA23F"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0.55%</w:t>
            </w:r>
          </w:p>
        </w:tc>
      </w:tr>
      <w:tr w:rsidR="00944AAA" w:rsidRPr="00CA1A43" w14:paraId="6D511795"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F02A0EC"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2E43050"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71E37D7"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0.30%</w:t>
            </w:r>
          </w:p>
        </w:tc>
      </w:tr>
      <w:tr w:rsidR="00944AAA" w:rsidRPr="00CA1A43" w14:paraId="702CB4AA"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B029F38"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EA31D5C"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2AA091F"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0.35%</w:t>
            </w:r>
          </w:p>
        </w:tc>
      </w:tr>
      <w:tr w:rsidR="00944AAA" w:rsidRPr="00CA1A43" w14:paraId="629C6FC8"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E1BC5C1"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A7E81D1"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3246D66A"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0.40%</w:t>
            </w:r>
          </w:p>
        </w:tc>
      </w:tr>
      <w:tr w:rsidR="00944AAA" w:rsidRPr="00CA1A43" w14:paraId="40576154"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6792C3E"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1A2FF2C"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3523FAC0"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0.50%</w:t>
            </w:r>
          </w:p>
        </w:tc>
      </w:tr>
      <w:tr w:rsidR="00944AAA" w:rsidRPr="00CA1A43" w14:paraId="5E753CE7"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33DBB97"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2527529"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70%</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50656F8C"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0.70%</w:t>
            </w:r>
          </w:p>
        </w:tc>
      </w:tr>
      <w:tr w:rsidR="00944AAA" w:rsidRPr="00CA1A43" w14:paraId="4CA0D243"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2AE4B19"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383EE7A"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7760837A"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0.50%</w:t>
            </w:r>
          </w:p>
        </w:tc>
      </w:tr>
      <w:tr w:rsidR="00944AAA" w:rsidRPr="00CA1A43" w14:paraId="1EBD6D31" w14:textId="77777777" w:rsidTr="000F3B4F">
        <w:trPr>
          <w:trHeight w:val="86"/>
        </w:trPr>
        <w:tc>
          <w:tcPr>
            <w:tcW w:w="175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0AF2064"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1543"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97A842D"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70%</w:t>
            </w:r>
          </w:p>
        </w:tc>
        <w:tc>
          <w:tcPr>
            <w:tcW w:w="1707"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1C2DA91D"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0.70%</w:t>
            </w:r>
          </w:p>
        </w:tc>
      </w:tr>
      <w:tr w:rsidR="00944AAA" w:rsidRPr="00CA1A43" w14:paraId="094ADF55" w14:textId="77777777" w:rsidTr="000F3B4F">
        <w:trPr>
          <w:trHeight w:val="86"/>
        </w:trPr>
        <w:tc>
          <w:tcPr>
            <w:tcW w:w="1750" w:type="pct"/>
            <w:tcBorders>
              <w:top w:val="single" w:sz="8" w:space="0" w:color="A6A6A6" w:themeColor="background1" w:themeShade="A6"/>
              <w:right w:val="single" w:sz="8" w:space="0" w:color="A6A6A6" w:themeColor="background1" w:themeShade="A6"/>
            </w:tcBorders>
            <w:vAlign w:val="center"/>
          </w:tcPr>
          <w:p w14:paraId="6412B85B"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w:t>
            </w:r>
          </w:p>
        </w:tc>
        <w:tc>
          <w:tcPr>
            <w:tcW w:w="1543" w:type="pct"/>
            <w:tcBorders>
              <w:top w:val="single" w:sz="8" w:space="0" w:color="A6A6A6" w:themeColor="background1" w:themeShade="A6"/>
              <w:left w:val="single" w:sz="8" w:space="0" w:color="A6A6A6" w:themeColor="background1" w:themeShade="A6"/>
              <w:right w:val="single" w:sz="8" w:space="0" w:color="A6A6A6" w:themeColor="background1" w:themeShade="A6"/>
            </w:tcBorders>
            <w:vAlign w:val="center"/>
          </w:tcPr>
          <w:p w14:paraId="3D3766CE"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c>
          <w:tcPr>
            <w:tcW w:w="1707" w:type="pct"/>
            <w:gridSpan w:val="2"/>
            <w:tcBorders>
              <w:top w:val="single" w:sz="8" w:space="0" w:color="A6A6A6" w:themeColor="background1" w:themeShade="A6"/>
              <w:left w:val="single" w:sz="8" w:space="0" w:color="A6A6A6" w:themeColor="background1" w:themeShade="A6"/>
            </w:tcBorders>
            <w:vAlign w:val="center"/>
          </w:tcPr>
          <w:p w14:paraId="116FCE52"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0.15%</w:t>
            </w:r>
          </w:p>
        </w:tc>
      </w:tr>
      <w:tr w:rsidR="00944AAA" w:rsidRPr="00CA1A43" w14:paraId="6712979F" w14:textId="77777777" w:rsidTr="000F3B4F">
        <w:trPr>
          <w:trHeight w:val="86"/>
        </w:trPr>
        <w:tc>
          <w:tcPr>
            <w:tcW w:w="1750" w:type="pct"/>
            <w:tcBorders>
              <w:right w:val="single" w:sz="8" w:space="0" w:color="A6A6A6" w:themeColor="background1" w:themeShade="A6"/>
            </w:tcBorders>
            <w:vAlign w:val="center"/>
          </w:tcPr>
          <w:p w14:paraId="1866748E"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13</w:t>
            </w:r>
          </w:p>
        </w:tc>
        <w:tc>
          <w:tcPr>
            <w:tcW w:w="1543" w:type="pct"/>
            <w:tcBorders>
              <w:left w:val="single" w:sz="8" w:space="0" w:color="A6A6A6" w:themeColor="background1" w:themeShade="A6"/>
              <w:right w:val="single" w:sz="8" w:space="0" w:color="A6A6A6" w:themeColor="background1" w:themeShade="A6"/>
            </w:tcBorders>
            <w:vAlign w:val="center"/>
          </w:tcPr>
          <w:p w14:paraId="2D9239AA"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25%</w:t>
            </w:r>
          </w:p>
        </w:tc>
        <w:tc>
          <w:tcPr>
            <w:tcW w:w="1707" w:type="pct"/>
            <w:gridSpan w:val="2"/>
            <w:tcBorders>
              <w:left w:val="single" w:sz="8" w:space="0" w:color="A6A6A6" w:themeColor="background1" w:themeShade="A6"/>
            </w:tcBorders>
            <w:vAlign w:val="center"/>
          </w:tcPr>
          <w:p w14:paraId="5DBAEC92" w14:textId="77777777" w:rsidR="00944AAA" w:rsidRPr="00CA1A43" w:rsidRDefault="00944AAA"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0.25%</w:t>
            </w:r>
          </w:p>
        </w:tc>
      </w:tr>
    </w:tbl>
    <w:p w14:paraId="4F4F8EE5" w14:textId="77777777" w:rsidR="000F3B4F" w:rsidRPr="00CA1A43" w:rsidRDefault="000F3B4F" w:rsidP="00605B1D">
      <w:pPr>
        <w:pStyle w:val="a7"/>
        <w:numPr>
          <w:ilvl w:val="0"/>
          <w:numId w:val="121"/>
        </w:numPr>
        <w:spacing w:beforeLines="50" w:before="180"/>
        <w:ind w:leftChars="0" w:left="1446" w:hanging="482"/>
        <w:jc w:val="both"/>
        <w:rPr>
          <w:rFonts w:eastAsia="標楷體" w:cstheme="minorHAnsi"/>
        </w:rPr>
      </w:pPr>
      <w:r w:rsidRPr="00CA1A43">
        <w:rPr>
          <w:rFonts w:eastAsia="標楷體" w:cstheme="minorHAnsi"/>
        </w:rPr>
        <w:t>同一組別權益證券</w:t>
      </w:r>
      <w:r w:rsidRPr="00CA1A43">
        <w:rPr>
          <w:rFonts w:eastAsia="標楷體" w:cstheme="minorHAnsi"/>
        </w:rPr>
        <w:t>Delta</w:t>
      </w:r>
      <w:r w:rsidRPr="00CA1A43">
        <w:rPr>
          <w:rFonts w:eastAsia="標楷體" w:cstheme="minorHAnsi"/>
        </w:rPr>
        <w:t>風險部位之加總，相同</w:t>
      </w:r>
      <w:proofErr w:type="gramStart"/>
      <w:r w:rsidRPr="00CA1A43">
        <w:rPr>
          <w:rFonts w:eastAsia="標楷體" w:cstheme="minorHAnsi"/>
        </w:rPr>
        <w:t>組別內</w:t>
      </w:r>
      <w:proofErr w:type="gramEnd"/>
      <w:r w:rsidRPr="00CA1A43">
        <w:rPr>
          <w:rFonts w:eastAsia="標楷體" w:cstheme="minorHAnsi"/>
        </w:rPr>
        <w:t>，任兩個敏感性部位</w:t>
      </w:r>
      <m:oMath>
        <m:sSub>
          <m:sSubPr>
            <m:ctrlPr>
              <w:rPr>
                <w:rFonts w:ascii="Cambria Math" w:eastAsia="標楷體" w:hAnsi="Cambria Math" w:cstheme="minorHAnsi"/>
              </w:rPr>
            </m:ctrlPr>
          </m:sSubPr>
          <m:e>
            <m:r>
              <w:rPr>
                <w:rFonts w:ascii="Cambria Math" w:eastAsia="標楷體" w:hAnsi="Cambria Math" w:cstheme="minorHAnsi"/>
              </w:rPr>
              <m:t>WS</m:t>
            </m:r>
          </m:e>
          <m:sub>
            <m:r>
              <w:rPr>
                <w:rFonts w:ascii="Cambria Math" w:eastAsia="標楷體" w:hAnsi="Cambria Math" w:cstheme="minorHAnsi"/>
              </w:rPr>
              <m:t>k</m:t>
            </m:r>
          </m:sub>
        </m:sSub>
      </m:oMath>
      <w:r w:rsidRPr="00CA1A43">
        <w:rPr>
          <w:rFonts w:eastAsia="標楷體" w:cstheme="minorHAnsi"/>
        </w:rPr>
        <w:t>及</w:t>
      </w:r>
      <m:oMath>
        <m:sSub>
          <m:sSubPr>
            <m:ctrlPr>
              <w:rPr>
                <w:rFonts w:ascii="Cambria Math" w:eastAsia="標楷體" w:hAnsi="Cambria Math" w:cstheme="minorHAnsi"/>
              </w:rPr>
            </m:ctrlPr>
          </m:sSubPr>
          <m:e>
            <m:r>
              <w:rPr>
                <w:rFonts w:ascii="Cambria Math" w:eastAsia="標楷體" w:hAnsi="Cambria Math" w:cstheme="minorHAnsi"/>
              </w:rPr>
              <m:t>WS</m:t>
            </m:r>
          </m:e>
          <m:sub>
            <m:r>
              <w:rPr>
                <w:rFonts w:ascii="Cambria Math" w:eastAsia="標楷體" w:hAnsi="Cambria Math" w:cstheme="minorHAnsi"/>
              </w:rPr>
              <m:t>l</m:t>
            </m:r>
          </m:sub>
        </m:sSub>
      </m:oMath>
      <w:r w:rsidRPr="00CA1A43">
        <w:rPr>
          <w:rFonts w:eastAsia="標楷體" w:cstheme="minorHAnsi"/>
        </w:rPr>
        <w:t>間之相關係數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，列示如下：</w:t>
      </w:r>
    </w:p>
    <w:p w14:paraId="3A29C2C1" w14:textId="77777777" w:rsidR="000F3B4F" w:rsidRPr="00CA1A43" w:rsidRDefault="000F3B4F" w:rsidP="00605B1D">
      <w:pPr>
        <w:pStyle w:val="a7"/>
        <w:numPr>
          <w:ilvl w:val="0"/>
          <w:numId w:val="123"/>
        </w:numPr>
        <w:spacing w:beforeLines="50" w:before="180"/>
        <w:ind w:leftChars="0"/>
        <w:jc w:val="both"/>
        <w:rPr>
          <w:rFonts w:eastAsia="標楷體" w:cstheme="minorHAnsi"/>
        </w:rPr>
      </w:pPr>
      <w:r w:rsidRPr="00CA1A43">
        <w:rPr>
          <w:rFonts w:eastAsia="標楷體" w:cstheme="minorHAnsi"/>
        </w:rPr>
        <w:t>若完全符合下列條件時，相關係數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為</w:t>
      </w:r>
      <w:r w:rsidRPr="00CA1A43">
        <w:rPr>
          <w:rFonts w:eastAsia="標楷體" w:cstheme="minorHAnsi"/>
        </w:rPr>
        <w:t>99.90%</w:t>
      </w:r>
      <w:r w:rsidRPr="00CA1A43">
        <w:rPr>
          <w:rFonts w:eastAsia="標楷體" w:cstheme="minorHAnsi"/>
        </w:rPr>
        <w:t>：</w:t>
      </w:r>
    </w:p>
    <w:p w14:paraId="6F213E9A" w14:textId="77777777" w:rsidR="000F3B4F" w:rsidRPr="00CA1A43" w:rsidRDefault="000F3B4F" w:rsidP="00605B1D">
      <w:pPr>
        <w:pStyle w:val="a7"/>
        <w:numPr>
          <w:ilvl w:val="0"/>
          <w:numId w:val="124"/>
        </w:numPr>
        <w:ind w:leftChars="0" w:left="2421" w:hanging="493"/>
        <w:jc w:val="both"/>
        <w:rPr>
          <w:rFonts w:eastAsia="標楷體" w:cstheme="minorHAnsi"/>
        </w:rPr>
      </w:pPr>
      <w:r w:rsidRPr="00CA1A43">
        <w:rPr>
          <w:rFonts w:eastAsia="標楷體" w:cstheme="minorHAnsi"/>
        </w:rPr>
        <w:t>其一為權益證券現貨價格敏感性部位，另一為權益證券附買回利率敏感性部位。</w:t>
      </w:r>
    </w:p>
    <w:p w14:paraId="696B87A3" w14:textId="77777777" w:rsidR="000F3B4F" w:rsidRPr="00CA1A43" w:rsidRDefault="000F3B4F" w:rsidP="00605B1D">
      <w:pPr>
        <w:pStyle w:val="a7"/>
        <w:numPr>
          <w:ilvl w:val="0"/>
          <w:numId w:val="124"/>
        </w:numPr>
        <w:ind w:leftChars="0" w:left="2421" w:hanging="493"/>
        <w:jc w:val="both"/>
        <w:rPr>
          <w:rFonts w:eastAsia="標楷體" w:cstheme="minorHAnsi"/>
        </w:rPr>
      </w:pPr>
      <w:r w:rsidRPr="00CA1A43">
        <w:rPr>
          <w:rFonts w:eastAsia="標楷體" w:cstheme="minorHAnsi"/>
        </w:rPr>
        <w:t>兩者皆與同一權益證券發行人相關。</w:t>
      </w:r>
    </w:p>
    <w:p w14:paraId="5D3F756B" w14:textId="77777777" w:rsidR="000F3B4F" w:rsidRPr="00CA1A43" w:rsidRDefault="000F3B4F" w:rsidP="00605B1D">
      <w:pPr>
        <w:pStyle w:val="a7"/>
        <w:numPr>
          <w:ilvl w:val="0"/>
          <w:numId w:val="123"/>
        </w:numPr>
        <w:spacing w:beforeLines="50" w:before="180"/>
        <w:ind w:leftChars="0"/>
        <w:jc w:val="both"/>
        <w:rPr>
          <w:rFonts w:eastAsia="標楷體" w:cstheme="minorHAnsi"/>
        </w:rPr>
      </w:pPr>
      <w:r w:rsidRPr="00CA1A43">
        <w:rPr>
          <w:rFonts w:eastAsia="標楷體" w:cstheme="minorHAnsi"/>
        </w:rPr>
        <w:lastRenderedPageBreak/>
        <w:t>兩個權益證券現貨價格敏感性部位之相關係數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，如下：</w:t>
      </w:r>
    </w:p>
    <w:p w14:paraId="668877B7" w14:textId="77777777" w:rsidR="000F3B4F" w:rsidRPr="00CA1A43" w:rsidRDefault="000F3B4F" w:rsidP="00605B1D">
      <w:pPr>
        <w:pStyle w:val="a7"/>
        <w:numPr>
          <w:ilvl w:val="0"/>
          <w:numId w:val="125"/>
        </w:numPr>
        <w:ind w:leftChars="0" w:left="2421" w:hanging="493"/>
        <w:jc w:val="both"/>
        <w:rPr>
          <w:rFonts w:eastAsia="標楷體" w:cstheme="minorHAnsi"/>
        </w:rPr>
      </w:pPr>
      <w:r w:rsidRPr="00CA1A43">
        <w:rPr>
          <w:rFonts w:eastAsia="標楷體" w:cstheme="minorHAnsi"/>
        </w:rPr>
        <w:t>同一</w:t>
      </w:r>
      <w:proofErr w:type="gramStart"/>
      <w:r w:rsidRPr="00CA1A43">
        <w:rPr>
          <w:rFonts w:eastAsia="標楷體" w:cstheme="minorHAnsi"/>
        </w:rPr>
        <w:t>組別內</w:t>
      </w:r>
      <w:proofErr w:type="gramEnd"/>
      <w:r w:rsidRPr="00CA1A43">
        <w:rPr>
          <w:rFonts w:eastAsia="標楷體" w:cstheme="minorHAnsi"/>
        </w:rPr>
        <w:t>，兩個敏感性部位皆屬新興市場經濟體大型市值者</w:t>
      </w:r>
      <w:r w:rsidRPr="00CA1A43">
        <w:rPr>
          <w:rFonts w:eastAsia="標楷體" w:cstheme="minorHAnsi"/>
        </w:rPr>
        <w:t>(</w:t>
      </w:r>
      <w:r w:rsidRPr="00CA1A43">
        <w:rPr>
          <w:rFonts w:eastAsia="標楷體" w:cstheme="minorHAnsi"/>
        </w:rPr>
        <w:t>組別</w:t>
      </w:r>
      <w:r w:rsidRPr="00CA1A43">
        <w:rPr>
          <w:rFonts w:eastAsia="標楷體" w:cstheme="minorHAnsi"/>
        </w:rPr>
        <w:t>1, 2, 3 ,4)</w:t>
      </w:r>
      <w:r w:rsidRPr="00CA1A43">
        <w:rPr>
          <w:rFonts w:eastAsia="標楷體" w:cstheme="minorHAnsi"/>
        </w:rPr>
        <w:t>，</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為</w:t>
      </w:r>
      <w:r w:rsidRPr="00CA1A43">
        <w:rPr>
          <w:rFonts w:eastAsia="標楷體" w:cstheme="minorHAnsi"/>
        </w:rPr>
        <w:t>15%</w:t>
      </w:r>
      <w:r w:rsidRPr="00CA1A43">
        <w:rPr>
          <w:rFonts w:eastAsia="標楷體" w:cstheme="minorHAnsi"/>
        </w:rPr>
        <w:t>。</w:t>
      </w:r>
    </w:p>
    <w:p w14:paraId="1C658C43" w14:textId="77777777" w:rsidR="000F3B4F" w:rsidRPr="00CA1A43" w:rsidRDefault="000F3B4F" w:rsidP="00605B1D">
      <w:pPr>
        <w:pStyle w:val="a7"/>
        <w:numPr>
          <w:ilvl w:val="0"/>
          <w:numId w:val="125"/>
        </w:numPr>
        <w:ind w:leftChars="0" w:left="2421" w:hanging="493"/>
        <w:jc w:val="both"/>
        <w:rPr>
          <w:rFonts w:eastAsia="標楷體" w:cstheme="minorHAnsi"/>
        </w:rPr>
      </w:pPr>
      <w:r w:rsidRPr="00CA1A43">
        <w:rPr>
          <w:rFonts w:eastAsia="標楷體" w:cstheme="minorHAnsi"/>
        </w:rPr>
        <w:t>同一</w:t>
      </w:r>
      <w:proofErr w:type="gramStart"/>
      <w:r w:rsidRPr="00CA1A43">
        <w:rPr>
          <w:rFonts w:eastAsia="標楷體" w:cstheme="minorHAnsi"/>
        </w:rPr>
        <w:t>組別內</w:t>
      </w:r>
      <w:proofErr w:type="gramEnd"/>
      <w:r w:rsidRPr="00CA1A43">
        <w:rPr>
          <w:rFonts w:eastAsia="標楷體" w:cstheme="minorHAnsi"/>
        </w:rPr>
        <w:t>，兩個敏感性部位皆屬先進國家經濟體大型市值者</w:t>
      </w:r>
      <w:r w:rsidRPr="00CA1A43">
        <w:rPr>
          <w:rFonts w:eastAsia="標楷體" w:cstheme="minorHAnsi"/>
        </w:rPr>
        <w:t xml:space="preserve"> (</w:t>
      </w:r>
      <w:r w:rsidRPr="00CA1A43">
        <w:rPr>
          <w:rFonts w:eastAsia="標楷體" w:cstheme="minorHAnsi"/>
        </w:rPr>
        <w:t>組別</w:t>
      </w:r>
      <w:r w:rsidRPr="00CA1A43">
        <w:rPr>
          <w:rFonts w:eastAsia="標楷體" w:cstheme="minorHAnsi"/>
        </w:rPr>
        <w:t>5, 6, 7, 8)</w:t>
      </w:r>
      <w:r w:rsidRPr="00CA1A43">
        <w:rPr>
          <w:rFonts w:eastAsia="標楷體" w:cstheme="minorHAnsi"/>
        </w:rPr>
        <w:t>，</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為</w:t>
      </w:r>
      <w:r w:rsidRPr="00CA1A43">
        <w:rPr>
          <w:rFonts w:eastAsia="標楷體" w:cstheme="minorHAnsi"/>
        </w:rPr>
        <w:t>25%</w:t>
      </w:r>
      <w:r w:rsidRPr="00CA1A43">
        <w:rPr>
          <w:rFonts w:eastAsia="標楷體" w:cstheme="minorHAnsi"/>
        </w:rPr>
        <w:t>。</w:t>
      </w:r>
    </w:p>
    <w:p w14:paraId="7EC2A593" w14:textId="77777777" w:rsidR="000F3B4F" w:rsidRPr="00CA1A43" w:rsidRDefault="000F3B4F" w:rsidP="00605B1D">
      <w:pPr>
        <w:pStyle w:val="a7"/>
        <w:numPr>
          <w:ilvl w:val="0"/>
          <w:numId w:val="125"/>
        </w:numPr>
        <w:ind w:leftChars="0" w:left="2421" w:hanging="493"/>
        <w:jc w:val="both"/>
        <w:rPr>
          <w:rFonts w:eastAsia="標楷體" w:cstheme="minorHAnsi"/>
        </w:rPr>
      </w:pPr>
      <w:r w:rsidRPr="00CA1A43">
        <w:rPr>
          <w:rFonts w:eastAsia="標楷體" w:cstheme="minorHAnsi"/>
        </w:rPr>
        <w:t>同一</w:t>
      </w:r>
      <w:proofErr w:type="gramStart"/>
      <w:r w:rsidRPr="00CA1A43">
        <w:rPr>
          <w:rFonts w:eastAsia="標楷體" w:cstheme="minorHAnsi"/>
        </w:rPr>
        <w:t>組別內</w:t>
      </w:r>
      <w:proofErr w:type="gramEnd"/>
      <w:r w:rsidRPr="00CA1A43">
        <w:rPr>
          <w:rFonts w:eastAsia="標楷體" w:cstheme="minorHAnsi"/>
        </w:rPr>
        <w:t>，兩個敏感性部位皆屬新興市場經濟體小型市值者</w:t>
      </w:r>
      <w:r w:rsidRPr="00CA1A43">
        <w:rPr>
          <w:rFonts w:eastAsia="標楷體" w:cstheme="minorHAnsi"/>
        </w:rPr>
        <w:t>(</w:t>
      </w:r>
      <w:r w:rsidRPr="00CA1A43">
        <w:rPr>
          <w:rFonts w:eastAsia="標楷體" w:cstheme="minorHAnsi"/>
        </w:rPr>
        <w:t>組別</w:t>
      </w:r>
      <w:r w:rsidRPr="00CA1A43">
        <w:rPr>
          <w:rFonts w:eastAsia="標楷體" w:cstheme="minorHAnsi"/>
        </w:rPr>
        <w:t>9)</w:t>
      </w:r>
      <w:r w:rsidRPr="00CA1A43">
        <w:rPr>
          <w:rFonts w:eastAsia="標楷體" w:cstheme="minorHAnsi"/>
        </w:rPr>
        <w:t>，</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為</w:t>
      </w:r>
      <w:r w:rsidRPr="00CA1A43">
        <w:rPr>
          <w:rFonts w:eastAsia="標楷體" w:cstheme="minorHAnsi"/>
        </w:rPr>
        <w:t>7.5%</w:t>
      </w:r>
      <w:r w:rsidRPr="00CA1A43">
        <w:rPr>
          <w:rFonts w:eastAsia="標楷體" w:cstheme="minorHAnsi"/>
        </w:rPr>
        <w:t>。</w:t>
      </w:r>
    </w:p>
    <w:p w14:paraId="0C57044C" w14:textId="77777777" w:rsidR="000F3B4F" w:rsidRPr="00CA1A43" w:rsidRDefault="000F3B4F" w:rsidP="00605B1D">
      <w:pPr>
        <w:pStyle w:val="a7"/>
        <w:numPr>
          <w:ilvl w:val="0"/>
          <w:numId w:val="125"/>
        </w:numPr>
        <w:ind w:leftChars="0" w:left="2421" w:hanging="493"/>
        <w:jc w:val="both"/>
        <w:rPr>
          <w:rFonts w:eastAsia="標楷體" w:cstheme="minorHAnsi"/>
        </w:rPr>
      </w:pPr>
      <w:r w:rsidRPr="00CA1A43">
        <w:rPr>
          <w:rFonts w:eastAsia="標楷體" w:cstheme="minorHAnsi"/>
        </w:rPr>
        <w:t>同一</w:t>
      </w:r>
      <w:proofErr w:type="gramStart"/>
      <w:r w:rsidRPr="00CA1A43">
        <w:rPr>
          <w:rFonts w:eastAsia="標楷體" w:cstheme="minorHAnsi"/>
        </w:rPr>
        <w:t>組別內</w:t>
      </w:r>
      <w:proofErr w:type="gramEnd"/>
      <w:r w:rsidRPr="00CA1A43">
        <w:rPr>
          <w:rFonts w:eastAsia="標楷體" w:cstheme="minorHAnsi"/>
        </w:rPr>
        <w:t>，兩個敏感性部位皆屬先進國家經濟體小型市值者</w:t>
      </w:r>
      <w:r w:rsidRPr="00CA1A43">
        <w:rPr>
          <w:rFonts w:eastAsia="標楷體" w:cstheme="minorHAnsi"/>
        </w:rPr>
        <w:t>(</w:t>
      </w:r>
      <w:r w:rsidRPr="00CA1A43">
        <w:rPr>
          <w:rFonts w:eastAsia="標楷體" w:cstheme="minorHAnsi"/>
        </w:rPr>
        <w:t>組別</w:t>
      </w:r>
      <w:r w:rsidRPr="00CA1A43">
        <w:rPr>
          <w:rFonts w:eastAsia="標楷體" w:cstheme="minorHAnsi"/>
        </w:rPr>
        <w:t>10)</w:t>
      </w:r>
      <w:r w:rsidRPr="00CA1A43">
        <w:rPr>
          <w:rFonts w:eastAsia="標楷體" w:cstheme="minorHAnsi"/>
        </w:rPr>
        <w:t>，</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為</w:t>
      </w:r>
      <w:r w:rsidRPr="00CA1A43">
        <w:rPr>
          <w:rFonts w:eastAsia="標楷體" w:cstheme="minorHAnsi"/>
        </w:rPr>
        <w:t>12.5%</w:t>
      </w:r>
      <w:r w:rsidRPr="00CA1A43">
        <w:rPr>
          <w:rFonts w:eastAsia="標楷體" w:cstheme="minorHAnsi"/>
        </w:rPr>
        <w:t>。</w:t>
      </w:r>
    </w:p>
    <w:p w14:paraId="014C8FE2" w14:textId="77777777" w:rsidR="000F3B4F" w:rsidRPr="00CA1A43" w:rsidRDefault="000F3B4F" w:rsidP="00605B1D">
      <w:pPr>
        <w:pStyle w:val="a7"/>
        <w:numPr>
          <w:ilvl w:val="0"/>
          <w:numId w:val="125"/>
        </w:numPr>
        <w:ind w:leftChars="0" w:left="2421" w:hanging="493"/>
        <w:jc w:val="both"/>
        <w:rPr>
          <w:rFonts w:eastAsia="標楷體" w:cstheme="minorHAnsi"/>
        </w:rPr>
      </w:pPr>
      <w:r w:rsidRPr="00CA1A43">
        <w:rPr>
          <w:rFonts w:eastAsia="標楷體" w:cstheme="minorHAnsi"/>
        </w:rPr>
        <w:t>同一</w:t>
      </w:r>
      <w:proofErr w:type="gramStart"/>
      <w:r w:rsidRPr="00CA1A43">
        <w:rPr>
          <w:rFonts w:eastAsia="標楷體" w:cstheme="minorHAnsi"/>
        </w:rPr>
        <w:t>組別內</w:t>
      </w:r>
      <w:proofErr w:type="gramEnd"/>
      <w:r w:rsidRPr="00CA1A43">
        <w:rPr>
          <w:rFonts w:eastAsia="標楷體" w:cstheme="minorHAnsi"/>
        </w:rPr>
        <w:t>，兩個敏感性部位</w:t>
      </w:r>
      <w:proofErr w:type="gramStart"/>
      <w:r w:rsidRPr="00CA1A43">
        <w:rPr>
          <w:rFonts w:eastAsia="標楷體" w:cstheme="minorHAnsi"/>
        </w:rPr>
        <w:t>皆屬組別</w:t>
      </w:r>
      <w:proofErr w:type="gramEnd"/>
      <w:r w:rsidRPr="00CA1A43">
        <w:rPr>
          <w:rFonts w:eastAsia="標楷體" w:cstheme="minorHAnsi"/>
        </w:rPr>
        <w:t>12</w:t>
      </w:r>
      <w:r w:rsidRPr="00CA1A43">
        <w:rPr>
          <w:rFonts w:eastAsia="標楷體" w:cstheme="minorHAnsi"/>
        </w:rPr>
        <w:t>或</w:t>
      </w:r>
      <w:r w:rsidRPr="00CA1A43">
        <w:rPr>
          <w:rFonts w:eastAsia="標楷體" w:cstheme="minorHAnsi"/>
        </w:rPr>
        <w:t>13</w:t>
      </w:r>
      <w:r w:rsidRPr="00CA1A43">
        <w:rPr>
          <w:rFonts w:eastAsia="標楷體" w:cstheme="minorHAnsi"/>
        </w:rPr>
        <w:t>者，</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為</w:t>
      </w:r>
      <w:r w:rsidRPr="00CA1A43">
        <w:rPr>
          <w:rFonts w:eastAsia="標楷體" w:cstheme="minorHAnsi"/>
        </w:rPr>
        <w:t>80%</w:t>
      </w:r>
      <w:r w:rsidRPr="00CA1A43">
        <w:rPr>
          <w:rFonts w:eastAsia="標楷體" w:cstheme="minorHAnsi"/>
        </w:rPr>
        <w:t>。</w:t>
      </w:r>
    </w:p>
    <w:p w14:paraId="71389462" w14:textId="77777777" w:rsidR="000F3B4F" w:rsidRPr="00CA1A43" w:rsidRDefault="000F3B4F" w:rsidP="00605B1D">
      <w:pPr>
        <w:pStyle w:val="a7"/>
        <w:numPr>
          <w:ilvl w:val="0"/>
          <w:numId w:val="123"/>
        </w:numPr>
        <w:spacing w:beforeLines="50" w:before="180"/>
        <w:ind w:leftChars="0"/>
        <w:jc w:val="both"/>
        <w:rPr>
          <w:rFonts w:eastAsia="標楷體" w:cstheme="minorHAnsi"/>
        </w:rPr>
      </w:pPr>
      <w:r w:rsidRPr="00CA1A43">
        <w:rPr>
          <w:rFonts w:eastAsia="標楷體" w:cstheme="minorHAnsi"/>
        </w:rPr>
        <w:t>兩個權益證券附買回利率敏感性部位之相關係數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，定義同上述</w:t>
      </w:r>
      <w:r w:rsidRPr="00CA1A43">
        <w:rPr>
          <w:rFonts w:eastAsia="標楷體" w:cstheme="minorHAnsi"/>
        </w:rPr>
        <w:t>(a)</w:t>
      </w:r>
      <w:r w:rsidRPr="00CA1A43">
        <w:rPr>
          <w:rFonts w:eastAsia="標楷體" w:cstheme="minorHAnsi"/>
        </w:rPr>
        <w:t>至</w:t>
      </w:r>
      <w:r w:rsidRPr="00CA1A43">
        <w:rPr>
          <w:rFonts w:eastAsia="標楷體" w:cstheme="minorHAnsi"/>
        </w:rPr>
        <w:t>(e)</w:t>
      </w:r>
      <w:r w:rsidRPr="00CA1A43">
        <w:rPr>
          <w:rFonts w:eastAsia="標楷體" w:cstheme="minorHAnsi"/>
        </w:rPr>
        <w:t>。</w:t>
      </w:r>
    </w:p>
    <w:p w14:paraId="22A17827" w14:textId="77777777" w:rsidR="000F3B4F" w:rsidRPr="00CA1A43" w:rsidRDefault="000F3B4F" w:rsidP="00605B1D">
      <w:pPr>
        <w:pStyle w:val="a7"/>
        <w:numPr>
          <w:ilvl w:val="0"/>
          <w:numId w:val="123"/>
        </w:numPr>
        <w:spacing w:beforeLines="50" w:before="180"/>
        <w:ind w:leftChars="0"/>
        <w:jc w:val="both"/>
        <w:rPr>
          <w:rFonts w:eastAsia="標楷體" w:cstheme="minorHAnsi"/>
        </w:rPr>
      </w:pPr>
      <w:r w:rsidRPr="00CA1A43">
        <w:rPr>
          <w:rFonts w:eastAsia="標楷體" w:cstheme="minorHAnsi"/>
        </w:rPr>
        <w:t>若完全符合下列條件時，相關係數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為上述</w:t>
      </w:r>
      <w:r w:rsidRPr="00CA1A43">
        <w:rPr>
          <w:rFonts w:eastAsia="標楷體" w:cstheme="minorHAnsi"/>
        </w:rPr>
        <w:t>b.(a)</w:t>
      </w:r>
      <w:r w:rsidRPr="00CA1A43">
        <w:rPr>
          <w:rFonts w:eastAsia="標楷體" w:cstheme="minorHAnsi"/>
        </w:rPr>
        <w:t>至</w:t>
      </w:r>
      <w:r w:rsidRPr="00CA1A43">
        <w:rPr>
          <w:rFonts w:eastAsia="標楷體" w:cstheme="minorHAnsi"/>
        </w:rPr>
        <w:t>(e)</w:t>
      </w:r>
      <w:r w:rsidRPr="00CA1A43">
        <w:rPr>
          <w:rFonts w:eastAsia="標楷體" w:cstheme="minorHAnsi"/>
        </w:rPr>
        <w:t>之相關係數再乘以</w:t>
      </w:r>
      <w:r w:rsidRPr="00CA1A43">
        <w:rPr>
          <w:rFonts w:eastAsia="標楷體" w:cstheme="minorHAnsi"/>
        </w:rPr>
        <w:t>99.90%</w:t>
      </w:r>
      <w:r w:rsidRPr="00CA1A43">
        <w:rPr>
          <w:rFonts w:eastAsia="標楷體" w:cstheme="minorHAnsi"/>
        </w:rPr>
        <w:t>：</w:t>
      </w:r>
    </w:p>
    <w:p w14:paraId="278B3B9F" w14:textId="77777777" w:rsidR="000F3B4F" w:rsidRPr="00CA1A43" w:rsidRDefault="000F3B4F" w:rsidP="00605B1D">
      <w:pPr>
        <w:pStyle w:val="a7"/>
        <w:numPr>
          <w:ilvl w:val="0"/>
          <w:numId w:val="126"/>
        </w:numPr>
        <w:ind w:leftChars="0" w:left="2421" w:hanging="493"/>
        <w:jc w:val="both"/>
        <w:rPr>
          <w:rFonts w:eastAsia="標楷體" w:cstheme="minorHAnsi"/>
        </w:rPr>
      </w:pPr>
      <w:r w:rsidRPr="00CA1A43">
        <w:rPr>
          <w:rFonts w:eastAsia="標楷體" w:cstheme="minorHAnsi"/>
        </w:rPr>
        <w:t>兩者間其一為權益證券現貨價格敏感性部位，另一為權益證券附買回利率敏感性部位。</w:t>
      </w:r>
    </w:p>
    <w:p w14:paraId="237B193B" w14:textId="77777777" w:rsidR="00562EA4" w:rsidRPr="00CA1A43" w:rsidRDefault="000F3B4F" w:rsidP="00605B1D">
      <w:pPr>
        <w:pStyle w:val="a7"/>
        <w:numPr>
          <w:ilvl w:val="0"/>
          <w:numId w:val="126"/>
        </w:numPr>
        <w:ind w:leftChars="0" w:left="2421" w:hanging="493"/>
        <w:jc w:val="both"/>
        <w:rPr>
          <w:rFonts w:eastAsia="標楷體" w:cstheme="minorHAnsi"/>
        </w:rPr>
      </w:pPr>
      <w:r w:rsidRPr="00CA1A43">
        <w:rPr>
          <w:rFonts w:eastAsia="標楷體" w:cstheme="minorHAnsi"/>
        </w:rPr>
        <w:t>敏感性部位分別為不同權益證券發行人。</w:t>
      </w:r>
    </w:p>
    <w:p w14:paraId="4483B770" w14:textId="77777777" w:rsidR="001E1275" w:rsidRPr="00CA1A43" w:rsidRDefault="001E1275" w:rsidP="00605B1D">
      <w:pPr>
        <w:pStyle w:val="a7"/>
        <w:numPr>
          <w:ilvl w:val="0"/>
          <w:numId w:val="121"/>
        </w:numPr>
        <w:spacing w:beforeLines="50" w:before="180"/>
        <w:ind w:leftChars="0" w:left="1446" w:hanging="482"/>
        <w:jc w:val="both"/>
        <w:rPr>
          <w:rFonts w:eastAsia="標楷體" w:cstheme="minorHAnsi"/>
        </w:rPr>
      </w:pPr>
      <w:r w:rsidRPr="00CA1A43">
        <w:rPr>
          <w:rFonts w:eastAsia="標楷體" w:cstheme="minorHAnsi"/>
        </w:rPr>
        <w:t>上述相關係數不適用於「其他產業」組別</w:t>
      </w:r>
      <w:r w:rsidRPr="00CA1A43">
        <w:rPr>
          <w:rFonts w:eastAsia="標楷體" w:cstheme="minorHAnsi"/>
        </w:rPr>
        <w:t>(</w:t>
      </w:r>
      <w:r w:rsidRPr="00CA1A43">
        <w:rPr>
          <w:rFonts w:eastAsia="標楷體" w:cstheme="minorHAnsi"/>
        </w:rPr>
        <w:t>即組別</w:t>
      </w:r>
      <w:r w:rsidRPr="00CA1A43">
        <w:rPr>
          <w:rFonts w:eastAsia="標楷體" w:cstheme="minorHAnsi"/>
        </w:rPr>
        <w:t>11)</w:t>
      </w:r>
      <w:r w:rsidRPr="00CA1A43">
        <w:rPr>
          <w:rFonts w:eastAsia="標楷體" w:cstheme="minorHAnsi"/>
        </w:rPr>
        <w:t>。</w:t>
      </w:r>
    </w:p>
    <w:p w14:paraId="0C2116B6" w14:textId="77777777" w:rsidR="001E1275" w:rsidRPr="00CA1A43" w:rsidRDefault="001E1275" w:rsidP="00605B1D">
      <w:pPr>
        <w:pStyle w:val="a7"/>
        <w:numPr>
          <w:ilvl w:val="0"/>
          <w:numId w:val="127"/>
        </w:numPr>
        <w:spacing w:beforeLines="50" w:before="180"/>
        <w:ind w:leftChars="0"/>
        <w:jc w:val="both"/>
        <w:rPr>
          <w:rFonts w:eastAsia="標楷體" w:cstheme="minorHAnsi"/>
        </w:rPr>
      </w:pPr>
      <w:r w:rsidRPr="00CA1A43">
        <w:rPr>
          <w:rFonts w:eastAsia="標楷體" w:cstheme="minorHAnsi"/>
        </w:rPr>
        <w:t>「其他產業」</w:t>
      </w:r>
      <w:proofErr w:type="gramStart"/>
      <w:r w:rsidRPr="00CA1A43">
        <w:rPr>
          <w:rFonts w:eastAsia="標楷體" w:cstheme="minorHAnsi"/>
        </w:rPr>
        <w:t>組別內權益</w:t>
      </w:r>
      <w:proofErr w:type="gramEnd"/>
      <w:r w:rsidRPr="00CA1A43">
        <w:rPr>
          <w:rFonts w:eastAsia="標楷體" w:cstheme="minorHAnsi"/>
        </w:rPr>
        <w:t>證券</w:t>
      </w:r>
      <w:r w:rsidRPr="00CA1A43">
        <w:rPr>
          <w:rFonts w:eastAsia="標楷體" w:cstheme="minorHAnsi"/>
        </w:rPr>
        <w:t>delta</w:t>
      </w:r>
      <w:r w:rsidRPr="00CA1A43">
        <w:rPr>
          <w:rFonts w:eastAsia="標楷體" w:cstheme="minorHAnsi"/>
        </w:rPr>
        <w:t>風險部位加總之資本要求，為分配至該組別</w:t>
      </w:r>
      <w:proofErr w:type="gramStart"/>
      <w:r w:rsidRPr="00CA1A43">
        <w:rPr>
          <w:rFonts w:eastAsia="標楷體" w:cstheme="minorHAnsi"/>
        </w:rPr>
        <w:t>之</w:t>
      </w:r>
      <w:proofErr w:type="gramEnd"/>
      <w:r w:rsidRPr="00CA1A43">
        <w:rPr>
          <w:rFonts w:eastAsia="標楷體" w:cstheme="minorHAnsi"/>
        </w:rPr>
        <w:t>淨加權敏感性部位取絕對值簡單加總。相同方式適用於</w:t>
      </w:r>
      <w:proofErr w:type="spellStart"/>
      <w:r w:rsidRPr="00CA1A43">
        <w:rPr>
          <w:rFonts w:eastAsia="標楷體" w:cstheme="minorHAnsi"/>
        </w:rPr>
        <w:t>vega</w:t>
      </w:r>
      <w:proofErr w:type="spellEnd"/>
      <w:r w:rsidRPr="00CA1A43">
        <w:rPr>
          <w:rFonts w:eastAsia="標楷體" w:cstheme="minorHAnsi"/>
        </w:rPr>
        <w:t>風險部位加總。</w:t>
      </w:r>
    </w:p>
    <w:p w14:paraId="6C71017B" w14:textId="77777777" w:rsidR="001E1275" w:rsidRPr="00CA1A43" w:rsidRDefault="00AA1117" w:rsidP="001E1275">
      <w:pPr>
        <w:jc w:val="both"/>
        <w:rPr>
          <w:rFonts w:eastAsia="標楷體" w:cstheme="minorHAnsi"/>
          <w:szCs w:val="24"/>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K</m:t>
              </m:r>
            </m:e>
            <m:sub>
              <m:r>
                <w:rPr>
                  <w:rFonts w:ascii="Cambria Math" w:eastAsia="標楷體" w:hAnsi="Cambria Math" w:cstheme="minorHAnsi"/>
                  <w:szCs w:val="24"/>
                </w:rPr>
                <m:t>b</m:t>
              </m:r>
              <m:d>
                <m:dPr>
                  <m:ctrlPr>
                    <w:rPr>
                      <w:rFonts w:ascii="Cambria Math" w:eastAsia="標楷體" w:hAnsi="Cambria Math" w:cstheme="minorHAnsi"/>
                      <w:i/>
                      <w:szCs w:val="24"/>
                    </w:rPr>
                  </m:ctrlPr>
                </m:dPr>
                <m:e>
                  <m:r>
                    <w:rPr>
                      <w:rFonts w:ascii="Cambria Math" w:eastAsia="標楷體" w:hAnsi="Cambria Math" w:cstheme="minorHAnsi"/>
                      <w:szCs w:val="24"/>
                    </w:rPr>
                    <m:t>other bucket</m:t>
                  </m:r>
                </m:e>
              </m:d>
            </m:sub>
          </m:sSub>
          <m:r>
            <w:rPr>
              <w:rFonts w:ascii="Cambria Math" w:eastAsia="標楷體" w:hAnsi="Cambria Math" w:cstheme="minorHAnsi"/>
              <w:szCs w:val="24"/>
            </w:rPr>
            <m:t>=</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d>
                <m:dPr>
                  <m:begChr m:val="|"/>
                  <m:endChr m:val="|"/>
                  <m:ctrlPr>
                    <w:rPr>
                      <w:rFonts w:ascii="Cambria Math" w:eastAsia="標楷體" w:hAnsi="Cambria Math" w:cstheme="minorHAnsi"/>
                      <w:i/>
                      <w:szCs w:val="24"/>
                    </w:rPr>
                  </m:ctrlPr>
                </m:dPr>
                <m:e>
                  <m:sSub>
                    <m:sSubPr>
                      <m:ctrlPr>
                        <w:rPr>
                          <w:rFonts w:ascii="Cambria Math" w:eastAsia="標楷體" w:hAnsi="Cambria Math" w:cstheme="minorHAnsi"/>
                          <w:i/>
                          <w:szCs w:val="24"/>
                        </w:rPr>
                      </m:ctrlPr>
                    </m:sSubPr>
                    <m:e>
                      <m:r>
                        <w:rPr>
                          <w:rFonts w:ascii="Cambria Math" w:eastAsia="標楷體" w:hAnsi="Cambria Math" w:cstheme="minorHAnsi"/>
                          <w:szCs w:val="24"/>
                        </w:rPr>
                        <m:t>WS</m:t>
                      </m:r>
                    </m:e>
                    <m:sub>
                      <m:r>
                        <w:rPr>
                          <w:rFonts w:ascii="Cambria Math" w:eastAsia="標楷體" w:hAnsi="Cambria Math" w:cstheme="minorHAnsi"/>
                          <w:szCs w:val="24"/>
                        </w:rPr>
                        <m:t>k</m:t>
                      </m:r>
                    </m:sub>
                  </m:sSub>
                </m:e>
              </m:d>
            </m:e>
          </m:nary>
        </m:oMath>
      </m:oMathPara>
    </w:p>
    <w:p w14:paraId="4652C2D2" w14:textId="77777777" w:rsidR="001E1275" w:rsidRPr="00CA1A43" w:rsidRDefault="001E1275" w:rsidP="00605B1D">
      <w:pPr>
        <w:pStyle w:val="a7"/>
        <w:numPr>
          <w:ilvl w:val="0"/>
          <w:numId w:val="127"/>
        </w:numPr>
        <w:spacing w:beforeLines="50" w:before="180"/>
        <w:ind w:leftChars="0"/>
        <w:jc w:val="both"/>
        <w:rPr>
          <w:rFonts w:eastAsia="標楷體" w:cstheme="minorHAnsi"/>
        </w:rPr>
      </w:pPr>
      <w:r w:rsidRPr="00CA1A43">
        <w:rPr>
          <w:rFonts w:eastAsia="標楷體" w:cstheme="minorHAnsi"/>
        </w:rPr>
        <w:t>「其他產業」</w:t>
      </w:r>
      <w:r w:rsidRPr="00CA1A43">
        <w:rPr>
          <w:rFonts w:eastAsia="標楷體" w:cstheme="minorHAnsi"/>
        </w:rPr>
        <w:t>(</w:t>
      </w:r>
      <w:r w:rsidRPr="00CA1A43">
        <w:rPr>
          <w:rFonts w:eastAsia="標楷體" w:cstheme="minorHAnsi"/>
        </w:rPr>
        <w:t>即組別</w:t>
      </w:r>
      <w:r w:rsidRPr="00CA1A43">
        <w:rPr>
          <w:rFonts w:eastAsia="標楷體" w:cstheme="minorHAnsi"/>
        </w:rPr>
        <w:t>11)</w:t>
      </w:r>
      <w:proofErr w:type="gramStart"/>
      <w:r w:rsidRPr="00CA1A43">
        <w:rPr>
          <w:rFonts w:eastAsia="標楷體" w:cstheme="minorHAnsi"/>
        </w:rPr>
        <w:t>組別內之</w:t>
      </w:r>
      <w:proofErr w:type="gramEnd"/>
      <w:r w:rsidRPr="00CA1A43">
        <w:rPr>
          <w:rFonts w:eastAsia="標楷體" w:cstheme="minorHAnsi"/>
        </w:rPr>
        <w:t>權益證券</w:t>
      </w:r>
      <w:r w:rsidRPr="00CA1A43">
        <w:rPr>
          <w:rFonts w:eastAsia="標楷體" w:cstheme="minorHAnsi"/>
        </w:rPr>
        <w:t>curvature</w:t>
      </w:r>
      <w:r w:rsidRPr="00CA1A43">
        <w:rPr>
          <w:rFonts w:eastAsia="標楷體" w:cstheme="minorHAnsi"/>
        </w:rPr>
        <w:t>風險部位加總，計算公式如下：</w:t>
      </w:r>
    </w:p>
    <w:p w14:paraId="7008C4EF" w14:textId="77777777" w:rsidR="00562EA4" w:rsidRPr="00CA1A43" w:rsidRDefault="00AA1117" w:rsidP="001E1275">
      <w:pPr>
        <w:spacing w:beforeLines="50" w:before="180"/>
        <w:jc w:val="both"/>
        <w:rPr>
          <w:rFonts w:eastAsia="標楷體" w:cstheme="minorHAnsi"/>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K</m:t>
              </m:r>
            </m:e>
            <m:sub>
              <m:r>
                <w:rPr>
                  <w:rFonts w:ascii="Cambria Math" w:eastAsia="標楷體" w:hAnsi="Cambria Math" w:cstheme="minorHAnsi"/>
                  <w:szCs w:val="24"/>
                </w:rPr>
                <m:t>b</m:t>
              </m:r>
              <m:d>
                <m:dPr>
                  <m:ctrlPr>
                    <w:rPr>
                      <w:rFonts w:ascii="Cambria Math" w:eastAsia="標楷體" w:hAnsi="Cambria Math" w:cstheme="minorHAnsi"/>
                      <w:i/>
                      <w:szCs w:val="24"/>
                    </w:rPr>
                  </m:ctrlPr>
                </m:dPr>
                <m:e>
                  <m:r>
                    <w:rPr>
                      <w:rFonts w:ascii="Cambria Math" w:eastAsia="標楷體" w:hAnsi="Cambria Math" w:cstheme="minorHAnsi"/>
                      <w:szCs w:val="24"/>
                    </w:rPr>
                    <m:t>other bucket</m:t>
                  </m:r>
                </m:e>
              </m:d>
            </m:sub>
          </m:sSub>
          <m:r>
            <w:rPr>
              <w:rFonts w:ascii="Cambria Math" w:eastAsia="標楷體" w:hAnsi="Cambria Math" w:cstheme="minorHAnsi"/>
              <w:szCs w:val="24"/>
            </w:rPr>
            <m:t>=max</m:t>
          </m:r>
          <m:d>
            <m:dPr>
              <m:ctrlPr>
                <w:rPr>
                  <w:rFonts w:ascii="Cambria Math" w:eastAsia="標楷體" w:hAnsi="Cambria Math" w:cstheme="minorHAnsi"/>
                  <w:i/>
                  <w:szCs w:val="24"/>
                </w:rPr>
              </m:ctrlPr>
            </m:dPr>
            <m:e>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r>
                    <w:rPr>
                      <w:rFonts w:ascii="Cambria Math" w:eastAsia="標楷體" w:hAnsi="Cambria Math" w:cstheme="minorHAnsi"/>
                      <w:szCs w:val="24"/>
                    </w:rPr>
                    <m:t>max</m:t>
                  </m:r>
                  <m:d>
                    <m:dPr>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CVR</m:t>
                          </m:r>
                        </m:e>
                        <m:sub>
                          <m:r>
                            <w:rPr>
                              <w:rFonts w:ascii="Cambria Math" w:eastAsia="標楷體" w:hAnsi="Cambria Math" w:cstheme="minorHAnsi"/>
                              <w:szCs w:val="24"/>
                            </w:rPr>
                            <m:t>k</m:t>
                          </m:r>
                        </m:sub>
                        <m:sup>
                          <m:r>
                            <w:rPr>
                              <w:rFonts w:ascii="Cambria Math" w:eastAsia="標楷體" w:hAnsi="Cambria Math" w:cstheme="minorHAnsi"/>
                              <w:szCs w:val="24"/>
                            </w:rPr>
                            <m:t>+</m:t>
                          </m:r>
                        </m:sup>
                      </m:sSubSup>
                      <m:r>
                        <w:rPr>
                          <w:rFonts w:ascii="Cambria Math" w:eastAsia="標楷體" w:hAnsi="Cambria Math" w:cstheme="minorHAnsi"/>
                          <w:szCs w:val="24"/>
                        </w:rPr>
                        <m:t>, 0</m:t>
                      </m:r>
                    </m:e>
                  </m:d>
                </m:e>
              </m:nary>
              <m:r>
                <w:rPr>
                  <w:rFonts w:ascii="Cambria Math" w:eastAsia="標楷體" w:hAnsi="Cambria Math" w:cstheme="minorHAnsi"/>
                  <w:szCs w:val="24"/>
                </w:rPr>
                <m:t xml:space="preserve">, </m:t>
              </m:r>
              <m:nary>
                <m:naryPr>
                  <m:chr m:val="∑"/>
                  <m:limLoc m:val="undOvr"/>
                  <m:supHide m:val="1"/>
                  <m:ctrlPr>
                    <w:rPr>
                      <w:rFonts w:ascii="Cambria Math" w:eastAsia="標楷體" w:hAnsi="Cambria Math" w:cstheme="minorHAnsi"/>
                      <w:i/>
                      <w:szCs w:val="24"/>
                    </w:rPr>
                  </m:ctrlPr>
                </m:naryPr>
                <m:sub>
                  <m:r>
                    <w:rPr>
                      <w:rFonts w:ascii="Cambria Math" w:eastAsia="標楷體" w:hAnsi="Cambria Math" w:cstheme="minorHAnsi"/>
                      <w:szCs w:val="24"/>
                    </w:rPr>
                    <m:t>k</m:t>
                  </m:r>
                </m:sub>
                <m:sup/>
                <m:e>
                  <m:r>
                    <w:rPr>
                      <w:rFonts w:ascii="Cambria Math" w:eastAsia="標楷體" w:hAnsi="Cambria Math" w:cstheme="minorHAnsi"/>
                      <w:szCs w:val="24"/>
                    </w:rPr>
                    <m:t>max</m:t>
                  </m:r>
                  <m:d>
                    <m:dPr>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CVR</m:t>
                          </m:r>
                        </m:e>
                        <m:sub>
                          <m:r>
                            <w:rPr>
                              <w:rFonts w:ascii="Cambria Math" w:eastAsia="標楷體" w:hAnsi="Cambria Math" w:cstheme="minorHAnsi"/>
                              <w:szCs w:val="24"/>
                            </w:rPr>
                            <m:t>k</m:t>
                          </m:r>
                        </m:sub>
                        <m:sup>
                          <m:r>
                            <w:rPr>
                              <w:rFonts w:ascii="Cambria Math" w:eastAsia="標楷體" w:hAnsi="Cambria Math" w:cstheme="minorHAnsi"/>
                              <w:szCs w:val="24"/>
                            </w:rPr>
                            <m:t>-</m:t>
                          </m:r>
                        </m:sup>
                      </m:sSubSup>
                      <m:r>
                        <w:rPr>
                          <w:rFonts w:ascii="Cambria Math" w:eastAsia="標楷體" w:hAnsi="Cambria Math" w:cstheme="minorHAnsi"/>
                          <w:szCs w:val="24"/>
                        </w:rPr>
                        <m:t>, 0</m:t>
                      </m:r>
                    </m:e>
                  </m:d>
                </m:e>
              </m:nary>
            </m:e>
          </m:d>
        </m:oMath>
      </m:oMathPara>
    </w:p>
    <w:p w14:paraId="1B77EC14" w14:textId="77777777" w:rsidR="004D566F" w:rsidRPr="00CA1A43" w:rsidRDefault="004D566F" w:rsidP="00605B1D">
      <w:pPr>
        <w:pStyle w:val="a7"/>
        <w:numPr>
          <w:ilvl w:val="0"/>
          <w:numId w:val="121"/>
        </w:numPr>
        <w:spacing w:beforeLines="50" w:before="180"/>
        <w:ind w:leftChars="0" w:left="1446" w:hanging="482"/>
        <w:jc w:val="both"/>
        <w:rPr>
          <w:rFonts w:eastAsia="標楷體" w:cstheme="minorHAnsi"/>
        </w:rPr>
      </w:pPr>
      <w:proofErr w:type="gramStart"/>
      <w:r w:rsidRPr="00CA1A43">
        <w:rPr>
          <w:rFonts w:eastAsia="標楷體" w:cstheme="minorHAnsi"/>
        </w:rPr>
        <w:t>加總跨組</w:t>
      </w:r>
      <w:proofErr w:type="gramEnd"/>
      <w:r w:rsidRPr="00CA1A43">
        <w:rPr>
          <w:rFonts w:eastAsia="標楷體" w:cstheme="minorHAnsi"/>
        </w:rPr>
        <w:t>別間</w:t>
      </w:r>
      <w:r w:rsidRPr="00CA1A43">
        <w:rPr>
          <w:rFonts w:eastAsia="標楷體" w:cstheme="minorHAnsi"/>
        </w:rPr>
        <w:t>(1~13</w:t>
      </w:r>
      <w:r w:rsidRPr="00CA1A43">
        <w:rPr>
          <w:rFonts w:eastAsia="標楷體" w:cstheme="minorHAnsi"/>
        </w:rPr>
        <w:t>組</w:t>
      </w:r>
      <w:r w:rsidRPr="00CA1A43">
        <w:rPr>
          <w:rFonts w:eastAsia="標楷體" w:cstheme="minorHAnsi"/>
        </w:rPr>
        <w:t>)</w:t>
      </w:r>
      <w:r w:rsidRPr="00CA1A43">
        <w:rPr>
          <w:rFonts w:eastAsia="標楷體" w:cstheme="minorHAnsi"/>
        </w:rPr>
        <w:t>權益證券風險部位之</w:t>
      </w:r>
      <w:r w:rsidRPr="00CA1A43">
        <w:rPr>
          <w:rFonts w:eastAsia="標楷體" w:cstheme="minorHAnsi"/>
        </w:rPr>
        <w:t>delta</w:t>
      </w:r>
      <w:r w:rsidRPr="00CA1A43">
        <w:rPr>
          <w:rFonts w:eastAsia="標楷體" w:cstheme="minorHAnsi"/>
        </w:rPr>
        <w:t>風險，其相關係數</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w:t>
      </w:r>
    </w:p>
    <w:p w14:paraId="62A87A6E" w14:textId="77777777" w:rsidR="004D566F" w:rsidRPr="00CA1A43" w:rsidRDefault="004D566F" w:rsidP="00605B1D">
      <w:pPr>
        <w:pStyle w:val="a7"/>
        <w:numPr>
          <w:ilvl w:val="0"/>
          <w:numId w:val="128"/>
        </w:numPr>
        <w:spacing w:beforeLines="50" w:before="180"/>
        <w:ind w:leftChars="0"/>
        <w:jc w:val="both"/>
        <w:rPr>
          <w:rFonts w:eastAsia="標楷體" w:cstheme="minorHAnsi"/>
        </w:rPr>
      </w:pPr>
      <w:r w:rsidRPr="00CA1A43">
        <w:rPr>
          <w:rFonts w:eastAsia="標楷體" w:cstheme="minorHAnsi"/>
        </w:rPr>
        <w:t>若組別</w:t>
      </w:r>
      <w:r w:rsidRPr="00CA1A43">
        <w:rPr>
          <w:rFonts w:eastAsia="標楷體" w:cstheme="minorHAnsi"/>
        </w:rPr>
        <w:t>b</w:t>
      </w:r>
      <w:r w:rsidRPr="00CA1A43">
        <w:rPr>
          <w:rFonts w:eastAsia="標楷體" w:cstheme="minorHAnsi"/>
        </w:rPr>
        <w:t>組別</w:t>
      </w:r>
      <w:r w:rsidRPr="00CA1A43">
        <w:rPr>
          <w:rFonts w:eastAsia="標楷體" w:cstheme="minorHAnsi"/>
        </w:rPr>
        <w:t>c</w:t>
      </w:r>
      <w:r w:rsidRPr="00CA1A43">
        <w:rPr>
          <w:rFonts w:eastAsia="標楷體" w:cstheme="minorHAnsi"/>
        </w:rPr>
        <w:t>分別落在組別</w:t>
      </w:r>
      <w:r w:rsidRPr="00CA1A43">
        <w:rPr>
          <w:rFonts w:eastAsia="標楷體" w:cstheme="minorHAnsi"/>
        </w:rPr>
        <w:t>1~10</w:t>
      </w:r>
      <w:r w:rsidRPr="00CA1A43">
        <w:rPr>
          <w:rFonts w:eastAsia="標楷體" w:cstheme="minorHAnsi"/>
        </w:rPr>
        <w:t>組者，</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w:t>
      </w:r>
      <w:r w:rsidRPr="00CA1A43">
        <w:rPr>
          <w:rFonts w:eastAsia="標楷體" w:cstheme="minorHAnsi"/>
        </w:rPr>
        <w:t>15%</w:t>
      </w:r>
      <w:r w:rsidRPr="00CA1A43">
        <w:rPr>
          <w:rFonts w:eastAsia="標楷體" w:cstheme="minorHAnsi"/>
        </w:rPr>
        <w:t>；</w:t>
      </w:r>
    </w:p>
    <w:p w14:paraId="746DAC84" w14:textId="77777777" w:rsidR="004D566F" w:rsidRPr="00CA1A43" w:rsidRDefault="004D566F" w:rsidP="00605B1D">
      <w:pPr>
        <w:pStyle w:val="a7"/>
        <w:numPr>
          <w:ilvl w:val="0"/>
          <w:numId w:val="128"/>
        </w:numPr>
        <w:spacing w:beforeLines="50" w:before="180"/>
        <w:ind w:leftChars="0"/>
        <w:jc w:val="both"/>
        <w:rPr>
          <w:rFonts w:eastAsia="標楷體" w:cstheme="minorHAnsi"/>
        </w:rPr>
      </w:pPr>
      <w:r w:rsidRPr="00CA1A43">
        <w:rPr>
          <w:rFonts w:eastAsia="標楷體" w:cstheme="minorHAnsi"/>
        </w:rPr>
        <w:t>若組別</w:t>
      </w:r>
      <w:r w:rsidRPr="00CA1A43">
        <w:rPr>
          <w:rFonts w:eastAsia="標楷體" w:cstheme="minorHAnsi"/>
        </w:rPr>
        <w:t>b</w:t>
      </w:r>
      <w:r w:rsidRPr="00CA1A43">
        <w:rPr>
          <w:rFonts w:eastAsia="標楷體" w:cstheme="minorHAnsi"/>
        </w:rPr>
        <w:t>組別</w:t>
      </w:r>
      <w:r w:rsidRPr="00CA1A43">
        <w:rPr>
          <w:rFonts w:eastAsia="標楷體" w:cstheme="minorHAnsi"/>
        </w:rPr>
        <w:t>c</w:t>
      </w:r>
      <w:r w:rsidRPr="00CA1A43">
        <w:rPr>
          <w:rFonts w:eastAsia="標楷體" w:cstheme="minorHAnsi"/>
        </w:rPr>
        <w:t>其一被分類為組別</w:t>
      </w:r>
      <w:r w:rsidRPr="00CA1A43">
        <w:rPr>
          <w:rFonts w:eastAsia="標楷體" w:cstheme="minorHAnsi"/>
        </w:rPr>
        <w:t>11</w:t>
      </w:r>
      <w:r w:rsidRPr="00CA1A43">
        <w:rPr>
          <w:rFonts w:eastAsia="標楷體" w:cstheme="minorHAnsi"/>
        </w:rPr>
        <w:t>者，</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w:t>
      </w:r>
      <w:r w:rsidRPr="00CA1A43">
        <w:rPr>
          <w:rFonts w:eastAsia="標楷體" w:cstheme="minorHAnsi"/>
        </w:rPr>
        <w:t>0%</w:t>
      </w:r>
      <w:r w:rsidRPr="00CA1A43">
        <w:rPr>
          <w:rFonts w:eastAsia="標楷體" w:cstheme="minorHAnsi"/>
        </w:rPr>
        <w:t>；</w:t>
      </w:r>
    </w:p>
    <w:p w14:paraId="2E804D00" w14:textId="77777777" w:rsidR="004D566F" w:rsidRPr="00CA1A43" w:rsidRDefault="004D566F" w:rsidP="00605B1D">
      <w:pPr>
        <w:pStyle w:val="a7"/>
        <w:numPr>
          <w:ilvl w:val="0"/>
          <w:numId w:val="128"/>
        </w:numPr>
        <w:spacing w:beforeLines="50" w:before="180"/>
        <w:ind w:leftChars="0"/>
        <w:jc w:val="both"/>
        <w:rPr>
          <w:rFonts w:eastAsia="標楷體" w:cstheme="minorHAnsi"/>
        </w:rPr>
      </w:pPr>
      <w:r w:rsidRPr="00CA1A43">
        <w:rPr>
          <w:rFonts w:eastAsia="標楷體" w:cstheme="minorHAnsi"/>
        </w:rPr>
        <w:lastRenderedPageBreak/>
        <w:t>若組別</w:t>
      </w:r>
      <w:r w:rsidRPr="00CA1A43">
        <w:rPr>
          <w:rFonts w:eastAsia="標楷體" w:cstheme="minorHAnsi"/>
        </w:rPr>
        <w:t>b</w:t>
      </w:r>
      <w:r w:rsidRPr="00CA1A43">
        <w:rPr>
          <w:rFonts w:eastAsia="標楷體" w:cstheme="minorHAnsi"/>
        </w:rPr>
        <w:t>組別</w:t>
      </w:r>
      <w:r w:rsidRPr="00CA1A43">
        <w:rPr>
          <w:rFonts w:eastAsia="標楷體" w:cstheme="minorHAnsi"/>
        </w:rPr>
        <w:t>c</w:t>
      </w:r>
      <w:r w:rsidRPr="00CA1A43">
        <w:rPr>
          <w:rFonts w:eastAsia="標楷體" w:cstheme="minorHAnsi"/>
        </w:rPr>
        <w:t>分別為</w:t>
      </w:r>
      <w:r w:rsidRPr="00CA1A43">
        <w:rPr>
          <w:rFonts w:eastAsia="標楷體" w:cstheme="minorHAnsi"/>
        </w:rPr>
        <w:t>12</w:t>
      </w:r>
      <w:r w:rsidRPr="00CA1A43">
        <w:rPr>
          <w:rFonts w:eastAsia="標楷體" w:cstheme="minorHAnsi"/>
        </w:rPr>
        <w:t>及</w:t>
      </w:r>
      <w:r w:rsidRPr="00CA1A43">
        <w:rPr>
          <w:rFonts w:eastAsia="標楷體" w:cstheme="minorHAnsi"/>
        </w:rPr>
        <w:t>13</w:t>
      </w:r>
      <w:r w:rsidRPr="00CA1A43">
        <w:rPr>
          <w:rFonts w:eastAsia="標楷體" w:cstheme="minorHAnsi"/>
        </w:rPr>
        <w:t>組</w:t>
      </w:r>
      <w:r w:rsidRPr="00CA1A43">
        <w:rPr>
          <w:rFonts w:eastAsia="標楷體" w:cstheme="minorHAnsi"/>
        </w:rPr>
        <w:t>(</w:t>
      </w:r>
      <w:r w:rsidRPr="00CA1A43">
        <w:rPr>
          <w:rFonts w:eastAsia="標楷體" w:cstheme="minorHAnsi"/>
        </w:rPr>
        <w:t>即一為</w:t>
      </w:r>
      <w:r w:rsidRPr="00CA1A43">
        <w:rPr>
          <w:rFonts w:eastAsia="標楷體" w:cstheme="minorHAnsi"/>
        </w:rPr>
        <w:t>12</w:t>
      </w:r>
      <w:r w:rsidRPr="00CA1A43">
        <w:rPr>
          <w:rFonts w:eastAsia="標楷體" w:cstheme="minorHAnsi"/>
        </w:rPr>
        <w:t>組，另一為</w:t>
      </w:r>
      <w:r w:rsidRPr="00CA1A43">
        <w:rPr>
          <w:rFonts w:eastAsia="標楷體" w:cstheme="minorHAnsi"/>
        </w:rPr>
        <w:t>13</w:t>
      </w:r>
      <w:r w:rsidRPr="00CA1A43">
        <w:rPr>
          <w:rFonts w:eastAsia="標楷體" w:cstheme="minorHAnsi"/>
        </w:rPr>
        <w:t>組</w:t>
      </w:r>
      <w:r w:rsidRPr="00CA1A43">
        <w:rPr>
          <w:rFonts w:eastAsia="標楷體" w:cstheme="minorHAnsi"/>
        </w:rPr>
        <w:t>)</w:t>
      </w:r>
      <w:r w:rsidRPr="00CA1A43">
        <w:rPr>
          <w:rFonts w:eastAsia="標楷體" w:cstheme="minorHAnsi"/>
        </w:rPr>
        <w:t>，</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w:t>
      </w:r>
      <w:r w:rsidRPr="00CA1A43">
        <w:rPr>
          <w:rFonts w:eastAsia="標楷體" w:cstheme="minorHAnsi"/>
        </w:rPr>
        <w:t>75%</w:t>
      </w:r>
      <w:r w:rsidRPr="00CA1A43">
        <w:rPr>
          <w:rFonts w:eastAsia="標楷體" w:cstheme="minorHAnsi"/>
        </w:rPr>
        <w:t>；及</w:t>
      </w:r>
    </w:p>
    <w:p w14:paraId="0B16B505" w14:textId="77777777" w:rsidR="00BD02FF" w:rsidRPr="00CA1A43" w:rsidRDefault="004D566F" w:rsidP="00605B1D">
      <w:pPr>
        <w:pStyle w:val="a7"/>
        <w:numPr>
          <w:ilvl w:val="0"/>
          <w:numId w:val="128"/>
        </w:numPr>
        <w:spacing w:beforeLines="50" w:before="180"/>
        <w:ind w:leftChars="0"/>
        <w:jc w:val="both"/>
        <w:rPr>
          <w:rFonts w:eastAsia="標楷體" w:cstheme="minorHAnsi"/>
        </w:rPr>
      </w:pPr>
      <w:r w:rsidRPr="00CA1A43">
        <w:rPr>
          <w:rFonts w:eastAsia="標楷體" w:cstheme="minorHAnsi"/>
        </w:rPr>
        <w:t>非上述情形者，</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w:t>
      </w:r>
      <w:r w:rsidRPr="00CA1A43">
        <w:rPr>
          <w:rFonts w:eastAsia="標楷體" w:cstheme="minorHAnsi"/>
        </w:rPr>
        <w:t>45%</w:t>
      </w:r>
      <w:r w:rsidRPr="00CA1A43">
        <w:rPr>
          <w:rFonts w:eastAsia="標楷體" w:cstheme="minorHAnsi"/>
        </w:rPr>
        <w:t>。</w:t>
      </w:r>
    </w:p>
    <w:p w14:paraId="012B4741" w14:textId="77777777" w:rsidR="004D566F" w:rsidRPr="00CA1A43" w:rsidRDefault="004D566F" w:rsidP="00605B1D">
      <w:pPr>
        <w:pStyle w:val="a7"/>
        <w:numPr>
          <w:ilvl w:val="0"/>
          <w:numId w:val="107"/>
        </w:numPr>
        <w:spacing w:beforeLines="50" w:before="180"/>
        <w:ind w:leftChars="0" w:left="964" w:hanging="482"/>
        <w:jc w:val="both"/>
        <w:rPr>
          <w:rFonts w:eastAsia="標楷體" w:cstheme="minorHAnsi"/>
          <w:szCs w:val="24"/>
        </w:rPr>
      </w:pPr>
      <w:r w:rsidRPr="00CA1A43">
        <w:rPr>
          <w:rFonts w:eastAsia="標楷體" w:cstheme="minorHAnsi"/>
          <w:szCs w:val="24"/>
        </w:rPr>
        <w:t>商品風險組別、風險權數及相關係數</w:t>
      </w:r>
    </w:p>
    <w:p w14:paraId="74593232" w14:textId="77777777" w:rsidR="001E1275" w:rsidRPr="00CA1A43" w:rsidRDefault="004D566F" w:rsidP="00605B1D">
      <w:pPr>
        <w:pStyle w:val="a7"/>
        <w:numPr>
          <w:ilvl w:val="0"/>
          <w:numId w:val="129"/>
        </w:numPr>
        <w:spacing w:beforeLines="50" w:before="180"/>
        <w:ind w:leftChars="0" w:left="1446" w:hanging="482"/>
        <w:jc w:val="both"/>
        <w:rPr>
          <w:rFonts w:eastAsia="標楷體" w:cstheme="minorHAnsi"/>
        </w:rPr>
      </w:pPr>
      <w:r w:rsidRPr="00CA1A43">
        <w:rPr>
          <w:rFonts w:eastAsia="標楷體" w:cstheme="minorHAnsi"/>
        </w:rPr>
        <w:t>對於商品</w:t>
      </w:r>
      <w:r w:rsidRPr="00CA1A43">
        <w:rPr>
          <w:rFonts w:eastAsia="標楷體" w:cstheme="minorHAnsi"/>
        </w:rPr>
        <w:t>delta</w:t>
      </w:r>
      <w:r w:rsidRPr="00CA1A43">
        <w:rPr>
          <w:rFonts w:eastAsia="標楷體" w:cstheme="minorHAnsi"/>
        </w:rPr>
        <w:t>風險，依商品共同特徵區分</w:t>
      </w:r>
      <w:r w:rsidRPr="00CA1A43">
        <w:rPr>
          <w:rFonts w:eastAsia="標楷體" w:cstheme="minorHAnsi"/>
        </w:rPr>
        <w:t>11</w:t>
      </w:r>
      <w:r w:rsidRPr="00CA1A43">
        <w:rPr>
          <w:rFonts w:eastAsia="標楷體" w:cstheme="minorHAnsi"/>
        </w:rPr>
        <w:t>個組別，以及其組別對應之風險權數如表</w:t>
      </w:r>
      <w:r w:rsidRPr="00CA1A43">
        <w:rPr>
          <w:rFonts w:eastAsia="標楷體" w:cstheme="minorHAnsi"/>
        </w:rPr>
        <w:t>11</w:t>
      </w:r>
      <w:r w:rsidRPr="00CA1A43">
        <w:rPr>
          <w:rFonts w:eastAsia="標楷體" w:cstheme="minorHAnsi"/>
        </w:rPr>
        <w:t>。</w:t>
      </w:r>
    </w:p>
    <w:tbl>
      <w:tblPr>
        <w:tblW w:w="5000" w:type="pct"/>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841"/>
        <w:gridCol w:w="3819"/>
        <w:gridCol w:w="714"/>
        <w:gridCol w:w="1219"/>
        <w:gridCol w:w="10"/>
      </w:tblGrid>
      <w:tr w:rsidR="004D566F" w:rsidRPr="00CA1A43" w14:paraId="3C33B15E" w14:textId="77777777" w:rsidTr="00CC246B">
        <w:trPr>
          <w:trHeight w:val="454"/>
        </w:trPr>
        <w:tc>
          <w:tcPr>
            <w:tcW w:w="3830" w:type="pct"/>
            <w:gridSpan w:val="3"/>
            <w:tcBorders>
              <w:right w:val="nil"/>
            </w:tcBorders>
            <w:vAlign w:val="center"/>
          </w:tcPr>
          <w:p w14:paraId="1CE7A11A"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商品</w:t>
            </w:r>
            <w:r w:rsidRPr="00CA1A43">
              <w:rPr>
                <w:rFonts w:asciiTheme="minorHAnsi" w:hAnsiTheme="minorHAnsi" w:cstheme="minorHAnsi"/>
                <w:sz w:val="24"/>
                <w:szCs w:val="24"/>
              </w:rPr>
              <w:t>Delta</w:t>
            </w:r>
            <w:r w:rsidRPr="00CA1A43">
              <w:rPr>
                <w:rFonts w:asciiTheme="minorHAnsi" w:hAnsiTheme="minorHAnsi" w:cstheme="minorHAnsi"/>
                <w:sz w:val="24"/>
                <w:szCs w:val="24"/>
              </w:rPr>
              <w:t>風險組別及風險權數</w:t>
            </w:r>
          </w:p>
        </w:tc>
        <w:tc>
          <w:tcPr>
            <w:tcW w:w="1170" w:type="pct"/>
            <w:gridSpan w:val="3"/>
            <w:tcBorders>
              <w:left w:val="nil"/>
            </w:tcBorders>
            <w:vAlign w:val="center"/>
          </w:tcPr>
          <w:p w14:paraId="7D1C27E7" w14:textId="77777777" w:rsidR="004D566F" w:rsidRPr="00CA1A43" w:rsidRDefault="004D566F" w:rsidP="00CC246B">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11</w:t>
            </w:r>
          </w:p>
        </w:tc>
      </w:tr>
      <w:tr w:rsidR="004D566F" w:rsidRPr="00CA1A43" w14:paraId="67C9BAE2" w14:textId="77777777" w:rsidTr="00CC246B">
        <w:trPr>
          <w:gridAfter w:val="1"/>
          <w:wAfter w:w="6" w:type="pct"/>
          <w:trHeight w:val="182"/>
        </w:trPr>
        <w:tc>
          <w:tcPr>
            <w:tcW w:w="423" w:type="pct"/>
          </w:tcPr>
          <w:p w14:paraId="26284515"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1108" w:type="pct"/>
          </w:tcPr>
          <w:p w14:paraId="71EEF99D"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商品組別</w:t>
            </w:r>
          </w:p>
        </w:tc>
        <w:tc>
          <w:tcPr>
            <w:tcW w:w="2729" w:type="pct"/>
            <w:gridSpan w:val="2"/>
          </w:tcPr>
          <w:p w14:paraId="77EAE4B5"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每一商品組別所包含商品類型</w:t>
            </w:r>
          </w:p>
          <w:p w14:paraId="0954EA85"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w:t>
            </w:r>
            <w:r w:rsidRPr="00CA1A43">
              <w:rPr>
                <w:rFonts w:asciiTheme="minorHAnsi" w:hAnsiTheme="minorHAnsi" w:cstheme="minorHAnsi"/>
                <w:sz w:val="24"/>
                <w:szCs w:val="24"/>
              </w:rPr>
              <w:t>不限於下列商品</w:t>
            </w:r>
            <w:r w:rsidRPr="00CA1A43">
              <w:rPr>
                <w:rFonts w:asciiTheme="minorHAnsi" w:hAnsiTheme="minorHAnsi" w:cstheme="minorHAnsi"/>
                <w:sz w:val="24"/>
                <w:szCs w:val="24"/>
              </w:rPr>
              <w:t>)</w:t>
            </w:r>
          </w:p>
        </w:tc>
        <w:tc>
          <w:tcPr>
            <w:tcW w:w="734" w:type="pct"/>
          </w:tcPr>
          <w:p w14:paraId="19B5A00C"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風險權數</w:t>
            </w:r>
            <w:r w:rsidRPr="00CA1A43">
              <w:rPr>
                <w:rFonts w:asciiTheme="minorHAnsi" w:hAnsiTheme="minorHAnsi" w:cstheme="minorHAnsi"/>
                <w:sz w:val="24"/>
                <w:szCs w:val="24"/>
              </w:rPr>
              <w:t>(%)</w:t>
            </w:r>
          </w:p>
        </w:tc>
      </w:tr>
      <w:tr w:rsidR="004D566F" w:rsidRPr="00CA1A43" w14:paraId="160E6F5A" w14:textId="77777777" w:rsidTr="00CC246B">
        <w:trPr>
          <w:gridAfter w:val="1"/>
          <w:wAfter w:w="6" w:type="pct"/>
          <w:trHeight w:val="88"/>
        </w:trPr>
        <w:tc>
          <w:tcPr>
            <w:tcW w:w="423" w:type="pct"/>
          </w:tcPr>
          <w:p w14:paraId="411357BA"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1108" w:type="pct"/>
          </w:tcPr>
          <w:p w14:paraId="1E195C6E"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能源</w:t>
            </w:r>
            <w:r w:rsidRPr="00CA1A43">
              <w:rPr>
                <w:rFonts w:asciiTheme="minorHAnsi" w:hAnsiTheme="minorHAnsi" w:cstheme="minorHAnsi"/>
                <w:sz w:val="24"/>
                <w:szCs w:val="24"/>
              </w:rPr>
              <w:t>-</w:t>
            </w:r>
            <w:r w:rsidRPr="00CA1A43">
              <w:rPr>
                <w:rFonts w:asciiTheme="minorHAnsi" w:hAnsiTheme="minorHAnsi" w:cstheme="minorHAnsi"/>
                <w:sz w:val="24"/>
                <w:szCs w:val="24"/>
              </w:rPr>
              <w:t>固態燃料</w:t>
            </w:r>
          </w:p>
        </w:tc>
        <w:tc>
          <w:tcPr>
            <w:tcW w:w="2729" w:type="pct"/>
            <w:gridSpan w:val="2"/>
            <w:vAlign w:val="center"/>
          </w:tcPr>
          <w:p w14:paraId="4DFBA3FA"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煤炭，木炭，木質顆粒</w:t>
            </w:r>
            <w:r w:rsidRPr="00CA1A43">
              <w:rPr>
                <w:rFonts w:asciiTheme="minorHAnsi" w:hAnsiTheme="minorHAnsi" w:cstheme="minorHAnsi"/>
                <w:sz w:val="24"/>
                <w:szCs w:val="24"/>
              </w:rPr>
              <w:t>(</w:t>
            </w:r>
            <w:r w:rsidRPr="00CA1A43">
              <w:rPr>
                <w:rFonts w:asciiTheme="minorHAnsi" w:hAnsiTheme="minorHAnsi" w:cstheme="minorHAnsi"/>
                <w:sz w:val="24"/>
                <w:szCs w:val="24"/>
              </w:rPr>
              <w:t>木球</w:t>
            </w:r>
            <w:r w:rsidRPr="00CA1A43">
              <w:rPr>
                <w:rFonts w:asciiTheme="minorHAnsi" w:hAnsiTheme="minorHAnsi" w:cstheme="minorHAnsi"/>
                <w:sz w:val="24"/>
                <w:szCs w:val="24"/>
              </w:rPr>
              <w:t>)</w:t>
            </w:r>
            <w:r w:rsidRPr="00CA1A43">
              <w:rPr>
                <w:rFonts w:asciiTheme="minorHAnsi" w:hAnsiTheme="minorHAnsi" w:cstheme="minorHAnsi"/>
                <w:sz w:val="24"/>
                <w:szCs w:val="24"/>
              </w:rPr>
              <w:t>，鈾</w:t>
            </w:r>
          </w:p>
        </w:tc>
        <w:tc>
          <w:tcPr>
            <w:tcW w:w="734" w:type="pct"/>
          </w:tcPr>
          <w:p w14:paraId="49CE9A9E"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r>
      <w:tr w:rsidR="004D566F" w:rsidRPr="00CA1A43" w14:paraId="79867ED3" w14:textId="77777777" w:rsidTr="00CC246B">
        <w:trPr>
          <w:gridAfter w:val="1"/>
          <w:wAfter w:w="6" w:type="pct"/>
          <w:trHeight w:val="788"/>
        </w:trPr>
        <w:tc>
          <w:tcPr>
            <w:tcW w:w="423" w:type="pct"/>
          </w:tcPr>
          <w:p w14:paraId="42D27BE7"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1108" w:type="pct"/>
          </w:tcPr>
          <w:p w14:paraId="1FE82D34"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能源</w:t>
            </w:r>
            <w:r w:rsidRPr="00CA1A43">
              <w:rPr>
                <w:rFonts w:asciiTheme="minorHAnsi" w:hAnsiTheme="minorHAnsi" w:cstheme="minorHAnsi"/>
                <w:sz w:val="24"/>
                <w:szCs w:val="24"/>
              </w:rPr>
              <w:t>-</w:t>
            </w:r>
            <w:r w:rsidRPr="00CA1A43">
              <w:rPr>
                <w:rFonts w:asciiTheme="minorHAnsi" w:hAnsiTheme="minorHAnsi" w:cstheme="minorHAnsi"/>
                <w:sz w:val="24"/>
                <w:szCs w:val="24"/>
              </w:rPr>
              <w:t>液態燃料</w:t>
            </w:r>
          </w:p>
        </w:tc>
        <w:tc>
          <w:tcPr>
            <w:tcW w:w="2729" w:type="pct"/>
            <w:gridSpan w:val="2"/>
            <w:vAlign w:val="center"/>
          </w:tcPr>
          <w:p w14:paraId="291AE707"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輕質低碳原油、</w:t>
            </w:r>
            <w:proofErr w:type="gramStart"/>
            <w:r w:rsidRPr="00CA1A43">
              <w:rPr>
                <w:rFonts w:asciiTheme="minorHAnsi" w:hAnsiTheme="minorHAnsi" w:cstheme="minorHAnsi"/>
                <w:sz w:val="24"/>
                <w:szCs w:val="24"/>
              </w:rPr>
              <w:t>重硫原油</w:t>
            </w:r>
            <w:proofErr w:type="gramEnd"/>
            <w:r w:rsidRPr="00CA1A43">
              <w:rPr>
                <w:rFonts w:asciiTheme="minorHAnsi" w:hAnsiTheme="minorHAnsi" w:cstheme="minorHAnsi"/>
                <w:sz w:val="24"/>
                <w:szCs w:val="24"/>
              </w:rPr>
              <w:t>、西德州</w:t>
            </w:r>
            <w:r w:rsidRPr="00CA1A43">
              <w:rPr>
                <w:rFonts w:asciiTheme="minorHAnsi" w:hAnsiTheme="minorHAnsi" w:cstheme="minorHAnsi"/>
                <w:sz w:val="24"/>
                <w:szCs w:val="24"/>
              </w:rPr>
              <w:t>(WTI)</w:t>
            </w:r>
            <w:r w:rsidRPr="00CA1A43">
              <w:rPr>
                <w:rFonts w:asciiTheme="minorHAnsi" w:hAnsiTheme="minorHAnsi" w:cstheme="minorHAnsi"/>
                <w:sz w:val="24"/>
                <w:szCs w:val="24"/>
              </w:rPr>
              <w:t>原油及布蘭</w:t>
            </w:r>
            <w:proofErr w:type="gramStart"/>
            <w:r w:rsidRPr="00CA1A43">
              <w:rPr>
                <w:rFonts w:asciiTheme="minorHAnsi" w:hAnsiTheme="minorHAnsi" w:cstheme="minorHAnsi"/>
                <w:sz w:val="24"/>
                <w:szCs w:val="24"/>
              </w:rPr>
              <w:t>特</w:t>
            </w:r>
            <w:proofErr w:type="gramEnd"/>
            <w:r w:rsidRPr="00CA1A43">
              <w:rPr>
                <w:rFonts w:asciiTheme="minorHAnsi" w:hAnsiTheme="minorHAnsi" w:cstheme="minorHAnsi"/>
                <w:sz w:val="24"/>
                <w:szCs w:val="24"/>
              </w:rPr>
              <w:t>原油等</w:t>
            </w:r>
            <w:r w:rsidRPr="00CA1A43">
              <w:rPr>
                <w:rFonts w:asciiTheme="minorHAnsi" w:hAnsiTheme="minorHAnsi" w:cstheme="minorHAnsi"/>
                <w:sz w:val="24"/>
                <w:szCs w:val="24"/>
              </w:rPr>
              <w:t>(</w:t>
            </w:r>
            <w:r w:rsidRPr="00CA1A43">
              <w:rPr>
                <w:rFonts w:asciiTheme="minorHAnsi" w:hAnsiTheme="minorHAnsi" w:cstheme="minorHAnsi"/>
                <w:sz w:val="24"/>
                <w:szCs w:val="24"/>
              </w:rPr>
              <w:t>即各種原油</w:t>
            </w:r>
            <w:r w:rsidRPr="00CA1A43">
              <w:rPr>
                <w:rFonts w:asciiTheme="minorHAnsi" w:hAnsiTheme="minorHAnsi" w:cstheme="minorHAnsi"/>
                <w:sz w:val="24"/>
                <w:szCs w:val="24"/>
              </w:rPr>
              <w:t>)</w:t>
            </w:r>
            <w:r w:rsidRPr="00CA1A43">
              <w:rPr>
                <w:rFonts w:asciiTheme="minorHAnsi" w:hAnsiTheme="minorHAnsi" w:cstheme="minorHAnsi"/>
                <w:sz w:val="24"/>
                <w:szCs w:val="24"/>
              </w:rPr>
              <w:t>；生質乙醇、生質柴油等</w:t>
            </w:r>
            <w:r w:rsidRPr="00CA1A43">
              <w:rPr>
                <w:rFonts w:asciiTheme="minorHAnsi" w:hAnsiTheme="minorHAnsi" w:cstheme="minorHAnsi"/>
                <w:sz w:val="24"/>
                <w:szCs w:val="24"/>
              </w:rPr>
              <w:t>(</w:t>
            </w:r>
            <w:r w:rsidRPr="00CA1A43">
              <w:rPr>
                <w:rFonts w:asciiTheme="minorHAnsi" w:hAnsiTheme="minorHAnsi" w:cstheme="minorHAnsi"/>
                <w:sz w:val="24"/>
                <w:szCs w:val="24"/>
              </w:rPr>
              <w:t>即各種生質燃料</w:t>
            </w:r>
            <w:r w:rsidRPr="00CA1A43">
              <w:rPr>
                <w:rFonts w:asciiTheme="minorHAnsi" w:hAnsiTheme="minorHAnsi" w:cstheme="minorHAnsi"/>
                <w:sz w:val="24"/>
                <w:szCs w:val="24"/>
              </w:rPr>
              <w:t>)</w:t>
            </w:r>
            <w:r w:rsidRPr="00CA1A43">
              <w:rPr>
                <w:rFonts w:asciiTheme="minorHAnsi" w:hAnsiTheme="minorHAnsi" w:cstheme="minorHAnsi"/>
                <w:sz w:val="24"/>
                <w:szCs w:val="24"/>
              </w:rPr>
              <w:t>；丙烷，乙烷，汽油，甲醇和丁烷等</w:t>
            </w:r>
            <w:r w:rsidRPr="00CA1A43">
              <w:rPr>
                <w:rFonts w:asciiTheme="minorHAnsi" w:hAnsiTheme="minorHAnsi" w:cstheme="minorHAnsi"/>
                <w:sz w:val="24"/>
                <w:szCs w:val="24"/>
              </w:rPr>
              <w:t>(</w:t>
            </w:r>
            <w:r w:rsidRPr="00CA1A43">
              <w:rPr>
                <w:rFonts w:asciiTheme="minorHAnsi" w:hAnsiTheme="minorHAnsi" w:cstheme="minorHAnsi"/>
                <w:sz w:val="24"/>
                <w:szCs w:val="24"/>
              </w:rPr>
              <w:t>即各種石化產品</w:t>
            </w:r>
            <w:r w:rsidRPr="00CA1A43">
              <w:rPr>
                <w:rFonts w:asciiTheme="minorHAnsi" w:hAnsiTheme="minorHAnsi" w:cstheme="minorHAnsi"/>
                <w:sz w:val="24"/>
                <w:szCs w:val="24"/>
              </w:rPr>
              <w:t>)</w:t>
            </w:r>
            <w:r w:rsidRPr="00CA1A43">
              <w:rPr>
                <w:rFonts w:asciiTheme="minorHAnsi" w:hAnsiTheme="minorHAnsi" w:cstheme="minorHAnsi"/>
                <w:sz w:val="24"/>
                <w:szCs w:val="24"/>
              </w:rPr>
              <w:t>；航空燃油、煤油、汽油、燃料油、</w:t>
            </w:r>
            <w:proofErr w:type="gramStart"/>
            <w:r w:rsidRPr="00CA1A43">
              <w:rPr>
                <w:rFonts w:asciiTheme="minorHAnsi" w:hAnsiTheme="minorHAnsi" w:cstheme="minorHAnsi"/>
                <w:sz w:val="24"/>
                <w:szCs w:val="24"/>
              </w:rPr>
              <w:t>石腦油</w:t>
            </w:r>
            <w:proofErr w:type="gramEnd"/>
            <w:r w:rsidRPr="00CA1A43">
              <w:rPr>
                <w:rFonts w:asciiTheme="minorHAnsi" w:hAnsiTheme="minorHAnsi" w:cstheme="minorHAnsi"/>
                <w:sz w:val="24"/>
                <w:szCs w:val="24"/>
              </w:rPr>
              <w:t>、取暖油和柴油等</w:t>
            </w:r>
            <w:r w:rsidRPr="00CA1A43">
              <w:rPr>
                <w:rFonts w:asciiTheme="minorHAnsi" w:hAnsiTheme="minorHAnsi" w:cstheme="minorHAnsi"/>
                <w:sz w:val="24"/>
                <w:szCs w:val="24"/>
              </w:rPr>
              <w:t>(</w:t>
            </w:r>
            <w:r w:rsidRPr="00CA1A43">
              <w:rPr>
                <w:rFonts w:asciiTheme="minorHAnsi" w:hAnsiTheme="minorHAnsi" w:cstheme="minorHAnsi"/>
                <w:sz w:val="24"/>
                <w:szCs w:val="24"/>
              </w:rPr>
              <w:t>即各種精</w:t>
            </w:r>
            <w:proofErr w:type="gramStart"/>
            <w:r w:rsidRPr="00CA1A43">
              <w:rPr>
                <w:rFonts w:asciiTheme="minorHAnsi" w:hAnsiTheme="minorHAnsi" w:cstheme="minorHAnsi"/>
                <w:sz w:val="24"/>
                <w:szCs w:val="24"/>
              </w:rPr>
              <w:t>鍊</w:t>
            </w:r>
            <w:proofErr w:type="gramEnd"/>
            <w:r w:rsidRPr="00CA1A43">
              <w:rPr>
                <w:rFonts w:asciiTheme="minorHAnsi" w:hAnsiTheme="minorHAnsi" w:cstheme="minorHAnsi"/>
                <w:sz w:val="24"/>
                <w:szCs w:val="24"/>
              </w:rPr>
              <w:t>燃料</w:t>
            </w:r>
            <w:r w:rsidRPr="00CA1A43">
              <w:rPr>
                <w:rFonts w:asciiTheme="minorHAnsi" w:hAnsiTheme="minorHAnsi" w:cstheme="minorHAnsi"/>
                <w:sz w:val="24"/>
                <w:szCs w:val="24"/>
              </w:rPr>
              <w:t>)</w:t>
            </w:r>
            <w:r w:rsidRPr="00CA1A43">
              <w:rPr>
                <w:rFonts w:asciiTheme="minorHAnsi" w:hAnsiTheme="minorHAnsi" w:cstheme="minorHAnsi"/>
                <w:sz w:val="24"/>
                <w:szCs w:val="24"/>
              </w:rPr>
              <w:t>。</w:t>
            </w:r>
          </w:p>
        </w:tc>
        <w:tc>
          <w:tcPr>
            <w:tcW w:w="734" w:type="pct"/>
          </w:tcPr>
          <w:p w14:paraId="081DC7CB"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r w:rsidR="004D566F" w:rsidRPr="00CA1A43" w14:paraId="09B25754" w14:textId="77777777" w:rsidTr="00CC246B">
        <w:trPr>
          <w:gridAfter w:val="1"/>
          <w:wAfter w:w="6" w:type="pct"/>
          <w:trHeight w:val="569"/>
        </w:trPr>
        <w:tc>
          <w:tcPr>
            <w:tcW w:w="423" w:type="pct"/>
          </w:tcPr>
          <w:p w14:paraId="37BC5AD1"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1108" w:type="pct"/>
          </w:tcPr>
          <w:p w14:paraId="4FF4C8A2"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能源</w:t>
            </w:r>
            <w:r w:rsidRPr="00CA1A43">
              <w:rPr>
                <w:rFonts w:asciiTheme="minorHAnsi" w:hAnsiTheme="minorHAnsi" w:cstheme="minorHAnsi"/>
                <w:sz w:val="24"/>
                <w:szCs w:val="24"/>
              </w:rPr>
              <w:t>-</w:t>
            </w:r>
            <w:r w:rsidRPr="00CA1A43">
              <w:rPr>
                <w:rFonts w:asciiTheme="minorHAnsi" w:hAnsiTheme="minorHAnsi" w:cstheme="minorHAnsi"/>
                <w:sz w:val="24"/>
                <w:szCs w:val="24"/>
              </w:rPr>
              <w:t>電能與碳交易</w:t>
            </w:r>
          </w:p>
        </w:tc>
        <w:tc>
          <w:tcPr>
            <w:tcW w:w="2729" w:type="pct"/>
            <w:gridSpan w:val="2"/>
            <w:vAlign w:val="center"/>
          </w:tcPr>
          <w:p w14:paraId="7CC1DE57"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即期電能、日前電能、高峰期電能和非高峰期電能</w:t>
            </w:r>
            <w:r w:rsidRPr="00CA1A43">
              <w:rPr>
                <w:rFonts w:asciiTheme="minorHAnsi" w:hAnsiTheme="minorHAnsi" w:cstheme="minorHAnsi"/>
                <w:sz w:val="24"/>
                <w:szCs w:val="24"/>
              </w:rPr>
              <w:t>(</w:t>
            </w:r>
            <w:r w:rsidRPr="00CA1A43">
              <w:rPr>
                <w:rFonts w:asciiTheme="minorHAnsi" w:hAnsiTheme="minorHAnsi" w:cstheme="minorHAnsi"/>
                <w:sz w:val="24"/>
                <w:szCs w:val="24"/>
              </w:rPr>
              <w:t>即各種電能</w:t>
            </w:r>
            <w:r w:rsidRPr="00CA1A43">
              <w:rPr>
                <w:rFonts w:asciiTheme="minorHAnsi" w:hAnsiTheme="minorHAnsi" w:cstheme="minorHAnsi"/>
                <w:sz w:val="24"/>
                <w:szCs w:val="24"/>
              </w:rPr>
              <w:t>)</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減排認證</w:t>
            </w:r>
            <w:proofErr w:type="gramEnd"/>
            <w:r w:rsidRPr="00CA1A43">
              <w:rPr>
                <w:rFonts w:asciiTheme="minorHAnsi" w:hAnsiTheme="minorHAnsi" w:cstheme="minorHAnsi"/>
                <w:sz w:val="24"/>
                <w:szCs w:val="24"/>
              </w:rPr>
              <w:t>、再交割月份歐盟排放配額</w:t>
            </w:r>
            <w:r w:rsidRPr="00CA1A43">
              <w:rPr>
                <w:rFonts w:asciiTheme="minorHAnsi" w:hAnsiTheme="minorHAnsi" w:cstheme="minorHAnsi"/>
                <w:sz w:val="24"/>
                <w:szCs w:val="24"/>
              </w:rPr>
              <w:t>(EUA)</w:t>
            </w:r>
            <w:r w:rsidRPr="00CA1A43">
              <w:rPr>
                <w:rFonts w:asciiTheme="minorHAnsi" w:hAnsiTheme="minorHAnsi" w:cstheme="minorHAnsi"/>
                <w:sz w:val="24"/>
                <w:szCs w:val="24"/>
              </w:rPr>
              <w:t>、區域性溫室氣體倡議</w:t>
            </w:r>
            <w:r w:rsidRPr="00CA1A43">
              <w:rPr>
                <w:rFonts w:asciiTheme="minorHAnsi" w:hAnsiTheme="minorHAnsi" w:cstheme="minorHAnsi"/>
                <w:sz w:val="24"/>
                <w:szCs w:val="24"/>
              </w:rPr>
              <w:t xml:space="preserve"> (RGGI CO2)</w:t>
            </w:r>
            <w:r w:rsidRPr="00CA1A43">
              <w:rPr>
                <w:rFonts w:asciiTheme="minorHAnsi" w:hAnsiTheme="minorHAnsi" w:cstheme="minorHAnsi"/>
                <w:sz w:val="24"/>
                <w:szCs w:val="24"/>
              </w:rPr>
              <w:t>津貼和</w:t>
            </w:r>
            <w:proofErr w:type="gramStart"/>
            <w:r w:rsidRPr="00CA1A43">
              <w:rPr>
                <w:rFonts w:asciiTheme="minorHAnsi" w:hAnsiTheme="minorHAnsi" w:cstheme="minorHAnsi"/>
                <w:sz w:val="24"/>
                <w:szCs w:val="24"/>
              </w:rPr>
              <w:t>可</w:t>
            </w:r>
            <w:proofErr w:type="gramEnd"/>
            <w:r w:rsidRPr="00CA1A43">
              <w:rPr>
                <w:rFonts w:asciiTheme="minorHAnsi" w:hAnsiTheme="minorHAnsi" w:cstheme="minorHAnsi"/>
                <w:sz w:val="24"/>
                <w:szCs w:val="24"/>
              </w:rPr>
              <w:t>再生能源證書等</w:t>
            </w:r>
            <w:r w:rsidRPr="00CA1A43">
              <w:rPr>
                <w:rFonts w:asciiTheme="minorHAnsi" w:hAnsiTheme="minorHAnsi" w:cstheme="minorHAnsi"/>
                <w:sz w:val="24"/>
                <w:szCs w:val="24"/>
              </w:rPr>
              <w:t>(</w:t>
            </w:r>
            <w:r w:rsidRPr="00CA1A43">
              <w:rPr>
                <w:rFonts w:asciiTheme="minorHAnsi" w:hAnsiTheme="minorHAnsi" w:cstheme="minorHAnsi"/>
                <w:sz w:val="24"/>
                <w:szCs w:val="24"/>
              </w:rPr>
              <w:t>即各種碳排放交易</w:t>
            </w:r>
            <w:r w:rsidRPr="00CA1A43">
              <w:rPr>
                <w:rFonts w:asciiTheme="minorHAnsi" w:hAnsiTheme="minorHAnsi" w:cstheme="minorHAnsi"/>
                <w:sz w:val="24"/>
                <w:szCs w:val="24"/>
              </w:rPr>
              <w:t>)</w:t>
            </w:r>
          </w:p>
        </w:tc>
        <w:tc>
          <w:tcPr>
            <w:tcW w:w="734" w:type="pct"/>
          </w:tcPr>
          <w:p w14:paraId="347BBA99"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60%</w:t>
            </w:r>
          </w:p>
        </w:tc>
      </w:tr>
      <w:tr w:rsidR="004D566F" w:rsidRPr="00CA1A43" w14:paraId="195CBC9D" w14:textId="77777777" w:rsidTr="00CC246B">
        <w:trPr>
          <w:gridAfter w:val="1"/>
          <w:wAfter w:w="6" w:type="pct"/>
          <w:trHeight w:val="384"/>
        </w:trPr>
        <w:tc>
          <w:tcPr>
            <w:tcW w:w="423" w:type="pct"/>
          </w:tcPr>
          <w:p w14:paraId="19CCD988"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1108" w:type="pct"/>
          </w:tcPr>
          <w:p w14:paraId="62C1E9BB"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貨運航班</w:t>
            </w:r>
          </w:p>
        </w:tc>
        <w:tc>
          <w:tcPr>
            <w:tcW w:w="2729" w:type="pct"/>
            <w:gridSpan w:val="2"/>
            <w:vAlign w:val="center"/>
          </w:tcPr>
          <w:p w14:paraId="44309508"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海</w:t>
            </w:r>
            <w:proofErr w:type="gramStart"/>
            <w:r w:rsidRPr="00CA1A43">
              <w:rPr>
                <w:rFonts w:asciiTheme="minorHAnsi" w:hAnsiTheme="minorHAnsi" w:cstheme="minorHAnsi"/>
                <w:sz w:val="24"/>
                <w:szCs w:val="24"/>
              </w:rPr>
              <w:t>岬</w:t>
            </w:r>
            <w:proofErr w:type="gramEnd"/>
            <w:r w:rsidRPr="00CA1A43">
              <w:rPr>
                <w:rFonts w:asciiTheme="minorHAnsi" w:hAnsiTheme="minorHAnsi" w:cstheme="minorHAnsi"/>
                <w:sz w:val="24"/>
                <w:szCs w:val="24"/>
              </w:rPr>
              <w:t>型、巴拿馬型、輕便型和超輕便極限型</w:t>
            </w:r>
            <w:r w:rsidRPr="00CA1A43">
              <w:rPr>
                <w:rFonts w:asciiTheme="minorHAnsi" w:hAnsiTheme="minorHAnsi" w:cstheme="minorHAnsi"/>
                <w:sz w:val="24"/>
                <w:szCs w:val="24"/>
              </w:rPr>
              <w:t>(</w:t>
            </w:r>
            <w:r w:rsidRPr="00CA1A43">
              <w:rPr>
                <w:rFonts w:asciiTheme="minorHAnsi" w:hAnsiTheme="minorHAnsi" w:cstheme="minorHAnsi"/>
                <w:sz w:val="24"/>
                <w:szCs w:val="24"/>
              </w:rPr>
              <w:t>即各種散裝貨運航線</w:t>
            </w:r>
            <w:r w:rsidRPr="00CA1A43">
              <w:rPr>
                <w:rFonts w:asciiTheme="minorHAnsi" w:hAnsiTheme="minorHAnsi" w:cstheme="minorHAnsi"/>
                <w:sz w:val="24"/>
                <w:szCs w:val="24"/>
              </w:rPr>
              <w:t>)</w:t>
            </w:r>
            <w:r w:rsidRPr="00CA1A43">
              <w:rPr>
                <w:rFonts w:asciiTheme="minorHAnsi" w:hAnsiTheme="minorHAnsi" w:cstheme="minorHAnsi"/>
                <w:sz w:val="24"/>
                <w:szCs w:val="24"/>
              </w:rPr>
              <w:t>；蘇伊士極限型、阿芙拉極限型和超大油輪</w:t>
            </w:r>
            <w:r w:rsidRPr="00CA1A43">
              <w:rPr>
                <w:rFonts w:asciiTheme="minorHAnsi" w:hAnsiTheme="minorHAnsi" w:cstheme="minorHAnsi"/>
                <w:sz w:val="24"/>
                <w:szCs w:val="24"/>
              </w:rPr>
              <w:t>(</w:t>
            </w:r>
            <w:r w:rsidRPr="00CA1A43">
              <w:rPr>
                <w:rFonts w:asciiTheme="minorHAnsi" w:hAnsiTheme="minorHAnsi" w:cstheme="minorHAnsi"/>
                <w:sz w:val="24"/>
                <w:szCs w:val="24"/>
              </w:rPr>
              <w:t>即各種液態散裝</w:t>
            </w:r>
            <w:r w:rsidRPr="00CA1A43">
              <w:rPr>
                <w:rFonts w:asciiTheme="minorHAnsi" w:hAnsiTheme="minorHAnsi" w:cstheme="minorHAnsi"/>
                <w:sz w:val="24"/>
                <w:szCs w:val="24"/>
              </w:rPr>
              <w:t>/</w:t>
            </w:r>
            <w:r w:rsidRPr="00CA1A43">
              <w:rPr>
                <w:rFonts w:asciiTheme="minorHAnsi" w:hAnsiTheme="minorHAnsi" w:cstheme="minorHAnsi"/>
                <w:sz w:val="24"/>
                <w:szCs w:val="24"/>
              </w:rPr>
              <w:t>天然氣</w:t>
            </w:r>
            <w:r w:rsidRPr="00CA1A43">
              <w:rPr>
                <w:rFonts w:asciiTheme="minorHAnsi" w:hAnsiTheme="minorHAnsi" w:cstheme="minorHAnsi"/>
                <w:sz w:val="24"/>
                <w:szCs w:val="24"/>
              </w:rPr>
              <w:t>(</w:t>
            </w:r>
            <w:r w:rsidRPr="00CA1A43">
              <w:rPr>
                <w:rFonts w:asciiTheme="minorHAnsi" w:hAnsiTheme="minorHAnsi" w:cstheme="minorHAnsi"/>
                <w:sz w:val="24"/>
                <w:szCs w:val="24"/>
              </w:rPr>
              <w:t>油輪</w:t>
            </w:r>
            <w:r w:rsidRPr="00CA1A43">
              <w:rPr>
                <w:rFonts w:asciiTheme="minorHAnsi" w:hAnsiTheme="minorHAnsi" w:cstheme="minorHAnsi"/>
                <w:sz w:val="24"/>
                <w:szCs w:val="24"/>
              </w:rPr>
              <w:t>)</w:t>
            </w:r>
            <w:r w:rsidRPr="00CA1A43">
              <w:rPr>
                <w:rFonts w:asciiTheme="minorHAnsi" w:hAnsiTheme="minorHAnsi" w:cstheme="minorHAnsi"/>
                <w:sz w:val="24"/>
                <w:szCs w:val="24"/>
              </w:rPr>
              <w:t>貨運航線</w:t>
            </w:r>
            <w:r w:rsidRPr="00CA1A43">
              <w:rPr>
                <w:rFonts w:asciiTheme="minorHAnsi" w:hAnsiTheme="minorHAnsi" w:cstheme="minorHAnsi"/>
                <w:sz w:val="24"/>
                <w:szCs w:val="24"/>
              </w:rPr>
              <w:t>)</w:t>
            </w:r>
          </w:p>
        </w:tc>
        <w:tc>
          <w:tcPr>
            <w:tcW w:w="734" w:type="pct"/>
          </w:tcPr>
          <w:p w14:paraId="16D2358A"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80%</w:t>
            </w:r>
          </w:p>
        </w:tc>
      </w:tr>
      <w:tr w:rsidR="004D566F" w:rsidRPr="00CA1A43" w14:paraId="24309FD6" w14:textId="77777777" w:rsidTr="00CC246B">
        <w:trPr>
          <w:gridAfter w:val="1"/>
          <w:wAfter w:w="6" w:type="pct"/>
          <w:trHeight w:val="678"/>
        </w:trPr>
        <w:tc>
          <w:tcPr>
            <w:tcW w:w="423" w:type="pct"/>
          </w:tcPr>
          <w:p w14:paraId="15BC7F78"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1108" w:type="pct"/>
          </w:tcPr>
          <w:p w14:paraId="7B72ED6A"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金屬</w:t>
            </w:r>
            <w:r w:rsidRPr="00CA1A43">
              <w:rPr>
                <w:rFonts w:asciiTheme="minorHAnsi" w:hAnsiTheme="minorHAnsi" w:cstheme="minorHAnsi"/>
                <w:sz w:val="24"/>
                <w:szCs w:val="24"/>
              </w:rPr>
              <w:t>-</w:t>
            </w:r>
            <w:r w:rsidRPr="00CA1A43">
              <w:rPr>
                <w:rFonts w:asciiTheme="minorHAnsi" w:hAnsiTheme="minorHAnsi" w:cstheme="minorHAnsi"/>
                <w:sz w:val="24"/>
                <w:szCs w:val="24"/>
              </w:rPr>
              <w:t>非貴金屬</w:t>
            </w:r>
          </w:p>
        </w:tc>
        <w:tc>
          <w:tcPr>
            <w:tcW w:w="2729" w:type="pct"/>
            <w:gridSpan w:val="2"/>
            <w:vAlign w:val="center"/>
          </w:tcPr>
          <w:p w14:paraId="030AFF03"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鋁、銅、鉛、鎳、錫和鋅</w:t>
            </w:r>
            <w:r w:rsidRPr="00CA1A43">
              <w:rPr>
                <w:rFonts w:asciiTheme="minorHAnsi" w:hAnsiTheme="minorHAnsi" w:cstheme="minorHAnsi"/>
                <w:sz w:val="24"/>
                <w:szCs w:val="24"/>
              </w:rPr>
              <w:t>(</w:t>
            </w:r>
            <w:r w:rsidRPr="00CA1A43">
              <w:rPr>
                <w:rFonts w:asciiTheme="minorHAnsi" w:hAnsiTheme="minorHAnsi" w:cstheme="minorHAnsi"/>
                <w:sz w:val="24"/>
                <w:szCs w:val="24"/>
              </w:rPr>
              <w:t>即各種基本金屬</w:t>
            </w:r>
            <w:r w:rsidRPr="00CA1A43">
              <w:rPr>
                <w:rFonts w:asciiTheme="minorHAnsi" w:hAnsiTheme="minorHAnsi" w:cstheme="minorHAnsi"/>
                <w:sz w:val="24"/>
                <w:szCs w:val="24"/>
              </w:rPr>
              <w:t>)</w:t>
            </w:r>
            <w:r w:rsidRPr="00CA1A43">
              <w:rPr>
                <w:rFonts w:asciiTheme="minorHAnsi" w:hAnsiTheme="minorHAnsi" w:cstheme="minorHAnsi"/>
                <w:sz w:val="24"/>
                <w:szCs w:val="24"/>
              </w:rPr>
              <w:t>；鋼坯，鋼線材，鋼</w:t>
            </w:r>
            <w:proofErr w:type="gramStart"/>
            <w:r w:rsidRPr="00CA1A43">
              <w:rPr>
                <w:rFonts w:asciiTheme="minorHAnsi" w:hAnsiTheme="minorHAnsi" w:cstheme="minorHAnsi"/>
                <w:sz w:val="24"/>
                <w:szCs w:val="24"/>
              </w:rPr>
              <w:t>捲</w:t>
            </w:r>
            <w:proofErr w:type="gramEnd"/>
            <w:r w:rsidRPr="00CA1A43">
              <w:rPr>
                <w:rFonts w:asciiTheme="minorHAnsi" w:hAnsiTheme="minorHAnsi" w:cstheme="minorHAnsi"/>
                <w:sz w:val="24"/>
                <w:szCs w:val="24"/>
              </w:rPr>
              <w:t>板，廢鋼、鋼筋</w:t>
            </w:r>
            <w:r w:rsidRPr="00CA1A43">
              <w:rPr>
                <w:rFonts w:asciiTheme="minorHAnsi" w:hAnsiTheme="minorHAnsi" w:cstheme="minorHAnsi"/>
                <w:sz w:val="24"/>
                <w:szCs w:val="24"/>
              </w:rPr>
              <w:t>(</w:t>
            </w:r>
            <w:r w:rsidRPr="00CA1A43">
              <w:rPr>
                <w:rFonts w:asciiTheme="minorHAnsi" w:hAnsiTheme="minorHAnsi" w:cstheme="minorHAnsi"/>
                <w:sz w:val="24"/>
                <w:szCs w:val="24"/>
              </w:rPr>
              <w:t>螺紋鋼</w:t>
            </w:r>
            <w:r w:rsidRPr="00CA1A43">
              <w:rPr>
                <w:rFonts w:asciiTheme="minorHAnsi" w:hAnsiTheme="minorHAnsi" w:cstheme="minorHAnsi"/>
                <w:sz w:val="24"/>
                <w:szCs w:val="24"/>
              </w:rPr>
              <w:t>)</w:t>
            </w:r>
            <w:r w:rsidRPr="00CA1A43">
              <w:rPr>
                <w:rFonts w:asciiTheme="minorHAnsi" w:hAnsiTheme="minorHAnsi" w:cstheme="minorHAnsi"/>
                <w:sz w:val="24"/>
                <w:szCs w:val="24"/>
              </w:rPr>
              <w:t>，鐵礦石，鎢，釩，鈦和</w:t>
            </w:r>
            <w:proofErr w:type="gramStart"/>
            <w:r w:rsidRPr="00CA1A43">
              <w:rPr>
                <w:rFonts w:asciiTheme="minorHAnsi" w:hAnsiTheme="minorHAnsi" w:cstheme="minorHAnsi"/>
                <w:sz w:val="24"/>
                <w:szCs w:val="24"/>
              </w:rPr>
              <w:t>鉭</w:t>
            </w:r>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即各種鋼鐵原物料</w:t>
            </w:r>
            <w:r w:rsidRPr="00CA1A43">
              <w:rPr>
                <w:rFonts w:asciiTheme="minorHAnsi" w:hAnsiTheme="minorHAnsi" w:cstheme="minorHAnsi"/>
                <w:sz w:val="24"/>
                <w:szCs w:val="24"/>
              </w:rPr>
              <w:t>)</w:t>
            </w:r>
            <w:r w:rsidRPr="00CA1A43">
              <w:rPr>
                <w:rFonts w:asciiTheme="minorHAnsi" w:hAnsiTheme="minorHAnsi" w:cstheme="minorHAnsi"/>
                <w:sz w:val="24"/>
                <w:szCs w:val="24"/>
              </w:rPr>
              <w:t>；鈷、錳和</w:t>
            </w:r>
            <w:proofErr w:type="gramStart"/>
            <w:r w:rsidRPr="00CA1A43">
              <w:rPr>
                <w:rFonts w:asciiTheme="minorHAnsi" w:hAnsiTheme="minorHAnsi" w:cstheme="minorHAnsi"/>
                <w:sz w:val="24"/>
                <w:szCs w:val="24"/>
              </w:rPr>
              <w:t>鉬</w:t>
            </w:r>
            <w:proofErr w:type="gramEnd"/>
            <w:r w:rsidRPr="00CA1A43">
              <w:rPr>
                <w:rFonts w:asciiTheme="minorHAnsi" w:hAnsiTheme="minorHAnsi" w:cstheme="minorHAnsi"/>
                <w:sz w:val="24"/>
                <w:szCs w:val="24"/>
              </w:rPr>
              <w:t>(</w:t>
            </w:r>
            <w:r w:rsidRPr="00CA1A43">
              <w:rPr>
                <w:rFonts w:asciiTheme="minorHAnsi" w:hAnsiTheme="minorHAnsi" w:cstheme="minorHAnsi"/>
                <w:sz w:val="24"/>
                <w:szCs w:val="24"/>
              </w:rPr>
              <w:t>即各種稀有金屬</w:t>
            </w:r>
            <w:r w:rsidRPr="00CA1A43">
              <w:rPr>
                <w:rFonts w:asciiTheme="minorHAnsi" w:hAnsiTheme="minorHAnsi" w:cstheme="minorHAnsi"/>
                <w:sz w:val="24"/>
                <w:szCs w:val="24"/>
              </w:rPr>
              <w:t>)</w:t>
            </w:r>
          </w:p>
        </w:tc>
        <w:tc>
          <w:tcPr>
            <w:tcW w:w="734" w:type="pct"/>
          </w:tcPr>
          <w:p w14:paraId="57E5C12C"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4D566F" w:rsidRPr="00CA1A43" w14:paraId="41732647" w14:textId="77777777" w:rsidTr="00CC246B">
        <w:trPr>
          <w:gridAfter w:val="1"/>
          <w:wAfter w:w="6" w:type="pct"/>
          <w:trHeight w:val="88"/>
        </w:trPr>
        <w:tc>
          <w:tcPr>
            <w:tcW w:w="423" w:type="pct"/>
          </w:tcPr>
          <w:p w14:paraId="78709FF8"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c>
          <w:tcPr>
            <w:tcW w:w="1108" w:type="pct"/>
          </w:tcPr>
          <w:p w14:paraId="13B5D506"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天然氣</w:t>
            </w:r>
            <w:r w:rsidRPr="00CA1A43">
              <w:rPr>
                <w:rFonts w:asciiTheme="minorHAnsi" w:hAnsiTheme="minorHAnsi" w:cstheme="minorHAnsi"/>
                <w:sz w:val="24"/>
                <w:szCs w:val="24"/>
              </w:rPr>
              <w:t>(</w:t>
            </w:r>
            <w:r w:rsidRPr="00CA1A43">
              <w:rPr>
                <w:rFonts w:asciiTheme="minorHAnsi" w:hAnsiTheme="minorHAnsi" w:cstheme="minorHAnsi"/>
                <w:sz w:val="24"/>
                <w:szCs w:val="24"/>
              </w:rPr>
              <w:t>可燃氣體</w:t>
            </w:r>
            <w:r w:rsidRPr="00CA1A43">
              <w:rPr>
                <w:rFonts w:asciiTheme="minorHAnsi" w:hAnsiTheme="minorHAnsi" w:cstheme="minorHAnsi"/>
                <w:sz w:val="24"/>
                <w:szCs w:val="24"/>
              </w:rPr>
              <w:t xml:space="preserve">) </w:t>
            </w:r>
          </w:p>
        </w:tc>
        <w:tc>
          <w:tcPr>
            <w:tcW w:w="2729" w:type="pct"/>
            <w:gridSpan w:val="2"/>
            <w:vAlign w:val="center"/>
          </w:tcPr>
          <w:p w14:paraId="41B9F842"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天然氣；液態天然氣</w:t>
            </w:r>
          </w:p>
        </w:tc>
        <w:tc>
          <w:tcPr>
            <w:tcW w:w="734" w:type="pct"/>
          </w:tcPr>
          <w:p w14:paraId="1675D4D8"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45%</w:t>
            </w:r>
          </w:p>
        </w:tc>
      </w:tr>
      <w:tr w:rsidR="004D566F" w:rsidRPr="00CA1A43" w14:paraId="6ADC6189" w14:textId="77777777" w:rsidTr="00CC246B">
        <w:trPr>
          <w:gridAfter w:val="1"/>
          <w:wAfter w:w="6" w:type="pct"/>
          <w:trHeight w:val="182"/>
        </w:trPr>
        <w:tc>
          <w:tcPr>
            <w:tcW w:w="423" w:type="pct"/>
          </w:tcPr>
          <w:p w14:paraId="79905A64"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1108" w:type="pct"/>
          </w:tcPr>
          <w:p w14:paraId="31E89E0C"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貴金屬</w:t>
            </w:r>
            <w:r w:rsidRPr="00CA1A43">
              <w:rPr>
                <w:rFonts w:asciiTheme="minorHAnsi" w:hAnsiTheme="minorHAnsi" w:cstheme="minorHAnsi"/>
                <w:sz w:val="24"/>
                <w:szCs w:val="24"/>
              </w:rPr>
              <w:t>(</w:t>
            </w:r>
            <w:r w:rsidRPr="00CA1A43">
              <w:rPr>
                <w:rFonts w:asciiTheme="minorHAnsi" w:hAnsiTheme="minorHAnsi" w:cstheme="minorHAnsi"/>
                <w:sz w:val="24"/>
                <w:szCs w:val="24"/>
              </w:rPr>
              <w:t>包含黃金</w:t>
            </w:r>
            <w:r w:rsidRPr="00CA1A43">
              <w:rPr>
                <w:rFonts w:asciiTheme="minorHAnsi" w:hAnsiTheme="minorHAnsi" w:cstheme="minorHAnsi"/>
                <w:sz w:val="24"/>
                <w:szCs w:val="24"/>
              </w:rPr>
              <w:t>)</w:t>
            </w:r>
          </w:p>
        </w:tc>
        <w:tc>
          <w:tcPr>
            <w:tcW w:w="2729" w:type="pct"/>
            <w:gridSpan w:val="2"/>
            <w:vAlign w:val="center"/>
          </w:tcPr>
          <w:p w14:paraId="4404059B"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黃金；銀；</w:t>
            </w:r>
            <w:proofErr w:type="gramStart"/>
            <w:r w:rsidRPr="00CA1A43">
              <w:rPr>
                <w:rFonts w:asciiTheme="minorHAnsi" w:hAnsiTheme="minorHAnsi" w:cstheme="minorHAnsi"/>
                <w:sz w:val="24"/>
                <w:szCs w:val="24"/>
              </w:rPr>
              <w:t>鉑</w:t>
            </w:r>
            <w:proofErr w:type="gramEnd"/>
            <w:r w:rsidRPr="00CA1A43">
              <w:rPr>
                <w:rFonts w:asciiTheme="minorHAnsi" w:hAnsiTheme="minorHAnsi" w:cstheme="minorHAnsi"/>
                <w:sz w:val="24"/>
                <w:szCs w:val="24"/>
              </w:rPr>
              <w:t>；鈀</w:t>
            </w:r>
          </w:p>
        </w:tc>
        <w:tc>
          <w:tcPr>
            <w:tcW w:w="734" w:type="pct"/>
          </w:tcPr>
          <w:p w14:paraId="6957DD94"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r>
      <w:tr w:rsidR="004D566F" w:rsidRPr="00CA1A43" w14:paraId="29AD7A4B" w14:textId="77777777" w:rsidTr="00CC246B">
        <w:trPr>
          <w:gridAfter w:val="1"/>
          <w:wAfter w:w="6" w:type="pct"/>
          <w:trHeight w:val="368"/>
        </w:trPr>
        <w:tc>
          <w:tcPr>
            <w:tcW w:w="423" w:type="pct"/>
          </w:tcPr>
          <w:p w14:paraId="2396BEC1"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1108" w:type="pct"/>
          </w:tcPr>
          <w:p w14:paraId="6920C0DC"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穀物或油籽</w:t>
            </w:r>
          </w:p>
        </w:tc>
        <w:tc>
          <w:tcPr>
            <w:tcW w:w="2729" w:type="pct"/>
            <w:gridSpan w:val="2"/>
            <w:vAlign w:val="center"/>
          </w:tcPr>
          <w:p w14:paraId="2893B474"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玉米；小麥；大豆種子；大豆油；大豆</w:t>
            </w:r>
          </w:p>
          <w:p w14:paraId="457E9BA2"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粉</w:t>
            </w:r>
            <w:r w:rsidRPr="00CA1A43">
              <w:rPr>
                <w:rFonts w:asciiTheme="minorHAnsi" w:hAnsiTheme="minorHAnsi" w:cstheme="minorHAnsi"/>
                <w:sz w:val="24"/>
                <w:szCs w:val="24"/>
              </w:rPr>
              <w:t>(</w:t>
            </w:r>
            <w:r w:rsidRPr="00CA1A43">
              <w:rPr>
                <w:rFonts w:asciiTheme="minorHAnsi" w:hAnsiTheme="minorHAnsi" w:cstheme="minorHAnsi"/>
                <w:sz w:val="24"/>
                <w:szCs w:val="24"/>
              </w:rPr>
              <w:t>豆</w:t>
            </w:r>
            <w:proofErr w:type="gramStart"/>
            <w:r w:rsidRPr="00CA1A43">
              <w:rPr>
                <w:rFonts w:asciiTheme="minorHAnsi" w:hAnsiTheme="minorHAnsi" w:cstheme="minorHAnsi"/>
                <w:sz w:val="24"/>
                <w:szCs w:val="24"/>
              </w:rPr>
              <w:t>粕</w:t>
            </w:r>
            <w:proofErr w:type="gramEnd"/>
            <w:r w:rsidRPr="00CA1A43">
              <w:rPr>
                <w:rFonts w:asciiTheme="minorHAnsi" w:hAnsiTheme="minorHAnsi" w:cstheme="minorHAnsi"/>
                <w:sz w:val="24"/>
                <w:szCs w:val="24"/>
              </w:rPr>
              <w:t>)</w:t>
            </w:r>
            <w:r w:rsidRPr="00CA1A43">
              <w:rPr>
                <w:rFonts w:asciiTheme="minorHAnsi" w:hAnsiTheme="minorHAnsi" w:cstheme="minorHAnsi"/>
                <w:sz w:val="24"/>
                <w:szCs w:val="24"/>
              </w:rPr>
              <w:t>；燕麥；棕</w:t>
            </w:r>
            <w:proofErr w:type="gramStart"/>
            <w:r w:rsidRPr="00CA1A43">
              <w:rPr>
                <w:rFonts w:asciiTheme="minorHAnsi" w:hAnsiTheme="minorHAnsi" w:cstheme="minorHAnsi"/>
                <w:sz w:val="24"/>
                <w:szCs w:val="24"/>
              </w:rPr>
              <w:t>梠</w:t>
            </w:r>
            <w:proofErr w:type="gramEnd"/>
            <w:r w:rsidRPr="00CA1A43">
              <w:rPr>
                <w:rFonts w:asciiTheme="minorHAnsi" w:hAnsiTheme="minorHAnsi" w:cstheme="minorHAnsi"/>
                <w:sz w:val="24"/>
                <w:szCs w:val="24"/>
              </w:rPr>
              <w:t>油；油菜；大麥，</w:t>
            </w:r>
            <w:proofErr w:type="gramStart"/>
            <w:r w:rsidRPr="00CA1A43">
              <w:rPr>
                <w:rFonts w:asciiTheme="minorHAnsi" w:hAnsiTheme="minorHAnsi" w:cstheme="minorHAnsi"/>
                <w:sz w:val="24"/>
                <w:szCs w:val="24"/>
              </w:rPr>
              <w:t>芥</w:t>
            </w:r>
            <w:proofErr w:type="gramEnd"/>
            <w:r w:rsidRPr="00CA1A43">
              <w:rPr>
                <w:rFonts w:asciiTheme="minorHAnsi" w:hAnsiTheme="minorHAnsi" w:cstheme="minorHAnsi"/>
                <w:sz w:val="24"/>
                <w:szCs w:val="24"/>
              </w:rPr>
              <w:t>花籽種子；</w:t>
            </w:r>
            <w:proofErr w:type="gramStart"/>
            <w:r w:rsidRPr="00CA1A43">
              <w:rPr>
                <w:rFonts w:asciiTheme="minorHAnsi" w:hAnsiTheme="minorHAnsi" w:cstheme="minorHAnsi"/>
                <w:sz w:val="24"/>
                <w:szCs w:val="24"/>
              </w:rPr>
              <w:t>芥花籽油</w:t>
            </w:r>
            <w:proofErr w:type="gramEnd"/>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芥</w:t>
            </w:r>
            <w:proofErr w:type="gramEnd"/>
            <w:r w:rsidRPr="00CA1A43">
              <w:rPr>
                <w:rFonts w:asciiTheme="minorHAnsi" w:hAnsiTheme="minorHAnsi" w:cstheme="minorHAnsi"/>
                <w:sz w:val="24"/>
                <w:szCs w:val="24"/>
              </w:rPr>
              <w:t>花粉</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芥</w:t>
            </w:r>
            <w:proofErr w:type="gramEnd"/>
            <w:r w:rsidRPr="00CA1A43">
              <w:rPr>
                <w:rFonts w:asciiTheme="minorHAnsi" w:hAnsiTheme="minorHAnsi" w:cstheme="minorHAnsi"/>
                <w:sz w:val="24"/>
                <w:szCs w:val="24"/>
              </w:rPr>
              <w:t>花</w:t>
            </w:r>
            <w:proofErr w:type="gramStart"/>
            <w:r w:rsidRPr="00CA1A43">
              <w:rPr>
                <w:rFonts w:asciiTheme="minorHAnsi" w:hAnsiTheme="minorHAnsi" w:cstheme="minorHAnsi"/>
                <w:sz w:val="24"/>
                <w:szCs w:val="24"/>
              </w:rPr>
              <w:t>粕</w:t>
            </w:r>
            <w:proofErr w:type="gramEnd"/>
            <w:r w:rsidRPr="00CA1A43">
              <w:rPr>
                <w:rFonts w:asciiTheme="minorHAnsi" w:hAnsiTheme="minorHAnsi" w:cstheme="minorHAnsi"/>
                <w:sz w:val="24"/>
                <w:szCs w:val="24"/>
              </w:rPr>
              <w:t>)</w:t>
            </w:r>
            <w:r w:rsidRPr="00CA1A43">
              <w:rPr>
                <w:rFonts w:asciiTheme="minorHAnsi" w:hAnsiTheme="minorHAnsi" w:cstheme="minorHAnsi"/>
                <w:sz w:val="24"/>
                <w:szCs w:val="24"/>
              </w:rPr>
              <w:t>；紅豆；高粱；椰子油；橄欖油；花生油；</w:t>
            </w:r>
            <w:proofErr w:type="gramStart"/>
            <w:r w:rsidRPr="00CA1A43">
              <w:rPr>
                <w:rFonts w:asciiTheme="minorHAnsi" w:hAnsiTheme="minorHAnsi" w:cstheme="minorHAnsi"/>
                <w:sz w:val="24"/>
                <w:szCs w:val="24"/>
              </w:rPr>
              <w:t>葵花籽油</w:t>
            </w:r>
            <w:proofErr w:type="gramEnd"/>
            <w:r w:rsidRPr="00CA1A43">
              <w:rPr>
                <w:rFonts w:asciiTheme="minorHAnsi" w:hAnsiTheme="minorHAnsi" w:cstheme="minorHAnsi"/>
                <w:sz w:val="24"/>
                <w:szCs w:val="24"/>
              </w:rPr>
              <w:t>；稻米</w:t>
            </w:r>
          </w:p>
        </w:tc>
        <w:tc>
          <w:tcPr>
            <w:tcW w:w="734" w:type="pct"/>
          </w:tcPr>
          <w:p w14:paraId="2525795C"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r w:rsidR="004D566F" w:rsidRPr="00CA1A43" w14:paraId="3DEAFE59" w14:textId="77777777" w:rsidTr="00CC246B">
        <w:trPr>
          <w:gridAfter w:val="1"/>
          <w:wAfter w:w="6" w:type="pct"/>
          <w:trHeight w:val="182"/>
        </w:trPr>
        <w:tc>
          <w:tcPr>
            <w:tcW w:w="423" w:type="pct"/>
          </w:tcPr>
          <w:p w14:paraId="7F3947BD"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1108" w:type="pct"/>
          </w:tcPr>
          <w:p w14:paraId="53821C37"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畜牧產品和</w:t>
            </w:r>
            <w:proofErr w:type="gramStart"/>
            <w:r w:rsidRPr="00CA1A43">
              <w:rPr>
                <w:rFonts w:asciiTheme="minorHAnsi" w:hAnsiTheme="minorHAnsi" w:cstheme="minorHAnsi"/>
                <w:sz w:val="24"/>
                <w:szCs w:val="24"/>
              </w:rPr>
              <w:t>乳製品</w:t>
            </w:r>
            <w:proofErr w:type="gramEnd"/>
          </w:p>
        </w:tc>
        <w:tc>
          <w:tcPr>
            <w:tcW w:w="2729" w:type="pct"/>
            <w:gridSpan w:val="2"/>
            <w:vAlign w:val="center"/>
          </w:tcPr>
          <w:p w14:paraId="41813BE1" w14:textId="77777777" w:rsidR="004D566F" w:rsidRPr="00CA1A43" w:rsidRDefault="004D566F" w:rsidP="00CC246B">
            <w:pPr>
              <w:pStyle w:val="Item"/>
              <w:jc w:val="both"/>
              <w:rPr>
                <w:rFonts w:asciiTheme="minorHAnsi" w:hAnsiTheme="minorHAnsi" w:cstheme="minorHAnsi"/>
                <w:sz w:val="24"/>
                <w:szCs w:val="24"/>
              </w:rPr>
            </w:pPr>
            <w:proofErr w:type="gramStart"/>
            <w:r w:rsidRPr="00CA1A43">
              <w:rPr>
                <w:rFonts w:asciiTheme="minorHAnsi" w:hAnsiTheme="minorHAnsi" w:cstheme="minorHAnsi"/>
                <w:sz w:val="24"/>
                <w:szCs w:val="24"/>
              </w:rPr>
              <w:t>活牛</w:t>
            </w:r>
            <w:proofErr w:type="gramEnd"/>
            <w:r w:rsidRPr="00CA1A43">
              <w:rPr>
                <w:rFonts w:asciiTheme="minorHAnsi" w:hAnsiTheme="minorHAnsi" w:cstheme="minorHAnsi"/>
                <w:sz w:val="24"/>
                <w:szCs w:val="24"/>
              </w:rPr>
              <w:t>；飼養牛；肉豬；家禽；羊肉</w:t>
            </w:r>
            <w:r w:rsidRPr="00CA1A43">
              <w:rPr>
                <w:rFonts w:asciiTheme="minorHAnsi" w:hAnsiTheme="minorHAnsi" w:cstheme="minorHAnsi"/>
                <w:sz w:val="24"/>
                <w:szCs w:val="24"/>
              </w:rPr>
              <w:t>(</w:t>
            </w:r>
            <w:r w:rsidRPr="00CA1A43">
              <w:rPr>
                <w:rFonts w:asciiTheme="minorHAnsi" w:hAnsiTheme="minorHAnsi" w:cstheme="minorHAnsi"/>
                <w:sz w:val="24"/>
                <w:szCs w:val="24"/>
              </w:rPr>
              <w:t>羔羊</w:t>
            </w:r>
            <w:r w:rsidRPr="00CA1A43">
              <w:rPr>
                <w:rFonts w:asciiTheme="minorHAnsi" w:hAnsiTheme="minorHAnsi" w:cstheme="minorHAnsi"/>
                <w:sz w:val="24"/>
                <w:szCs w:val="24"/>
              </w:rPr>
              <w:t>)</w:t>
            </w:r>
            <w:r w:rsidRPr="00CA1A43">
              <w:rPr>
                <w:rFonts w:asciiTheme="minorHAnsi" w:hAnsiTheme="minorHAnsi" w:cstheme="minorHAnsi"/>
                <w:sz w:val="24"/>
                <w:szCs w:val="24"/>
              </w:rPr>
              <w:t>；魚；蝦；奶；</w:t>
            </w:r>
            <w:proofErr w:type="gramStart"/>
            <w:r w:rsidRPr="00CA1A43">
              <w:rPr>
                <w:rFonts w:asciiTheme="minorHAnsi" w:hAnsiTheme="minorHAnsi" w:cstheme="minorHAnsi"/>
                <w:sz w:val="24"/>
                <w:szCs w:val="24"/>
              </w:rPr>
              <w:t>乳清</w:t>
            </w:r>
            <w:proofErr w:type="gramEnd"/>
            <w:r w:rsidRPr="00CA1A43">
              <w:rPr>
                <w:rFonts w:asciiTheme="minorHAnsi" w:hAnsiTheme="minorHAnsi" w:cstheme="minorHAnsi"/>
                <w:sz w:val="24"/>
                <w:szCs w:val="24"/>
              </w:rPr>
              <w:t>；雞蛋；奶油；乳酪</w:t>
            </w:r>
          </w:p>
        </w:tc>
        <w:tc>
          <w:tcPr>
            <w:tcW w:w="734" w:type="pct"/>
          </w:tcPr>
          <w:p w14:paraId="15E2EEAC"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25%</w:t>
            </w:r>
          </w:p>
        </w:tc>
      </w:tr>
      <w:tr w:rsidR="004D566F" w:rsidRPr="00CA1A43" w14:paraId="02443B8D" w14:textId="77777777" w:rsidTr="00CC246B">
        <w:trPr>
          <w:gridAfter w:val="1"/>
          <w:wAfter w:w="6" w:type="pct"/>
          <w:trHeight w:val="274"/>
        </w:trPr>
        <w:tc>
          <w:tcPr>
            <w:tcW w:w="423" w:type="pct"/>
          </w:tcPr>
          <w:p w14:paraId="7B2C6935"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10</w:t>
            </w:r>
          </w:p>
        </w:tc>
        <w:tc>
          <w:tcPr>
            <w:tcW w:w="1108" w:type="pct"/>
          </w:tcPr>
          <w:p w14:paraId="71CCFE07"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軟性商品和其他農產品</w:t>
            </w:r>
          </w:p>
        </w:tc>
        <w:tc>
          <w:tcPr>
            <w:tcW w:w="2729" w:type="pct"/>
            <w:gridSpan w:val="2"/>
            <w:vAlign w:val="center"/>
          </w:tcPr>
          <w:p w14:paraId="603A4269"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可可；阿拉比卡咖啡；羅布斯塔咖啡；茶；柑橘汁；柳橙汁；馬鈴薯；糖；</w:t>
            </w:r>
            <w:proofErr w:type="gramStart"/>
            <w:r w:rsidRPr="00CA1A43">
              <w:rPr>
                <w:rFonts w:asciiTheme="minorHAnsi" w:hAnsiTheme="minorHAnsi" w:cstheme="minorHAnsi"/>
                <w:sz w:val="24"/>
                <w:szCs w:val="24"/>
              </w:rPr>
              <w:t>綿</w:t>
            </w:r>
            <w:proofErr w:type="gramEnd"/>
            <w:r w:rsidRPr="00CA1A43">
              <w:rPr>
                <w:rFonts w:asciiTheme="minorHAnsi" w:hAnsiTheme="minorHAnsi" w:cstheme="minorHAnsi"/>
                <w:sz w:val="24"/>
                <w:szCs w:val="24"/>
              </w:rPr>
              <w:t>花；羊毛；木柴；紙漿；橡膠</w:t>
            </w:r>
          </w:p>
        </w:tc>
        <w:tc>
          <w:tcPr>
            <w:tcW w:w="734" w:type="pct"/>
          </w:tcPr>
          <w:p w14:paraId="36129754"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r w:rsidR="004D566F" w:rsidRPr="00CA1A43" w14:paraId="02EE636E" w14:textId="77777777" w:rsidTr="00CC246B">
        <w:trPr>
          <w:gridAfter w:val="1"/>
          <w:wAfter w:w="6" w:type="pct"/>
          <w:trHeight w:val="290"/>
        </w:trPr>
        <w:tc>
          <w:tcPr>
            <w:tcW w:w="423" w:type="pct"/>
          </w:tcPr>
          <w:p w14:paraId="0EAD2F06"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1108" w:type="pct"/>
          </w:tcPr>
          <w:p w14:paraId="24F19F66" w14:textId="77777777" w:rsidR="004D566F" w:rsidRPr="00CA1A43" w:rsidRDefault="004D566F"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其他商品</w:t>
            </w:r>
          </w:p>
        </w:tc>
        <w:tc>
          <w:tcPr>
            <w:tcW w:w="2729" w:type="pct"/>
            <w:gridSpan w:val="2"/>
            <w:vAlign w:val="center"/>
          </w:tcPr>
          <w:p w14:paraId="647CC898" w14:textId="77777777" w:rsidR="004D566F" w:rsidRPr="00CA1A43" w:rsidRDefault="004D566F" w:rsidP="00CC246B">
            <w:pPr>
              <w:pStyle w:val="Item"/>
              <w:jc w:val="both"/>
              <w:rPr>
                <w:rFonts w:asciiTheme="minorHAnsi" w:hAnsiTheme="minorHAnsi" w:cstheme="minorHAnsi"/>
                <w:sz w:val="24"/>
                <w:szCs w:val="24"/>
              </w:rPr>
            </w:pPr>
            <w:proofErr w:type="gramStart"/>
            <w:r w:rsidRPr="00CA1A43">
              <w:rPr>
                <w:rFonts w:asciiTheme="minorHAnsi" w:hAnsiTheme="minorHAnsi" w:cstheme="minorHAnsi"/>
                <w:sz w:val="24"/>
                <w:szCs w:val="24"/>
              </w:rPr>
              <w:t>甲肥</w:t>
            </w:r>
            <w:proofErr w:type="gramEnd"/>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化肥和磷礦</w:t>
            </w:r>
            <w:proofErr w:type="gramEnd"/>
            <w:r w:rsidRPr="00CA1A43">
              <w:rPr>
                <w:rFonts w:asciiTheme="minorHAnsi" w:hAnsiTheme="minorHAnsi" w:cstheme="minorHAnsi"/>
                <w:sz w:val="24"/>
                <w:szCs w:val="24"/>
              </w:rPr>
              <w:t>石</w:t>
            </w:r>
            <w:r w:rsidRPr="00CA1A43">
              <w:rPr>
                <w:rFonts w:asciiTheme="minorHAnsi" w:hAnsiTheme="minorHAnsi" w:cstheme="minorHAnsi"/>
                <w:sz w:val="24"/>
                <w:szCs w:val="24"/>
              </w:rPr>
              <w:t>(</w:t>
            </w:r>
            <w:r w:rsidRPr="00CA1A43">
              <w:rPr>
                <w:rFonts w:asciiTheme="minorHAnsi" w:hAnsiTheme="minorHAnsi" w:cstheme="minorHAnsi"/>
                <w:sz w:val="24"/>
                <w:szCs w:val="24"/>
              </w:rPr>
              <w:t>即各種工業用礦物</w:t>
            </w:r>
            <w:r w:rsidRPr="00CA1A43">
              <w:rPr>
                <w:rFonts w:asciiTheme="minorHAnsi" w:hAnsiTheme="minorHAnsi" w:cstheme="minorHAnsi"/>
                <w:sz w:val="24"/>
                <w:szCs w:val="24"/>
              </w:rPr>
              <w:t>)</w:t>
            </w:r>
            <w:r w:rsidRPr="00CA1A43">
              <w:rPr>
                <w:rFonts w:asciiTheme="minorHAnsi" w:hAnsiTheme="minorHAnsi" w:cstheme="minorHAnsi"/>
                <w:sz w:val="24"/>
                <w:szCs w:val="24"/>
              </w:rPr>
              <w:t>；稀土；對苯二甲酸；平板玻璃</w:t>
            </w:r>
          </w:p>
        </w:tc>
        <w:tc>
          <w:tcPr>
            <w:tcW w:w="734" w:type="pct"/>
          </w:tcPr>
          <w:p w14:paraId="2228666F" w14:textId="77777777" w:rsidR="004D566F" w:rsidRPr="00CA1A43" w:rsidRDefault="004D566F"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r>
    </w:tbl>
    <w:p w14:paraId="0E6921CB" w14:textId="77777777" w:rsidR="004D566F" w:rsidRPr="00CA1A43" w:rsidRDefault="004D566F" w:rsidP="00605B1D">
      <w:pPr>
        <w:pStyle w:val="a7"/>
        <w:numPr>
          <w:ilvl w:val="0"/>
          <w:numId w:val="129"/>
        </w:numPr>
        <w:spacing w:beforeLines="50" w:before="180"/>
        <w:ind w:leftChars="0" w:left="1446" w:hanging="482"/>
        <w:jc w:val="both"/>
        <w:rPr>
          <w:rFonts w:eastAsia="標楷體" w:cstheme="minorHAnsi"/>
        </w:rPr>
      </w:pPr>
      <w:r w:rsidRPr="00CA1A43">
        <w:rPr>
          <w:rFonts w:eastAsia="標楷體" w:cstheme="minorHAnsi"/>
        </w:rPr>
        <w:t>加總同一組別商品風險部位，相同</w:t>
      </w:r>
      <w:proofErr w:type="gramStart"/>
      <w:r w:rsidRPr="00CA1A43">
        <w:rPr>
          <w:rFonts w:eastAsia="標楷體" w:cstheme="minorHAnsi"/>
        </w:rPr>
        <w:t>組別內</w:t>
      </w:r>
      <w:proofErr w:type="gramEnd"/>
      <w:r w:rsidRPr="00CA1A43">
        <w:rPr>
          <w:rFonts w:eastAsia="標楷體" w:cstheme="minorHAnsi"/>
        </w:rPr>
        <w:t>、兩個敏感性部位</w:t>
      </w:r>
      <m:oMath>
        <m:sSub>
          <m:sSubPr>
            <m:ctrlPr>
              <w:rPr>
                <w:rFonts w:ascii="Cambria Math" w:eastAsia="標楷體" w:hAnsi="Cambria Math" w:cstheme="minorHAnsi"/>
              </w:rPr>
            </m:ctrlPr>
          </m:sSubPr>
          <m:e>
            <m:r>
              <w:rPr>
                <w:rFonts w:ascii="Cambria Math" w:eastAsia="標楷體" w:hAnsi="Cambria Math" w:cstheme="minorHAnsi"/>
              </w:rPr>
              <m:t>WS</m:t>
            </m:r>
          </m:e>
          <m:sub>
            <m:r>
              <w:rPr>
                <w:rFonts w:ascii="Cambria Math" w:eastAsia="標楷體" w:hAnsi="Cambria Math" w:cstheme="minorHAnsi"/>
              </w:rPr>
              <m:t>k</m:t>
            </m:r>
          </m:sub>
        </m:sSub>
      </m:oMath>
      <w:r w:rsidRPr="00CA1A43">
        <w:rPr>
          <w:rFonts w:eastAsia="標楷體" w:cstheme="minorHAnsi"/>
        </w:rPr>
        <w:t>及</w:t>
      </w:r>
      <m:oMath>
        <m:sSub>
          <m:sSubPr>
            <m:ctrlPr>
              <w:rPr>
                <w:rFonts w:ascii="Cambria Math" w:eastAsia="標楷體" w:hAnsi="Cambria Math" w:cstheme="minorHAnsi"/>
              </w:rPr>
            </m:ctrlPr>
          </m:sSubPr>
          <m:e>
            <m:r>
              <w:rPr>
                <w:rFonts w:ascii="Cambria Math" w:eastAsia="標楷體" w:hAnsi="Cambria Math" w:cstheme="minorHAnsi"/>
              </w:rPr>
              <m:t>WS</m:t>
            </m:r>
          </m:e>
          <m:sub>
            <m:r>
              <w:rPr>
                <w:rFonts w:ascii="Cambria Math" w:eastAsia="標楷體" w:hAnsi="Cambria Math" w:cstheme="minorHAnsi"/>
              </w:rPr>
              <m:t>l</m:t>
            </m:r>
          </m:sub>
        </m:sSub>
      </m:oMath>
      <w:r w:rsidRPr="00CA1A43">
        <w:rPr>
          <w:rFonts w:eastAsia="標楷體" w:cstheme="minorHAnsi"/>
        </w:rPr>
        <w:t>間之相關係數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，公式如下：</w:t>
      </w:r>
    </w:p>
    <w:p w14:paraId="72423061" w14:textId="77777777" w:rsidR="004D566F" w:rsidRPr="00CA1A43" w:rsidRDefault="00AA1117" w:rsidP="004D566F">
      <w:pPr>
        <w:pStyle w:val="a7"/>
        <w:spacing w:beforeLines="50" w:before="180"/>
        <w:ind w:leftChars="0" w:left="1446"/>
        <w:jc w:val="center"/>
        <w:rPr>
          <w:rFonts w:eastAsia="標楷體" w:cstheme="minorHAnsi"/>
        </w:rPr>
      </w:pPr>
      <m:oMath>
        <m:sSub>
          <m:sSubPr>
            <m:ctrlPr>
              <w:rPr>
                <w:rFonts w:ascii="Cambria Math" w:eastAsia="標楷體" w:hAnsi="Cambria Math" w:cstheme="minorHAnsi"/>
                <w:szCs w:val="24"/>
              </w:rPr>
            </m:ctrlPr>
          </m:sSubPr>
          <m:e>
            <m:r>
              <w:rPr>
                <w:rFonts w:ascii="Cambria Math" w:eastAsia="標楷體" w:hAnsi="Cambria Math" w:cstheme="minorHAnsi"/>
                <w:szCs w:val="24"/>
              </w:rPr>
              <m:t>ρ</m:t>
            </m:r>
          </m:e>
          <m:sub>
            <m:r>
              <w:rPr>
                <w:rFonts w:ascii="Cambria Math" w:eastAsia="標楷體" w:hAnsi="Cambria Math" w:cstheme="minorHAnsi"/>
                <w:szCs w:val="24"/>
              </w:rPr>
              <m:t>kl</m:t>
            </m:r>
          </m:sub>
        </m:sSub>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cty</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tenor</m:t>
                </m:r>
              </m:e>
            </m:d>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basis</m:t>
                </m:r>
              </m:e>
            </m:d>
          </m:sup>
        </m:sSubSup>
      </m:oMath>
      <w:r w:rsidR="00CD40BD" w:rsidRPr="00CA1A43">
        <w:rPr>
          <w:rStyle w:val="a5"/>
          <w:rFonts w:eastAsia="標楷體" w:cstheme="minorHAnsi"/>
        </w:rPr>
        <w:footnoteReference w:id="34"/>
      </w:r>
    </w:p>
    <w:p w14:paraId="7046DC97" w14:textId="77777777" w:rsidR="004D566F" w:rsidRPr="00CA1A43" w:rsidRDefault="004D566F" w:rsidP="004D566F">
      <w:pPr>
        <w:ind w:left="1446"/>
        <w:jc w:val="both"/>
        <w:rPr>
          <w:rFonts w:eastAsia="標楷體" w:cstheme="minorHAnsi"/>
        </w:rPr>
      </w:pPr>
      <w:r w:rsidRPr="00CA1A43">
        <w:rPr>
          <w:rFonts w:eastAsia="標楷體" w:cstheme="minorHAnsi"/>
        </w:rPr>
        <w:t>其中：</w:t>
      </w:r>
    </w:p>
    <w:p w14:paraId="698987A9" w14:textId="77777777" w:rsidR="004D566F" w:rsidRPr="00CA1A43" w:rsidRDefault="004D566F" w:rsidP="00605B1D">
      <w:pPr>
        <w:pStyle w:val="a7"/>
        <w:numPr>
          <w:ilvl w:val="0"/>
          <w:numId w:val="130"/>
        </w:numPr>
        <w:spacing w:beforeLines="50" w:before="180"/>
        <w:ind w:leftChars="0"/>
        <w:jc w:val="both"/>
        <w:rPr>
          <w:rFonts w:eastAsia="標楷體" w:cstheme="minorHAnsi"/>
        </w:rPr>
      </w:pPr>
      <w:r w:rsidRPr="00CA1A43">
        <w:rPr>
          <w:rFonts w:eastAsia="標楷體" w:cstheme="minorHAnsi"/>
        </w:rPr>
        <w:t>若兩個敏感性部位</w:t>
      </w:r>
      <w:r w:rsidRPr="00CA1A43">
        <w:rPr>
          <w:rFonts w:eastAsia="標楷體" w:cstheme="minorHAnsi"/>
        </w:rPr>
        <w:t>k</w:t>
      </w:r>
      <w:r w:rsidRPr="00CA1A43">
        <w:rPr>
          <w:rFonts w:eastAsia="標楷體" w:cstheme="minorHAnsi"/>
        </w:rPr>
        <w:t>和</w:t>
      </w:r>
      <w:r w:rsidRPr="00CA1A43">
        <w:rPr>
          <w:rFonts w:eastAsia="標楷體" w:cstheme="minorHAnsi"/>
        </w:rPr>
        <w:t>l</w:t>
      </w:r>
      <w:r w:rsidRPr="00CA1A43">
        <w:rPr>
          <w:rFonts w:eastAsia="標楷體" w:cstheme="minorHAnsi"/>
        </w:rPr>
        <w:t>為相同商品，其相關係數</w:t>
      </w: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w:rPr>
                <w:rFonts w:ascii="Cambria Math" w:eastAsia="標楷體" w:hAnsi="Cambria Math" w:cstheme="minorHAnsi"/>
              </w:rPr>
              <m:t>(cty)</m:t>
            </m:r>
          </m:sup>
        </m:sSubSup>
      </m:oMath>
      <w:r w:rsidRPr="00CA1A43">
        <w:rPr>
          <w:rFonts w:eastAsia="標楷體" w:cstheme="minorHAnsi"/>
        </w:rPr>
        <w:t>=1</w:t>
      </w:r>
      <w:r w:rsidRPr="00CA1A43">
        <w:rPr>
          <w:rFonts w:eastAsia="標楷體" w:cstheme="minorHAnsi"/>
        </w:rPr>
        <w:t>，</w:t>
      </w:r>
      <w:proofErr w:type="gramStart"/>
      <w:r w:rsidRPr="00CA1A43">
        <w:rPr>
          <w:rFonts w:eastAsia="標楷體" w:cstheme="minorHAnsi"/>
        </w:rPr>
        <w:t>否則依表</w:t>
      </w:r>
      <w:proofErr w:type="gramEnd"/>
      <w:r w:rsidRPr="00CA1A43">
        <w:rPr>
          <w:rFonts w:eastAsia="標楷體" w:cstheme="minorHAnsi"/>
        </w:rPr>
        <w:t>12</w:t>
      </w:r>
      <w:r w:rsidRPr="00CA1A43">
        <w:rPr>
          <w:rFonts w:eastAsia="標楷體" w:cstheme="minorHAnsi"/>
        </w:rPr>
        <w:t>之</w:t>
      </w:r>
      <w:proofErr w:type="gramStart"/>
      <w:r w:rsidRPr="00CA1A43">
        <w:rPr>
          <w:rFonts w:eastAsia="標楷體" w:cstheme="minorHAnsi"/>
        </w:rPr>
        <w:t>組別內相關</w:t>
      </w:r>
      <w:proofErr w:type="gramEnd"/>
      <w:r w:rsidRPr="00CA1A43">
        <w:rPr>
          <w:rFonts w:eastAsia="標楷體" w:cstheme="minorHAnsi"/>
        </w:rPr>
        <w:t>係數</w:t>
      </w:r>
      <w:r w:rsidR="00CD40BD" w:rsidRPr="00CA1A43">
        <w:rPr>
          <w:rStyle w:val="a5"/>
          <w:rFonts w:eastAsia="標楷體" w:cstheme="minorHAnsi"/>
        </w:rPr>
        <w:footnoteReference w:id="35"/>
      </w:r>
      <w:r w:rsidRPr="00CA1A43">
        <w:rPr>
          <w:rFonts w:eastAsia="標楷體" w:cstheme="minorHAnsi"/>
        </w:rPr>
        <w:t>。</w:t>
      </w:r>
    </w:p>
    <w:p w14:paraId="5C265382" w14:textId="77777777" w:rsidR="004D566F" w:rsidRPr="00CA1A43" w:rsidRDefault="004D566F" w:rsidP="00605B1D">
      <w:pPr>
        <w:pStyle w:val="a7"/>
        <w:numPr>
          <w:ilvl w:val="0"/>
          <w:numId w:val="130"/>
        </w:numPr>
        <w:spacing w:beforeLines="50" w:before="180"/>
        <w:ind w:leftChars="0"/>
        <w:jc w:val="both"/>
        <w:rPr>
          <w:rFonts w:eastAsia="標楷體" w:cstheme="minorHAnsi"/>
        </w:rPr>
      </w:pPr>
      <w:r w:rsidRPr="00CA1A43">
        <w:rPr>
          <w:rFonts w:eastAsia="標楷體" w:cstheme="minorHAnsi"/>
        </w:rPr>
        <w:t>若兩個敏感性部位</w:t>
      </w:r>
      <w:r w:rsidRPr="00CA1A43">
        <w:rPr>
          <w:rFonts w:eastAsia="標楷體" w:cstheme="minorHAnsi"/>
        </w:rPr>
        <w:t>k</w:t>
      </w:r>
      <w:r w:rsidRPr="00CA1A43">
        <w:rPr>
          <w:rFonts w:eastAsia="標楷體" w:cstheme="minorHAnsi"/>
        </w:rPr>
        <w:t>和</w:t>
      </w:r>
      <w:r w:rsidRPr="00CA1A43">
        <w:rPr>
          <w:rFonts w:eastAsia="標楷體" w:cstheme="minorHAnsi"/>
        </w:rPr>
        <w:t>l</w:t>
      </w:r>
      <w:r w:rsidRPr="00CA1A43">
        <w:rPr>
          <w:rFonts w:eastAsia="標楷體" w:cstheme="minorHAnsi"/>
        </w:rPr>
        <w:t>契約天期相同，其相關係數</w:t>
      </w: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w:rPr>
                <w:rFonts w:ascii="Cambria Math" w:eastAsia="標楷體" w:hAnsi="Cambria Math" w:cstheme="minorHAnsi"/>
              </w:rPr>
              <m:t>(tenor)</m:t>
            </m:r>
          </m:sup>
        </m:sSubSup>
      </m:oMath>
      <w:r w:rsidRPr="00CA1A43">
        <w:rPr>
          <w:rFonts w:eastAsia="標楷體" w:cstheme="minorHAnsi"/>
        </w:rPr>
        <w:t>=1</w:t>
      </w:r>
      <w:r w:rsidRPr="00CA1A43">
        <w:rPr>
          <w:rFonts w:eastAsia="標楷體" w:cstheme="minorHAnsi"/>
        </w:rPr>
        <w:t>，否則為</w:t>
      </w:r>
      <w:r w:rsidRPr="00CA1A43">
        <w:rPr>
          <w:rFonts w:eastAsia="標楷體" w:cstheme="minorHAnsi"/>
        </w:rPr>
        <w:t>99.00%</w:t>
      </w:r>
      <w:r w:rsidRPr="00CA1A43">
        <w:rPr>
          <w:rFonts w:eastAsia="標楷體" w:cstheme="minorHAnsi"/>
        </w:rPr>
        <w:t>。</w:t>
      </w:r>
    </w:p>
    <w:p w14:paraId="455E7865" w14:textId="77777777" w:rsidR="001E1275" w:rsidRPr="00CA1A43" w:rsidRDefault="004D566F" w:rsidP="00605B1D">
      <w:pPr>
        <w:pStyle w:val="a7"/>
        <w:numPr>
          <w:ilvl w:val="0"/>
          <w:numId w:val="130"/>
        </w:numPr>
        <w:spacing w:beforeLines="50" w:before="180"/>
        <w:ind w:leftChars="0"/>
        <w:jc w:val="both"/>
        <w:rPr>
          <w:rFonts w:eastAsia="標楷體" w:cstheme="minorHAnsi"/>
        </w:rPr>
      </w:pPr>
      <w:r w:rsidRPr="00CA1A43">
        <w:rPr>
          <w:rFonts w:eastAsia="標楷體" w:cstheme="minorHAnsi"/>
        </w:rPr>
        <w:t>若兩個敏感性部位</w:t>
      </w:r>
      <w:r w:rsidRPr="00CA1A43">
        <w:rPr>
          <w:rFonts w:eastAsia="標楷體" w:cstheme="minorHAnsi"/>
        </w:rPr>
        <w:t>k</w:t>
      </w:r>
      <w:r w:rsidRPr="00CA1A43">
        <w:rPr>
          <w:rFonts w:eastAsia="標楷體" w:cstheme="minorHAnsi"/>
        </w:rPr>
        <w:t>和</w:t>
      </w:r>
      <w:r w:rsidRPr="00CA1A43">
        <w:rPr>
          <w:rFonts w:eastAsia="標楷體" w:cstheme="minorHAnsi"/>
        </w:rPr>
        <w:t>l</w:t>
      </w:r>
      <w:r w:rsidRPr="00CA1A43">
        <w:rPr>
          <w:rFonts w:eastAsia="標楷體" w:cstheme="minorHAnsi"/>
        </w:rPr>
        <w:t>交割地點相同，其相關係數</w:t>
      </w: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w:rPr>
                <w:rFonts w:ascii="Cambria Math" w:eastAsia="標楷體" w:hAnsi="Cambria Math" w:cstheme="minorHAnsi"/>
              </w:rPr>
              <m:t>(basis)</m:t>
            </m:r>
          </m:sup>
        </m:sSubSup>
      </m:oMath>
      <w:r w:rsidRPr="00CA1A43">
        <w:rPr>
          <w:rFonts w:eastAsia="標楷體" w:cstheme="minorHAnsi"/>
        </w:rPr>
        <w:t xml:space="preserve"> =1</w:t>
      </w:r>
      <w:r w:rsidRPr="00CA1A43">
        <w:rPr>
          <w:rFonts w:eastAsia="標楷體" w:cstheme="minorHAnsi"/>
        </w:rPr>
        <w:t>，否則為</w:t>
      </w:r>
      <w:r w:rsidRPr="00CA1A43">
        <w:rPr>
          <w:rFonts w:eastAsia="標楷體" w:cstheme="minorHAnsi"/>
        </w:rPr>
        <w:t>99.90%</w:t>
      </w:r>
      <w:r w:rsidRPr="00CA1A43">
        <w:rPr>
          <w:rFonts w:eastAsia="標楷體" w:cstheme="minorHAnsi"/>
        </w:rPr>
        <w:t>。</w:t>
      </w:r>
    </w:p>
    <w:tbl>
      <w:tblPr>
        <w:tblW w:w="4146" w:type="pct"/>
        <w:tblInd w:w="141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83"/>
        <w:gridCol w:w="2977"/>
        <w:gridCol w:w="620"/>
        <w:gridCol w:w="1307"/>
      </w:tblGrid>
      <w:tr w:rsidR="004C2448" w:rsidRPr="00CA1A43" w14:paraId="6E5A95FE" w14:textId="77777777" w:rsidTr="004C2448">
        <w:trPr>
          <w:trHeight w:val="445"/>
        </w:trPr>
        <w:tc>
          <w:tcPr>
            <w:tcW w:w="4051" w:type="pct"/>
            <w:gridSpan w:val="3"/>
            <w:tcBorders>
              <w:right w:val="nil"/>
            </w:tcBorders>
            <w:vAlign w:val="center"/>
          </w:tcPr>
          <w:p w14:paraId="543D902F" w14:textId="77777777" w:rsidR="004C2448" w:rsidRPr="00CA1A43" w:rsidRDefault="004C2448" w:rsidP="00CC246B">
            <w:pPr>
              <w:pStyle w:val="Item"/>
              <w:jc w:val="both"/>
              <w:rPr>
                <w:rFonts w:asciiTheme="minorHAnsi" w:hAnsiTheme="minorHAnsi" w:cstheme="minorHAnsi"/>
                <w:sz w:val="24"/>
                <w:szCs w:val="24"/>
              </w:rPr>
            </w:pPr>
            <w:proofErr w:type="gramStart"/>
            <w:r w:rsidRPr="00CA1A43">
              <w:rPr>
                <w:rFonts w:asciiTheme="minorHAnsi" w:hAnsiTheme="minorHAnsi" w:cstheme="minorHAnsi"/>
                <w:sz w:val="24"/>
                <w:szCs w:val="24"/>
              </w:rPr>
              <w:t>組別內之</w:t>
            </w:r>
            <w:proofErr w:type="gramEnd"/>
            <w:r w:rsidRPr="00CA1A43">
              <w:rPr>
                <w:rFonts w:asciiTheme="minorHAnsi" w:hAnsiTheme="minorHAnsi" w:cstheme="minorHAnsi"/>
                <w:sz w:val="24"/>
                <w:szCs w:val="24"/>
              </w:rPr>
              <w:t>相關係數</w:t>
            </w:r>
            <m:oMath>
              <m:sSubSup>
                <m:sSubSupPr>
                  <m:ctrlPr>
                    <w:rPr>
                      <w:rFonts w:ascii="Cambria Math" w:hAnsi="Cambria Math" w:cstheme="minorHAnsi"/>
                      <w:sz w:val="24"/>
                      <w:szCs w:val="24"/>
                    </w:rPr>
                  </m:ctrlPr>
                </m:sSubSupPr>
                <m:e>
                  <m:r>
                    <m:rPr>
                      <m:sty m:val="p"/>
                    </m:rPr>
                    <w:rPr>
                      <w:rFonts w:ascii="Cambria Math" w:hAnsi="Cambria Math" w:cstheme="minorHAnsi"/>
                      <w:sz w:val="24"/>
                      <w:szCs w:val="24"/>
                    </w:rPr>
                    <m:t>ρ</m:t>
                  </m:r>
                </m:e>
                <m:sub>
                  <m:r>
                    <m:rPr>
                      <m:sty m:val="p"/>
                    </m:rPr>
                    <w:rPr>
                      <w:rFonts w:ascii="Cambria Math" w:hAnsi="Cambria Math" w:cstheme="minorHAnsi"/>
                      <w:sz w:val="24"/>
                      <w:szCs w:val="24"/>
                    </w:rPr>
                    <m:t>kl</m:t>
                  </m:r>
                </m:sub>
                <m:sup>
                  <m:r>
                    <m:rPr>
                      <m:sty m:val="p"/>
                    </m:rPr>
                    <w:rPr>
                      <w:rFonts w:ascii="Cambria Math" w:hAnsi="Cambria Math" w:cstheme="minorHAnsi"/>
                      <w:sz w:val="24"/>
                      <w:szCs w:val="24"/>
                    </w:rPr>
                    <m:t>(cty)</m:t>
                  </m:r>
                </m:sup>
              </m:sSubSup>
            </m:oMath>
          </w:p>
        </w:tc>
        <w:tc>
          <w:tcPr>
            <w:tcW w:w="949" w:type="pct"/>
            <w:tcBorders>
              <w:left w:val="nil"/>
            </w:tcBorders>
            <w:vAlign w:val="center"/>
          </w:tcPr>
          <w:p w14:paraId="58D13E94" w14:textId="77777777" w:rsidR="004C2448" w:rsidRPr="00CA1A43" w:rsidRDefault="004C2448" w:rsidP="00CC246B">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12</w:t>
            </w:r>
          </w:p>
        </w:tc>
      </w:tr>
      <w:tr w:rsidR="004C2448" w:rsidRPr="00CA1A43" w14:paraId="73065459" w14:textId="77777777" w:rsidTr="00CD40BD">
        <w:trPr>
          <w:trHeight w:val="142"/>
        </w:trPr>
        <w:tc>
          <w:tcPr>
            <w:tcW w:w="1440" w:type="pct"/>
            <w:tcBorders>
              <w:bottom w:val="single" w:sz="4" w:space="0" w:color="auto"/>
              <w:right w:val="single" w:sz="8" w:space="0" w:color="A6A6A6" w:themeColor="background1" w:themeShade="A6"/>
            </w:tcBorders>
            <w:vAlign w:val="center"/>
          </w:tcPr>
          <w:p w14:paraId="2439367F"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組別序號</w:t>
            </w:r>
          </w:p>
        </w:tc>
        <w:tc>
          <w:tcPr>
            <w:tcW w:w="2161" w:type="pct"/>
            <w:tcBorders>
              <w:left w:val="single" w:sz="8" w:space="0" w:color="A6A6A6" w:themeColor="background1" w:themeShade="A6"/>
              <w:bottom w:val="single" w:sz="4" w:space="0" w:color="auto"/>
              <w:right w:val="single" w:sz="8" w:space="0" w:color="A6A6A6" w:themeColor="background1" w:themeShade="A6"/>
            </w:tcBorders>
            <w:vAlign w:val="center"/>
          </w:tcPr>
          <w:p w14:paraId="41EC7E7A"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商品組別</w:t>
            </w:r>
          </w:p>
        </w:tc>
        <w:tc>
          <w:tcPr>
            <w:tcW w:w="1399" w:type="pct"/>
            <w:gridSpan w:val="2"/>
            <w:tcBorders>
              <w:left w:val="single" w:sz="8" w:space="0" w:color="A6A6A6" w:themeColor="background1" w:themeShade="A6"/>
              <w:bottom w:val="single" w:sz="4" w:space="0" w:color="auto"/>
            </w:tcBorders>
            <w:vAlign w:val="center"/>
          </w:tcPr>
          <w:p w14:paraId="28BCEE15"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相關係數</w:t>
            </w:r>
            <m:oMath>
              <m:sSubSup>
                <m:sSubSupPr>
                  <m:ctrlPr>
                    <w:rPr>
                      <w:rFonts w:ascii="Cambria Math" w:hAnsi="Cambria Math" w:cstheme="minorHAnsi"/>
                      <w:sz w:val="24"/>
                      <w:szCs w:val="24"/>
                    </w:rPr>
                  </m:ctrlPr>
                </m:sSubSupPr>
                <m:e>
                  <m:r>
                    <m:rPr>
                      <m:sty m:val="p"/>
                    </m:rPr>
                    <w:rPr>
                      <w:rFonts w:ascii="Cambria Math" w:hAnsi="Cambria Math" w:cstheme="minorHAnsi"/>
                      <w:sz w:val="24"/>
                      <w:szCs w:val="24"/>
                    </w:rPr>
                    <m:t>ρ</m:t>
                  </m:r>
                </m:e>
                <m:sub>
                  <m:r>
                    <m:rPr>
                      <m:sty m:val="p"/>
                    </m:rPr>
                    <w:rPr>
                      <w:rFonts w:ascii="Cambria Math" w:hAnsi="Cambria Math" w:cstheme="minorHAnsi"/>
                      <w:sz w:val="24"/>
                      <w:szCs w:val="24"/>
                    </w:rPr>
                    <m:t>kl</m:t>
                  </m:r>
                </m:sub>
                <m:sup>
                  <m:r>
                    <m:rPr>
                      <m:sty m:val="p"/>
                    </m:rPr>
                    <w:rPr>
                      <w:rFonts w:ascii="Cambria Math" w:hAnsi="Cambria Math" w:cstheme="minorHAnsi"/>
                      <w:sz w:val="24"/>
                      <w:szCs w:val="24"/>
                    </w:rPr>
                    <m:t>(cty)</m:t>
                  </m:r>
                </m:sup>
              </m:sSubSup>
            </m:oMath>
          </w:p>
        </w:tc>
      </w:tr>
      <w:tr w:rsidR="004C2448" w:rsidRPr="00CA1A43" w14:paraId="5B29A492" w14:textId="77777777" w:rsidTr="00CD40BD">
        <w:trPr>
          <w:trHeight w:val="105"/>
        </w:trPr>
        <w:tc>
          <w:tcPr>
            <w:tcW w:w="1440" w:type="pct"/>
            <w:tcBorders>
              <w:bottom w:val="single" w:sz="8" w:space="0" w:color="A6A6A6" w:themeColor="background1" w:themeShade="A6"/>
              <w:right w:val="single" w:sz="8" w:space="0" w:color="A6A6A6" w:themeColor="background1" w:themeShade="A6"/>
            </w:tcBorders>
            <w:vAlign w:val="center"/>
          </w:tcPr>
          <w:p w14:paraId="54DEC76D"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2161" w:type="pct"/>
            <w:tcBorders>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1958C6C"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能源</w:t>
            </w:r>
            <w:r w:rsidRPr="00CA1A43">
              <w:rPr>
                <w:rFonts w:asciiTheme="minorHAnsi" w:hAnsiTheme="minorHAnsi" w:cstheme="minorHAnsi"/>
                <w:sz w:val="24"/>
                <w:szCs w:val="24"/>
              </w:rPr>
              <w:t xml:space="preserve"> - </w:t>
            </w:r>
            <w:r w:rsidRPr="00CA1A43">
              <w:rPr>
                <w:rFonts w:asciiTheme="minorHAnsi" w:hAnsiTheme="minorHAnsi" w:cstheme="minorHAnsi"/>
                <w:sz w:val="24"/>
                <w:szCs w:val="24"/>
              </w:rPr>
              <w:t>固態燃料</w:t>
            </w:r>
          </w:p>
        </w:tc>
        <w:tc>
          <w:tcPr>
            <w:tcW w:w="1399" w:type="pct"/>
            <w:gridSpan w:val="2"/>
            <w:tcBorders>
              <w:left w:val="single" w:sz="8" w:space="0" w:color="A6A6A6" w:themeColor="background1" w:themeShade="A6"/>
              <w:bottom w:val="single" w:sz="8" w:space="0" w:color="A6A6A6" w:themeColor="background1" w:themeShade="A6"/>
            </w:tcBorders>
            <w:vAlign w:val="center"/>
          </w:tcPr>
          <w:p w14:paraId="6138CD52"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55%</w:t>
            </w:r>
          </w:p>
        </w:tc>
      </w:tr>
      <w:tr w:rsidR="004C2448" w:rsidRPr="00CA1A43" w14:paraId="7F271146"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79B5BEA"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E2208E8"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能源</w:t>
            </w:r>
            <w:r w:rsidRPr="00CA1A43">
              <w:rPr>
                <w:rFonts w:asciiTheme="minorHAnsi" w:hAnsiTheme="minorHAnsi" w:cstheme="minorHAnsi"/>
                <w:sz w:val="24"/>
                <w:szCs w:val="24"/>
              </w:rPr>
              <w:t xml:space="preserve"> - </w:t>
            </w:r>
            <w:r w:rsidRPr="00CA1A43">
              <w:rPr>
                <w:rFonts w:asciiTheme="minorHAnsi" w:hAnsiTheme="minorHAnsi" w:cstheme="minorHAnsi"/>
                <w:sz w:val="24"/>
                <w:szCs w:val="24"/>
              </w:rPr>
              <w:t>液態燃料</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0ABC9183"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95%</w:t>
            </w:r>
          </w:p>
        </w:tc>
      </w:tr>
      <w:tr w:rsidR="004C2448" w:rsidRPr="00CA1A43" w14:paraId="33730760"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8CE9D99"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980B11A"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能源</w:t>
            </w:r>
            <w:r w:rsidRPr="00CA1A43">
              <w:rPr>
                <w:rFonts w:asciiTheme="minorHAnsi" w:hAnsiTheme="minorHAnsi" w:cstheme="minorHAnsi"/>
                <w:sz w:val="24"/>
                <w:szCs w:val="24"/>
              </w:rPr>
              <w:t xml:space="preserve"> - </w:t>
            </w:r>
            <w:r w:rsidRPr="00CA1A43">
              <w:rPr>
                <w:rFonts w:asciiTheme="minorHAnsi" w:hAnsiTheme="minorHAnsi" w:cstheme="minorHAnsi"/>
                <w:sz w:val="24"/>
                <w:szCs w:val="24"/>
              </w:rPr>
              <w:t>電力與碳交易</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91706F6"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4C2448" w:rsidRPr="00CA1A43" w14:paraId="62F9623A"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EEEB8F4"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73A42A2"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貨運航班</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11AFA18"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80%</w:t>
            </w:r>
          </w:p>
        </w:tc>
      </w:tr>
      <w:tr w:rsidR="004C2448" w:rsidRPr="00CA1A43" w14:paraId="3A97F691"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43A4069"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9C5C0DB"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金屬</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非貴金屬</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52845AB0"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60%</w:t>
            </w:r>
          </w:p>
        </w:tc>
      </w:tr>
      <w:tr w:rsidR="004C2448" w:rsidRPr="00CA1A43" w14:paraId="5514E22B"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2DAF057"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6</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4432760"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天然氣</w:t>
            </w:r>
            <w:r w:rsidRPr="00CA1A43">
              <w:rPr>
                <w:rFonts w:asciiTheme="minorHAnsi" w:hAnsiTheme="minorHAnsi" w:cstheme="minorHAnsi"/>
                <w:sz w:val="24"/>
                <w:szCs w:val="24"/>
              </w:rPr>
              <w:t xml:space="preserve"> (</w:t>
            </w:r>
            <w:r w:rsidRPr="00CA1A43">
              <w:rPr>
                <w:rFonts w:asciiTheme="minorHAnsi" w:hAnsiTheme="minorHAnsi" w:cstheme="minorHAnsi"/>
                <w:sz w:val="24"/>
                <w:szCs w:val="24"/>
              </w:rPr>
              <w:t>可燃氣體</w:t>
            </w:r>
            <w:r w:rsidRPr="00CA1A43">
              <w:rPr>
                <w:rFonts w:asciiTheme="minorHAnsi" w:hAnsiTheme="minorHAnsi" w:cstheme="minorHAnsi"/>
                <w:sz w:val="24"/>
                <w:szCs w:val="24"/>
              </w:rPr>
              <w:t>)</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2F4A6BC3"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65%</w:t>
            </w:r>
          </w:p>
        </w:tc>
      </w:tr>
      <w:tr w:rsidR="004C2448" w:rsidRPr="00CA1A43" w14:paraId="045C7A60"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D356CA8"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5962520"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貴金屬</w:t>
            </w:r>
            <w:r w:rsidRPr="00CA1A43">
              <w:rPr>
                <w:rFonts w:asciiTheme="minorHAnsi" w:hAnsiTheme="minorHAnsi" w:cstheme="minorHAnsi"/>
                <w:sz w:val="24"/>
                <w:szCs w:val="24"/>
              </w:rPr>
              <w:t xml:space="preserve"> (</w:t>
            </w:r>
            <w:r w:rsidRPr="00CA1A43">
              <w:rPr>
                <w:rFonts w:asciiTheme="minorHAnsi" w:hAnsiTheme="minorHAnsi" w:cstheme="minorHAnsi"/>
                <w:sz w:val="24"/>
                <w:szCs w:val="24"/>
              </w:rPr>
              <w:t>包含黃金</w:t>
            </w:r>
            <w:r w:rsidRPr="00CA1A43">
              <w:rPr>
                <w:rFonts w:asciiTheme="minorHAnsi" w:hAnsiTheme="minorHAnsi" w:cstheme="minorHAnsi"/>
                <w:sz w:val="24"/>
                <w:szCs w:val="24"/>
              </w:rPr>
              <w:t xml:space="preserve">) </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0C1B0A08"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55%</w:t>
            </w:r>
          </w:p>
        </w:tc>
      </w:tr>
      <w:tr w:rsidR="004C2448" w:rsidRPr="00CA1A43" w14:paraId="00878273"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ACF6174"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8</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0DAA244"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穀物和油籽</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4E8FDFBF"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45%</w:t>
            </w:r>
          </w:p>
        </w:tc>
      </w:tr>
      <w:tr w:rsidR="004C2448" w:rsidRPr="00CA1A43" w14:paraId="4E09AFE3"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9A42402"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9063D57"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畜牧產品和</w:t>
            </w:r>
            <w:proofErr w:type="gramStart"/>
            <w:r w:rsidRPr="00CA1A43">
              <w:rPr>
                <w:rFonts w:asciiTheme="minorHAnsi" w:hAnsiTheme="minorHAnsi" w:cstheme="minorHAnsi"/>
                <w:sz w:val="24"/>
                <w:szCs w:val="24"/>
              </w:rPr>
              <w:t>乳製品</w:t>
            </w:r>
            <w:proofErr w:type="gramEnd"/>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5F6C0506"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4C2448" w:rsidRPr="00CA1A43" w14:paraId="757752CE" w14:textId="77777777" w:rsidTr="00CD40BD">
        <w:trPr>
          <w:trHeight w:val="105"/>
        </w:trPr>
        <w:tc>
          <w:tcPr>
            <w:tcW w:w="1440"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4AD8934"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c>
          <w:tcPr>
            <w:tcW w:w="2161"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07585C0"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軟性商品和其他農產品</w:t>
            </w:r>
          </w:p>
        </w:tc>
        <w:tc>
          <w:tcPr>
            <w:tcW w:w="1399"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vAlign w:val="center"/>
          </w:tcPr>
          <w:p w14:paraId="67990C3C"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4C2448" w:rsidRPr="00CA1A43" w14:paraId="2C39B901" w14:textId="77777777" w:rsidTr="00CD40BD">
        <w:trPr>
          <w:trHeight w:val="105"/>
        </w:trPr>
        <w:tc>
          <w:tcPr>
            <w:tcW w:w="1440" w:type="pct"/>
            <w:tcBorders>
              <w:top w:val="single" w:sz="8" w:space="0" w:color="A6A6A6" w:themeColor="background1" w:themeShade="A6"/>
              <w:right w:val="single" w:sz="8" w:space="0" w:color="A6A6A6" w:themeColor="background1" w:themeShade="A6"/>
            </w:tcBorders>
            <w:vAlign w:val="center"/>
          </w:tcPr>
          <w:p w14:paraId="7DB09015"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11</w:t>
            </w:r>
          </w:p>
        </w:tc>
        <w:tc>
          <w:tcPr>
            <w:tcW w:w="2161" w:type="pct"/>
            <w:tcBorders>
              <w:top w:val="single" w:sz="8" w:space="0" w:color="A6A6A6" w:themeColor="background1" w:themeShade="A6"/>
              <w:left w:val="single" w:sz="8" w:space="0" w:color="A6A6A6" w:themeColor="background1" w:themeShade="A6"/>
              <w:right w:val="single" w:sz="8" w:space="0" w:color="A6A6A6" w:themeColor="background1" w:themeShade="A6"/>
            </w:tcBorders>
            <w:vAlign w:val="center"/>
          </w:tcPr>
          <w:p w14:paraId="79948184" w14:textId="77777777" w:rsidR="004C2448" w:rsidRPr="00CA1A43" w:rsidRDefault="004C2448"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其他商品</w:t>
            </w:r>
          </w:p>
        </w:tc>
        <w:tc>
          <w:tcPr>
            <w:tcW w:w="1399" w:type="pct"/>
            <w:gridSpan w:val="2"/>
            <w:tcBorders>
              <w:top w:val="single" w:sz="8" w:space="0" w:color="A6A6A6" w:themeColor="background1" w:themeShade="A6"/>
              <w:left w:val="single" w:sz="8" w:space="0" w:color="A6A6A6" w:themeColor="background1" w:themeShade="A6"/>
            </w:tcBorders>
            <w:vAlign w:val="center"/>
          </w:tcPr>
          <w:p w14:paraId="5139A9F3" w14:textId="77777777" w:rsidR="004C2448" w:rsidRPr="00CA1A43" w:rsidRDefault="004C2448"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bl>
    <w:p w14:paraId="3D7B1A27" w14:textId="77777777" w:rsidR="00CD40BD" w:rsidRPr="00CA1A43" w:rsidRDefault="00CD40BD" w:rsidP="00605B1D">
      <w:pPr>
        <w:pStyle w:val="a7"/>
        <w:numPr>
          <w:ilvl w:val="0"/>
          <w:numId w:val="129"/>
        </w:numPr>
        <w:spacing w:beforeLines="50" w:before="180"/>
        <w:ind w:leftChars="0" w:left="1446" w:hanging="482"/>
        <w:jc w:val="both"/>
        <w:rPr>
          <w:rFonts w:eastAsia="標楷體" w:cstheme="minorHAnsi"/>
        </w:rPr>
      </w:pPr>
      <w:proofErr w:type="gramStart"/>
      <w:r w:rsidRPr="00CA1A43">
        <w:rPr>
          <w:rFonts w:eastAsia="標楷體" w:cstheme="minorHAnsi"/>
        </w:rPr>
        <w:t>加總跨組</w:t>
      </w:r>
      <w:proofErr w:type="gramEnd"/>
      <w:r w:rsidRPr="00CA1A43">
        <w:rPr>
          <w:rFonts w:eastAsia="標楷體" w:cstheme="minorHAnsi"/>
        </w:rPr>
        <w:t>別商品</w:t>
      </w:r>
      <w:r w:rsidRPr="00CA1A43">
        <w:rPr>
          <w:rFonts w:eastAsia="標楷體" w:cstheme="minorHAnsi"/>
        </w:rPr>
        <w:t>delta</w:t>
      </w:r>
      <w:r w:rsidRPr="00CA1A43">
        <w:rPr>
          <w:rFonts w:eastAsia="標楷體" w:cstheme="minorHAnsi"/>
        </w:rPr>
        <w:t>風險部位之風險，相關係數</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列示如下：</w:t>
      </w:r>
    </w:p>
    <w:p w14:paraId="36A72C40" w14:textId="77777777" w:rsidR="00CD40BD" w:rsidRPr="00CA1A43" w:rsidRDefault="00CD40BD" w:rsidP="00605B1D">
      <w:pPr>
        <w:pStyle w:val="a7"/>
        <w:numPr>
          <w:ilvl w:val="0"/>
          <w:numId w:val="132"/>
        </w:numPr>
        <w:spacing w:beforeLines="50" w:before="180"/>
        <w:ind w:leftChars="0"/>
        <w:jc w:val="both"/>
        <w:rPr>
          <w:rFonts w:eastAsia="標楷體" w:cstheme="minorHAnsi"/>
        </w:rPr>
      </w:pPr>
      <w:r w:rsidRPr="00CA1A43">
        <w:rPr>
          <w:rFonts w:eastAsia="標楷體" w:cstheme="minorHAnsi"/>
        </w:rPr>
        <w:t>若組別</w:t>
      </w:r>
      <w:r w:rsidRPr="00CA1A43">
        <w:rPr>
          <w:rFonts w:eastAsia="標楷體" w:cstheme="minorHAnsi"/>
        </w:rPr>
        <w:t>b</w:t>
      </w:r>
      <w:r w:rsidRPr="00CA1A43">
        <w:rPr>
          <w:rFonts w:eastAsia="標楷體" w:cstheme="minorHAnsi"/>
        </w:rPr>
        <w:t>組別</w:t>
      </w:r>
      <w:r w:rsidRPr="00CA1A43">
        <w:rPr>
          <w:rFonts w:eastAsia="標楷體" w:cstheme="minorHAnsi"/>
        </w:rPr>
        <w:t>c</w:t>
      </w:r>
      <w:r w:rsidRPr="00CA1A43">
        <w:rPr>
          <w:rFonts w:eastAsia="標楷體" w:cstheme="minorHAnsi"/>
        </w:rPr>
        <w:t>及分別落在組別</w:t>
      </w:r>
      <w:r w:rsidRPr="00CA1A43">
        <w:rPr>
          <w:rFonts w:eastAsia="標楷體" w:cstheme="minorHAnsi"/>
        </w:rPr>
        <w:t>1~10</w:t>
      </w:r>
      <w:r w:rsidRPr="00CA1A43">
        <w:rPr>
          <w:rFonts w:eastAsia="標楷體" w:cstheme="minorHAnsi"/>
        </w:rPr>
        <w:t>組者，</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w:t>
      </w:r>
      <w:r w:rsidRPr="00CA1A43">
        <w:rPr>
          <w:rFonts w:eastAsia="標楷體" w:cstheme="minorHAnsi"/>
        </w:rPr>
        <w:t>20%</w:t>
      </w:r>
      <w:r w:rsidRPr="00CA1A43">
        <w:rPr>
          <w:rFonts w:eastAsia="標楷體" w:cstheme="minorHAnsi"/>
        </w:rPr>
        <w:t>，另</w:t>
      </w:r>
    </w:p>
    <w:p w14:paraId="4659642C" w14:textId="77777777" w:rsidR="001E1275" w:rsidRPr="00CA1A43" w:rsidRDefault="00CD40BD" w:rsidP="00605B1D">
      <w:pPr>
        <w:pStyle w:val="a7"/>
        <w:numPr>
          <w:ilvl w:val="0"/>
          <w:numId w:val="132"/>
        </w:numPr>
        <w:spacing w:beforeLines="50" w:before="180"/>
        <w:ind w:leftChars="0"/>
        <w:jc w:val="both"/>
        <w:rPr>
          <w:rFonts w:eastAsia="標楷體" w:cstheme="minorHAnsi"/>
        </w:rPr>
      </w:pPr>
      <w:r w:rsidRPr="00CA1A43">
        <w:rPr>
          <w:rFonts w:eastAsia="標楷體" w:cstheme="minorHAnsi"/>
        </w:rPr>
        <w:t>若組別</w:t>
      </w:r>
      <w:r w:rsidRPr="00CA1A43">
        <w:rPr>
          <w:rFonts w:eastAsia="標楷體" w:cstheme="minorHAnsi"/>
        </w:rPr>
        <w:t>b</w:t>
      </w:r>
      <w:r w:rsidRPr="00CA1A43">
        <w:rPr>
          <w:rFonts w:eastAsia="標楷體" w:cstheme="minorHAnsi"/>
        </w:rPr>
        <w:t>組別</w:t>
      </w:r>
      <w:r w:rsidRPr="00CA1A43">
        <w:rPr>
          <w:rFonts w:eastAsia="標楷體" w:cstheme="minorHAnsi"/>
        </w:rPr>
        <w:t>c</w:t>
      </w:r>
      <w:r w:rsidRPr="00CA1A43">
        <w:rPr>
          <w:rFonts w:eastAsia="標楷體" w:cstheme="minorHAnsi"/>
        </w:rPr>
        <w:t>其一被分類為組別</w:t>
      </w:r>
      <w:r w:rsidRPr="00CA1A43">
        <w:rPr>
          <w:rFonts w:eastAsia="標楷體" w:cstheme="minorHAnsi"/>
        </w:rPr>
        <w:t>11</w:t>
      </w:r>
      <w:r w:rsidRPr="00CA1A43">
        <w:rPr>
          <w:rFonts w:eastAsia="標楷體" w:cstheme="minorHAnsi"/>
        </w:rPr>
        <w:t>者，</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w:t>
      </w:r>
      <w:r w:rsidRPr="00CA1A43">
        <w:rPr>
          <w:rFonts w:eastAsia="標楷體" w:cstheme="minorHAnsi"/>
        </w:rPr>
        <w:t>0%</w:t>
      </w:r>
      <w:r w:rsidRPr="00CA1A43">
        <w:rPr>
          <w:rFonts w:eastAsia="標楷體" w:cstheme="minorHAnsi"/>
        </w:rPr>
        <w:t>。</w:t>
      </w:r>
    </w:p>
    <w:p w14:paraId="6E64CC6A" w14:textId="77777777" w:rsidR="0079372D" w:rsidRPr="00CA1A43" w:rsidRDefault="0079372D" w:rsidP="00605B1D">
      <w:pPr>
        <w:pStyle w:val="a7"/>
        <w:numPr>
          <w:ilvl w:val="0"/>
          <w:numId w:val="107"/>
        </w:numPr>
        <w:spacing w:beforeLines="50" w:before="180"/>
        <w:ind w:leftChars="0" w:left="964" w:hanging="482"/>
        <w:jc w:val="both"/>
        <w:rPr>
          <w:rFonts w:eastAsia="標楷體" w:cstheme="minorHAnsi"/>
          <w:szCs w:val="24"/>
        </w:rPr>
      </w:pPr>
      <w:r w:rsidRPr="00CA1A43">
        <w:rPr>
          <w:rFonts w:eastAsia="標楷體" w:cstheme="minorHAnsi"/>
          <w:szCs w:val="24"/>
        </w:rPr>
        <w:t>外匯風險組別、風險權數及相關係數</w:t>
      </w:r>
    </w:p>
    <w:p w14:paraId="2C02F5F2" w14:textId="5FB8CB6B" w:rsidR="001E1275" w:rsidRPr="00CA1A43" w:rsidRDefault="0079372D" w:rsidP="00605B1D">
      <w:pPr>
        <w:pStyle w:val="a7"/>
        <w:numPr>
          <w:ilvl w:val="0"/>
          <w:numId w:val="133"/>
        </w:numPr>
        <w:spacing w:beforeLines="50" w:before="180"/>
        <w:ind w:leftChars="0" w:left="1446" w:hanging="482"/>
        <w:jc w:val="both"/>
        <w:rPr>
          <w:rFonts w:eastAsia="標楷體" w:cstheme="minorHAnsi"/>
        </w:rPr>
      </w:pPr>
      <w:r w:rsidRPr="00CA1A43">
        <w:rPr>
          <w:rFonts w:eastAsia="標楷體" w:cstheme="minorHAnsi"/>
        </w:rPr>
        <w:t>外匯風險組別為每一</w:t>
      </w:r>
      <w:r w:rsidR="009653EE" w:rsidRPr="00375F84">
        <w:rPr>
          <w:rFonts w:eastAsia="標楷體" w:cstheme="minorHAnsi"/>
        </w:rPr>
        <w:t>工具</w:t>
      </w:r>
      <w:r w:rsidRPr="00CA1A43">
        <w:rPr>
          <w:rFonts w:eastAsia="標楷體" w:cstheme="minorHAnsi"/>
        </w:rPr>
        <w:t>計價貨幣與本位幣間之匯率。</w:t>
      </w:r>
    </w:p>
    <w:p w14:paraId="08A20D13" w14:textId="77777777" w:rsidR="0079372D" w:rsidRPr="00CA1A43" w:rsidRDefault="0079372D" w:rsidP="00605B1D">
      <w:pPr>
        <w:pStyle w:val="a7"/>
        <w:numPr>
          <w:ilvl w:val="0"/>
          <w:numId w:val="133"/>
        </w:numPr>
        <w:spacing w:beforeLines="50" w:before="180"/>
        <w:ind w:leftChars="0" w:left="1446" w:hanging="482"/>
        <w:jc w:val="both"/>
        <w:rPr>
          <w:rFonts w:eastAsia="標楷體" w:cstheme="minorHAnsi"/>
        </w:rPr>
      </w:pPr>
      <w:r w:rsidRPr="00CA1A43">
        <w:rPr>
          <w:rFonts w:eastAsia="標楷體" w:cstheme="minorHAnsi"/>
        </w:rPr>
        <w:t>本計算說明所選定貨幣對</w:t>
      </w:r>
      <w:r w:rsidRPr="00CA1A43">
        <w:rPr>
          <w:rFonts w:eastAsia="標楷體" w:cstheme="minorHAnsi"/>
        </w:rPr>
        <w:t>(currency pairs)</w:t>
      </w:r>
      <w:r w:rsidRPr="00CA1A43">
        <w:rPr>
          <w:rStyle w:val="a5"/>
          <w:rFonts w:eastAsia="標楷體" w:cstheme="minorHAnsi"/>
        </w:rPr>
        <w:footnoteReference w:id="36"/>
      </w:r>
      <w:r w:rsidRPr="00CA1A43">
        <w:rPr>
          <w:rFonts w:eastAsia="標楷體" w:cstheme="minorHAnsi"/>
        </w:rPr>
        <w:t>，及這些選定貨幣對</w:t>
      </w:r>
      <w:r w:rsidRPr="00CA1A43">
        <w:rPr>
          <w:rFonts w:eastAsia="標楷體" w:cstheme="minorHAnsi"/>
        </w:rPr>
        <w:t>(currency pairs)</w:t>
      </w:r>
      <w:r w:rsidRPr="00CA1A43">
        <w:rPr>
          <w:rFonts w:eastAsia="標楷體" w:cstheme="minorHAnsi"/>
        </w:rPr>
        <w:t>所組成一階交叉的貨幣對</w:t>
      </w:r>
      <w:r w:rsidRPr="00CA1A43">
        <w:rPr>
          <w:rFonts w:eastAsia="標楷體" w:cstheme="minorHAnsi"/>
        </w:rPr>
        <w:t>(currency pairs)</w:t>
      </w:r>
      <w:r w:rsidRPr="00CA1A43">
        <w:rPr>
          <w:rStyle w:val="a5"/>
          <w:rFonts w:eastAsia="標楷體" w:cstheme="minorHAnsi"/>
        </w:rPr>
        <w:footnoteReference w:id="37"/>
      </w:r>
      <w:r w:rsidRPr="00CA1A43">
        <w:rPr>
          <w:rFonts w:eastAsia="標楷體" w:cstheme="minorHAnsi"/>
        </w:rPr>
        <w:t>，其風險權數為</w:t>
      </w:r>
      <w:r w:rsidRPr="00CA1A43">
        <w:rPr>
          <w:rFonts w:eastAsia="標楷體" w:cstheme="minorHAnsi"/>
        </w:rPr>
        <w:t>15%</w:t>
      </w:r>
      <w:r w:rsidRPr="00CA1A43">
        <w:rPr>
          <w:rFonts w:eastAsia="標楷體" w:cstheme="minorHAnsi"/>
        </w:rPr>
        <w:t>除以</w:t>
      </w:r>
      <m:oMath>
        <m:rad>
          <m:radPr>
            <m:degHide m:val="1"/>
            <m:ctrlPr>
              <w:rPr>
                <w:rFonts w:ascii="Cambria Math" w:eastAsia="標楷體" w:hAnsi="Cambria Math" w:cstheme="minorHAnsi"/>
              </w:rPr>
            </m:ctrlPr>
          </m:radPr>
          <m:deg/>
          <m:e>
            <m:r>
              <w:rPr>
                <w:rFonts w:ascii="Cambria Math" w:eastAsia="標楷體" w:hAnsi="Cambria Math" w:cstheme="minorHAnsi"/>
              </w:rPr>
              <m:t>2</m:t>
            </m:r>
          </m:e>
        </m:rad>
      </m:oMath>
      <w:r w:rsidRPr="00CA1A43">
        <w:rPr>
          <w:rFonts w:eastAsia="標楷體" w:cstheme="minorHAnsi"/>
        </w:rPr>
        <w:t>，其餘非選定之貨幣對</w:t>
      </w:r>
      <w:r w:rsidRPr="00CA1A43">
        <w:rPr>
          <w:rFonts w:eastAsia="標楷體" w:cstheme="minorHAnsi"/>
        </w:rPr>
        <w:t>(currency pairs)</w:t>
      </w:r>
      <w:r w:rsidRPr="00CA1A43">
        <w:rPr>
          <w:rFonts w:eastAsia="標楷體" w:cstheme="minorHAnsi"/>
        </w:rPr>
        <w:t>皆為</w:t>
      </w:r>
      <w:r w:rsidRPr="00CA1A43">
        <w:rPr>
          <w:rFonts w:eastAsia="標楷體" w:cstheme="minorHAnsi"/>
        </w:rPr>
        <w:t>15%</w:t>
      </w:r>
      <w:r w:rsidRPr="00CA1A43">
        <w:rPr>
          <w:rFonts w:eastAsia="標楷體" w:cstheme="minorHAnsi"/>
        </w:rPr>
        <w:t>。</w:t>
      </w:r>
    </w:p>
    <w:p w14:paraId="4BDC424E" w14:textId="77777777" w:rsidR="00A6578A" w:rsidRPr="00CA1A43" w:rsidRDefault="0079372D" w:rsidP="00605B1D">
      <w:pPr>
        <w:pStyle w:val="a7"/>
        <w:numPr>
          <w:ilvl w:val="0"/>
          <w:numId w:val="133"/>
        </w:numPr>
        <w:spacing w:beforeLines="50" w:before="180"/>
        <w:ind w:leftChars="0" w:left="1446" w:hanging="482"/>
        <w:jc w:val="both"/>
        <w:rPr>
          <w:rFonts w:eastAsia="標楷體" w:cstheme="minorHAnsi"/>
        </w:rPr>
      </w:pPr>
      <w:proofErr w:type="gramStart"/>
      <w:r w:rsidRPr="00CA1A43">
        <w:rPr>
          <w:rFonts w:eastAsia="標楷體" w:cstheme="minorHAnsi"/>
        </w:rPr>
        <w:t>加總跨組</w:t>
      </w:r>
      <w:proofErr w:type="gramEnd"/>
      <w:r w:rsidRPr="00CA1A43">
        <w:rPr>
          <w:rFonts w:eastAsia="標楷體" w:cstheme="minorHAnsi"/>
        </w:rPr>
        <w:t>別外匯</w:t>
      </w:r>
      <w:r w:rsidRPr="00CA1A43">
        <w:rPr>
          <w:rFonts w:eastAsia="標楷體" w:cstheme="minorHAnsi"/>
        </w:rPr>
        <w:t>delta</w:t>
      </w:r>
      <w:r w:rsidRPr="00CA1A43">
        <w:rPr>
          <w:rFonts w:eastAsia="標楷體" w:cstheme="minorHAnsi"/>
        </w:rPr>
        <w:t>風險部位之風險時，其相關係數</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皆適用</w:t>
      </w:r>
      <w:r w:rsidRPr="00CA1A43">
        <w:rPr>
          <w:rFonts w:eastAsia="標楷體" w:cstheme="minorHAnsi"/>
        </w:rPr>
        <w:t>60%</w:t>
      </w:r>
      <w:r w:rsidRPr="00CA1A43">
        <w:rPr>
          <w:rFonts w:eastAsia="標楷體" w:cstheme="minorHAnsi"/>
        </w:rPr>
        <w:t>。</w:t>
      </w:r>
    </w:p>
    <w:p w14:paraId="5BE89136" w14:textId="77777777" w:rsidR="0079372D" w:rsidRPr="00CA1A43" w:rsidRDefault="00CC246B"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敏感性基礎法</w:t>
      </w:r>
      <w:r w:rsidRPr="00CA1A43">
        <w:rPr>
          <w:rFonts w:eastAsia="標楷體" w:cstheme="minorHAnsi"/>
        </w:rPr>
        <w:t>(SBM)</w:t>
      </w:r>
      <w:r w:rsidRPr="00CA1A43">
        <w:rPr>
          <w:rFonts w:eastAsia="標楷體" w:cstheme="minorHAnsi"/>
        </w:rPr>
        <w:t>：</w:t>
      </w:r>
      <w:proofErr w:type="spellStart"/>
      <w:r w:rsidRPr="00CA1A43">
        <w:rPr>
          <w:rFonts w:eastAsia="標楷體" w:cstheme="minorHAnsi"/>
        </w:rPr>
        <w:t>vega</w:t>
      </w:r>
      <w:proofErr w:type="spellEnd"/>
      <w:r w:rsidRPr="00CA1A43">
        <w:rPr>
          <w:rFonts w:eastAsia="標楷體" w:cstheme="minorHAnsi"/>
        </w:rPr>
        <w:t>風險組別、風險權數及相關係數之定義</w:t>
      </w:r>
    </w:p>
    <w:p w14:paraId="0417AD85" w14:textId="77777777" w:rsidR="0079372D" w:rsidRPr="00CA1A43" w:rsidRDefault="00CC246B" w:rsidP="00605B1D">
      <w:pPr>
        <w:pStyle w:val="a7"/>
        <w:numPr>
          <w:ilvl w:val="0"/>
          <w:numId w:val="134"/>
        </w:numPr>
        <w:spacing w:beforeLines="50" w:before="180"/>
        <w:ind w:leftChars="0" w:left="964" w:hanging="482"/>
        <w:jc w:val="both"/>
        <w:rPr>
          <w:rFonts w:eastAsia="標楷體" w:cstheme="minorHAnsi"/>
        </w:rPr>
      </w:pPr>
      <w:r w:rsidRPr="00CA1A43">
        <w:rPr>
          <w:rFonts w:eastAsia="標楷體" w:cstheme="minorHAnsi"/>
        </w:rPr>
        <w:t>各風險類別中，</w:t>
      </w:r>
      <w:proofErr w:type="spellStart"/>
      <w:r w:rsidRPr="00CA1A43">
        <w:rPr>
          <w:rFonts w:eastAsia="標楷體" w:cstheme="minorHAnsi"/>
        </w:rPr>
        <w:t>vega</w:t>
      </w:r>
      <w:proofErr w:type="spellEnd"/>
      <w:r w:rsidRPr="00CA1A43">
        <w:rPr>
          <w:rFonts w:eastAsia="標楷體" w:cstheme="minorHAnsi"/>
        </w:rPr>
        <w:t>風險所使用之組別定義與</w:t>
      </w:r>
      <w:r w:rsidRPr="00CA1A43">
        <w:rPr>
          <w:rFonts w:eastAsia="標楷體" w:cstheme="minorHAnsi"/>
        </w:rPr>
        <w:t>delta</w:t>
      </w:r>
      <w:r w:rsidRPr="00CA1A43">
        <w:rPr>
          <w:rFonts w:eastAsia="標楷體" w:cstheme="minorHAnsi"/>
        </w:rPr>
        <w:t>風險相同。</w:t>
      </w:r>
    </w:p>
    <w:p w14:paraId="1B68862F" w14:textId="77777777" w:rsidR="0079372D" w:rsidRPr="00CA1A43" w:rsidRDefault="00CC246B" w:rsidP="00605B1D">
      <w:pPr>
        <w:pStyle w:val="a7"/>
        <w:numPr>
          <w:ilvl w:val="0"/>
          <w:numId w:val="134"/>
        </w:numPr>
        <w:spacing w:beforeLines="50" w:before="180"/>
        <w:ind w:leftChars="0" w:left="964" w:hanging="482"/>
        <w:jc w:val="both"/>
        <w:rPr>
          <w:rFonts w:eastAsia="標楷體" w:cstheme="minorHAnsi"/>
        </w:rPr>
      </w:pPr>
      <w:r w:rsidRPr="00CA1A43">
        <w:rPr>
          <w:rFonts w:eastAsia="標楷體" w:cstheme="minorHAnsi"/>
        </w:rPr>
        <w:t>計算加權敏感性部位之</w:t>
      </w:r>
      <w:proofErr w:type="spellStart"/>
      <w:r w:rsidRPr="00CA1A43">
        <w:rPr>
          <w:rFonts w:eastAsia="標楷體" w:cstheme="minorHAnsi"/>
        </w:rPr>
        <w:t>vega</w:t>
      </w:r>
      <w:proofErr w:type="spellEnd"/>
      <w:r w:rsidRPr="00CA1A43">
        <w:rPr>
          <w:rFonts w:eastAsia="標楷體" w:cstheme="minorHAnsi"/>
        </w:rPr>
        <w:t>風險，指定各項風險類別的變現期間與風險權數如表</w:t>
      </w:r>
      <w:r w:rsidRPr="00CA1A43">
        <w:rPr>
          <w:rFonts w:eastAsia="標楷體" w:cstheme="minorHAnsi"/>
        </w:rPr>
        <w:t>13</w:t>
      </w:r>
      <w:r w:rsidRPr="00CA1A43">
        <w:rPr>
          <w:rFonts w:eastAsia="標楷體" w:cstheme="minorHAnsi"/>
        </w:rPr>
        <w:t>所示，以利將市場流動性不足的風險納入</w:t>
      </w:r>
      <w:proofErr w:type="spellStart"/>
      <w:r w:rsidRPr="00CA1A43">
        <w:rPr>
          <w:rFonts w:eastAsia="標楷體" w:cstheme="minorHAnsi"/>
        </w:rPr>
        <w:t>vega</w:t>
      </w:r>
      <w:proofErr w:type="spellEnd"/>
      <w:r w:rsidRPr="00CA1A43">
        <w:rPr>
          <w:rFonts w:eastAsia="標楷體" w:cstheme="minorHAnsi"/>
        </w:rPr>
        <w:t>風險的測定中。</w:t>
      </w:r>
    </w:p>
    <w:tbl>
      <w:tblPr>
        <w:tblW w:w="4376" w:type="pct"/>
        <w:tblInd w:w="50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314"/>
        <w:gridCol w:w="1417"/>
        <w:gridCol w:w="164"/>
        <w:gridCol w:w="1374"/>
      </w:tblGrid>
      <w:tr w:rsidR="00CC246B" w:rsidRPr="00CA1A43" w14:paraId="2DC6D863" w14:textId="77777777" w:rsidTr="00CC246B">
        <w:trPr>
          <w:trHeight w:val="420"/>
        </w:trPr>
        <w:tc>
          <w:tcPr>
            <w:tcW w:w="4055" w:type="pct"/>
            <w:gridSpan w:val="3"/>
            <w:tcBorders>
              <w:right w:val="nil"/>
            </w:tcBorders>
            <w:vAlign w:val="center"/>
          </w:tcPr>
          <w:p w14:paraId="13F07BC3"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各風險類別之法定變現</w:t>
            </w:r>
            <w:proofErr w:type="gramStart"/>
            <w:r w:rsidRPr="00CA1A43">
              <w:rPr>
                <w:rFonts w:asciiTheme="minorHAnsi" w:hAnsiTheme="minorHAnsi" w:cstheme="minorHAnsi"/>
                <w:sz w:val="24"/>
                <w:szCs w:val="24"/>
              </w:rPr>
              <w:t>期間</w:t>
            </w:r>
            <w:r w:rsidRPr="00CA1A43">
              <w:rPr>
                <w:rFonts w:asciiTheme="minorHAnsi" w:hAnsiTheme="minorHAnsi" w:cstheme="minorHAnsi"/>
                <w:sz w:val="24"/>
                <w:szCs w:val="24"/>
              </w:rPr>
              <w:t>(</w:t>
            </w:r>
            <w:proofErr w:type="gramEnd"/>
            <m:oMath>
              <m:sSub>
                <m:sSubPr>
                  <m:ctrlPr>
                    <w:rPr>
                      <w:rFonts w:ascii="Cambria Math" w:hAnsi="Cambria Math" w:cstheme="minorHAnsi"/>
                      <w:sz w:val="24"/>
                      <w:szCs w:val="24"/>
                    </w:rPr>
                  </m:ctrlPr>
                </m:sSubPr>
                <m:e>
                  <m:r>
                    <m:rPr>
                      <m:sty m:val="p"/>
                    </m:rPr>
                    <w:rPr>
                      <w:rFonts w:ascii="Cambria Math" w:hAnsi="Cambria Math" w:cstheme="minorHAnsi"/>
                      <w:sz w:val="24"/>
                      <w:szCs w:val="24"/>
                    </w:rPr>
                    <m:t>LH</m:t>
                  </m:r>
                </m:e>
                <m:sub>
                  <m:r>
                    <m:rPr>
                      <m:sty m:val="p"/>
                    </m:rPr>
                    <w:rPr>
                      <w:rFonts w:ascii="Cambria Math" w:hAnsi="Cambria Math" w:cstheme="minorHAnsi"/>
                      <w:sz w:val="24"/>
                      <w:szCs w:val="24"/>
                    </w:rPr>
                    <m:t>risk class</m:t>
                  </m:r>
                </m:sub>
              </m:sSub>
            </m:oMath>
            <w:r w:rsidRPr="00CA1A43">
              <w:rPr>
                <w:rFonts w:asciiTheme="minorHAnsi" w:hAnsiTheme="minorHAnsi" w:cstheme="minorHAnsi"/>
                <w:sz w:val="24"/>
                <w:szCs w:val="24"/>
              </w:rPr>
              <w:t>)</w:t>
            </w:r>
            <w:r w:rsidRPr="00CA1A43">
              <w:rPr>
                <w:rFonts w:asciiTheme="minorHAnsi" w:hAnsiTheme="minorHAnsi" w:cstheme="minorHAnsi"/>
                <w:sz w:val="24"/>
                <w:szCs w:val="24"/>
              </w:rPr>
              <w:t>及風險權數</w:t>
            </w:r>
            <w:r w:rsidR="0047474C" w:rsidRPr="00CA1A43">
              <w:rPr>
                <w:rStyle w:val="a5"/>
                <w:rFonts w:asciiTheme="minorHAnsi" w:hAnsiTheme="minorHAnsi" w:cstheme="minorHAnsi"/>
              </w:rPr>
              <w:footnoteReference w:id="38"/>
            </w:r>
          </w:p>
        </w:tc>
        <w:tc>
          <w:tcPr>
            <w:tcW w:w="945" w:type="pct"/>
            <w:tcBorders>
              <w:left w:val="nil"/>
            </w:tcBorders>
            <w:vAlign w:val="center"/>
          </w:tcPr>
          <w:p w14:paraId="0BC8B4A5" w14:textId="77777777" w:rsidR="00CC246B" w:rsidRPr="00CA1A43" w:rsidRDefault="00CC246B" w:rsidP="00CC246B">
            <w:pPr>
              <w:pStyle w:val="Item"/>
              <w:ind w:left="32"/>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13</w:t>
            </w:r>
          </w:p>
        </w:tc>
      </w:tr>
      <w:tr w:rsidR="00CC246B" w:rsidRPr="00CA1A43" w14:paraId="51359172" w14:textId="77777777" w:rsidTr="00C70497">
        <w:trPr>
          <w:trHeight w:val="64"/>
        </w:trPr>
        <w:tc>
          <w:tcPr>
            <w:tcW w:w="2967" w:type="pct"/>
            <w:tcBorders>
              <w:bottom w:val="single" w:sz="4" w:space="0" w:color="auto"/>
              <w:right w:val="single" w:sz="8" w:space="0" w:color="A6A6A6" w:themeColor="background1" w:themeShade="A6"/>
            </w:tcBorders>
            <w:vAlign w:val="center"/>
          </w:tcPr>
          <w:p w14:paraId="40681B84"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風險類別</w:t>
            </w:r>
          </w:p>
        </w:tc>
        <w:tc>
          <w:tcPr>
            <w:tcW w:w="975" w:type="pct"/>
            <w:tcBorders>
              <w:left w:val="single" w:sz="8" w:space="0" w:color="A6A6A6" w:themeColor="background1" w:themeShade="A6"/>
              <w:bottom w:val="single" w:sz="4" w:space="0" w:color="auto"/>
              <w:right w:val="single" w:sz="8" w:space="0" w:color="A6A6A6" w:themeColor="background1" w:themeShade="A6"/>
            </w:tcBorders>
          </w:tcPr>
          <w:p w14:paraId="74F470B7"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變現期間</w:t>
            </w:r>
          </w:p>
        </w:tc>
        <w:tc>
          <w:tcPr>
            <w:tcW w:w="1058" w:type="pct"/>
            <w:gridSpan w:val="2"/>
            <w:tcBorders>
              <w:left w:val="single" w:sz="8" w:space="0" w:color="A6A6A6" w:themeColor="background1" w:themeShade="A6"/>
              <w:bottom w:val="single" w:sz="4" w:space="0" w:color="auto"/>
            </w:tcBorders>
          </w:tcPr>
          <w:p w14:paraId="60950D8C"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風險權數</w:t>
            </w:r>
          </w:p>
        </w:tc>
      </w:tr>
      <w:tr w:rsidR="00CC246B" w:rsidRPr="00CA1A43" w14:paraId="1C5A1349" w14:textId="77777777" w:rsidTr="00C70497">
        <w:trPr>
          <w:trHeight w:val="62"/>
        </w:trPr>
        <w:tc>
          <w:tcPr>
            <w:tcW w:w="2967" w:type="pct"/>
            <w:tcBorders>
              <w:bottom w:val="single" w:sz="8" w:space="0" w:color="A6A6A6" w:themeColor="background1" w:themeShade="A6"/>
              <w:right w:val="single" w:sz="8" w:space="0" w:color="A6A6A6" w:themeColor="background1" w:themeShade="A6"/>
            </w:tcBorders>
            <w:vAlign w:val="center"/>
          </w:tcPr>
          <w:p w14:paraId="0F19973C"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 xml:space="preserve">GIRR </w:t>
            </w:r>
          </w:p>
        </w:tc>
        <w:tc>
          <w:tcPr>
            <w:tcW w:w="975" w:type="pct"/>
            <w:tcBorders>
              <w:left w:val="single" w:sz="8" w:space="0" w:color="A6A6A6" w:themeColor="background1" w:themeShade="A6"/>
              <w:bottom w:val="single" w:sz="8" w:space="0" w:color="A6A6A6" w:themeColor="background1" w:themeShade="A6"/>
              <w:right w:val="single" w:sz="8" w:space="0" w:color="A6A6A6" w:themeColor="background1" w:themeShade="A6"/>
            </w:tcBorders>
          </w:tcPr>
          <w:p w14:paraId="63CBA3F3"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60</w:t>
            </w:r>
          </w:p>
        </w:tc>
        <w:tc>
          <w:tcPr>
            <w:tcW w:w="1058" w:type="pct"/>
            <w:gridSpan w:val="2"/>
            <w:tcBorders>
              <w:left w:val="single" w:sz="8" w:space="0" w:color="A6A6A6" w:themeColor="background1" w:themeShade="A6"/>
              <w:bottom w:val="single" w:sz="8" w:space="0" w:color="A6A6A6" w:themeColor="background1" w:themeShade="A6"/>
            </w:tcBorders>
          </w:tcPr>
          <w:p w14:paraId="165D823D"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CC246B" w:rsidRPr="00CA1A43" w14:paraId="62A7CBE3" w14:textId="77777777" w:rsidTr="00C70497">
        <w:trPr>
          <w:trHeight w:val="62"/>
        </w:trPr>
        <w:tc>
          <w:tcPr>
            <w:tcW w:w="296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6A2A90B"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非證券化商品之</w:t>
            </w:r>
            <w:r w:rsidRPr="00CA1A43">
              <w:rPr>
                <w:rFonts w:asciiTheme="minorHAnsi" w:hAnsiTheme="minorHAnsi" w:cstheme="minorHAnsi"/>
                <w:sz w:val="24"/>
                <w:szCs w:val="24"/>
              </w:rPr>
              <w:t>CSR</w:t>
            </w:r>
          </w:p>
        </w:tc>
        <w:tc>
          <w:tcPr>
            <w:tcW w:w="9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93BD672"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c>
          <w:tcPr>
            <w:tcW w:w="105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379ED03F"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CC246B" w:rsidRPr="00CA1A43" w14:paraId="3838237D" w14:textId="77777777" w:rsidTr="00C70497">
        <w:trPr>
          <w:trHeight w:val="62"/>
        </w:trPr>
        <w:tc>
          <w:tcPr>
            <w:tcW w:w="296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A45BCD9"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證券化商品之</w:t>
            </w:r>
            <w:r w:rsidRPr="00CA1A43">
              <w:rPr>
                <w:rFonts w:asciiTheme="minorHAnsi" w:hAnsiTheme="minorHAnsi" w:cstheme="minorHAnsi"/>
                <w:sz w:val="24"/>
                <w:szCs w:val="24"/>
              </w:rPr>
              <w:t>CSR (</w:t>
            </w:r>
            <w:r w:rsidRPr="00CA1A43">
              <w:rPr>
                <w:rFonts w:asciiTheme="minorHAnsi" w:hAnsiTheme="minorHAnsi" w:cstheme="minorHAnsi"/>
                <w:sz w:val="24"/>
                <w:szCs w:val="24"/>
              </w:rPr>
              <w:t>相關性交易組合</w:t>
            </w:r>
            <w:r w:rsidRPr="00CA1A43">
              <w:rPr>
                <w:rFonts w:asciiTheme="minorHAnsi" w:hAnsiTheme="minorHAnsi" w:cstheme="minorHAnsi"/>
                <w:sz w:val="24"/>
                <w:szCs w:val="24"/>
              </w:rPr>
              <w:t>)</w:t>
            </w:r>
          </w:p>
        </w:tc>
        <w:tc>
          <w:tcPr>
            <w:tcW w:w="9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406AB490"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c>
          <w:tcPr>
            <w:tcW w:w="105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589DC916"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CC246B" w:rsidRPr="00CA1A43" w14:paraId="52F8876E" w14:textId="77777777" w:rsidTr="00C70497">
        <w:trPr>
          <w:trHeight w:val="62"/>
        </w:trPr>
        <w:tc>
          <w:tcPr>
            <w:tcW w:w="296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CB64BB9"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lastRenderedPageBreak/>
              <w:t>證券化商品之</w:t>
            </w:r>
            <w:r w:rsidRPr="00CA1A43">
              <w:rPr>
                <w:rFonts w:asciiTheme="minorHAnsi" w:hAnsiTheme="minorHAnsi" w:cstheme="minorHAnsi"/>
                <w:sz w:val="24"/>
                <w:szCs w:val="24"/>
              </w:rPr>
              <w:t>CSR (</w:t>
            </w:r>
            <w:r w:rsidRPr="00CA1A43">
              <w:rPr>
                <w:rFonts w:asciiTheme="minorHAnsi" w:hAnsiTheme="minorHAnsi" w:cstheme="minorHAnsi"/>
                <w:sz w:val="24"/>
                <w:szCs w:val="24"/>
              </w:rPr>
              <w:t>非相關性交易組合</w:t>
            </w:r>
            <w:r w:rsidRPr="00CA1A43">
              <w:rPr>
                <w:rFonts w:asciiTheme="minorHAnsi" w:hAnsiTheme="minorHAnsi" w:cstheme="minorHAnsi"/>
                <w:sz w:val="24"/>
                <w:szCs w:val="24"/>
              </w:rPr>
              <w:t>)</w:t>
            </w:r>
          </w:p>
        </w:tc>
        <w:tc>
          <w:tcPr>
            <w:tcW w:w="9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5883E5D3"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c>
          <w:tcPr>
            <w:tcW w:w="105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5714C5E3"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CC246B" w:rsidRPr="00CA1A43" w14:paraId="08FE7433" w14:textId="77777777" w:rsidTr="00C70497">
        <w:trPr>
          <w:trHeight w:val="62"/>
        </w:trPr>
        <w:tc>
          <w:tcPr>
            <w:tcW w:w="296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3706B5E"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權益證券風險</w:t>
            </w:r>
            <w:r w:rsidRPr="00CA1A43">
              <w:rPr>
                <w:rFonts w:asciiTheme="minorHAnsi" w:hAnsiTheme="minorHAnsi" w:cstheme="minorHAnsi"/>
                <w:sz w:val="24"/>
                <w:szCs w:val="24"/>
              </w:rPr>
              <w:t>(</w:t>
            </w:r>
            <w:r w:rsidRPr="00CA1A43">
              <w:rPr>
                <w:rFonts w:asciiTheme="minorHAnsi" w:hAnsiTheme="minorHAnsi" w:cstheme="minorHAnsi"/>
                <w:sz w:val="24"/>
                <w:szCs w:val="24"/>
              </w:rPr>
              <w:t>大型市值</w:t>
            </w:r>
            <w:r w:rsidRPr="00CA1A43">
              <w:rPr>
                <w:rFonts w:asciiTheme="minorHAnsi" w:hAnsiTheme="minorHAnsi" w:cstheme="minorHAnsi"/>
                <w:sz w:val="24"/>
                <w:szCs w:val="24"/>
              </w:rPr>
              <w:t xml:space="preserve">) </w:t>
            </w:r>
          </w:p>
        </w:tc>
        <w:tc>
          <w:tcPr>
            <w:tcW w:w="9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2AD3B7E9"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c>
          <w:tcPr>
            <w:tcW w:w="105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1743396B"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77.78%</w:t>
            </w:r>
          </w:p>
        </w:tc>
      </w:tr>
      <w:tr w:rsidR="00CC246B" w:rsidRPr="00CA1A43" w14:paraId="03299F89" w14:textId="77777777" w:rsidTr="00C70497">
        <w:trPr>
          <w:trHeight w:val="62"/>
        </w:trPr>
        <w:tc>
          <w:tcPr>
            <w:tcW w:w="296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4BC7017"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權益證券風險</w:t>
            </w:r>
            <w:r w:rsidRPr="00CA1A43">
              <w:rPr>
                <w:rFonts w:asciiTheme="minorHAnsi" w:hAnsiTheme="minorHAnsi" w:cstheme="minorHAnsi"/>
                <w:sz w:val="24"/>
                <w:szCs w:val="24"/>
              </w:rPr>
              <w:t>(</w:t>
            </w:r>
            <w:r w:rsidRPr="00CA1A43">
              <w:rPr>
                <w:rFonts w:asciiTheme="minorHAnsi" w:hAnsiTheme="minorHAnsi" w:cstheme="minorHAnsi"/>
                <w:sz w:val="24"/>
                <w:szCs w:val="24"/>
              </w:rPr>
              <w:t>小型市值</w:t>
            </w:r>
            <w:r w:rsidRPr="00CA1A43">
              <w:rPr>
                <w:rFonts w:asciiTheme="minorHAnsi" w:hAnsiTheme="minorHAnsi" w:cstheme="minorHAnsi"/>
                <w:sz w:val="24"/>
                <w:szCs w:val="24"/>
              </w:rPr>
              <w:t xml:space="preserve">) </w:t>
            </w:r>
          </w:p>
        </w:tc>
        <w:tc>
          <w:tcPr>
            <w:tcW w:w="9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C24F898"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60</w:t>
            </w:r>
          </w:p>
        </w:tc>
        <w:tc>
          <w:tcPr>
            <w:tcW w:w="105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6161E20B"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CC246B" w:rsidRPr="00CA1A43" w14:paraId="232268C0" w14:textId="77777777" w:rsidTr="00C70497">
        <w:trPr>
          <w:trHeight w:val="62"/>
        </w:trPr>
        <w:tc>
          <w:tcPr>
            <w:tcW w:w="2967" w:type="pct"/>
            <w:tcBorders>
              <w:top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ED9EE95"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商品風險</w:t>
            </w:r>
          </w:p>
        </w:tc>
        <w:tc>
          <w:tcPr>
            <w:tcW w:w="975"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39A2C397"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c>
          <w:tcPr>
            <w:tcW w:w="1058" w:type="pct"/>
            <w:gridSpan w:val="2"/>
            <w:tcBorders>
              <w:top w:val="single" w:sz="8" w:space="0" w:color="A6A6A6" w:themeColor="background1" w:themeShade="A6"/>
              <w:left w:val="single" w:sz="8" w:space="0" w:color="A6A6A6" w:themeColor="background1" w:themeShade="A6"/>
              <w:bottom w:val="single" w:sz="8" w:space="0" w:color="A6A6A6" w:themeColor="background1" w:themeShade="A6"/>
            </w:tcBorders>
          </w:tcPr>
          <w:p w14:paraId="34365332"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CC246B" w:rsidRPr="00CA1A43" w14:paraId="789D88EB" w14:textId="77777777" w:rsidTr="00C70497">
        <w:trPr>
          <w:trHeight w:val="62"/>
        </w:trPr>
        <w:tc>
          <w:tcPr>
            <w:tcW w:w="2967" w:type="pct"/>
            <w:tcBorders>
              <w:top w:val="single" w:sz="8" w:space="0" w:color="A6A6A6" w:themeColor="background1" w:themeShade="A6"/>
              <w:right w:val="single" w:sz="8" w:space="0" w:color="A6A6A6" w:themeColor="background1" w:themeShade="A6"/>
            </w:tcBorders>
            <w:vAlign w:val="center"/>
          </w:tcPr>
          <w:p w14:paraId="7A196171" w14:textId="77777777" w:rsidR="00CC246B" w:rsidRPr="00CA1A43" w:rsidRDefault="00CC246B" w:rsidP="00CC246B">
            <w:pPr>
              <w:pStyle w:val="Item"/>
              <w:jc w:val="both"/>
              <w:rPr>
                <w:rFonts w:asciiTheme="minorHAnsi" w:hAnsiTheme="minorHAnsi" w:cstheme="minorHAnsi"/>
                <w:sz w:val="24"/>
                <w:szCs w:val="24"/>
              </w:rPr>
            </w:pPr>
            <w:r w:rsidRPr="00CA1A43">
              <w:rPr>
                <w:rFonts w:asciiTheme="minorHAnsi" w:hAnsiTheme="minorHAnsi" w:cstheme="minorHAnsi"/>
                <w:sz w:val="24"/>
                <w:szCs w:val="24"/>
              </w:rPr>
              <w:t>匯率風險</w:t>
            </w:r>
          </w:p>
        </w:tc>
        <w:tc>
          <w:tcPr>
            <w:tcW w:w="975" w:type="pct"/>
            <w:tcBorders>
              <w:top w:val="single" w:sz="8" w:space="0" w:color="A6A6A6" w:themeColor="background1" w:themeShade="A6"/>
              <w:left w:val="single" w:sz="8" w:space="0" w:color="A6A6A6" w:themeColor="background1" w:themeShade="A6"/>
              <w:right w:val="single" w:sz="8" w:space="0" w:color="A6A6A6" w:themeColor="background1" w:themeShade="A6"/>
            </w:tcBorders>
          </w:tcPr>
          <w:p w14:paraId="3ABC2822"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c>
          <w:tcPr>
            <w:tcW w:w="1058" w:type="pct"/>
            <w:gridSpan w:val="2"/>
            <w:tcBorders>
              <w:top w:val="single" w:sz="8" w:space="0" w:color="A6A6A6" w:themeColor="background1" w:themeShade="A6"/>
              <w:left w:val="single" w:sz="8" w:space="0" w:color="A6A6A6" w:themeColor="background1" w:themeShade="A6"/>
            </w:tcBorders>
          </w:tcPr>
          <w:p w14:paraId="5F5C7265" w14:textId="77777777" w:rsidR="00CC246B" w:rsidRPr="00CA1A43" w:rsidRDefault="00CC246B" w:rsidP="00CC246B">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bl>
    <w:p w14:paraId="4E9AA5B8" w14:textId="77777777" w:rsidR="00C70497" w:rsidRPr="00CA1A43" w:rsidRDefault="00C70497" w:rsidP="00605B1D">
      <w:pPr>
        <w:pStyle w:val="a7"/>
        <w:numPr>
          <w:ilvl w:val="0"/>
          <w:numId w:val="134"/>
        </w:numPr>
        <w:spacing w:beforeLines="50" w:before="180"/>
        <w:ind w:leftChars="0" w:left="964" w:hanging="482"/>
        <w:jc w:val="both"/>
        <w:rPr>
          <w:rFonts w:eastAsia="標楷體" w:cstheme="minorHAnsi"/>
        </w:rPr>
      </w:pPr>
      <w:r w:rsidRPr="00CA1A43">
        <w:rPr>
          <w:rFonts w:eastAsia="標楷體" w:cstheme="minorHAnsi"/>
        </w:rPr>
        <w:t>GIRR Vega</w:t>
      </w:r>
      <w:r w:rsidRPr="00CA1A43">
        <w:rPr>
          <w:rFonts w:eastAsia="標楷體" w:cstheme="minorHAnsi"/>
        </w:rPr>
        <w:t>風險</w:t>
      </w:r>
    </w:p>
    <w:p w14:paraId="1DD4518C" w14:textId="77777777" w:rsidR="00C70497" w:rsidRPr="00CA1A43" w:rsidRDefault="00C70497" w:rsidP="00C70497">
      <w:pPr>
        <w:ind w:left="964"/>
        <w:jc w:val="both"/>
        <w:rPr>
          <w:rFonts w:eastAsia="標楷體" w:cstheme="minorHAnsi"/>
        </w:rPr>
      </w:pPr>
      <w:r w:rsidRPr="00CA1A43">
        <w:rPr>
          <w:rFonts w:eastAsia="標楷體" w:cstheme="minorHAnsi"/>
        </w:rPr>
        <w:t>在同一</w:t>
      </w:r>
      <w:proofErr w:type="gramStart"/>
      <w:r w:rsidRPr="00CA1A43">
        <w:rPr>
          <w:rFonts w:eastAsia="標楷體" w:cstheme="minorHAnsi"/>
        </w:rPr>
        <w:t>組別內加</w:t>
      </w:r>
      <w:proofErr w:type="gramEnd"/>
      <w:r w:rsidRPr="00CA1A43">
        <w:rPr>
          <w:rFonts w:eastAsia="標楷體" w:cstheme="minorHAnsi"/>
        </w:rPr>
        <w:t>總</w:t>
      </w:r>
      <w:r w:rsidRPr="00CA1A43">
        <w:rPr>
          <w:rFonts w:eastAsia="標楷體" w:cstheme="minorHAnsi"/>
        </w:rPr>
        <w:t>GIRR Vega</w:t>
      </w:r>
      <w:r w:rsidRPr="00CA1A43">
        <w:rPr>
          <w:rFonts w:eastAsia="標楷體" w:cstheme="minorHAnsi"/>
        </w:rPr>
        <w:t>風險部位，相關係數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公式如下：</w:t>
      </w:r>
    </w:p>
    <w:p w14:paraId="75492932" w14:textId="77777777" w:rsidR="00C70497" w:rsidRPr="00CA1A43" w:rsidRDefault="00AA1117" w:rsidP="00C70497">
      <w:pPr>
        <w:ind w:left="964"/>
        <w:jc w:val="both"/>
        <w:rPr>
          <w:rFonts w:eastAsia="標楷體" w:cstheme="minorHAnsi"/>
          <w:vertAlign w:val="superscript"/>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ρ</m:t>
              </m:r>
            </m:e>
            <m:sub>
              <m:r>
                <w:rPr>
                  <w:rFonts w:ascii="Cambria Math" w:eastAsia="標楷體" w:hAnsi="Cambria Math" w:cstheme="minorHAnsi"/>
                  <w:szCs w:val="24"/>
                </w:rPr>
                <m:t>kl</m:t>
              </m:r>
            </m:sub>
          </m:sSub>
          <m:r>
            <w:rPr>
              <w:rFonts w:ascii="Cambria Math" w:eastAsia="標楷體" w:hAnsi="Cambria Math" w:cstheme="minorHAnsi"/>
              <w:szCs w:val="24"/>
            </w:rPr>
            <m:t>=min</m:t>
          </m:r>
          <m:d>
            <m:dPr>
              <m:begChr m:val="["/>
              <m:endChr m:val="]"/>
              <m:ctrlPr>
                <w:rPr>
                  <w:rFonts w:ascii="Cambria Math" w:eastAsia="標楷體" w:hAnsi="Cambria Math" w:cstheme="minorHAnsi"/>
                  <w:i/>
                  <w:szCs w:val="24"/>
                </w:rPr>
              </m:ctrlPr>
            </m:dPr>
            <m:e>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m:rPr>
                      <m:sty m:val="p"/>
                    </m:rPr>
                    <w:rPr>
                      <w:rFonts w:ascii="Cambria Math" w:eastAsia="標楷體" w:hAnsi="Cambria Math" w:cstheme="minorHAnsi"/>
                    </w:rPr>
                    <m:t>(</m:t>
                  </m:r>
                  <m:r>
                    <w:rPr>
                      <w:rFonts w:ascii="Cambria Math" w:eastAsia="標楷體" w:hAnsi="Cambria Math" w:cstheme="minorHAnsi"/>
                    </w:rPr>
                    <m:t>option maturity</m:t>
                  </m:r>
                  <m:r>
                    <m:rPr>
                      <m:sty m:val="p"/>
                    </m:rPr>
                    <w:rPr>
                      <w:rFonts w:ascii="Cambria Math" w:eastAsia="標楷體" w:hAnsi="Cambria Math" w:cstheme="minorHAnsi"/>
                    </w:rPr>
                    <m:t>)</m:t>
                  </m:r>
                </m:sup>
              </m:sSubSup>
              <m:r>
                <w:rPr>
                  <w:rFonts w:ascii="Cambria Math" w:eastAsia="標楷體" w:hAnsi="Cambria Math" w:cstheme="minorHAnsi"/>
                </w:rPr>
                <m:t>∙</m:t>
              </m:r>
              <m:sSubSup>
                <m:sSubSupPr>
                  <m:ctrlPr>
                    <w:rPr>
                      <w:rFonts w:ascii="Cambria Math" w:eastAsia="標楷體" w:hAnsi="Cambria Math" w:cstheme="minorHAns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underlying maturity</m:t>
                      </m:r>
                    </m:e>
                  </m:d>
                </m:sup>
              </m:sSubSup>
              <m:r>
                <w:rPr>
                  <w:rFonts w:ascii="Cambria Math" w:eastAsia="標楷體" w:hAnsi="Cambria Math" w:cstheme="minorHAnsi"/>
                  <w:szCs w:val="24"/>
                </w:rPr>
                <m:t>;1</m:t>
              </m:r>
            </m:e>
          </m:d>
        </m:oMath>
      </m:oMathPara>
    </w:p>
    <w:p w14:paraId="12BE4BFE" w14:textId="77777777" w:rsidR="00C70497" w:rsidRPr="00CA1A43" w:rsidRDefault="00C70497" w:rsidP="00C70497">
      <w:pPr>
        <w:ind w:left="964"/>
        <w:jc w:val="both"/>
        <w:rPr>
          <w:rFonts w:eastAsia="標楷體" w:cstheme="minorHAnsi"/>
        </w:rPr>
      </w:pPr>
      <w:r w:rsidRPr="00CA1A43">
        <w:rPr>
          <w:rFonts w:eastAsia="標楷體" w:cstheme="minorHAnsi"/>
        </w:rPr>
        <w:t>其中：</w:t>
      </w:r>
    </w:p>
    <w:p w14:paraId="2976073F" w14:textId="77777777" w:rsidR="00C70497" w:rsidRPr="00CA1A43" w:rsidRDefault="00AA1117" w:rsidP="00C642E4">
      <w:pPr>
        <w:pStyle w:val="a7"/>
        <w:numPr>
          <w:ilvl w:val="0"/>
          <w:numId w:val="138"/>
        </w:numPr>
        <w:spacing w:beforeLines="50" w:before="180"/>
        <w:ind w:leftChars="0" w:left="1446" w:hanging="482"/>
        <w:jc w:val="both"/>
        <w:rPr>
          <w:rFonts w:eastAsia="標楷體" w:cstheme="minorHAnsi"/>
        </w:rPr>
      </w:pP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m:rPr>
                <m:sty m:val="p"/>
              </m:rPr>
              <w:rPr>
                <w:rFonts w:ascii="Cambria Math" w:eastAsia="標楷體" w:hAnsi="Cambria Math" w:cstheme="minorHAnsi"/>
              </w:rPr>
              <m:t>(</m:t>
            </m:r>
            <m:r>
              <w:rPr>
                <w:rFonts w:ascii="Cambria Math" w:eastAsia="標楷體" w:hAnsi="Cambria Math" w:cstheme="minorHAnsi"/>
              </w:rPr>
              <m:t>option maturity</m:t>
            </m:r>
            <m:r>
              <m:rPr>
                <m:sty m:val="p"/>
              </m:rPr>
              <w:rPr>
                <w:rFonts w:ascii="Cambria Math" w:eastAsia="標楷體" w:hAnsi="Cambria Math" w:cstheme="minorHAnsi"/>
              </w:rPr>
              <m:t>)</m:t>
            </m:r>
          </m:sup>
        </m:sSubSup>
        <m:r>
          <w:rPr>
            <w:rFonts w:ascii="Cambria Math" w:eastAsia="標楷體" w:hAnsi="Cambria Math" w:cstheme="minorHAnsi"/>
          </w:rPr>
          <m:t>=</m:t>
        </m:r>
        <m:sSup>
          <m:sSupPr>
            <m:ctrlPr>
              <w:rPr>
                <w:rFonts w:ascii="Cambria Math" w:eastAsia="標楷體" w:hAnsi="Cambria Math" w:cstheme="minorHAnsi"/>
                <w:i/>
              </w:rPr>
            </m:ctrlPr>
          </m:sSupPr>
          <m:e>
            <m:r>
              <w:rPr>
                <w:rFonts w:ascii="Cambria Math" w:eastAsia="標楷體" w:hAnsi="Cambria Math" w:cstheme="minorHAnsi"/>
              </w:rPr>
              <m:t>e</m:t>
            </m:r>
          </m:e>
          <m:sup>
            <m:r>
              <w:rPr>
                <w:rFonts w:ascii="Cambria Math" w:eastAsia="標楷體" w:hAnsi="Cambria Math" w:cstheme="minorHAnsi"/>
              </w:rPr>
              <m:t>-α</m:t>
            </m:r>
            <m:f>
              <m:fPr>
                <m:ctrlPr>
                  <w:rPr>
                    <w:rFonts w:ascii="Cambria Math" w:eastAsia="標楷體" w:hAnsi="Cambria Math" w:cstheme="minorHAnsi"/>
                    <w:i/>
                  </w:rPr>
                </m:ctrlPr>
              </m:fPr>
              <m:num>
                <m:d>
                  <m:dPr>
                    <m:begChr m:val="|"/>
                    <m:endChr m:val="|"/>
                    <m:ctrlPr>
                      <w:rPr>
                        <w:rFonts w:ascii="Cambria Math" w:eastAsia="標楷體" w:hAnsi="Cambria Math" w:cstheme="minorHAnsi"/>
                        <w:i/>
                      </w:rPr>
                    </m:ctrlPr>
                  </m:dPr>
                  <m:e>
                    <m:sSub>
                      <m:sSubPr>
                        <m:ctrlPr>
                          <w:rPr>
                            <w:rFonts w:ascii="Cambria Math" w:eastAsia="標楷體" w:hAnsi="Cambria Math" w:cstheme="minorHAnsi"/>
                            <w:i/>
                          </w:rPr>
                        </m:ctrlPr>
                      </m:sSubPr>
                      <m:e>
                        <m:r>
                          <w:rPr>
                            <w:rFonts w:ascii="Cambria Math" w:eastAsia="標楷體" w:hAnsi="Cambria Math" w:cstheme="minorHAnsi"/>
                          </w:rPr>
                          <m:t>T</m:t>
                        </m:r>
                      </m:e>
                      <m:sub>
                        <m:r>
                          <w:rPr>
                            <w:rFonts w:ascii="Cambria Math" w:eastAsia="標楷體" w:hAnsi="Cambria Math" w:cstheme="minorHAnsi"/>
                          </w:rPr>
                          <m:t>k</m:t>
                        </m:r>
                      </m:sub>
                    </m:sSub>
                    <m:r>
                      <w:rPr>
                        <w:rFonts w:ascii="Cambria Math" w:eastAsia="標楷體" w:hAnsi="Cambria Math" w:cstheme="minorHAnsi"/>
                      </w:rPr>
                      <m:t>-</m:t>
                    </m:r>
                    <m:sSub>
                      <m:sSubPr>
                        <m:ctrlPr>
                          <w:rPr>
                            <w:rFonts w:ascii="Cambria Math" w:eastAsia="標楷體" w:hAnsi="Cambria Math" w:cstheme="minorHAnsi"/>
                            <w:i/>
                          </w:rPr>
                        </m:ctrlPr>
                      </m:sSubPr>
                      <m:e>
                        <m:r>
                          <w:rPr>
                            <w:rFonts w:ascii="Cambria Math" w:eastAsia="標楷體" w:hAnsi="Cambria Math" w:cstheme="minorHAnsi"/>
                          </w:rPr>
                          <m:t>T</m:t>
                        </m:r>
                      </m:e>
                      <m:sub>
                        <m:r>
                          <w:rPr>
                            <w:rFonts w:ascii="Cambria Math" w:eastAsia="標楷體" w:hAnsi="Cambria Math" w:cstheme="minorHAnsi"/>
                          </w:rPr>
                          <m:t>l</m:t>
                        </m:r>
                      </m:sub>
                    </m:sSub>
                  </m:e>
                </m:d>
              </m:num>
              <m:den>
                <m:r>
                  <w:rPr>
                    <w:rFonts w:ascii="Cambria Math" w:eastAsia="標楷體" w:hAnsi="Cambria Math" w:cstheme="minorHAnsi"/>
                  </w:rPr>
                  <m:t>min</m:t>
                </m:r>
                <m:d>
                  <m:dPr>
                    <m:begChr m:val="{"/>
                    <m:endChr m:val="}"/>
                    <m:ctrlPr>
                      <w:rPr>
                        <w:rFonts w:ascii="Cambria Math" w:eastAsia="標楷體" w:hAnsi="Cambria Math" w:cstheme="minorHAnsi"/>
                        <w:i/>
                      </w:rPr>
                    </m:ctrlPr>
                  </m:dPr>
                  <m:e>
                    <m:sSub>
                      <m:sSubPr>
                        <m:ctrlPr>
                          <w:rPr>
                            <w:rFonts w:ascii="Cambria Math" w:eastAsia="標楷體" w:hAnsi="Cambria Math" w:cstheme="minorHAnsi"/>
                            <w:i/>
                          </w:rPr>
                        </m:ctrlPr>
                      </m:sSubPr>
                      <m:e>
                        <m:r>
                          <w:rPr>
                            <w:rFonts w:ascii="Cambria Math" w:eastAsia="標楷體" w:hAnsi="Cambria Math" w:cstheme="minorHAnsi"/>
                          </w:rPr>
                          <m:t>T</m:t>
                        </m:r>
                      </m:e>
                      <m:sub>
                        <m:r>
                          <w:rPr>
                            <w:rFonts w:ascii="Cambria Math" w:eastAsia="標楷體" w:hAnsi="Cambria Math" w:cstheme="minorHAnsi"/>
                          </w:rPr>
                          <m:t>k</m:t>
                        </m:r>
                      </m:sub>
                    </m:sSub>
                    <m:r>
                      <w:rPr>
                        <w:rFonts w:ascii="Cambria Math" w:eastAsia="標楷體" w:hAnsi="Cambria Math" w:cstheme="minorHAnsi"/>
                      </w:rPr>
                      <m:t>;</m:t>
                    </m:r>
                    <m:sSub>
                      <m:sSubPr>
                        <m:ctrlPr>
                          <w:rPr>
                            <w:rFonts w:ascii="Cambria Math" w:eastAsia="標楷體" w:hAnsi="Cambria Math" w:cstheme="minorHAnsi"/>
                            <w:i/>
                          </w:rPr>
                        </m:ctrlPr>
                      </m:sSubPr>
                      <m:e>
                        <m:r>
                          <w:rPr>
                            <w:rFonts w:ascii="Cambria Math" w:eastAsia="標楷體" w:hAnsi="Cambria Math" w:cstheme="minorHAnsi"/>
                          </w:rPr>
                          <m:t>T</m:t>
                        </m:r>
                      </m:e>
                      <m:sub>
                        <m:r>
                          <w:rPr>
                            <w:rFonts w:ascii="Cambria Math" w:eastAsia="標楷體" w:hAnsi="Cambria Math" w:cstheme="minorHAnsi"/>
                          </w:rPr>
                          <m:t>l</m:t>
                        </m:r>
                      </m:sub>
                    </m:sSub>
                  </m:e>
                </m:d>
              </m:den>
            </m:f>
          </m:sup>
        </m:sSup>
      </m:oMath>
      <w:r w:rsidR="00C70497" w:rsidRPr="00CA1A43">
        <w:rPr>
          <w:rFonts w:eastAsia="標楷體" w:cstheme="minorHAnsi"/>
        </w:rPr>
        <w:t>，其中：</w:t>
      </w:r>
    </w:p>
    <w:p w14:paraId="3000C9AA" w14:textId="77777777" w:rsidR="00C70497" w:rsidRPr="00CA1A43" w:rsidRDefault="00C70497" w:rsidP="0010729B">
      <w:pPr>
        <w:pStyle w:val="a7"/>
        <w:numPr>
          <w:ilvl w:val="0"/>
          <w:numId w:val="135"/>
        </w:numPr>
        <w:spacing w:beforeLines="50" w:before="180"/>
        <w:ind w:leftChars="0"/>
        <w:jc w:val="both"/>
        <w:rPr>
          <w:rFonts w:eastAsia="標楷體" w:cstheme="minorHAnsi"/>
        </w:rPr>
      </w:pPr>
      <w:r w:rsidRPr="00CA1A43">
        <w:rPr>
          <w:rFonts w:ascii="Cambria Math" w:eastAsia="標楷體" w:hAnsi="Cambria Math" w:cs="Cambria Math"/>
        </w:rPr>
        <w:t>𝛼</w:t>
      </w:r>
      <w:r w:rsidRPr="00CA1A43">
        <w:rPr>
          <w:rFonts w:eastAsia="標楷體" w:cstheme="minorHAnsi"/>
        </w:rPr>
        <w:t xml:space="preserve"> =1%</w:t>
      </w:r>
      <w:r w:rsidRPr="00CA1A43">
        <w:rPr>
          <w:rFonts w:eastAsia="標楷體" w:cstheme="minorHAnsi"/>
        </w:rPr>
        <w:t>；</w:t>
      </w:r>
    </w:p>
    <w:p w14:paraId="29454711" w14:textId="77777777" w:rsidR="00C70497" w:rsidRPr="00CA1A43" w:rsidRDefault="00AA1117" w:rsidP="0010729B">
      <w:pPr>
        <w:pStyle w:val="a7"/>
        <w:numPr>
          <w:ilvl w:val="0"/>
          <w:numId w:val="135"/>
        </w:numPr>
        <w:spacing w:beforeLines="50" w:before="180"/>
        <w:ind w:leftChars="0"/>
        <w:jc w:val="both"/>
        <w:rPr>
          <w:rFonts w:eastAsia="標楷體" w:cstheme="minorHAnsi"/>
        </w:rPr>
      </w:pPr>
      <m:oMath>
        <m:sSub>
          <m:sSubPr>
            <m:ctrlPr>
              <w:rPr>
                <w:rFonts w:ascii="Cambria Math" w:eastAsia="標楷體" w:hAnsi="Cambria Math" w:cstheme="minorHAnsi"/>
              </w:rPr>
            </m:ctrlPr>
          </m:sSubPr>
          <m:e>
            <m:r>
              <m:rPr>
                <m:sty m:val="p"/>
              </m:rPr>
              <w:rPr>
                <w:rFonts w:ascii="Cambria Math" w:eastAsia="標楷體" w:hAnsi="Cambria Math" w:cstheme="minorHAnsi"/>
              </w:rPr>
              <m:t>T</m:t>
            </m:r>
          </m:e>
          <m:sub>
            <m:r>
              <m:rPr>
                <m:sty m:val="p"/>
              </m:rPr>
              <w:rPr>
                <w:rFonts w:ascii="Cambria Math" w:eastAsia="標楷體" w:hAnsi="Cambria Math" w:cstheme="minorHAnsi"/>
              </w:rPr>
              <m:t>k</m:t>
            </m:r>
          </m:sub>
        </m:sSub>
      </m:oMath>
      <w:r w:rsidR="00C70497" w:rsidRPr="00CA1A43">
        <w:rPr>
          <w:rFonts w:eastAsia="標楷體" w:cstheme="minorHAnsi"/>
        </w:rPr>
        <w:t>及</w:t>
      </w:r>
      <m:oMath>
        <m:sSub>
          <m:sSubPr>
            <m:ctrlPr>
              <w:rPr>
                <w:rFonts w:ascii="Cambria Math" w:eastAsia="標楷體" w:hAnsi="Cambria Math" w:cstheme="minorHAnsi"/>
              </w:rPr>
            </m:ctrlPr>
          </m:sSubPr>
          <m:e>
            <m:r>
              <m:rPr>
                <m:sty m:val="p"/>
              </m:rPr>
              <w:rPr>
                <w:rFonts w:ascii="Cambria Math" w:eastAsia="標楷體" w:hAnsi="Cambria Math" w:cstheme="minorHAnsi"/>
              </w:rPr>
              <m:t>T</m:t>
            </m:r>
          </m:e>
          <m:sub>
            <m:r>
              <m:rPr>
                <m:sty m:val="p"/>
              </m:rPr>
              <w:rPr>
                <w:rFonts w:ascii="Cambria Math" w:eastAsia="標楷體" w:hAnsi="Cambria Math" w:cstheme="minorHAnsi"/>
              </w:rPr>
              <m:t>l</m:t>
            </m:r>
          </m:sub>
        </m:sSub>
      </m:oMath>
      <w:r w:rsidR="00C70497" w:rsidRPr="00CA1A43">
        <w:rPr>
          <w:rFonts w:eastAsia="標楷體" w:cstheme="minorHAnsi"/>
        </w:rPr>
        <w:t>分別為</w:t>
      </w:r>
      <w:proofErr w:type="spellStart"/>
      <w:r w:rsidR="00C70497" w:rsidRPr="00CA1A43">
        <w:rPr>
          <w:rFonts w:eastAsia="標楷體" w:cstheme="minorHAnsi"/>
        </w:rPr>
        <w:t>vega</w:t>
      </w:r>
      <w:proofErr w:type="spellEnd"/>
      <w:r w:rsidR="00C70497" w:rsidRPr="00CA1A43">
        <w:rPr>
          <w:rFonts w:eastAsia="標楷體" w:cstheme="minorHAnsi"/>
        </w:rPr>
        <w:t>敏感性部位</w:t>
      </w:r>
      <m:oMath>
        <m:sSub>
          <m:sSubPr>
            <m:ctrlPr>
              <w:rPr>
                <w:rFonts w:ascii="Cambria Math" w:eastAsia="標楷體" w:hAnsi="Cambria Math" w:cstheme="minorHAnsi"/>
              </w:rPr>
            </m:ctrlPr>
          </m:sSubPr>
          <m:e>
            <m:r>
              <m:rPr>
                <m:sty m:val="p"/>
              </m:rPr>
              <w:rPr>
                <w:rFonts w:ascii="Cambria Math" w:eastAsia="標楷體" w:hAnsi="Cambria Math" w:cstheme="minorHAnsi"/>
              </w:rPr>
              <m:t>VR</m:t>
            </m:r>
          </m:e>
          <m:sub>
            <m:r>
              <m:rPr>
                <m:sty m:val="p"/>
              </m:rPr>
              <w:rPr>
                <w:rFonts w:ascii="Cambria Math" w:eastAsia="標楷體" w:hAnsi="Cambria Math" w:cstheme="minorHAnsi"/>
              </w:rPr>
              <m:t>k</m:t>
            </m:r>
          </m:sub>
        </m:sSub>
      </m:oMath>
      <w:r w:rsidR="00C70497" w:rsidRPr="00CA1A43">
        <w:rPr>
          <w:rFonts w:eastAsia="標楷體" w:cstheme="minorHAnsi"/>
        </w:rPr>
        <w:t>及</w:t>
      </w:r>
      <m:oMath>
        <m:sSub>
          <m:sSubPr>
            <m:ctrlPr>
              <w:rPr>
                <w:rFonts w:ascii="Cambria Math" w:eastAsia="標楷體" w:hAnsi="Cambria Math" w:cstheme="minorHAnsi"/>
              </w:rPr>
            </m:ctrlPr>
          </m:sSubPr>
          <m:e>
            <m:r>
              <m:rPr>
                <m:sty m:val="p"/>
              </m:rPr>
              <w:rPr>
                <w:rFonts w:ascii="Cambria Math" w:eastAsia="標楷體" w:hAnsi="Cambria Math" w:cstheme="minorHAnsi"/>
              </w:rPr>
              <m:t>VR</m:t>
            </m:r>
          </m:e>
          <m:sub>
            <m:r>
              <m:rPr>
                <m:sty m:val="p"/>
              </m:rPr>
              <w:rPr>
                <w:rFonts w:ascii="Cambria Math" w:eastAsia="標楷體" w:hAnsi="Cambria Math" w:cstheme="minorHAnsi"/>
              </w:rPr>
              <m:t>l</m:t>
            </m:r>
          </m:sub>
        </m:sSub>
      </m:oMath>
      <w:r w:rsidR="00C70497" w:rsidRPr="00CA1A43">
        <w:rPr>
          <w:rFonts w:eastAsia="標楷體" w:cstheme="minorHAnsi"/>
        </w:rPr>
        <w:t>所對應的選擇權剩餘</w:t>
      </w:r>
      <w:proofErr w:type="gramStart"/>
      <w:r w:rsidR="00C70497" w:rsidRPr="00CA1A43">
        <w:rPr>
          <w:rFonts w:eastAsia="標楷體" w:cstheme="minorHAnsi"/>
        </w:rPr>
        <w:t>期間，</w:t>
      </w:r>
      <w:proofErr w:type="gramEnd"/>
      <w:r w:rsidR="00C70497" w:rsidRPr="00CA1A43">
        <w:rPr>
          <w:rFonts w:eastAsia="標楷體" w:cstheme="minorHAnsi"/>
        </w:rPr>
        <w:t>以年化表示；</w:t>
      </w:r>
    </w:p>
    <w:p w14:paraId="61C41584" w14:textId="77777777" w:rsidR="00C70497" w:rsidRPr="00CA1A43" w:rsidRDefault="00AA1117" w:rsidP="00C642E4">
      <w:pPr>
        <w:pStyle w:val="a7"/>
        <w:numPr>
          <w:ilvl w:val="0"/>
          <w:numId w:val="138"/>
        </w:numPr>
        <w:spacing w:beforeLines="50" w:before="180"/>
        <w:ind w:leftChars="0" w:left="1446" w:hanging="482"/>
        <w:jc w:val="both"/>
        <w:rPr>
          <w:rFonts w:eastAsia="標楷體" w:cstheme="minorHAnsi"/>
        </w:rPr>
      </w:pP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w:rPr>
                <w:rFonts w:ascii="Cambria Math" w:eastAsia="標楷體" w:hAnsi="Cambria Math" w:cstheme="minorHAnsi"/>
              </w:rPr>
              <m:t>(underlying maturity)</m:t>
            </m:r>
          </m:sup>
        </m:sSubSup>
        <m:r>
          <w:rPr>
            <w:rFonts w:ascii="Cambria Math" w:eastAsia="標楷體" w:hAnsi="Cambria Math" w:cstheme="minorHAnsi"/>
          </w:rPr>
          <m:t>=</m:t>
        </m:r>
        <m:sSup>
          <m:sSupPr>
            <m:ctrlPr>
              <w:rPr>
                <w:rFonts w:ascii="Cambria Math" w:eastAsia="標楷體" w:hAnsi="Cambria Math" w:cstheme="minorHAnsi"/>
                <w:i/>
              </w:rPr>
            </m:ctrlPr>
          </m:sSupPr>
          <m:e>
            <m:r>
              <w:rPr>
                <w:rFonts w:ascii="Cambria Math" w:eastAsia="標楷體" w:hAnsi="Cambria Math" w:cstheme="minorHAnsi"/>
              </w:rPr>
              <m:t>e</m:t>
            </m:r>
          </m:e>
          <m:sup>
            <m:r>
              <w:rPr>
                <w:rFonts w:ascii="Cambria Math" w:eastAsia="標楷體" w:hAnsi="Cambria Math" w:cstheme="minorHAnsi"/>
              </w:rPr>
              <m:t>-α</m:t>
            </m:r>
            <m:f>
              <m:fPr>
                <m:ctrlPr>
                  <w:rPr>
                    <w:rFonts w:ascii="Cambria Math" w:eastAsia="標楷體" w:hAnsi="Cambria Math" w:cstheme="minorHAnsi"/>
                    <w:i/>
                  </w:rPr>
                </m:ctrlPr>
              </m:fPr>
              <m:num>
                <m:d>
                  <m:dPr>
                    <m:begChr m:val="|"/>
                    <m:endChr m:val="|"/>
                    <m:ctrlPr>
                      <w:rPr>
                        <w:rFonts w:ascii="Cambria Math" w:eastAsia="標楷體" w:hAnsi="Cambria Math" w:cstheme="minorHAnsi"/>
                        <w:i/>
                      </w:rPr>
                    </m:ctrlPr>
                  </m:dPr>
                  <m:e>
                    <m:sSubSup>
                      <m:sSubSupPr>
                        <m:ctrlPr>
                          <w:rPr>
                            <w:rFonts w:ascii="Cambria Math" w:eastAsia="標楷體" w:hAnsi="Cambria Math" w:cstheme="minorHAnsi"/>
                            <w:i/>
                          </w:rPr>
                        </m:ctrlPr>
                      </m:sSubSupPr>
                      <m:e>
                        <m:r>
                          <w:rPr>
                            <w:rFonts w:ascii="Cambria Math" w:eastAsia="標楷體" w:hAnsi="Cambria Math" w:cstheme="minorHAnsi"/>
                          </w:rPr>
                          <m:t>T</m:t>
                        </m:r>
                      </m:e>
                      <m:sub>
                        <m:r>
                          <w:rPr>
                            <w:rFonts w:ascii="Cambria Math" w:eastAsia="標楷體" w:hAnsi="Cambria Math" w:cstheme="minorHAnsi"/>
                          </w:rPr>
                          <m:t>k</m:t>
                        </m:r>
                      </m:sub>
                      <m:sup>
                        <m:r>
                          <w:rPr>
                            <w:rFonts w:ascii="Cambria Math" w:eastAsia="標楷體" w:hAnsi="Cambria Math" w:cstheme="minorHAnsi"/>
                          </w:rPr>
                          <m:t>U</m:t>
                        </m:r>
                      </m:sup>
                    </m:sSubSup>
                    <m:r>
                      <w:rPr>
                        <w:rFonts w:ascii="Cambria Math" w:eastAsia="標楷體" w:hAnsi="Cambria Math" w:cstheme="minorHAnsi"/>
                      </w:rPr>
                      <m:t>-</m:t>
                    </m:r>
                    <m:sSubSup>
                      <m:sSubSupPr>
                        <m:ctrlPr>
                          <w:rPr>
                            <w:rFonts w:ascii="Cambria Math" w:eastAsia="標楷體" w:hAnsi="Cambria Math" w:cstheme="minorHAnsi"/>
                            <w:i/>
                          </w:rPr>
                        </m:ctrlPr>
                      </m:sSubSupPr>
                      <m:e>
                        <m:r>
                          <w:rPr>
                            <w:rFonts w:ascii="Cambria Math" w:eastAsia="標楷體" w:hAnsi="Cambria Math" w:cstheme="minorHAnsi"/>
                          </w:rPr>
                          <m:t>T</m:t>
                        </m:r>
                      </m:e>
                      <m:sub>
                        <m:r>
                          <w:rPr>
                            <w:rFonts w:ascii="Cambria Math" w:eastAsia="標楷體" w:hAnsi="Cambria Math" w:cstheme="minorHAnsi"/>
                          </w:rPr>
                          <m:t>l</m:t>
                        </m:r>
                      </m:sub>
                      <m:sup>
                        <m:r>
                          <w:rPr>
                            <w:rFonts w:ascii="Cambria Math" w:eastAsia="標楷體" w:hAnsi="Cambria Math" w:cstheme="minorHAnsi"/>
                          </w:rPr>
                          <m:t>U</m:t>
                        </m:r>
                      </m:sup>
                    </m:sSubSup>
                  </m:e>
                </m:d>
              </m:num>
              <m:den>
                <m:r>
                  <w:rPr>
                    <w:rFonts w:ascii="Cambria Math" w:eastAsia="標楷體" w:hAnsi="Cambria Math" w:cstheme="minorHAnsi"/>
                  </w:rPr>
                  <m:t>min</m:t>
                </m:r>
                <m:d>
                  <m:dPr>
                    <m:begChr m:val="{"/>
                    <m:endChr m:val="}"/>
                    <m:ctrlPr>
                      <w:rPr>
                        <w:rFonts w:ascii="Cambria Math" w:eastAsia="標楷體" w:hAnsi="Cambria Math" w:cstheme="minorHAnsi"/>
                        <w:i/>
                      </w:rPr>
                    </m:ctrlPr>
                  </m:dPr>
                  <m:e>
                    <m:sSubSup>
                      <m:sSubSupPr>
                        <m:ctrlPr>
                          <w:rPr>
                            <w:rFonts w:ascii="Cambria Math" w:eastAsia="標楷體" w:hAnsi="Cambria Math" w:cstheme="minorHAnsi"/>
                            <w:i/>
                          </w:rPr>
                        </m:ctrlPr>
                      </m:sSubSupPr>
                      <m:e>
                        <m:r>
                          <w:rPr>
                            <w:rFonts w:ascii="Cambria Math" w:eastAsia="標楷體" w:hAnsi="Cambria Math" w:cstheme="minorHAnsi"/>
                          </w:rPr>
                          <m:t>T</m:t>
                        </m:r>
                      </m:e>
                      <m:sub>
                        <m:r>
                          <w:rPr>
                            <w:rFonts w:ascii="Cambria Math" w:eastAsia="標楷體" w:hAnsi="Cambria Math" w:cstheme="minorHAnsi"/>
                          </w:rPr>
                          <m:t>k</m:t>
                        </m:r>
                      </m:sub>
                      <m:sup>
                        <m:r>
                          <w:rPr>
                            <w:rFonts w:ascii="Cambria Math" w:eastAsia="標楷體" w:hAnsi="Cambria Math" w:cstheme="minorHAnsi"/>
                          </w:rPr>
                          <m:t>U</m:t>
                        </m:r>
                      </m:sup>
                    </m:sSubSup>
                    <m:r>
                      <w:rPr>
                        <w:rFonts w:ascii="Cambria Math" w:eastAsia="標楷體" w:hAnsi="Cambria Math" w:cstheme="minorHAnsi"/>
                      </w:rPr>
                      <m:t>;</m:t>
                    </m:r>
                    <m:sSubSup>
                      <m:sSubSupPr>
                        <m:ctrlPr>
                          <w:rPr>
                            <w:rFonts w:ascii="Cambria Math" w:eastAsia="標楷體" w:hAnsi="Cambria Math" w:cstheme="minorHAnsi"/>
                            <w:i/>
                          </w:rPr>
                        </m:ctrlPr>
                      </m:sSubSupPr>
                      <m:e>
                        <m:r>
                          <w:rPr>
                            <w:rFonts w:ascii="Cambria Math" w:eastAsia="標楷體" w:hAnsi="Cambria Math" w:cstheme="minorHAnsi"/>
                          </w:rPr>
                          <m:t>T</m:t>
                        </m:r>
                      </m:e>
                      <m:sub>
                        <m:r>
                          <w:rPr>
                            <w:rFonts w:ascii="Cambria Math" w:eastAsia="標楷體" w:hAnsi="Cambria Math" w:cstheme="minorHAnsi"/>
                          </w:rPr>
                          <m:t>l</m:t>
                        </m:r>
                      </m:sub>
                      <m:sup>
                        <m:r>
                          <w:rPr>
                            <w:rFonts w:ascii="Cambria Math" w:eastAsia="標楷體" w:hAnsi="Cambria Math" w:cstheme="minorHAnsi"/>
                          </w:rPr>
                          <m:t>U</m:t>
                        </m:r>
                      </m:sup>
                    </m:sSubSup>
                  </m:e>
                </m:d>
              </m:den>
            </m:f>
          </m:sup>
        </m:sSup>
      </m:oMath>
      <w:r w:rsidR="00C70497" w:rsidRPr="00CA1A43">
        <w:rPr>
          <w:rFonts w:eastAsia="標楷體" w:cstheme="minorHAnsi"/>
        </w:rPr>
        <w:t>，其中：</w:t>
      </w:r>
    </w:p>
    <w:p w14:paraId="3A7A4797" w14:textId="77777777" w:rsidR="00C70497" w:rsidRPr="00CA1A43" w:rsidRDefault="00C70497" w:rsidP="00C642E4">
      <w:pPr>
        <w:pStyle w:val="a7"/>
        <w:numPr>
          <w:ilvl w:val="0"/>
          <w:numId w:val="139"/>
        </w:numPr>
        <w:spacing w:beforeLines="50" w:before="180"/>
        <w:ind w:leftChars="0"/>
        <w:jc w:val="both"/>
        <w:rPr>
          <w:rFonts w:eastAsia="標楷體" w:cstheme="minorHAnsi"/>
        </w:rPr>
      </w:pPr>
      <w:r w:rsidRPr="00CA1A43">
        <w:rPr>
          <w:rFonts w:ascii="Cambria Math" w:eastAsia="標楷體" w:hAnsi="Cambria Math" w:cs="Cambria Math"/>
        </w:rPr>
        <w:t>𝛼</w:t>
      </w:r>
      <w:r w:rsidRPr="00CA1A43">
        <w:rPr>
          <w:rFonts w:eastAsia="標楷體" w:cstheme="minorHAnsi"/>
        </w:rPr>
        <w:t xml:space="preserve"> =1%</w:t>
      </w:r>
      <w:r w:rsidRPr="00CA1A43">
        <w:rPr>
          <w:rFonts w:eastAsia="標楷體" w:cstheme="minorHAnsi"/>
        </w:rPr>
        <w:t>；且</w:t>
      </w:r>
    </w:p>
    <w:p w14:paraId="00192F25" w14:textId="77777777" w:rsidR="0079372D" w:rsidRPr="00CA1A43" w:rsidRDefault="00AA1117" w:rsidP="00C642E4">
      <w:pPr>
        <w:pStyle w:val="a7"/>
        <w:numPr>
          <w:ilvl w:val="0"/>
          <w:numId w:val="139"/>
        </w:numPr>
        <w:spacing w:beforeLines="50" w:before="180"/>
        <w:ind w:leftChars="0"/>
        <w:jc w:val="both"/>
        <w:rPr>
          <w:rFonts w:eastAsia="標楷體" w:cstheme="minorHAnsi"/>
        </w:rPr>
      </w:pPr>
      <m:oMath>
        <m:sSubSup>
          <m:sSubSupPr>
            <m:ctrlPr>
              <w:rPr>
                <w:rFonts w:ascii="Cambria Math" w:eastAsia="標楷體" w:hAnsi="Cambria Math" w:cstheme="minorHAnsi"/>
              </w:rPr>
            </m:ctrlPr>
          </m:sSubSupPr>
          <m:e>
            <m:r>
              <w:rPr>
                <w:rFonts w:ascii="Cambria Math" w:eastAsia="標楷體" w:hAnsi="Cambria Math" w:cstheme="minorHAnsi"/>
              </w:rPr>
              <m:t>T</m:t>
            </m:r>
          </m:e>
          <m:sub>
            <m:r>
              <w:rPr>
                <w:rFonts w:ascii="Cambria Math" w:eastAsia="標楷體" w:hAnsi="Cambria Math" w:cstheme="minorHAnsi"/>
              </w:rPr>
              <m:t>k</m:t>
            </m:r>
          </m:sub>
          <m:sup>
            <m:r>
              <w:rPr>
                <w:rFonts w:ascii="Cambria Math" w:eastAsia="標楷體" w:hAnsi="Cambria Math" w:cstheme="minorHAnsi"/>
              </w:rPr>
              <m:t>U</m:t>
            </m:r>
          </m:sup>
        </m:sSubSup>
      </m:oMath>
      <w:r w:rsidR="00C70497" w:rsidRPr="00CA1A43">
        <w:rPr>
          <w:rFonts w:eastAsia="標楷體" w:cstheme="minorHAnsi"/>
        </w:rPr>
        <w:t>及</w:t>
      </w:r>
      <m:oMath>
        <m:sSubSup>
          <m:sSubSupPr>
            <m:ctrlPr>
              <w:rPr>
                <w:rFonts w:ascii="Cambria Math" w:eastAsia="標楷體" w:hAnsi="Cambria Math" w:cstheme="minorHAnsi"/>
              </w:rPr>
            </m:ctrlPr>
          </m:sSubSupPr>
          <m:e>
            <m:r>
              <w:rPr>
                <w:rFonts w:ascii="Cambria Math" w:eastAsia="標楷體" w:hAnsi="Cambria Math" w:cstheme="minorHAnsi"/>
              </w:rPr>
              <m:t>T</m:t>
            </m:r>
          </m:e>
          <m:sub>
            <m:r>
              <w:rPr>
                <w:rFonts w:ascii="Cambria Math" w:eastAsia="標楷體" w:hAnsi="Cambria Math" w:cstheme="minorHAnsi"/>
              </w:rPr>
              <m:t>l</m:t>
            </m:r>
          </m:sub>
          <m:sup>
            <m:r>
              <w:rPr>
                <w:rFonts w:ascii="Cambria Math" w:eastAsia="標楷體" w:hAnsi="Cambria Math" w:cstheme="minorHAnsi"/>
              </w:rPr>
              <m:t>U</m:t>
            </m:r>
          </m:sup>
        </m:sSubSup>
      </m:oMath>
      <w:r w:rsidR="00C70497" w:rsidRPr="00CA1A43">
        <w:rPr>
          <w:rFonts w:eastAsia="標楷體" w:cstheme="minorHAnsi"/>
        </w:rPr>
        <w:t>分別為</w:t>
      </w:r>
      <w:proofErr w:type="spellStart"/>
      <w:r w:rsidR="00C70497" w:rsidRPr="00CA1A43">
        <w:rPr>
          <w:rFonts w:eastAsia="標楷體" w:cstheme="minorHAnsi"/>
        </w:rPr>
        <w:t>vega</w:t>
      </w:r>
      <w:proofErr w:type="spellEnd"/>
      <w:r w:rsidR="00C70497" w:rsidRPr="00CA1A43">
        <w:rPr>
          <w:rFonts w:eastAsia="標楷體" w:cstheme="minorHAnsi"/>
        </w:rPr>
        <w:t>敏感性部位</w:t>
      </w:r>
      <m:oMath>
        <m:sSub>
          <m:sSubPr>
            <m:ctrlPr>
              <w:rPr>
                <w:rFonts w:ascii="Cambria Math" w:eastAsia="標楷體" w:hAnsi="Cambria Math" w:cstheme="minorHAnsi"/>
              </w:rPr>
            </m:ctrlPr>
          </m:sSubPr>
          <m:e>
            <m:r>
              <m:rPr>
                <m:sty m:val="p"/>
              </m:rPr>
              <w:rPr>
                <w:rFonts w:ascii="Cambria Math" w:eastAsia="標楷體" w:hAnsi="Cambria Math" w:cstheme="minorHAnsi"/>
              </w:rPr>
              <m:t>VR</m:t>
            </m:r>
          </m:e>
          <m:sub>
            <m:r>
              <m:rPr>
                <m:sty m:val="p"/>
              </m:rPr>
              <w:rPr>
                <w:rFonts w:ascii="Cambria Math" w:eastAsia="標楷體" w:hAnsi="Cambria Math" w:cstheme="minorHAnsi"/>
              </w:rPr>
              <m:t>k</m:t>
            </m:r>
          </m:sub>
        </m:sSub>
      </m:oMath>
      <w:r w:rsidR="00C70497" w:rsidRPr="00CA1A43">
        <w:rPr>
          <w:rFonts w:eastAsia="標楷體" w:cstheme="minorHAnsi"/>
        </w:rPr>
        <w:t>及</w:t>
      </w:r>
      <m:oMath>
        <m:sSub>
          <m:sSubPr>
            <m:ctrlPr>
              <w:rPr>
                <w:rFonts w:ascii="Cambria Math" w:eastAsia="標楷體" w:hAnsi="Cambria Math" w:cstheme="minorHAnsi"/>
              </w:rPr>
            </m:ctrlPr>
          </m:sSubPr>
          <m:e>
            <m:r>
              <m:rPr>
                <m:sty m:val="p"/>
              </m:rPr>
              <w:rPr>
                <w:rFonts w:ascii="Cambria Math" w:eastAsia="標楷體" w:hAnsi="Cambria Math" w:cstheme="minorHAnsi"/>
              </w:rPr>
              <m:t>VR</m:t>
            </m:r>
          </m:e>
          <m:sub>
            <m:r>
              <m:rPr>
                <m:sty m:val="p"/>
              </m:rPr>
              <w:rPr>
                <w:rFonts w:ascii="Cambria Math" w:eastAsia="標楷體" w:hAnsi="Cambria Math" w:cstheme="minorHAnsi"/>
              </w:rPr>
              <m:t>l</m:t>
            </m:r>
          </m:sub>
        </m:sSub>
      </m:oMath>
      <w:r w:rsidR="00C70497" w:rsidRPr="00CA1A43">
        <w:rPr>
          <w:rFonts w:eastAsia="標楷體" w:cstheme="minorHAnsi"/>
        </w:rPr>
        <w:t>所對應的選擇權標的資產剩餘</w:t>
      </w:r>
      <w:proofErr w:type="gramStart"/>
      <w:r w:rsidR="00C70497" w:rsidRPr="00CA1A43">
        <w:rPr>
          <w:rFonts w:eastAsia="標楷體" w:cstheme="minorHAnsi"/>
        </w:rPr>
        <w:t>期間，</w:t>
      </w:r>
      <w:proofErr w:type="gramEnd"/>
      <w:r w:rsidR="00C70497" w:rsidRPr="00CA1A43">
        <w:rPr>
          <w:rFonts w:eastAsia="標楷體" w:cstheme="minorHAnsi"/>
        </w:rPr>
        <w:t>自選擇權到期日後起算，以年化表示。</w:t>
      </w:r>
    </w:p>
    <w:p w14:paraId="61325643" w14:textId="77777777" w:rsidR="003F598D" w:rsidRPr="00CA1A43" w:rsidRDefault="003F598D" w:rsidP="00605B1D">
      <w:pPr>
        <w:pStyle w:val="a7"/>
        <w:numPr>
          <w:ilvl w:val="0"/>
          <w:numId w:val="134"/>
        </w:numPr>
        <w:spacing w:beforeLines="50" w:before="180"/>
        <w:ind w:leftChars="0" w:left="964" w:hanging="482"/>
        <w:jc w:val="both"/>
        <w:rPr>
          <w:rFonts w:eastAsia="標楷體" w:cstheme="minorHAnsi"/>
        </w:rPr>
      </w:pPr>
      <w:r w:rsidRPr="00CA1A43">
        <w:rPr>
          <w:rFonts w:eastAsia="標楷體" w:cstheme="minorHAnsi"/>
        </w:rPr>
        <w:t>其他風險類別</w:t>
      </w:r>
      <w:proofErr w:type="spellStart"/>
      <w:r w:rsidRPr="00CA1A43">
        <w:rPr>
          <w:rFonts w:eastAsia="標楷體" w:cstheme="minorHAnsi"/>
        </w:rPr>
        <w:t>vega</w:t>
      </w:r>
      <w:proofErr w:type="spellEnd"/>
      <w:r w:rsidRPr="00CA1A43">
        <w:rPr>
          <w:rFonts w:eastAsia="標楷體" w:cstheme="minorHAnsi"/>
        </w:rPr>
        <w:t>風險</w:t>
      </w:r>
    </w:p>
    <w:p w14:paraId="63242E8B" w14:textId="77777777" w:rsidR="003F598D" w:rsidRPr="00CA1A43" w:rsidRDefault="003F598D" w:rsidP="003F598D">
      <w:pPr>
        <w:ind w:left="964"/>
        <w:jc w:val="both"/>
        <w:rPr>
          <w:rFonts w:eastAsia="標楷體" w:cstheme="minorHAnsi"/>
        </w:rPr>
      </w:pPr>
      <w:r w:rsidRPr="00CA1A43">
        <w:rPr>
          <w:rFonts w:eastAsia="標楷體" w:cstheme="minorHAnsi"/>
        </w:rPr>
        <w:t>在</w:t>
      </w:r>
      <w:proofErr w:type="gramStart"/>
      <w:r w:rsidRPr="00CA1A43">
        <w:rPr>
          <w:rFonts w:eastAsia="標楷體" w:cstheme="minorHAnsi"/>
        </w:rPr>
        <w:t>一</w:t>
      </w:r>
      <w:proofErr w:type="gramEnd"/>
      <w:r w:rsidRPr="00CA1A43">
        <w:rPr>
          <w:rFonts w:eastAsia="標楷體" w:cstheme="minorHAnsi"/>
        </w:rPr>
        <w:t>其他風險類別的</w:t>
      </w:r>
      <w:proofErr w:type="gramStart"/>
      <w:r w:rsidRPr="00CA1A43">
        <w:rPr>
          <w:rFonts w:eastAsia="標楷體" w:cstheme="minorHAnsi"/>
        </w:rPr>
        <w:t>組別內加</w:t>
      </w:r>
      <w:proofErr w:type="gramEnd"/>
      <w:r w:rsidRPr="00CA1A43">
        <w:rPr>
          <w:rFonts w:eastAsia="標楷體" w:cstheme="minorHAnsi"/>
        </w:rPr>
        <w:t>總</w:t>
      </w:r>
      <w:proofErr w:type="spellStart"/>
      <w:r w:rsidRPr="00CA1A43">
        <w:rPr>
          <w:rFonts w:eastAsia="標楷體" w:cstheme="minorHAnsi"/>
        </w:rPr>
        <w:t>vega</w:t>
      </w:r>
      <w:proofErr w:type="spellEnd"/>
      <w:r w:rsidRPr="00CA1A43">
        <w:rPr>
          <w:rFonts w:eastAsia="標楷體" w:cstheme="minorHAnsi"/>
        </w:rPr>
        <w:t>風險部位，相關係數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ρ</m:t>
            </m:r>
          </m:e>
          <m:sub>
            <m:r>
              <m:rPr>
                <m:sty m:val="p"/>
              </m:rPr>
              <w:rPr>
                <w:rFonts w:ascii="Cambria Math" w:eastAsia="標楷體" w:hAnsi="Cambria Math" w:cstheme="minorHAnsi"/>
              </w:rPr>
              <m:t>kl</m:t>
            </m:r>
          </m:sub>
        </m:sSub>
      </m:oMath>
      <w:r w:rsidRPr="00CA1A43">
        <w:rPr>
          <w:rFonts w:eastAsia="標楷體" w:cstheme="minorHAnsi"/>
        </w:rPr>
        <w:t>公式如下：</w:t>
      </w:r>
    </w:p>
    <w:p w14:paraId="7E1A68AD" w14:textId="77777777" w:rsidR="003F598D" w:rsidRPr="00CA1A43" w:rsidRDefault="00AA1117" w:rsidP="003F598D">
      <w:pPr>
        <w:ind w:left="964"/>
        <w:jc w:val="both"/>
        <w:rPr>
          <w:rFonts w:eastAsia="標楷體" w:cstheme="minorHAnsi"/>
        </w:rPr>
      </w:pPr>
      <m:oMathPara>
        <m:oMath>
          <m:sSub>
            <m:sSubPr>
              <m:ctrlPr>
                <w:rPr>
                  <w:rFonts w:ascii="Cambria Math" w:eastAsia="標楷體" w:hAnsi="Cambria Math" w:cstheme="minorHAnsi"/>
                  <w:szCs w:val="24"/>
                </w:rPr>
              </m:ctrlPr>
            </m:sSubPr>
            <m:e>
              <m:r>
                <w:rPr>
                  <w:rFonts w:ascii="Cambria Math" w:eastAsia="標楷體" w:hAnsi="Cambria Math" w:cstheme="minorHAnsi"/>
                  <w:szCs w:val="24"/>
                </w:rPr>
                <m:t>ρ</m:t>
              </m:r>
            </m:e>
            <m:sub>
              <m:r>
                <w:rPr>
                  <w:rFonts w:ascii="Cambria Math" w:eastAsia="標楷體" w:hAnsi="Cambria Math" w:cstheme="minorHAnsi"/>
                  <w:szCs w:val="24"/>
                </w:rPr>
                <m:t>kl</m:t>
              </m:r>
            </m:sub>
          </m:sSub>
          <m:r>
            <w:rPr>
              <w:rFonts w:ascii="Cambria Math" w:eastAsia="標楷體" w:hAnsi="Cambria Math" w:cstheme="minorHAnsi"/>
              <w:szCs w:val="24"/>
            </w:rPr>
            <m:t>=min</m:t>
          </m:r>
          <m:d>
            <m:dPr>
              <m:begChr m:val="["/>
              <m:endChr m:val="]"/>
              <m:ctrlPr>
                <w:rPr>
                  <w:rFonts w:ascii="Cambria Math" w:eastAsia="標楷體" w:hAnsi="Cambria Math" w:cstheme="minorHAnsi"/>
                  <w:i/>
                  <w:szCs w:val="24"/>
                </w:rPr>
              </m:ctrlPr>
            </m:dPr>
            <m:e>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r>
                    <w:rPr>
                      <w:rFonts w:ascii="Cambria Math" w:eastAsia="標楷體" w:hAnsi="Cambria Math" w:cstheme="minorHAnsi"/>
                      <w:szCs w:val="24"/>
                    </w:rPr>
                    <m:t>(DELTA)</m:t>
                  </m:r>
                </m:sup>
              </m:sSubSup>
              <m:r>
                <w:rPr>
                  <w:rFonts w:ascii="Cambria Math" w:eastAsia="標楷體" w:hAnsi="Cambria Math" w:cstheme="minorHAnsi"/>
                  <w:szCs w:val="24"/>
                </w:rPr>
                <m:t>∙</m:t>
              </m:r>
              <m:sSubSup>
                <m:sSubSupPr>
                  <m:ctrlPr>
                    <w:rPr>
                      <w:rFonts w:ascii="Cambria Math" w:eastAsia="標楷體" w:hAnsi="Cambria Math" w:cstheme="minorHAnsi"/>
                      <w:i/>
                      <w:szCs w:val="24"/>
                    </w:rPr>
                  </m:ctrlPr>
                </m:sSubSupPr>
                <m:e>
                  <m:r>
                    <w:rPr>
                      <w:rFonts w:ascii="Cambria Math" w:eastAsia="標楷體" w:hAnsi="Cambria Math" w:cstheme="minorHAnsi"/>
                      <w:szCs w:val="24"/>
                    </w:rPr>
                    <m:t>ρ</m:t>
                  </m:r>
                </m:e>
                <m:sub>
                  <m:r>
                    <w:rPr>
                      <w:rFonts w:ascii="Cambria Math" w:eastAsia="標楷體" w:hAnsi="Cambria Math" w:cstheme="minorHAnsi"/>
                      <w:szCs w:val="24"/>
                    </w:rPr>
                    <m:t>kl</m:t>
                  </m:r>
                </m:sub>
                <m:sup>
                  <m:d>
                    <m:dPr>
                      <m:ctrlPr>
                        <w:rPr>
                          <w:rFonts w:ascii="Cambria Math" w:eastAsia="標楷體" w:hAnsi="Cambria Math" w:cstheme="minorHAnsi"/>
                          <w:i/>
                          <w:szCs w:val="24"/>
                        </w:rPr>
                      </m:ctrlPr>
                    </m:dPr>
                    <m:e>
                      <m:r>
                        <w:rPr>
                          <w:rFonts w:ascii="Cambria Math" w:eastAsia="標楷體" w:hAnsi="Cambria Math" w:cstheme="minorHAnsi"/>
                          <w:szCs w:val="24"/>
                        </w:rPr>
                        <m:t>option maturity</m:t>
                      </m:r>
                    </m:e>
                  </m:d>
                </m:sup>
              </m:sSubSup>
              <m:r>
                <w:rPr>
                  <w:rFonts w:ascii="Cambria Math" w:eastAsia="標楷體" w:hAnsi="Cambria Math" w:cstheme="minorHAnsi"/>
                  <w:szCs w:val="24"/>
                </w:rPr>
                <m:t>;1</m:t>
              </m:r>
            </m:e>
          </m:d>
        </m:oMath>
      </m:oMathPara>
    </w:p>
    <w:p w14:paraId="562EC169" w14:textId="77777777" w:rsidR="003F598D" w:rsidRPr="00CA1A43" w:rsidRDefault="003F598D" w:rsidP="003F598D">
      <w:pPr>
        <w:ind w:left="964"/>
        <w:jc w:val="both"/>
        <w:rPr>
          <w:rFonts w:eastAsia="標楷體" w:cstheme="minorHAnsi"/>
        </w:rPr>
      </w:pPr>
      <w:r w:rsidRPr="00CA1A43">
        <w:rPr>
          <w:rFonts w:eastAsia="標楷體" w:cstheme="minorHAnsi"/>
        </w:rPr>
        <w:t>其中：</w:t>
      </w:r>
    </w:p>
    <w:p w14:paraId="5ABED00E" w14:textId="77777777" w:rsidR="003F598D" w:rsidRPr="00CA1A43" w:rsidRDefault="00AA1117" w:rsidP="00C642E4">
      <w:pPr>
        <w:pStyle w:val="a7"/>
        <w:numPr>
          <w:ilvl w:val="0"/>
          <w:numId w:val="140"/>
        </w:numPr>
        <w:spacing w:beforeLines="50" w:before="180"/>
        <w:ind w:leftChars="0" w:left="1446" w:hanging="482"/>
        <w:jc w:val="both"/>
        <w:rPr>
          <w:rFonts w:eastAsia="標楷體" w:cstheme="minorHAnsi"/>
        </w:rPr>
      </w:pP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m:rPr>
                <m:sty m:val="p"/>
              </m:rPr>
              <w:rPr>
                <w:rFonts w:ascii="Cambria Math" w:eastAsia="標楷體" w:hAnsi="Cambria Math" w:cstheme="minorHAnsi"/>
              </w:rPr>
              <m:t>(</m:t>
            </m:r>
            <m:r>
              <w:rPr>
                <w:rFonts w:ascii="Cambria Math" w:eastAsia="標楷體" w:hAnsi="Cambria Math" w:cstheme="minorHAnsi"/>
              </w:rPr>
              <m:t>DELTA</m:t>
            </m:r>
            <m:r>
              <m:rPr>
                <m:sty m:val="p"/>
              </m:rPr>
              <w:rPr>
                <w:rFonts w:ascii="Cambria Math" w:eastAsia="標楷體" w:hAnsi="Cambria Math" w:cstheme="minorHAnsi"/>
              </w:rPr>
              <m:t>)</m:t>
            </m:r>
          </m:sup>
        </m:sSubSup>
      </m:oMath>
      <w:r w:rsidR="003F598D" w:rsidRPr="00CA1A43">
        <w:rPr>
          <w:rFonts w:eastAsia="標楷體" w:cstheme="minorHAnsi"/>
        </w:rPr>
        <w:t>係指對應於</w:t>
      </w:r>
      <w:proofErr w:type="spellStart"/>
      <w:r w:rsidR="003F598D" w:rsidRPr="00CA1A43">
        <w:rPr>
          <w:rFonts w:eastAsia="標楷體" w:cstheme="minorHAnsi"/>
        </w:rPr>
        <w:t>vega</w:t>
      </w:r>
      <w:proofErr w:type="spellEnd"/>
      <w:r w:rsidR="003F598D" w:rsidRPr="00CA1A43">
        <w:rPr>
          <w:rFonts w:eastAsia="標楷體" w:cstheme="minorHAnsi"/>
        </w:rPr>
        <w:t>風險因子</w:t>
      </w:r>
      <w:r w:rsidR="003F598D" w:rsidRPr="00CA1A43">
        <w:rPr>
          <w:rFonts w:eastAsia="標楷體" w:cstheme="minorHAnsi"/>
        </w:rPr>
        <w:t>(k</w:t>
      </w:r>
      <w:r w:rsidR="003F598D" w:rsidRPr="00CA1A43">
        <w:rPr>
          <w:rFonts w:eastAsia="標楷體" w:cstheme="minorHAnsi"/>
        </w:rPr>
        <w:t>及</w:t>
      </w:r>
      <w:r w:rsidR="003F598D" w:rsidRPr="00CA1A43">
        <w:rPr>
          <w:rFonts w:eastAsia="標楷體" w:cstheme="minorHAnsi"/>
        </w:rPr>
        <w:t>l)</w:t>
      </w:r>
      <w:r w:rsidR="003F598D" w:rsidRPr="00CA1A43">
        <w:rPr>
          <w:rFonts w:eastAsia="標楷體" w:cstheme="minorHAnsi"/>
        </w:rPr>
        <w:t>間之</w:t>
      </w:r>
      <w:r w:rsidR="003F598D" w:rsidRPr="00CA1A43">
        <w:rPr>
          <w:rFonts w:eastAsia="標楷體" w:cstheme="minorHAnsi"/>
        </w:rPr>
        <w:t>delta</w:t>
      </w:r>
      <w:r w:rsidR="003F598D" w:rsidRPr="00CA1A43">
        <w:rPr>
          <w:rFonts w:eastAsia="標楷體" w:cstheme="minorHAnsi"/>
        </w:rPr>
        <w:t>風險相關係數。</w:t>
      </w:r>
      <w:r w:rsidR="003F598D" w:rsidRPr="00CA1A43">
        <w:rPr>
          <w:rStyle w:val="a5"/>
          <w:rFonts w:eastAsia="標楷體" w:cstheme="minorHAnsi"/>
        </w:rPr>
        <w:footnoteReference w:id="39"/>
      </w:r>
    </w:p>
    <w:p w14:paraId="65408D0A" w14:textId="77777777" w:rsidR="0047474C" w:rsidRPr="00CA1A43" w:rsidRDefault="00AA1117" w:rsidP="00C642E4">
      <w:pPr>
        <w:pStyle w:val="a7"/>
        <w:numPr>
          <w:ilvl w:val="0"/>
          <w:numId w:val="140"/>
        </w:numPr>
        <w:spacing w:beforeLines="50" w:before="180"/>
        <w:ind w:leftChars="0" w:left="1446" w:hanging="482"/>
        <w:jc w:val="both"/>
        <w:rPr>
          <w:rFonts w:eastAsia="標楷體" w:cstheme="minorHAnsi"/>
        </w:rPr>
      </w:pP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w:rPr>
                <w:rFonts w:ascii="Cambria Math" w:eastAsia="標楷體" w:hAnsi="Cambria Math" w:cstheme="minorHAnsi"/>
              </w:rPr>
              <m:t>(option maturity)</m:t>
            </m:r>
          </m:sup>
        </m:sSubSup>
      </m:oMath>
      <w:r w:rsidR="003F598D" w:rsidRPr="00CA1A43">
        <w:rPr>
          <w:rFonts w:eastAsia="標楷體" w:cstheme="minorHAnsi"/>
        </w:rPr>
        <w:t>定義同</w:t>
      </w:r>
      <w:proofErr w:type="gramStart"/>
      <w:r w:rsidR="003F598D" w:rsidRPr="00CA1A43">
        <w:rPr>
          <w:rFonts w:eastAsia="標楷體" w:cstheme="minorHAnsi"/>
        </w:rPr>
        <w:t>第二大點第</w:t>
      </w:r>
      <w:proofErr w:type="gramEnd"/>
      <w:r w:rsidR="003F598D" w:rsidRPr="00CA1A43">
        <w:rPr>
          <w:rFonts w:eastAsia="標楷體" w:cstheme="minorHAnsi"/>
        </w:rPr>
        <w:t>(</w:t>
      </w:r>
      <w:r w:rsidR="003F598D" w:rsidRPr="00CA1A43">
        <w:rPr>
          <w:rFonts w:eastAsia="標楷體" w:cstheme="minorHAnsi"/>
        </w:rPr>
        <w:t>十二</w:t>
      </w:r>
      <w:r w:rsidR="003F598D" w:rsidRPr="00CA1A43">
        <w:rPr>
          <w:rFonts w:eastAsia="標楷體" w:cstheme="minorHAnsi"/>
        </w:rPr>
        <w:t>)</w:t>
      </w:r>
      <w:r w:rsidR="003F598D" w:rsidRPr="00CA1A43">
        <w:rPr>
          <w:rFonts w:eastAsia="標楷體" w:cstheme="minorHAnsi"/>
        </w:rPr>
        <w:t>點第</w:t>
      </w:r>
      <w:r w:rsidR="003F598D" w:rsidRPr="00CA1A43">
        <w:rPr>
          <w:rFonts w:eastAsia="標楷體" w:cstheme="minorHAnsi"/>
        </w:rPr>
        <w:t>3</w:t>
      </w:r>
      <w:r w:rsidR="003F598D" w:rsidRPr="00CA1A43">
        <w:rPr>
          <w:rFonts w:eastAsia="標楷體" w:cstheme="minorHAnsi"/>
        </w:rPr>
        <w:t>項。</w:t>
      </w:r>
    </w:p>
    <w:p w14:paraId="786F9E4F" w14:textId="77777777" w:rsidR="00517DDC" w:rsidRPr="00CA1A43" w:rsidRDefault="00517DDC" w:rsidP="00605B1D">
      <w:pPr>
        <w:pStyle w:val="a7"/>
        <w:numPr>
          <w:ilvl w:val="0"/>
          <w:numId w:val="134"/>
        </w:numPr>
        <w:spacing w:beforeLines="50" w:before="180"/>
        <w:ind w:leftChars="0" w:left="964" w:hanging="482"/>
        <w:jc w:val="both"/>
        <w:rPr>
          <w:rFonts w:eastAsia="標楷體" w:cstheme="minorHAnsi"/>
        </w:rPr>
      </w:pPr>
      <w:r w:rsidRPr="00CA1A43">
        <w:rPr>
          <w:rFonts w:eastAsia="標楷體" w:cstheme="minorHAnsi"/>
        </w:rPr>
        <w:lastRenderedPageBreak/>
        <w:t>各風險類別</w:t>
      </w:r>
      <w:proofErr w:type="spellStart"/>
      <w:r w:rsidRPr="00CA1A43">
        <w:rPr>
          <w:rFonts w:eastAsia="標楷體" w:cstheme="minorHAnsi"/>
        </w:rPr>
        <w:t>vega</w:t>
      </w:r>
      <w:proofErr w:type="spellEnd"/>
      <w:r w:rsidRPr="00CA1A43">
        <w:rPr>
          <w:rFonts w:eastAsia="標楷體" w:cstheme="minorHAnsi"/>
        </w:rPr>
        <w:t>風險跨</w:t>
      </w:r>
      <w:proofErr w:type="gramStart"/>
      <w:r w:rsidRPr="00CA1A43">
        <w:rPr>
          <w:rFonts w:eastAsia="標楷體" w:cstheme="minorHAnsi"/>
        </w:rPr>
        <w:t>組別加總</w:t>
      </w:r>
      <w:proofErr w:type="gramEnd"/>
    </w:p>
    <w:p w14:paraId="6D192931" w14:textId="77777777" w:rsidR="00517DDC" w:rsidRPr="00CA1A43" w:rsidRDefault="00517DDC" w:rsidP="00517DDC">
      <w:pPr>
        <w:ind w:left="964"/>
        <w:jc w:val="both"/>
        <w:rPr>
          <w:rFonts w:eastAsia="標楷體" w:cstheme="minorHAnsi"/>
        </w:rPr>
      </w:pPr>
      <w:r w:rsidRPr="00CA1A43">
        <w:rPr>
          <w:rFonts w:eastAsia="標楷體" w:cstheme="minorHAnsi"/>
        </w:rPr>
        <w:t>在</w:t>
      </w:r>
      <w:proofErr w:type="gramStart"/>
      <w:r w:rsidRPr="00CA1A43">
        <w:rPr>
          <w:rFonts w:eastAsia="標楷體" w:cstheme="minorHAnsi"/>
        </w:rPr>
        <w:t>一</w:t>
      </w:r>
      <w:proofErr w:type="gramEnd"/>
      <w:r w:rsidRPr="00CA1A43">
        <w:rPr>
          <w:rFonts w:eastAsia="標楷體" w:cstheme="minorHAnsi"/>
        </w:rPr>
        <w:t>風險類別</w:t>
      </w:r>
      <w:r w:rsidRPr="00CA1A43">
        <w:rPr>
          <w:rFonts w:eastAsia="標楷體" w:cstheme="minorHAnsi"/>
        </w:rPr>
        <w:t>(GIRR</w:t>
      </w:r>
      <w:r w:rsidRPr="00CA1A43">
        <w:rPr>
          <w:rFonts w:eastAsia="標楷體" w:cstheme="minorHAnsi"/>
        </w:rPr>
        <w:t>及非</w:t>
      </w:r>
      <w:r w:rsidRPr="00CA1A43">
        <w:rPr>
          <w:rFonts w:eastAsia="標楷體" w:cstheme="minorHAnsi"/>
        </w:rPr>
        <w:t>GIRR)</w:t>
      </w:r>
      <w:r w:rsidRPr="00CA1A43">
        <w:rPr>
          <w:rFonts w:eastAsia="標楷體" w:cstheme="minorHAnsi"/>
        </w:rPr>
        <w:t>下，</w:t>
      </w:r>
      <w:proofErr w:type="gramStart"/>
      <w:r w:rsidRPr="00CA1A43">
        <w:rPr>
          <w:rFonts w:eastAsia="標楷體" w:cstheme="minorHAnsi"/>
        </w:rPr>
        <w:t>加總跨組</w:t>
      </w:r>
      <w:proofErr w:type="gramEnd"/>
      <w:r w:rsidRPr="00CA1A43">
        <w:rPr>
          <w:rFonts w:eastAsia="標楷體" w:cstheme="minorHAnsi"/>
        </w:rPr>
        <w:t>別間</w:t>
      </w:r>
      <w:proofErr w:type="spellStart"/>
      <w:r w:rsidRPr="00CA1A43">
        <w:rPr>
          <w:rFonts w:eastAsia="標楷體" w:cstheme="minorHAnsi"/>
        </w:rPr>
        <w:t>vega</w:t>
      </w:r>
      <w:proofErr w:type="spellEnd"/>
      <w:r w:rsidRPr="00CA1A43">
        <w:rPr>
          <w:rFonts w:eastAsia="標楷體" w:cstheme="minorHAnsi"/>
        </w:rPr>
        <w:t>風險部位，其相關係數與</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十一</w:t>
      </w:r>
      <w:r w:rsidRPr="00CA1A43">
        <w:rPr>
          <w:rFonts w:eastAsia="標楷體" w:cstheme="minorHAnsi"/>
        </w:rPr>
        <w:t>)</w:t>
      </w:r>
      <w:r w:rsidRPr="00CA1A43">
        <w:rPr>
          <w:rFonts w:eastAsia="標楷體" w:cstheme="minorHAnsi"/>
        </w:rPr>
        <w:t>點中</w:t>
      </w:r>
      <w:proofErr w:type="gramStart"/>
      <w:r w:rsidRPr="00CA1A43">
        <w:rPr>
          <w:rFonts w:eastAsia="標楷體" w:cstheme="minorHAnsi"/>
        </w:rPr>
        <w:t>所述各風險</w:t>
      </w:r>
      <w:proofErr w:type="gramEnd"/>
      <w:r w:rsidRPr="00CA1A43">
        <w:rPr>
          <w:rFonts w:eastAsia="標楷體" w:cstheme="minorHAnsi"/>
        </w:rPr>
        <w:t>類別之</w:t>
      </w:r>
      <w:r w:rsidRPr="00CA1A43">
        <w:rPr>
          <w:rFonts w:eastAsia="標楷體" w:cstheme="minorHAnsi"/>
        </w:rPr>
        <w:t>delta</w:t>
      </w:r>
      <w:r w:rsidRPr="00CA1A43">
        <w:rPr>
          <w:rFonts w:eastAsia="標楷體" w:cstheme="minorHAnsi"/>
        </w:rPr>
        <w:t>相關係數</w:t>
      </w:r>
      <m:oMath>
        <m:sSub>
          <m:sSubPr>
            <m:ctrlPr>
              <w:rPr>
                <w:rFonts w:ascii="Cambria Math" w:eastAsia="標楷體" w:hAnsi="Cambria Math" w:cstheme="minorHAnsi"/>
              </w:rPr>
            </m:ctrlPr>
          </m:sSubPr>
          <m:e>
            <m:r>
              <m:rPr>
                <m:sty m:val="p"/>
              </m:rPr>
              <w:rPr>
                <w:rFonts w:ascii="Cambria Math" w:eastAsia="標楷體" w:hAnsi="Cambria Math" w:cstheme="minorHAnsi"/>
              </w:rPr>
              <m:t>γ</m:t>
            </m:r>
          </m:e>
          <m:sub>
            <m:r>
              <m:rPr>
                <m:sty m:val="p"/>
              </m:rPr>
              <w:rPr>
                <w:rFonts w:ascii="Cambria Math" w:eastAsia="標楷體" w:hAnsi="Cambria Math" w:cstheme="minorHAnsi"/>
              </w:rPr>
              <m:t>bc</m:t>
            </m:r>
          </m:sub>
        </m:sSub>
      </m:oMath>
      <w:r w:rsidRPr="00CA1A43">
        <w:rPr>
          <w:rFonts w:eastAsia="標楷體" w:cstheme="minorHAnsi"/>
        </w:rPr>
        <w:t>相同。</w:t>
      </w:r>
      <w:r w:rsidR="009B33E7" w:rsidRPr="00CA1A43">
        <w:rPr>
          <w:rStyle w:val="a5"/>
          <w:rFonts w:eastAsia="標楷體" w:cstheme="minorHAnsi"/>
        </w:rPr>
        <w:footnoteReference w:id="40"/>
      </w:r>
    </w:p>
    <w:p w14:paraId="794E3D99" w14:textId="77777777" w:rsidR="0047474C" w:rsidRPr="00CA1A43" w:rsidRDefault="009B33E7" w:rsidP="00605B1D">
      <w:pPr>
        <w:pStyle w:val="a7"/>
        <w:numPr>
          <w:ilvl w:val="0"/>
          <w:numId w:val="50"/>
        </w:numPr>
        <w:spacing w:beforeLines="50" w:before="180"/>
        <w:ind w:leftChars="0" w:left="737" w:hanging="737"/>
        <w:jc w:val="both"/>
        <w:rPr>
          <w:rFonts w:eastAsia="標楷體" w:cstheme="minorHAnsi"/>
        </w:rPr>
      </w:pPr>
      <w:r w:rsidRPr="00CA1A43">
        <w:rPr>
          <w:rFonts w:eastAsia="標楷體" w:cstheme="minorHAnsi"/>
        </w:rPr>
        <w:t>敏感性基礎法</w:t>
      </w:r>
      <w:r w:rsidRPr="00CA1A43">
        <w:rPr>
          <w:rFonts w:eastAsia="標楷體" w:cstheme="minorHAnsi"/>
        </w:rPr>
        <w:t>(SBM)</w:t>
      </w:r>
      <w:r w:rsidRPr="00CA1A43">
        <w:rPr>
          <w:rFonts w:eastAsia="標楷體" w:cstheme="minorHAnsi"/>
        </w:rPr>
        <w:t>：</w:t>
      </w:r>
      <w:r w:rsidRPr="00CA1A43">
        <w:rPr>
          <w:rFonts w:eastAsia="標楷體" w:cstheme="minorHAnsi"/>
        </w:rPr>
        <w:t>curvature</w:t>
      </w:r>
      <w:r w:rsidRPr="00CA1A43">
        <w:rPr>
          <w:rFonts w:eastAsia="標楷體" w:cstheme="minorHAnsi"/>
        </w:rPr>
        <w:t>風險組別定義、風險權數及相關係數之定義</w:t>
      </w:r>
    </w:p>
    <w:p w14:paraId="499E2013" w14:textId="77777777" w:rsidR="0047474C" w:rsidRPr="00CA1A43" w:rsidRDefault="00A9681C" w:rsidP="00C642E4">
      <w:pPr>
        <w:pStyle w:val="a7"/>
        <w:numPr>
          <w:ilvl w:val="0"/>
          <w:numId w:val="136"/>
        </w:numPr>
        <w:spacing w:beforeLines="50" w:before="180"/>
        <w:ind w:leftChars="0" w:left="964" w:hanging="482"/>
        <w:jc w:val="both"/>
        <w:rPr>
          <w:rFonts w:eastAsia="標楷體" w:cstheme="minorHAnsi"/>
        </w:rPr>
      </w:pPr>
      <w:r w:rsidRPr="00CA1A43">
        <w:rPr>
          <w:rFonts w:eastAsia="標楷體" w:cstheme="minorHAnsi"/>
        </w:rPr>
        <w:t>除本計算說明之市場風險標準法另有規定外，計算</w:t>
      </w:r>
      <w:r w:rsidRPr="00CA1A43">
        <w:rPr>
          <w:rFonts w:eastAsia="標楷體" w:cstheme="minorHAnsi"/>
        </w:rPr>
        <w:t>curvature</w:t>
      </w:r>
      <w:r w:rsidRPr="00CA1A43">
        <w:rPr>
          <w:rFonts w:eastAsia="標楷體" w:cstheme="minorHAnsi"/>
        </w:rPr>
        <w:t>風險資本要求適用</w:t>
      </w:r>
      <w:r w:rsidRPr="00CA1A43">
        <w:rPr>
          <w:rFonts w:eastAsia="標楷體" w:cstheme="minorHAnsi"/>
        </w:rPr>
        <w:t>delta</w:t>
      </w:r>
      <w:r w:rsidRPr="00CA1A43">
        <w:rPr>
          <w:rFonts w:eastAsia="標楷體" w:cstheme="minorHAnsi"/>
        </w:rPr>
        <w:t>風險組別</w:t>
      </w:r>
      <w:proofErr w:type="gramStart"/>
      <w:r w:rsidRPr="00CA1A43">
        <w:rPr>
          <w:rFonts w:eastAsia="標楷體" w:cstheme="minorHAnsi"/>
        </w:rPr>
        <w:t>之</w:t>
      </w:r>
      <w:proofErr w:type="gramEnd"/>
      <w:r w:rsidRPr="00CA1A43">
        <w:rPr>
          <w:rFonts w:eastAsia="標楷體" w:cstheme="minorHAnsi"/>
        </w:rPr>
        <w:t>規定。</w:t>
      </w:r>
    </w:p>
    <w:p w14:paraId="52415EBB" w14:textId="765AB7A9" w:rsidR="0079372D" w:rsidRPr="00CA1A43" w:rsidRDefault="00A9681C" w:rsidP="00C642E4">
      <w:pPr>
        <w:pStyle w:val="a7"/>
        <w:numPr>
          <w:ilvl w:val="0"/>
          <w:numId w:val="136"/>
        </w:numPr>
        <w:spacing w:beforeLines="50" w:before="180"/>
        <w:ind w:leftChars="0" w:left="964" w:hanging="482"/>
        <w:jc w:val="both"/>
        <w:rPr>
          <w:rFonts w:eastAsia="標楷體" w:cstheme="minorHAnsi"/>
        </w:rPr>
      </w:pPr>
      <w:r w:rsidRPr="00CA1A43">
        <w:rPr>
          <w:rFonts w:eastAsia="標楷體" w:cstheme="minorHAnsi"/>
        </w:rPr>
        <w:t>為計算外匯及權益證券風險類別風險因子</w:t>
      </w:r>
      <w:r w:rsidRPr="00CA1A43">
        <w:rPr>
          <w:rFonts w:eastAsia="標楷體" w:cstheme="minorHAnsi"/>
        </w:rPr>
        <w:t>k</w:t>
      </w:r>
      <w:r w:rsidRPr="00CA1A43">
        <w:rPr>
          <w:rFonts w:eastAsia="標楷體" w:cstheme="minorHAnsi"/>
        </w:rPr>
        <w:t>之淨</w:t>
      </w:r>
      <w:r w:rsidRPr="00CA1A43">
        <w:rPr>
          <w:rFonts w:eastAsia="標楷體" w:cstheme="minorHAnsi"/>
        </w:rPr>
        <w:t>curvature</w:t>
      </w:r>
      <w:r w:rsidRPr="00CA1A43">
        <w:rPr>
          <w:rFonts w:eastAsia="標楷體" w:cstheme="minorHAnsi"/>
        </w:rPr>
        <w:t>風險資本要求</w:t>
      </w:r>
      <w:r w:rsidRPr="00CA1A43">
        <w:rPr>
          <w:rFonts w:eastAsia="標楷體" w:cstheme="minorHAnsi"/>
        </w:rPr>
        <w:t>(</w:t>
      </w:r>
      <m:oMath>
        <m:sSub>
          <m:sSubPr>
            <m:ctrlPr>
              <w:rPr>
                <w:rFonts w:ascii="Cambria Math" w:eastAsia="標楷體" w:hAnsi="Cambria Math" w:cstheme="minorHAnsi"/>
              </w:rPr>
            </m:ctrlPr>
          </m:sSubPr>
          <m:e>
            <m:r>
              <w:rPr>
                <w:rFonts w:ascii="Cambria Math" w:eastAsia="標楷體" w:hAnsi="Cambria Math" w:cstheme="minorHAnsi"/>
              </w:rPr>
              <m:t>CVR</m:t>
            </m:r>
          </m:e>
          <m:sub>
            <m:r>
              <w:rPr>
                <w:rFonts w:ascii="Cambria Math" w:eastAsia="標楷體" w:hAnsi="Cambria Math" w:cstheme="minorHAnsi"/>
              </w:rPr>
              <m:t>k</m:t>
            </m:r>
          </m:sub>
        </m:sSub>
      </m:oMath>
      <w:r w:rsidRPr="00CA1A43">
        <w:rPr>
          <w:rFonts w:eastAsia="標楷體" w:cstheme="minorHAnsi"/>
        </w:rPr>
        <w:t>)</w:t>
      </w:r>
      <w:r w:rsidRPr="00CA1A43">
        <w:rPr>
          <w:rFonts w:eastAsia="標楷體" w:cstheme="minorHAnsi"/>
        </w:rPr>
        <w:t>，其</w:t>
      </w:r>
      <w:r w:rsidRPr="00CA1A43">
        <w:rPr>
          <w:rFonts w:eastAsia="標楷體" w:cstheme="minorHAnsi"/>
        </w:rPr>
        <w:t>curvature</w:t>
      </w:r>
      <w:r w:rsidRPr="00CA1A43">
        <w:rPr>
          <w:rFonts w:eastAsia="標楷體" w:cstheme="minorHAnsi"/>
        </w:rPr>
        <w:t>風險權數</w:t>
      </w:r>
      <w:r w:rsidRPr="00CA1A43">
        <w:rPr>
          <w:rFonts w:eastAsia="標楷體" w:cstheme="minorHAnsi"/>
        </w:rPr>
        <w:t>(</w:t>
      </w:r>
      <w:r w:rsidRPr="00CA1A43">
        <w:rPr>
          <w:rFonts w:eastAsia="標楷體" w:cstheme="minorHAnsi"/>
        </w:rPr>
        <w:t>即給定風險因子的衝擊大小</w:t>
      </w:r>
      <w:r w:rsidRPr="00CA1A43">
        <w:rPr>
          <w:rFonts w:eastAsia="標楷體" w:cstheme="minorHAnsi"/>
        </w:rPr>
        <w:t>)</w:t>
      </w:r>
      <w:r w:rsidRPr="00CA1A43">
        <w:rPr>
          <w:rFonts w:eastAsia="標楷體" w:cstheme="minorHAnsi"/>
        </w:rPr>
        <w:t>等於相應</w:t>
      </w:r>
      <w:r w:rsidRPr="00CA1A43">
        <w:rPr>
          <w:rFonts w:eastAsia="標楷體" w:cstheme="minorHAnsi"/>
        </w:rPr>
        <w:t>delta</w:t>
      </w:r>
      <w:r w:rsidRPr="00CA1A43">
        <w:rPr>
          <w:rFonts w:eastAsia="標楷體" w:cstheme="minorHAnsi"/>
        </w:rPr>
        <w:t>風險之風險權重的其中銀行計算外匯</w:t>
      </w:r>
      <w:r w:rsidRPr="00CA1A43">
        <w:rPr>
          <w:rFonts w:eastAsia="標楷體" w:cstheme="minorHAnsi"/>
        </w:rPr>
        <w:t>curvature</w:t>
      </w:r>
      <w:r w:rsidRPr="00CA1A43">
        <w:rPr>
          <w:rFonts w:eastAsia="標楷體" w:cstheme="minorHAnsi"/>
        </w:rPr>
        <w:t>風險時，持有之選擇權未連結銀行本位幣</w:t>
      </w:r>
      <w:r w:rsidRPr="00CA1A43">
        <w:rPr>
          <w:rFonts w:eastAsia="標楷體" w:cstheme="minorHAnsi"/>
        </w:rPr>
        <w:t>(</w:t>
      </w:r>
      <w:r w:rsidRPr="00CA1A43">
        <w:rPr>
          <w:rFonts w:eastAsia="標楷體" w:cstheme="minorHAnsi"/>
        </w:rPr>
        <w:t>或</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三</w:t>
      </w:r>
      <w:r w:rsidRPr="00CA1A43">
        <w:rPr>
          <w:rFonts w:eastAsia="標楷體" w:cstheme="minorHAnsi"/>
        </w:rPr>
        <w:t>)</w:t>
      </w:r>
      <w:r w:rsidRPr="00CA1A43">
        <w:rPr>
          <w:rFonts w:eastAsia="標楷體" w:cstheme="minorHAnsi"/>
        </w:rPr>
        <w:t>點第</w:t>
      </w:r>
      <w:r w:rsidRPr="00CA1A43">
        <w:rPr>
          <w:rFonts w:eastAsia="標楷體" w:cstheme="minorHAnsi"/>
        </w:rPr>
        <w:t>7</w:t>
      </w:r>
      <w:r w:rsidRPr="00CA1A43">
        <w:rPr>
          <w:rFonts w:eastAsia="標楷體" w:cstheme="minorHAnsi"/>
        </w:rPr>
        <w:t>項所示之基準貨幣</w:t>
      </w:r>
      <w:r w:rsidRPr="00CA1A43">
        <w:rPr>
          <w:rFonts w:eastAsia="標楷體" w:cstheme="minorHAnsi"/>
        </w:rPr>
        <w:t>)</w:t>
      </w:r>
      <w:r w:rsidRPr="00CA1A43">
        <w:rPr>
          <w:rFonts w:eastAsia="標楷體" w:cstheme="minorHAnsi"/>
        </w:rPr>
        <w:t>，</w:t>
      </w:r>
      <w:proofErr w:type="gramStart"/>
      <w:r w:rsidRPr="00CA1A43">
        <w:rPr>
          <w:rFonts w:eastAsia="標楷體" w:cstheme="minorHAnsi"/>
        </w:rPr>
        <w:t>則淨</w:t>
      </w:r>
      <w:proofErr w:type="gramEnd"/>
      <w:r w:rsidRPr="00CA1A43">
        <w:rPr>
          <w:rFonts w:eastAsia="標楷體" w:cstheme="minorHAnsi"/>
        </w:rPr>
        <w:t>curvature</w:t>
      </w:r>
      <w:r w:rsidRPr="00CA1A43">
        <w:rPr>
          <w:rFonts w:eastAsia="標楷體" w:cstheme="minorHAnsi"/>
        </w:rPr>
        <w:t>風險資本要求</w:t>
      </w:r>
      <w:r w:rsidRPr="00CA1A43">
        <w:rPr>
          <w:rFonts w:eastAsia="標楷體" w:cstheme="minorHAnsi"/>
        </w:rPr>
        <w:t>(</w:t>
      </w:r>
      <m:oMath>
        <m:sSubSup>
          <m:sSubSupPr>
            <m:ctrlPr>
              <w:rPr>
                <w:rFonts w:ascii="Cambria Math" w:eastAsia="標楷體" w:hAnsi="Cambria Math" w:cstheme="minorHAnsi"/>
              </w:rPr>
            </m:ctrlPr>
          </m:sSubSupPr>
          <m:e>
            <m:r>
              <w:rPr>
                <w:rFonts w:ascii="Cambria Math" w:eastAsia="標楷體" w:hAnsi="Cambria Math" w:cstheme="minorHAnsi"/>
              </w:rPr>
              <m:t>CVR</m:t>
            </m:r>
          </m:e>
          <m:sub>
            <m:r>
              <w:rPr>
                <w:rFonts w:ascii="Cambria Math" w:eastAsia="標楷體" w:hAnsi="Cambria Math" w:cstheme="minorHAnsi"/>
              </w:rPr>
              <m:t>k</m:t>
            </m:r>
          </m:sub>
          <m:sup>
            <m:r>
              <w:rPr>
                <w:rFonts w:ascii="Cambria Math" w:eastAsia="標楷體" w:hAnsi="Cambria Math" w:cstheme="minorHAnsi"/>
              </w:rPr>
              <m:t>+</m:t>
            </m:r>
          </m:sup>
        </m:sSubSup>
      </m:oMath>
      <w:r w:rsidRPr="00CA1A43">
        <w:rPr>
          <w:rFonts w:eastAsia="標楷體" w:cstheme="minorHAnsi"/>
        </w:rPr>
        <w:t>和</w:t>
      </w:r>
      <m:oMath>
        <m:sSubSup>
          <m:sSubSupPr>
            <m:ctrlPr>
              <w:rPr>
                <w:rFonts w:ascii="Cambria Math" w:eastAsia="標楷體" w:hAnsi="Cambria Math" w:cstheme="minorHAnsi"/>
              </w:rPr>
            </m:ctrlPr>
          </m:sSubSupPr>
          <m:e>
            <m:r>
              <w:rPr>
                <w:rFonts w:ascii="Cambria Math" w:eastAsia="標楷體" w:hAnsi="Cambria Math" w:cstheme="minorHAnsi"/>
              </w:rPr>
              <m:t>CVR</m:t>
            </m:r>
          </m:e>
          <m:sub>
            <m:r>
              <w:rPr>
                <w:rFonts w:ascii="Cambria Math" w:eastAsia="標楷體" w:hAnsi="Cambria Math" w:cstheme="minorHAnsi"/>
              </w:rPr>
              <m:t>k</m:t>
            </m:r>
          </m:sub>
          <m:sup>
            <m:r>
              <w:rPr>
                <w:rFonts w:ascii="Cambria Math" w:eastAsia="標楷體" w:hAnsi="Cambria Math" w:cstheme="minorHAnsi"/>
              </w:rPr>
              <m:t>-</m:t>
            </m:r>
          </m:sup>
        </m:sSubSup>
      </m:oMath>
      <w:r w:rsidRPr="00CA1A43">
        <w:rPr>
          <w:rFonts w:eastAsia="標楷體" w:cstheme="minorHAnsi"/>
        </w:rPr>
        <w:t>)</w:t>
      </w:r>
      <w:r w:rsidRPr="00CA1A43">
        <w:rPr>
          <w:rFonts w:eastAsia="標楷體" w:cstheme="minorHAnsi"/>
        </w:rPr>
        <w:t>可除以</w:t>
      </w:r>
      <w:r w:rsidRPr="00CA1A43">
        <w:rPr>
          <w:rFonts w:eastAsia="標楷體" w:cstheme="minorHAnsi"/>
        </w:rPr>
        <w:t>1.5</w:t>
      </w:r>
      <w:r w:rsidRPr="00CA1A43">
        <w:rPr>
          <w:rFonts w:eastAsia="標楷體" w:cstheme="minorHAnsi"/>
        </w:rPr>
        <w:t>。若銀行計算所有</w:t>
      </w:r>
      <w:r w:rsidRPr="00CA1A43">
        <w:rPr>
          <w:rFonts w:eastAsia="標楷體" w:cstheme="minorHAnsi"/>
        </w:rPr>
        <w:t>curvature</w:t>
      </w:r>
      <w:r w:rsidRPr="00CA1A43">
        <w:rPr>
          <w:rFonts w:eastAsia="標楷體" w:cstheme="minorHAnsi"/>
        </w:rPr>
        <w:t>敏感性部位，包含本位貨幣</w:t>
      </w:r>
      <w:r w:rsidRPr="00CA1A43">
        <w:rPr>
          <w:rFonts w:eastAsia="標楷體" w:cstheme="minorHAnsi"/>
        </w:rPr>
        <w:t>(</w:t>
      </w:r>
      <w:r w:rsidRPr="00CA1A43">
        <w:rPr>
          <w:rFonts w:eastAsia="標楷體" w:cstheme="minorHAnsi"/>
        </w:rPr>
        <w:t>或基準貨幣</w:t>
      </w:r>
      <w:r w:rsidRPr="00CA1A43">
        <w:rPr>
          <w:rFonts w:eastAsia="標楷體" w:cstheme="minorHAnsi"/>
        </w:rPr>
        <w:t>)</w:t>
      </w:r>
      <w:r w:rsidRPr="00CA1A43">
        <w:rPr>
          <w:rFonts w:eastAsia="標楷體" w:cstheme="minorHAnsi"/>
        </w:rPr>
        <w:t>對其他貨幣變動之敏感性部位，經本會核准後，可對所有外匯</w:t>
      </w:r>
      <w:r w:rsidR="009653EE" w:rsidRPr="00BE3720">
        <w:rPr>
          <w:rFonts w:eastAsia="標楷體" w:cstheme="minorHAnsi"/>
        </w:rPr>
        <w:t>工具</w:t>
      </w:r>
      <w:r w:rsidRPr="00CA1A43">
        <w:rPr>
          <w:rFonts w:eastAsia="標楷體" w:cstheme="minorHAnsi"/>
        </w:rPr>
        <w:t>之</w:t>
      </w:r>
      <w:r w:rsidRPr="00CA1A43">
        <w:rPr>
          <w:rFonts w:eastAsia="標楷體" w:cstheme="minorHAnsi"/>
        </w:rPr>
        <w:t>curvature</w:t>
      </w:r>
      <w:r w:rsidRPr="00CA1A43">
        <w:rPr>
          <w:rFonts w:eastAsia="標楷體" w:cstheme="minorHAnsi"/>
        </w:rPr>
        <w:t>風險資本要求</w:t>
      </w:r>
      <w:r w:rsidRPr="00CA1A43">
        <w:rPr>
          <w:rFonts w:eastAsia="標楷體" w:cstheme="minorHAnsi"/>
        </w:rPr>
        <w:t>(</w:t>
      </w:r>
      <m:oMath>
        <m:sSubSup>
          <m:sSubSupPr>
            <m:ctrlPr>
              <w:rPr>
                <w:rFonts w:ascii="Cambria Math" w:eastAsia="標楷體" w:hAnsi="Cambria Math" w:cstheme="minorHAnsi"/>
              </w:rPr>
            </m:ctrlPr>
          </m:sSubSupPr>
          <m:e>
            <m:r>
              <w:rPr>
                <w:rFonts w:ascii="Cambria Math" w:eastAsia="標楷體" w:hAnsi="Cambria Math" w:cstheme="minorHAnsi"/>
              </w:rPr>
              <m:t>CVR</m:t>
            </m:r>
          </m:e>
          <m:sub>
            <m:r>
              <w:rPr>
                <w:rFonts w:ascii="Cambria Math" w:eastAsia="標楷體" w:hAnsi="Cambria Math" w:cstheme="minorHAnsi"/>
              </w:rPr>
              <m:t>k</m:t>
            </m:r>
          </m:sub>
          <m:sup>
            <m:r>
              <w:rPr>
                <w:rFonts w:ascii="Cambria Math" w:eastAsia="標楷體" w:hAnsi="Cambria Math" w:cstheme="minorHAnsi"/>
              </w:rPr>
              <m:t>+</m:t>
            </m:r>
          </m:sup>
        </m:sSubSup>
      </m:oMath>
      <w:r w:rsidRPr="00CA1A43">
        <w:rPr>
          <w:rFonts w:eastAsia="標楷體" w:cstheme="minorHAnsi"/>
        </w:rPr>
        <w:t>和</w:t>
      </w:r>
      <m:oMath>
        <m:sSubSup>
          <m:sSubSupPr>
            <m:ctrlPr>
              <w:rPr>
                <w:rFonts w:ascii="Cambria Math" w:eastAsia="標楷體" w:hAnsi="Cambria Math" w:cstheme="minorHAnsi"/>
              </w:rPr>
            </m:ctrlPr>
          </m:sSubSupPr>
          <m:e>
            <m:r>
              <w:rPr>
                <w:rFonts w:ascii="Cambria Math" w:eastAsia="標楷體" w:hAnsi="Cambria Math" w:cstheme="minorHAnsi"/>
              </w:rPr>
              <m:t>CVR</m:t>
            </m:r>
          </m:e>
          <m:sub>
            <m:r>
              <w:rPr>
                <w:rFonts w:ascii="Cambria Math" w:eastAsia="標楷體" w:hAnsi="Cambria Math" w:cstheme="minorHAnsi"/>
              </w:rPr>
              <m:t>k</m:t>
            </m:r>
          </m:sub>
          <m:sup>
            <m:r>
              <w:rPr>
                <w:rFonts w:ascii="Cambria Math" w:eastAsia="標楷體" w:hAnsi="Cambria Math" w:cstheme="minorHAnsi"/>
              </w:rPr>
              <m:t>-</m:t>
            </m:r>
          </m:sup>
        </m:sSubSup>
      </m:oMath>
      <w:r w:rsidRPr="00CA1A43">
        <w:rPr>
          <w:rFonts w:eastAsia="標楷體" w:cstheme="minorHAnsi"/>
        </w:rPr>
        <w:t>)</w:t>
      </w:r>
      <w:r w:rsidRPr="00CA1A43">
        <w:rPr>
          <w:rFonts w:eastAsia="標楷體" w:cstheme="minorHAnsi"/>
        </w:rPr>
        <w:t>除以</w:t>
      </w:r>
      <w:r w:rsidRPr="00CA1A43">
        <w:rPr>
          <w:rFonts w:eastAsia="標楷體" w:cstheme="minorHAnsi"/>
        </w:rPr>
        <w:t>1.5</w:t>
      </w:r>
      <w:r w:rsidRPr="00CA1A43">
        <w:rPr>
          <w:rFonts w:eastAsia="標楷體" w:cstheme="minorHAnsi"/>
        </w:rPr>
        <w:t>。</w:t>
      </w:r>
    </w:p>
    <w:p w14:paraId="30DC0001" w14:textId="77777777" w:rsidR="00A9681C" w:rsidRPr="00CA1A43" w:rsidRDefault="00A9681C" w:rsidP="00C642E4">
      <w:pPr>
        <w:pStyle w:val="a7"/>
        <w:numPr>
          <w:ilvl w:val="0"/>
          <w:numId w:val="136"/>
        </w:numPr>
        <w:spacing w:beforeLines="50" w:before="180"/>
        <w:ind w:leftChars="0" w:left="964" w:hanging="482"/>
        <w:jc w:val="both"/>
        <w:rPr>
          <w:rFonts w:eastAsia="標楷體" w:cstheme="minorHAnsi"/>
        </w:rPr>
      </w:pPr>
      <w:r w:rsidRPr="00CA1A43">
        <w:rPr>
          <w:rFonts w:eastAsia="標楷體" w:cstheme="minorHAnsi"/>
        </w:rPr>
        <w:t>為計算</w:t>
      </w:r>
      <w:r w:rsidRPr="00CA1A43">
        <w:rPr>
          <w:rFonts w:eastAsia="標楷體" w:cstheme="minorHAnsi"/>
        </w:rPr>
        <w:t>GIRR</w:t>
      </w:r>
      <w:r w:rsidRPr="00CA1A43">
        <w:rPr>
          <w:rFonts w:eastAsia="標楷體" w:cstheme="minorHAnsi"/>
        </w:rPr>
        <w:t>，</w:t>
      </w:r>
      <w:r w:rsidRPr="00CA1A43">
        <w:rPr>
          <w:rFonts w:eastAsia="標楷體" w:cstheme="minorHAnsi"/>
        </w:rPr>
        <w:t>CSR</w:t>
      </w:r>
      <w:r w:rsidRPr="00CA1A43">
        <w:rPr>
          <w:rFonts w:eastAsia="標楷體" w:cstheme="minorHAnsi"/>
        </w:rPr>
        <w:t>及商品風險類別的</w:t>
      </w:r>
      <w:r w:rsidRPr="00CA1A43">
        <w:rPr>
          <w:rFonts w:eastAsia="標楷體" w:cstheme="minorHAnsi"/>
        </w:rPr>
        <w:t>curvature</w:t>
      </w:r>
      <w:r w:rsidRPr="00CA1A43">
        <w:rPr>
          <w:rFonts w:eastAsia="標楷體" w:cstheme="minorHAnsi"/>
        </w:rPr>
        <w:t>風險因子</w:t>
      </w:r>
      <w:r w:rsidRPr="00CA1A43">
        <w:rPr>
          <w:rFonts w:eastAsia="標楷體" w:cstheme="minorHAnsi"/>
        </w:rPr>
        <w:t>k</w:t>
      </w:r>
      <w:r w:rsidRPr="00CA1A43">
        <w:rPr>
          <w:rFonts w:eastAsia="標楷體" w:cstheme="minorHAnsi"/>
        </w:rPr>
        <w:t>的淨</w:t>
      </w:r>
      <w:r w:rsidRPr="00CA1A43">
        <w:rPr>
          <w:rFonts w:eastAsia="標楷體" w:cstheme="minorHAnsi"/>
        </w:rPr>
        <w:t>curvature</w:t>
      </w:r>
      <w:r w:rsidRPr="00CA1A43">
        <w:rPr>
          <w:rFonts w:eastAsia="標楷體" w:cstheme="minorHAnsi"/>
        </w:rPr>
        <w:t>風險資本要求</w:t>
      </w:r>
      <m:oMath>
        <m:sSub>
          <m:sSubPr>
            <m:ctrlPr>
              <w:rPr>
                <w:rFonts w:ascii="Cambria Math" w:eastAsia="標楷體" w:hAnsi="Cambria Math" w:cstheme="minorHAnsi"/>
              </w:rPr>
            </m:ctrlPr>
          </m:sSubPr>
          <m:e>
            <m:r>
              <m:rPr>
                <m:sty m:val="p"/>
              </m:rPr>
              <w:rPr>
                <w:rFonts w:ascii="Cambria Math" w:eastAsia="標楷體" w:hAnsi="Cambria Math" w:cstheme="minorHAnsi"/>
              </w:rPr>
              <m:t>CVR</m:t>
            </m:r>
          </m:e>
          <m:sub>
            <m:r>
              <m:rPr>
                <m:sty m:val="p"/>
              </m:rPr>
              <w:rPr>
                <w:rFonts w:ascii="Cambria Math" w:eastAsia="標楷體" w:hAnsi="Cambria Math" w:cstheme="minorHAnsi"/>
              </w:rPr>
              <m:t>k</m:t>
            </m:r>
          </m:sub>
        </m:sSub>
      </m:oMath>
      <w:r w:rsidRPr="00CA1A43">
        <w:rPr>
          <w:rFonts w:eastAsia="標楷體" w:cstheme="minorHAnsi"/>
        </w:rPr>
        <w:t>，其</w:t>
      </w:r>
      <w:r w:rsidRPr="00CA1A43">
        <w:rPr>
          <w:rFonts w:eastAsia="標楷體" w:cstheme="minorHAnsi"/>
        </w:rPr>
        <w:t>curvature</w:t>
      </w:r>
      <w:r w:rsidRPr="00CA1A43">
        <w:rPr>
          <w:rFonts w:eastAsia="標楷體" w:cstheme="minorHAnsi"/>
        </w:rPr>
        <w:t>風險權數係每一曲線上所有天期皆平移，幅度為各風險類別規定的</w:t>
      </w:r>
      <w:r w:rsidRPr="00CA1A43">
        <w:rPr>
          <w:rFonts w:eastAsia="標楷體" w:cstheme="minorHAnsi"/>
        </w:rPr>
        <w:t>delta</w:t>
      </w:r>
      <w:r w:rsidRPr="00CA1A43">
        <w:rPr>
          <w:rFonts w:eastAsia="標楷體" w:cstheme="minorHAnsi"/>
        </w:rPr>
        <w:t>風險之最大風險權數</w:t>
      </w:r>
      <w:r w:rsidRPr="00CA1A43">
        <w:rPr>
          <w:rStyle w:val="a5"/>
          <w:rFonts w:eastAsia="標楷體" w:cstheme="minorHAnsi"/>
        </w:rPr>
        <w:footnoteReference w:id="41"/>
      </w:r>
      <w:r w:rsidRPr="00CA1A43">
        <w:rPr>
          <w:rFonts w:eastAsia="標楷體" w:cstheme="minorHAnsi"/>
        </w:rPr>
        <w:t>。</w:t>
      </w:r>
    </w:p>
    <w:p w14:paraId="02F8F890" w14:textId="77777777" w:rsidR="00A9681C" w:rsidRPr="00CA1A43" w:rsidRDefault="00A9681C" w:rsidP="00C642E4">
      <w:pPr>
        <w:pStyle w:val="a7"/>
        <w:numPr>
          <w:ilvl w:val="0"/>
          <w:numId w:val="136"/>
        </w:numPr>
        <w:spacing w:beforeLines="50" w:before="180"/>
        <w:ind w:leftChars="0" w:left="964" w:hanging="482"/>
        <w:jc w:val="both"/>
        <w:rPr>
          <w:rFonts w:eastAsia="標楷體" w:cstheme="minorHAnsi"/>
        </w:rPr>
      </w:pPr>
      <w:r w:rsidRPr="00CA1A43">
        <w:rPr>
          <w:rFonts w:eastAsia="標楷體" w:cstheme="minorHAnsi"/>
        </w:rPr>
        <w:t>各風險類別</w:t>
      </w:r>
      <w:r w:rsidRPr="00CA1A43">
        <w:rPr>
          <w:rFonts w:eastAsia="標楷體" w:cstheme="minorHAnsi"/>
        </w:rPr>
        <w:t>curvature</w:t>
      </w:r>
      <w:r w:rsidRPr="00CA1A43">
        <w:rPr>
          <w:rFonts w:eastAsia="標楷體" w:cstheme="minorHAnsi"/>
        </w:rPr>
        <w:t>風險</w:t>
      </w:r>
      <w:proofErr w:type="gramStart"/>
      <w:r w:rsidRPr="00CA1A43">
        <w:rPr>
          <w:rFonts w:eastAsia="標楷體" w:cstheme="minorHAnsi"/>
        </w:rPr>
        <w:t>組別內加</w:t>
      </w:r>
      <w:proofErr w:type="gramEnd"/>
      <w:r w:rsidRPr="00CA1A43">
        <w:rPr>
          <w:rFonts w:eastAsia="標楷體" w:cstheme="minorHAnsi"/>
        </w:rPr>
        <w:t>總</w:t>
      </w:r>
    </w:p>
    <w:p w14:paraId="246469C1" w14:textId="77777777" w:rsidR="00A9681C" w:rsidRPr="00CA1A43" w:rsidRDefault="00A9681C" w:rsidP="00C642E4">
      <w:pPr>
        <w:pStyle w:val="a7"/>
        <w:numPr>
          <w:ilvl w:val="0"/>
          <w:numId w:val="137"/>
        </w:numPr>
        <w:spacing w:beforeLines="50" w:before="180"/>
        <w:ind w:leftChars="0" w:left="1446" w:hanging="482"/>
        <w:jc w:val="both"/>
        <w:rPr>
          <w:rFonts w:eastAsia="標楷體" w:cstheme="minorHAnsi"/>
        </w:rPr>
      </w:pPr>
      <w:r w:rsidRPr="00CA1A43">
        <w:rPr>
          <w:rFonts w:eastAsia="標楷體" w:cstheme="minorHAnsi"/>
        </w:rPr>
        <w:t>在</w:t>
      </w:r>
      <w:proofErr w:type="gramStart"/>
      <w:r w:rsidRPr="00CA1A43">
        <w:rPr>
          <w:rFonts w:eastAsia="標楷體" w:cstheme="minorHAnsi"/>
        </w:rPr>
        <w:t>一組別內加</w:t>
      </w:r>
      <w:proofErr w:type="gramEnd"/>
      <w:r w:rsidRPr="00CA1A43">
        <w:rPr>
          <w:rFonts w:eastAsia="標楷體" w:cstheme="minorHAnsi"/>
        </w:rPr>
        <w:t>總</w:t>
      </w:r>
      <w:r w:rsidRPr="00CA1A43">
        <w:rPr>
          <w:rFonts w:eastAsia="標楷體" w:cstheme="minorHAnsi"/>
        </w:rPr>
        <w:t>curvature</w:t>
      </w:r>
      <w:r w:rsidRPr="00CA1A43">
        <w:rPr>
          <w:rFonts w:eastAsia="標楷體" w:cstheme="minorHAnsi"/>
        </w:rPr>
        <w:t>風險部位時，除證券化</w:t>
      </w:r>
      <w:r w:rsidRPr="00CA1A43">
        <w:rPr>
          <w:rFonts w:eastAsia="標楷體" w:cstheme="minorHAnsi"/>
        </w:rPr>
        <w:t>CSR(CTP)</w:t>
      </w:r>
      <w:r w:rsidRPr="00CA1A43">
        <w:rPr>
          <w:rFonts w:eastAsia="標楷體" w:cstheme="minorHAnsi"/>
        </w:rPr>
        <w:t>及非證券化</w:t>
      </w:r>
      <w:r w:rsidRPr="00CA1A43">
        <w:rPr>
          <w:rFonts w:eastAsia="標楷體" w:cstheme="minorHAnsi"/>
        </w:rPr>
        <w:t>CSR</w:t>
      </w:r>
      <w:r w:rsidRPr="00CA1A43">
        <w:rPr>
          <w:rFonts w:eastAsia="標楷體" w:cstheme="minorHAnsi"/>
        </w:rPr>
        <w:t>外，</w:t>
      </w:r>
      <w:r w:rsidRPr="00CA1A43">
        <w:rPr>
          <w:rFonts w:eastAsia="標楷體" w:cstheme="minorHAnsi"/>
        </w:rPr>
        <w:t>curvature</w:t>
      </w:r>
      <w:r w:rsidRPr="00CA1A43">
        <w:rPr>
          <w:rFonts w:eastAsia="標楷體" w:cstheme="minorHAnsi"/>
        </w:rPr>
        <w:t>風險相關係數</w:t>
      </w:r>
      <m:oMath>
        <m:sSub>
          <m:sSubPr>
            <m:ctrlPr>
              <w:rPr>
                <w:rFonts w:ascii="Cambria Math" w:eastAsia="標楷體" w:hAnsi="Cambria Math" w:cstheme="minorHAnsi"/>
              </w:rPr>
            </m:ctrlPr>
          </m:sSubPr>
          <m:e>
            <m:r>
              <w:rPr>
                <w:rFonts w:ascii="Cambria Math" w:eastAsia="標楷體" w:hAnsi="Cambria Math" w:cstheme="minorHAnsi"/>
              </w:rPr>
              <m:t>ρ</m:t>
            </m:r>
          </m:e>
          <m:sub>
            <m:r>
              <w:rPr>
                <w:rFonts w:ascii="Cambria Math" w:eastAsia="標楷體" w:hAnsi="Cambria Math" w:cstheme="minorHAnsi"/>
              </w:rPr>
              <m:t>kl</m:t>
            </m:r>
          </m:sub>
        </m:sSub>
      </m:oMath>
      <w:r w:rsidRPr="00CA1A43">
        <w:rPr>
          <w:rFonts w:eastAsia="標楷體" w:cstheme="minorHAnsi"/>
        </w:rPr>
        <w:t>為相對應之</w:t>
      </w:r>
      <w:r w:rsidRPr="00CA1A43">
        <w:rPr>
          <w:rFonts w:eastAsia="標楷體" w:cstheme="minorHAnsi"/>
        </w:rPr>
        <w:t>delta</w:t>
      </w:r>
      <w:r w:rsidRPr="00CA1A43">
        <w:rPr>
          <w:rFonts w:eastAsia="標楷體" w:cstheme="minorHAnsi"/>
        </w:rPr>
        <w:t>風險相關係數</w:t>
      </w:r>
      <m:oMath>
        <m:sSub>
          <m:sSubPr>
            <m:ctrlPr>
              <w:rPr>
                <w:rFonts w:ascii="Cambria Math" w:eastAsia="標楷體" w:hAnsi="Cambria Math" w:cstheme="minorHAnsi"/>
                <w:i/>
              </w:rPr>
            </m:ctrlPr>
          </m:sSubPr>
          <m:e>
            <m:r>
              <w:rPr>
                <w:rFonts w:ascii="Cambria Math" w:eastAsia="標楷體" w:hAnsi="Cambria Math" w:cstheme="minorHAnsi"/>
              </w:rPr>
              <m:t>ρ</m:t>
            </m:r>
          </m:e>
          <m:sub>
            <m:r>
              <w:rPr>
                <w:rFonts w:ascii="Cambria Math" w:eastAsia="標楷體" w:hAnsi="Cambria Math" w:cstheme="minorHAnsi"/>
              </w:rPr>
              <m:t>kl</m:t>
            </m:r>
          </m:sub>
        </m:sSub>
      </m:oMath>
      <w:r w:rsidRPr="00CA1A43">
        <w:rPr>
          <w:rFonts w:eastAsia="標楷體" w:cstheme="minorHAnsi"/>
        </w:rPr>
        <w:t>之平方。即在計算</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七</w:t>
      </w:r>
      <w:r w:rsidRPr="00CA1A43">
        <w:rPr>
          <w:rFonts w:eastAsia="標楷體" w:cstheme="minorHAnsi"/>
        </w:rPr>
        <w:t>)</w:t>
      </w:r>
      <w:r w:rsidRPr="00CA1A43">
        <w:rPr>
          <w:rFonts w:eastAsia="標楷體" w:cstheme="minorHAnsi"/>
        </w:rPr>
        <w:t>點第</w:t>
      </w:r>
      <w:r w:rsidRPr="00CA1A43">
        <w:rPr>
          <w:rFonts w:eastAsia="標楷體" w:cstheme="minorHAnsi"/>
        </w:rPr>
        <w:t>1</w:t>
      </w:r>
      <w:r w:rsidRPr="00CA1A43">
        <w:rPr>
          <w:rFonts w:eastAsia="標楷體" w:cstheme="minorHAnsi"/>
        </w:rPr>
        <w:t>項所示之高度及低度相關情境下之資本要求時，須採用前述之</w:t>
      </w:r>
      <w:r w:rsidRPr="00CA1A43">
        <w:rPr>
          <w:rFonts w:eastAsia="標楷體" w:cstheme="minorHAnsi"/>
        </w:rPr>
        <w:t>curvature</w:t>
      </w:r>
      <w:r w:rsidRPr="00CA1A43">
        <w:rPr>
          <w:rFonts w:eastAsia="標楷體" w:cstheme="minorHAnsi"/>
        </w:rPr>
        <w:t>相關係數</w:t>
      </w:r>
      <m:oMath>
        <m:sSub>
          <m:sSubPr>
            <m:ctrlPr>
              <w:rPr>
                <w:rFonts w:ascii="Cambria Math" w:eastAsia="標楷體" w:hAnsi="Cambria Math" w:cstheme="minorHAnsi"/>
              </w:rPr>
            </m:ctrlPr>
          </m:sSubPr>
          <m:e>
            <m:r>
              <w:rPr>
                <w:rFonts w:ascii="Cambria Math" w:eastAsia="標楷體" w:hAnsi="Cambria Math" w:cstheme="minorHAnsi"/>
              </w:rPr>
              <m:t>ρ</m:t>
            </m:r>
          </m:e>
          <m:sub>
            <m:r>
              <w:rPr>
                <w:rFonts w:ascii="Cambria Math" w:eastAsia="標楷體" w:hAnsi="Cambria Math" w:cstheme="minorHAnsi"/>
              </w:rPr>
              <m:t>kl</m:t>
            </m:r>
          </m:sub>
        </m:sSub>
      </m:oMath>
      <w:r w:rsidRPr="00CA1A43">
        <w:rPr>
          <w:rFonts w:eastAsia="標楷體" w:cstheme="minorHAnsi"/>
        </w:rPr>
        <w:t>計算</w:t>
      </w:r>
      <w:r w:rsidRPr="00CA1A43">
        <w:rPr>
          <w:rFonts w:eastAsia="標楷體" w:cstheme="minorHAnsi"/>
        </w:rPr>
        <w:t>curvature</w:t>
      </w:r>
      <w:r w:rsidRPr="00CA1A43">
        <w:rPr>
          <w:rFonts w:eastAsia="標楷體" w:cstheme="minorHAnsi"/>
        </w:rPr>
        <w:t>風險資本要求。</w:t>
      </w:r>
    </w:p>
    <w:p w14:paraId="3B39E8DB" w14:textId="77777777" w:rsidR="00A9681C" w:rsidRPr="00CA1A43" w:rsidRDefault="00A9681C" w:rsidP="00C642E4">
      <w:pPr>
        <w:pStyle w:val="a7"/>
        <w:numPr>
          <w:ilvl w:val="0"/>
          <w:numId w:val="137"/>
        </w:numPr>
        <w:spacing w:beforeLines="50" w:before="180"/>
        <w:ind w:leftChars="0" w:left="1446" w:hanging="482"/>
        <w:jc w:val="both"/>
        <w:rPr>
          <w:rFonts w:eastAsia="標楷體" w:cstheme="minorHAnsi"/>
        </w:rPr>
      </w:pPr>
      <w:r w:rsidRPr="00CA1A43">
        <w:rPr>
          <w:rFonts w:eastAsia="標楷體" w:cstheme="minorHAnsi"/>
        </w:rPr>
        <w:t>對於非證券化商品之</w:t>
      </w:r>
      <w:r w:rsidRPr="00CA1A43">
        <w:rPr>
          <w:rFonts w:eastAsia="標楷體" w:cstheme="minorHAnsi"/>
        </w:rPr>
        <w:t>CSR</w:t>
      </w:r>
      <w:r w:rsidRPr="00CA1A43">
        <w:rPr>
          <w:rFonts w:eastAsia="標楷體" w:cstheme="minorHAnsi"/>
        </w:rPr>
        <w:t>及證券化商品之</w:t>
      </w:r>
      <w:r w:rsidR="0010729B" w:rsidRPr="00CA1A43">
        <w:rPr>
          <w:rFonts w:eastAsia="標楷體" w:cstheme="minorHAnsi"/>
        </w:rPr>
        <w:t>CSR</w:t>
      </w:r>
      <w:r w:rsidRPr="00CA1A43">
        <w:rPr>
          <w:rFonts w:eastAsia="標楷體" w:cstheme="minorHAnsi"/>
        </w:rPr>
        <w:t>(CTP)</w:t>
      </w:r>
      <w:r w:rsidRPr="00CA1A43">
        <w:rPr>
          <w:rFonts w:eastAsia="標楷體" w:cstheme="minorHAnsi"/>
        </w:rPr>
        <w:t>，即與</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三</w:t>
      </w:r>
      <w:r w:rsidRPr="00CA1A43">
        <w:rPr>
          <w:rFonts w:eastAsia="標楷體" w:cstheme="minorHAnsi"/>
        </w:rPr>
        <w:t>)</w:t>
      </w:r>
      <w:r w:rsidRPr="00CA1A43">
        <w:rPr>
          <w:rFonts w:eastAsia="標楷體" w:cstheme="minorHAnsi"/>
        </w:rPr>
        <w:t>點第</w:t>
      </w:r>
      <w:r w:rsidRPr="00CA1A43">
        <w:rPr>
          <w:rFonts w:eastAsia="標楷體" w:cstheme="minorHAnsi"/>
        </w:rPr>
        <w:t>2</w:t>
      </w:r>
      <w:r w:rsidRPr="00CA1A43">
        <w:rPr>
          <w:rFonts w:eastAsia="標楷體" w:cstheme="minorHAnsi"/>
        </w:rPr>
        <w:t>項定義之組別相同</w:t>
      </w:r>
      <w:r w:rsidRPr="00CA1A43">
        <w:rPr>
          <w:rFonts w:eastAsia="標楷體" w:cstheme="minorHAnsi"/>
        </w:rPr>
        <w:t>(</w:t>
      </w:r>
      <w:r w:rsidRPr="00CA1A43">
        <w:rPr>
          <w:rFonts w:eastAsia="標楷體" w:cstheme="minorHAnsi"/>
        </w:rPr>
        <w:t>即相關信用價差曲線</w:t>
      </w:r>
      <w:r w:rsidRPr="00CA1A43">
        <w:rPr>
          <w:rFonts w:eastAsia="標楷體" w:cstheme="minorHAnsi"/>
        </w:rPr>
        <w:t>)</w:t>
      </w:r>
      <w:r w:rsidRPr="00CA1A43">
        <w:rPr>
          <w:rFonts w:eastAsia="標楷體" w:cstheme="minorHAnsi"/>
        </w:rPr>
        <w:t>，</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十一</w:t>
      </w:r>
      <w:r w:rsidRPr="00CA1A43">
        <w:rPr>
          <w:rFonts w:eastAsia="標楷體" w:cstheme="minorHAnsi"/>
        </w:rPr>
        <w:t>)</w:t>
      </w:r>
      <w:r w:rsidRPr="00CA1A43">
        <w:rPr>
          <w:rFonts w:eastAsia="標楷體" w:cstheme="minorHAnsi"/>
        </w:rPr>
        <w:t>點第</w:t>
      </w:r>
      <w:r w:rsidRPr="00CA1A43">
        <w:rPr>
          <w:rFonts w:eastAsia="標楷體" w:cstheme="minorHAnsi"/>
        </w:rPr>
        <w:t>2.(3)</w:t>
      </w:r>
      <w:r w:rsidRPr="00CA1A43">
        <w:rPr>
          <w:rFonts w:eastAsia="標楷體" w:cstheme="minorHAnsi"/>
        </w:rPr>
        <w:t>、</w:t>
      </w:r>
      <w:r w:rsidRPr="00CA1A43">
        <w:rPr>
          <w:rFonts w:eastAsia="標楷體" w:cstheme="minorHAnsi"/>
        </w:rPr>
        <w:t>2.(4)</w:t>
      </w:r>
      <w:r w:rsidRPr="00CA1A43">
        <w:rPr>
          <w:rFonts w:eastAsia="標楷體" w:cstheme="minorHAnsi"/>
        </w:rPr>
        <w:t>項所定義之相關係數</w:t>
      </w:r>
      <m:oMath>
        <m:sSub>
          <m:sSubPr>
            <m:ctrlPr>
              <w:rPr>
                <w:rFonts w:ascii="Cambria Math" w:eastAsia="標楷體" w:hAnsi="Cambria Math" w:cstheme="minorHAnsi"/>
              </w:rPr>
            </m:ctrlPr>
          </m:sSubPr>
          <m:e>
            <m:r>
              <w:rPr>
                <w:rFonts w:ascii="Cambria Math" w:eastAsia="標楷體" w:hAnsi="Cambria Math" w:cstheme="minorHAnsi"/>
              </w:rPr>
              <m:t>ρ</m:t>
            </m:r>
          </m:e>
          <m:sub>
            <m:r>
              <w:rPr>
                <w:rFonts w:ascii="Cambria Math" w:eastAsia="標楷體" w:hAnsi="Cambria Math" w:cstheme="minorHAnsi"/>
              </w:rPr>
              <m:t>kl</m:t>
            </m:r>
          </m:sub>
        </m:sSub>
      </m:oMath>
      <w:r w:rsidRPr="00CA1A43">
        <w:rPr>
          <w:rFonts w:eastAsia="標楷體" w:cstheme="minorHAnsi"/>
        </w:rPr>
        <w:t>不適用於</w:t>
      </w:r>
      <w:r w:rsidRPr="00CA1A43">
        <w:rPr>
          <w:rFonts w:eastAsia="標楷體" w:cstheme="minorHAnsi"/>
        </w:rPr>
        <w:t>curvature</w:t>
      </w:r>
      <w:r w:rsidRPr="00CA1A43">
        <w:rPr>
          <w:rFonts w:eastAsia="標楷體" w:cstheme="minorHAnsi"/>
        </w:rPr>
        <w:t>風險資本要求計算。因此相關係數係由兩個名稱是否相同決定，即只需運用相關係數</w:t>
      </w:r>
      <m:oMath>
        <m:sSubSup>
          <m:sSubSupPr>
            <m:ctrlPr>
              <w:rPr>
                <w:rFonts w:ascii="Cambria Math" w:eastAsia="標楷體" w:hAnsi="Cambria Math" w:cstheme="minorHAnsi"/>
              </w:rPr>
            </m:ctrlPr>
          </m:sSubSupPr>
          <m:e>
            <m:r>
              <w:rPr>
                <w:rFonts w:ascii="Cambria Math" w:eastAsia="標楷體" w:hAnsi="Cambria Math" w:cstheme="minorHAnsi"/>
              </w:rPr>
              <m:t>ρ</m:t>
            </m:r>
          </m:e>
          <m:sub>
            <m:r>
              <w:rPr>
                <w:rFonts w:ascii="Cambria Math" w:eastAsia="標楷體" w:hAnsi="Cambria Math" w:cstheme="minorHAnsi"/>
              </w:rPr>
              <m:t>kl</m:t>
            </m:r>
          </m:sub>
          <m:sup>
            <m:r>
              <w:rPr>
                <w:rFonts w:ascii="Cambria Math" w:eastAsia="標楷體" w:hAnsi="Cambria Math" w:cstheme="minorHAnsi"/>
              </w:rPr>
              <m:t>(name)</m:t>
            </m:r>
          </m:sup>
        </m:sSubSup>
      </m:oMath>
      <w:r w:rsidRPr="00CA1A43">
        <w:rPr>
          <w:rFonts w:eastAsia="標楷體" w:cstheme="minorHAnsi"/>
        </w:rPr>
        <w:t>之平方。</w:t>
      </w:r>
    </w:p>
    <w:p w14:paraId="37A6FEF0" w14:textId="77777777" w:rsidR="0004749A" w:rsidRPr="00CA1A43" w:rsidRDefault="0004749A" w:rsidP="00C642E4">
      <w:pPr>
        <w:pStyle w:val="a7"/>
        <w:numPr>
          <w:ilvl w:val="0"/>
          <w:numId w:val="136"/>
        </w:numPr>
        <w:spacing w:beforeLines="50" w:before="180"/>
        <w:ind w:leftChars="0" w:left="964" w:hanging="482"/>
        <w:jc w:val="both"/>
        <w:rPr>
          <w:rFonts w:eastAsia="標楷體" w:cstheme="minorHAnsi"/>
        </w:rPr>
      </w:pPr>
      <w:proofErr w:type="gramStart"/>
      <w:r w:rsidRPr="00CA1A43">
        <w:rPr>
          <w:rFonts w:eastAsia="標楷體" w:cstheme="minorHAnsi"/>
        </w:rPr>
        <w:lastRenderedPageBreak/>
        <w:t>加總跨組</w:t>
      </w:r>
      <w:proofErr w:type="gramEnd"/>
      <w:r w:rsidRPr="00CA1A43">
        <w:rPr>
          <w:rFonts w:eastAsia="標楷體" w:cstheme="minorHAnsi"/>
        </w:rPr>
        <w:t>別間之</w:t>
      </w:r>
      <w:r w:rsidRPr="00CA1A43">
        <w:rPr>
          <w:rFonts w:eastAsia="標楷體" w:cstheme="minorHAnsi"/>
        </w:rPr>
        <w:t>curvature</w:t>
      </w:r>
      <w:r w:rsidRPr="00CA1A43">
        <w:rPr>
          <w:rFonts w:eastAsia="標楷體" w:cstheme="minorHAnsi"/>
        </w:rPr>
        <w:t>風險部位時，</w:t>
      </w:r>
      <w:r w:rsidRPr="00CA1A43">
        <w:rPr>
          <w:rFonts w:eastAsia="標楷體" w:cstheme="minorHAnsi"/>
        </w:rPr>
        <w:t>curvature</w:t>
      </w:r>
      <w:r w:rsidRPr="00CA1A43">
        <w:rPr>
          <w:rFonts w:eastAsia="標楷體" w:cstheme="minorHAnsi"/>
        </w:rPr>
        <w:t>風險相關係數</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為其</w:t>
      </w:r>
      <w:r w:rsidRPr="00CA1A43">
        <w:rPr>
          <w:rFonts w:eastAsia="標楷體" w:cstheme="minorHAnsi"/>
        </w:rPr>
        <w:t>delta</w:t>
      </w:r>
      <w:r w:rsidRPr="00CA1A43">
        <w:rPr>
          <w:rFonts w:eastAsia="標楷體" w:cstheme="minorHAnsi"/>
        </w:rPr>
        <w:t>風險相關係數</w:t>
      </w:r>
      <m:oMath>
        <m:sSub>
          <m:sSubPr>
            <m:ctrlPr>
              <w:rPr>
                <w:rFonts w:ascii="Cambria Math" w:eastAsia="標楷體" w:hAnsi="Cambria Math" w:cstheme="minorHAnsi"/>
              </w:rPr>
            </m:ctrlPr>
          </m:sSubPr>
          <m:e>
            <m:r>
              <w:rPr>
                <w:rFonts w:ascii="Cambria Math" w:eastAsia="標楷體" w:hAnsi="Cambria Math" w:cstheme="minorHAnsi"/>
              </w:rPr>
              <m:t>γ</m:t>
            </m:r>
          </m:e>
          <m:sub>
            <m:r>
              <w:rPr>
                <w:rFonts w:ascii="Cambria Math" w:eastAsia="標楷體" w:hAnsi="Cambria Math" w:cstheme="minorHAnsi"/>
              </w:rPr>
              <m:t>bc</m:t>
            </m:r>
          </m:sub>
        </m:sSub>
      </m:oMath>
      <w:r w:rsidRPr="00CA1A43">
        <w:rPr>
          <w:rFonts w:eastAsia="標楷體" w:cstheme="minorHAnsi"/>
        </w:rPr>
        <w:t>的平方。</w:t>
      </w:r>
      <w:r w:rsidR="00A458CA" w:rsidRPr="00CA1A43">
        <w:rPr>
          <w:rStyle w:val="a5"/>
          <w:rFonts w:eastAsia="標楷體" w:cstheme="minorHAnsi"/>
        </w:rPr>
        <w:footnoteReference w:id="42"/>
      </w:r>
    </w:p>
    <w:p w14:paraId="1C8F0DD0" w14:textId="77777777" w:rsidR="00A9681C" w:rsidRPr="00CA1A43" w:rsidRDefault="00672BC3" w:rsidP="00672BC3">
      <w:pPr>
        <w:pStyle w:val="a7"/>
        <w:numPr>
          <w:ilvl w:val="0"/>
          <w:numId w:val="48"/>
        </w:numPr>
        <w:spacing w:beforeLines="50" w:before="180"/>
        <w:ind w:leftChars="0" w:left="567" w:hanging="567"/>
        <w:jc w:val="both"/>
        <w:outlineLvl w:val="0"/>
        <w:rPr>
          <w:rFonts w:eastAsia="標楷體" w:cstheme="minorHAnsi"/>
          <w:b/>
          <w:sz w:val="28"/>
          <w:szCs w:val="28"/>
        </w:rPr>
      </w:pPr>
      <w:bookmarkStart w:id="11" w:name="_Toc67992451"/>
      <w:r w:rsidRPr="00CA1A43">
        <w:rPr>
          <w:rFonts w:eastAsia="標楷體" w:cstheme="minorHAnsi"/>
          <w:b/>
          <w:sz w:val="28"/>
          <w:szCs w:val="28"/>
        </w:rPr>
        <w:t>違約風險資本要求</w:t>
      </w:r>
      <w:bookmarkEnd w:id="11"/>
    </w:p>
    <w:p w14:paraId="3711A91F" w14:textId="77777777" w:rsidR="00A458CA" w:rsidRPr="00CA1A43" w:rsidRDefault="00672BC3" w:rsidP="00C642E4">
      <w:pPr>
        <w:pStyle w:val="a7"/>
        <w:numPr>
          <w:ilvl w:val="0"/>
          <w:numId w:val="141"/>
        </w:numPr>
        <w:spacing w:beforeLines="50" w:before="180"/>
        <w:ind w:leftChars="0" w:left="737" w:hanging="737"/>
        <w:jc w:val="both"/>
        <w:rPr>
          <w:rFonts w:eastAsia="標楷體" w:cstheme="minorHAnsi"/>
        </w:rPr>
      </w:pPr>
      <w:r w:rsidRPr="00CA1A43">
        <w:rPr>
          <w:rFonts w:eastAsia="標楷體" w:cstheme="minorHAnsi"/>
        </w:rPr>
        <w:t>違約風險資本</w:t>
      </w:r>
      <w:r w:rsidRPr="00CA1A43">
        <w:rPr>
          <w:rFonts w:eastAsia="標楷體" w:cstheme="minorHAnsi"/>
        </w:rPr>
        <w:t>(default risk capital, DRC)</w:t>
      </w:r>
      <w:r w:rsidRPr="00CA1A43">
        <w:rPr>
          <w:rFonts w:eastAsia="標楷體" w:cstheme="minorHAnsi"/>
        </w:rPr>
        <w:t>要求係在捕捉敏感性基礎法下可能無法透過信用價差變動所衡量之瞬間違約</w:t>
      </w:r>
      <w:r w:rsidRPr="00CA1A43">
        <w:rPr>
          <w:rFonts w:eastAsia="標楷體" w:cstheme="minorHAnsi"/>
        </w:rPr>
        <w:t>(jump-to-default, JTD)</w:t>
      </w:r>
      <w:r w:rsidRPr="00CA1A43">
        <w:rPr>
          <w:rFonts w:eastAsia="標楷體" w:cstheme="minorHAnsi"/>
        </w:rPr>
        <w:t>風險。違約風險資本要求規定一些有限度的避險認定。本段所提之</w:t>
      </w:r>
      <w:proofErr w:type="gramStart"/>
      <w:r w:rsidRPr="00CA1A43">
        <w:rPr>
          <w:rFonts w:eastAsia="標楷體" w:cstheme="minorHAnsi"/>
        </w:rPr>
        <w:t>互抵是指</w:t>
      </w:r>
      <w:proofErr w:type="gramEnd"/>
      <w:r w:rsidRPr="00CA1A43">
        <w:rPr>
          <w:rFonts w:eastAsia="標楷體" w:cstheme="minorHAnsi"/>
        </w:rPr>
        <w:t>相同債務人</w:t>
      </w:r>
      <w:proofErr w:type="gramStart"/>
      <w:r w:rsidRPr="00CA1A43">
        <w:rPr>
          <w:rFonts w:eastAsia="標楷體" w:cstheme="minorHAnsi"/>
        </w:rPr>
        <w:t>之暴險部位</w:t>
      </w:r>
      <w:proofErr w:type="gramEnd"/>
      <w:r w:rsidRPr="00CA1A43">
        <w:rPr>
          <w:rFonts w:eastAsia="標楷體" w:cstheme="minorHAnsi"/>
        </w:rPr>
        <w:t>抵銷</w:t>
      </w:r>
      <w:r w:rsidRPr="00CA1A43">
        <w:rPr>
          <w:rFonts w:eastAsia="標楷體" w:cstheme="minorHAnsi"/>
        </w:rPr>
        <w:t>(</w:t>
      </w:r>
      <w:r w:rsidRPr="00CA1A43">
        <w:rPr>
          <w:rFonts w:eastAsia="標楷體" w:cstheme="minorHAnsi"/>
        </w:rPr>
        <w:t>其</w:t>
      </w:r>
      <w:proofErr w:type="gramStart"/>
      <w:r w:rsidRPr="00CA1A43">
        <w:rPr>
          <w:rFonts w:eastAsia="標楷體" w:cstheme="minorHAnsi"/>
        </w:rPr>
        <w:t>短暴險</w:t>
      </w:r>
      <w:proofErr w:type="gramEnd"/>
      <w:r w:rsidRPr="00CA1A43">
        <w:rPr>
          <w:rFonts w:eastAsia="標楷體" w:cstheme="minorHAnsi"/>
        </w:rPr>
        <w:t>部位可自</w:t>
      </w:r>
      <w:proofErr w:type="gramStart"/>
      <w:r w:rsidRPr="00CA1A43">
        <w:rPr>
          <w:rFonts w:eastAsia="標楷體" w:cstheme="minorHAnsi"/>
        </w:rPr>
        <w:t>長暴險</w:t>
      </w:r>
      <w:proofErr w:type="gramEnd"/>
      <w:r w:rsidRPr="00CA1A43">
        <w:rPr>
          <w:rFonts w:eastAsia="標楷體" w:cstheme="minorHAnsi"/>
        </w:rPr>
        <w:t>部位中完全抵減</w:t>
      </w:r>
      <w:r w:rsidRPr="00CA1A43">
        <w:rPr>
          <w:rFonts w:eastAsia="標楷體" w:cstheme="minorHAnsi"/>
        </w:rPr>
        <w:t>)</w:t>
      </w:r>
      <w:r w:rsidRPr="00CA1A43">
        <w:rPr>
          <w:rFonts w:eastAsia="標楷體" w:cstheme="minorHAnsi"/>
        </w:rPr>
        <w:t>，而避險是指運用</w:t>
      </w:r>
      <w:proofErr w:type="gramStart"/>
      <w:r w:rsidRPr="00CA1A43">
        <w:rPr>
          <w:rFonts w:eastAsia="標楷體" w:cstheme="minorHAnsi"/>
        </w:rPr>
        <w:t>短暴險</w:t>
      </w:r>
      <w:proofErr w:type="gramEnd"/>
      <w:r w:rsidRPr="00CA1A43">
        <w:rPr>
          <w:rFonts w:eastAsia="標楷體" w:cstheme="minorHAnsi"/>
        </w:rPr>
        <w:t>部位產生之部份避險效益</w:t>
      </w:r>
      <w:r w:rsidRPr="00CA1A43">
        <w:rPr>
          <w:rFonts w:eastAsia="標楷體" w:cstheme="minorHAnsi"/>
        </w:rPr>
        <w:t>(</w:t>
      </w:r>
      <w:r w:rsidRPr="00CA1A43">
        <w:rPr>
          <w:rFonts w:eastAsia="標楷體" w:cstheme="minorHAnsi"/>
        </w:rPr>
        <w:t>但</w:t>
      </w:r>
      <w:proofErr w:type="gramStart"/>
      <w:r w:rsidRPr="00CA1A43">
        <w:rPr>
          <w:rFonts w:eastAsia="標楷體" w:cstheme="minorHAnsi"/>
        </w:rPr>
        <w:t>由於基差風險</w:t>
      </w:r>
      <w:proofErr w:type="gramEnd"/>
      <w:r w:rsidRPr="00CA1A43">
        <w:rPr>
          <w:rFonts w:eastAsia="標楷體" w:cstheme="minorHAnsi"/>
        </w:rPr>
        <w:t>及相關性風險，不同債務人之</w:t>
      </w:r>
      <w:proofErr w:type="gramStart"/>
      <w:r w:rsidRPr="00CA1A43">
        <w:rPr>
          <w:rFonts w:eastAsia="標楷體" w:cstheme="minorHAnsi"/>
        </w:rPr>
        <w:t>長短暴險部位</w:t>
      </w:r>
      <w:proofErr w:type="gramEnd"/>
      <w:r w:rsidRPr="00CA1A43">
        <w:rPr>
          <w:rFonts w:eastAsia="標楷體" w:cstheme="minorHAnsi"/>
        </w:rPr>
        <w:t>並無法完全互抵</w:t>
      </w:r>
      <w:r w:rsidRPr="00CA1A43">
        <w:rPr>
          <w:rFonts w:eastAsia="標楷體" w:cstheme="minorHAnsi"/>
        </w:rPr>
        <w:t>)</w:t>
      </w:r>
      <w:r w:rsidRPr="00CA1A43">
        <w:rPr>
          <w:rFonts w:eastAsia="標楷體" w:cstheme="minorHAnsi"/>
        </w:rPr>
        <w:t>。</w:t>
      </w:r>
    </w:p>
    <w:p w14:paraId="3B91EBD2" w14:textId="7E31F54F" w:rsidR="00672BC3" w:rsidRPr="00CA1A43" w:rsidRDefault="00672BC3" w:rsidP="00C642E4">
      <w:pPr>
        <w:pStyle w:val="a7"/>
        <w:numPr>
          <w:ilvl w:val="0"/>
          <w:numId w:val="141"/>
        </w:numPr>
        <w:spacing w:beforeLines="50" w:before="180"/>
        <w:ind w:leftChars="0" w:left="737" w:hanging="737"/>
        <w:jc w:val="both"/>
        <w:rPr>
          <w:rFonts w:eastAsia="標楷體" w:cstheme="minorHAnsi"/>
        </w:rPr>
      </w:pPr>
      <w:r w:rsidRPr="00CA1A43">
        <w:rPr>
          <w:rFonts w:eastAsia="標楷體" w:cstheme="minorHAnsi"/>
        </w:rPr>
        <w:t>受違約風險影響需計算違約風險資本要求之</w:t>
      </w:r>
      <w:r w:rsidR="009653EE" w:rsidRPr="000B50BF">
        <w:rPr>
          <w:rFonts w:eastAsia="標楷體" w:cstheme="minorHAnsi"/>
        </w:rPr>
        <w:t>工具</w:t>
      </w:r>
      <w:r w:rsidRPr="00CA1A43">
        <w:rPr>
          <w:rFonts w:eastAsia="標楷體" w:cstheme="minorHAnsi"/>
        </w:rPr>
        <w:t>：</w:t>
      </w:r>
    </w:p>
    <w:p w14:paraId="68109DCB" w14:textId="63B3B1BA" w:rsidR="00672BC3" w:rsidRPr="000B50BF" w:rsidRDefault="00672BC3" w:rsidP="00C642E4">
      <w:pPr>
        <w:pStyle w:val="a7"/>
        <w:numPr>
          <w:ilvl w:val="0"/>
          <w:numId w:val="142"/>
        </w:numPr>
        <w:spacing w:beforeLines="50" w:before="180"/>
        <w:ind w:leftChars="0" w:left="964" w:hanging="482"/>
        <w:jc w:val="both"/>
        <w:rPr>
          <w:rFonts w:eastAsia="標楷體" w:cstheme="minorHAnsi"/>
        </w:rPr>
      </w:pPr>
      <w:r w:rsidRPr="00CA1A43">
        <w:rPr>
          <w:rFonts w:eastAsia="標楷體" w:cstheme="minorHAnsi"/>
        </w:rPr>
        <w:t>非證券</w:t>
      </w:r>
      <w:r w:rsidRPr="000B50BF">
        <w:rPr>
          <w:rFonts w:eastAsia="標楷體" w:cstheme="minorHAnsi"/>
        </w:rPr>
        <w:t>化</w:t>
      </w:r>
      <w:r w:rsidR="009653EE" w:rsidRPr="000B50BF">
        <w:rPr>
          <w:rFonts w:eastAsia="標楷體" w:cstheme="minorHAnsi"/>
        </w:rPr>
        <w:t>工具</w:t>
      </w:r>
      <w:r w:rsidR="00877AB5" w:rsidRPr="000B50BF">
        <w:rPr>
          <w:rFonts w:eastAsia="標楷體" w:cstheme="minorHAnsi"/>
        </w:rPr>
        <w:t>；</w:t>
      </w:r>
    </w:p>
    <w:p w14:paraId="60827206" w14:textId="645D2829" w:rsidR="00672BC3" w:rsidRPr="000B50BF" w:rsidRDefault="00672BC3" w:rsidP="00C642E4">
      <w:pPr>
        <w:pStyle w:val="a7"/>
        <w:numPr>
          <w:ilvl w:val="0"/>
          <w:numId w:val="142"/>
        </w:numPr>
        <w:spacing w:beforeLines="50" w:before="180"/>
        <w:ind w:leftChars="0" w:left="964" w:hanging="482"/>
        <w:jc w:val="both"/>
        <w:rPr>
          <w:rFonts w:eastAsia="標楷體" w:cstheme="minorHAnsi"/>
        </w:rPr>
      </w:pPr>
      <w:r w:rsidRPr="000B50BF">
        <w:rPr>
          <w:rFonts w:eastAsia="標楷體" w:cstheme="minorHAnsi"/>
        </w:rPr>
        <w:t>證券化</w:t>
      </w:r>
      <w:r w:rsidRPr="000B50BF">
        <w:rPr>
          <w:rFonts w:eastAsia="標楷體" w:cstheme="minorHAnsi"/>
        </w:rPr>
        <w:t>(</w:t>
      </w:r>
      <w:r w:rsidRPr="000B50BF">
        <w:rPr>
          <w:rFonts w:eastAsia="標楷體" w:cstheme="minorHAnsi"/>
        </w:rPr>
        <w:t>非相關性交易組合，</w:t>
      </w:r>
      <w:r w:rsidRPr="000B50BF">
        <w:rPr>
          <w:rFonts w:eastAsia="標楷體" w:cstheme="minorHAnsi"/>
        </w:rPr>
        <w:t>non-CTP)</w:t>
      </w:r>
      <w:r w:rsidR="009653EE" w:rsidRPr="000B50BF">
        <w:rPr>
          <w:rFonts w:eastAsia="標楷體" w:cstheme="minorHAnsi"/>
        </w:rPr>
        <w:t>工具</w:t>
      </w:r>
      <w:r w:rsidR="00877AB5" w:rsidRPr="000B50BF">
        <w:rPr>
          <w:rFonts w:eastAsia="標楷體" w:cstheme="minorHAnsi"/>
        </w:rPr>
        <w:t>；</w:t>
      </w:r>
    </w:p>
    <w:p w14:paraId="075D44FF" w14:textId="55B75272" w:rsidR="00A458CA" w:rsidRPr="00CA1A43" w:rsidRDefault="00672BC3" w:rsidP="00C642E4">
      <w:pPr>
        <w:pStyle w:val="a7"/>
        <w:numPr>
          <w:ilvl w:val="0"/>
          <w:numId w:val="142"/>
        </w:numPr>
        <w:spacing w:beforeLines="50" w:before="180"/>
        <w:ind w:leftChars="0" w:left="964" w:hanging="482"/>
        <w:jc w:val="both"/>
        <w:rPr>
          <w:rFonts w:eastAsia="標楷體" w:cstheme="minorHAnsi"/>
        </w:rPr>
      </w:pPr>
      <w:r w:rsidRPr="000B50BF">
        <w:rPr>
          <w:rFonts w:eastAsia="標楷體" w:cstheme="minorHAnsi"/>
        </w:rPr>
        <w:t>證券化</w:t>
      </w:r>
      <w:r w:rsidRPr="000B50BF">
        <w:rPr>
          <w:rFonts w:eastAsia="標楷體" w:cstheme="minorHAnsi"/>
        </w:rPr>
        <w:t>(</w:t>
      </w:r>
      <w:r w:rsidRPr="000B50BF">
        <w:rPr>
          <w:rFonts w:eastAsia="標楷體" w:cstheme="minorHAnsi"/>
        </w:rPr>
        <w:t>相關性交易組合，</w:t>
      </w:r>
      <w:r w:rsidRPr="000B50BF">
        <w:rPr>
          <w:rFonts w:eastAsia="標楷體" w:cstheme="minorHAnsi"/>
        </w:rPr>
        <w:t>CTP)</w:t>
      </w:r>
      <w:r w:rsidR="009653EE" w:rsidRPr="000B50BF">
        <w:rPr>
          <w:rFonts w:eastAsia="標楷體" w:cstheme="minorHAnsi"/>
        </w:rPr>
        <w:t>工具</w:t>
      </w:r>
      <w:r w:rsidR="00877AB5" w:rsidRPr="00CA1A43">
        <w:rPr>
          <w:rFonts w:eastAsia="標楷體" w:cstheme="minorHAnsi"/>
        </w:rPr>
        <w:t>。</w:t>
      </w:r>
    </w:p>
    <w:p w14:paraId="202CA4EF" w14:textId="77777777" w:rsidR="00A458CA" w:rsidRPr="00CA1A43" w:rsidRDefault="00672BC3" w:rsidP="00C642E4">
      <w:pPr>
        <w:pStyle w:val="a7"/>
        <w:numPr>
          <w:ilvl w:val="0"/>
          <w:numId w:val="141"/>
        </w:numPr>
        <w:spacing w:beforeLines="50" w:before="180"/>
        <w:ind w:leftChars="0" w:left="737" w:hanging="737"/>
        <w:jc w:val="both"/>
        <w:rPr>
          <w:rFonts w:eastAsia="標楷體" w:cstheme="minorHAnsi"/>
        </w:rPr>
      </w:pPr>
      <w:r w:rsidRPr="00CA1A43">
        <w:rPr>
          <w:rFonts w:eastAsia="標楷體" w:cstheme="minorHAnsi"/>
        </w:rPr>
        <w:t>違約風險資本要求計算說明</w:t>
      </w:r>
    </w:p>
    <w:p w14:paraId="6BC02470" w14:textId="77777777" w:rsidR="00672BC3" w:rsidRPr="00CA1A43" w:rsidRDefault="00672BC3" w:rsidP="00C642E4">
      <w:pPr>
        <w:pStyle w:val="a7"/>
        <w:numPr>
          <w:ilvl w:val="0"/>
          <w:numId w:val="144"/>
        </w:numPr>
        <w:spacing w:beforeLines="50" w:before="180"/>
        <w:ind w:leftChars="0" w:left="964" w:hanging="482"/>
        <w:jc w:val="both"/>
        <w:rPr>
          <w:rFonts w:eastAsia="標楷體" w:cstheme="minorHAnsi"/>
        </w:rPr>
      </w:pP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二</w:t>
      </w:r>
      <w:r w:rsidRPr="00CA1A43">
        <w:rPr>
          <w:rFonts w:eastAsia="標楷體" w:cstheme="minorHAnsi"/>
        </w:rPr>
        <w:t>)</w:t>
      </w:r>
      <w:r w:rsidRPr="00CA1A43">
        <w:rPr>
          <w:rFonts w:eastAsia="標楷體" w:cstheme="minorHAnsi"/>
        </w:rPr>
        <w:t>點所述之風險類型必須依照以下步驟計算違約風險。瞬間違約風險總部位</w:t>
      </w:r>
      <w:r w:rsidRPr="00CA1A43">
        <w:rPr>
          <w:rFonts w:eastAsia="標楷體" w:cstheme="minorHAnsi"/>
        </w:rPr>
        <w:t>(gross JTD)</w:t>
      </w:r>
      <w:r w:rsidRPr="00CA1A43">
        <w:rPr>
          <w:rFonts w:eastAsia="標楷體" w:cstheme="minorHAnsi"/>
        </w:rPr>
        <w:t>、瞬間違約風險淨部位</w:t>
      </w:r>
      <w:r w:rsidRPr="00CA1A43">
        <w:rPr>
          <w:rFonts w:eastAsia="標楷體" w:cstheme="minorHAnsi"/>
        </w:rPr>
        <w:t>(net JTD)</w:t>
      </w:r>
      <w:r w:rsidRPr="00CA1A43">
        <w:rPr>
          <w:rFonts w:eastAsia="標楷體" w:cstheme="minorHAnsi"/>
        </w:rPr>
        <w:t>、組別、風險權數及跨組間違約風險資本要求加總方式之具體定義分別依每</w:t>
      </w:r>
      <w:proofErr w:type="gramStart"/>
      <w:r w:rsidRPr="00CA1A43">
        <w:rPr>
          <w:rFonts w:eastAsia="標楷體" w:cstheme="minorHAnsi"/>
        </w:rPr>
        <w:t>個</w:t>
      </w:r>
      <w:proofErr w:type="gramEnd"/>
      <w:r w:rsidRPr="00CA1A43">
        <w:rPr>
          <w:rFonts w:eastAsia="標楷體" w:cstheme="minorHAnsi"/>
        </w:rPr>
        <w:t>風險類型列示於</w:t>
      </w: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w:t>
      </w:r>
    </w:p>
    <w:p w14:paraId="4542BEB2" w14:textId="77777777" w:rsidR="00672BC3" w:rsidRPr="00CA1A43" w:rsidRDefault="00672BC3" w:rsidP="00C642E4">
      <w:pPr>
        <w:pStyle w:val="a7"/>
        <w:numPr>
          <w:ilvl w:val="0"/>
          <w:numId w:val="143"/>
        </w:numPr>
        <w:spacing w:beforeLines="50" w:before="180"/>
        <w:ind w:leftChars="0" w:left="1446" w:hanging="482"/>
        <w:jc w:val="both"/>
        <w:rPr>
          <w:rFonts w:eastAsia="標楷體" w:cstheme="minorHAnsi"/>
        </w:rPr>
      </w:pPr>
      <w:r w:rsidRPr="00CA1A43">
        <w:rPr>
          <w:rFonts w:eastAsia="標楷體" w:cstheme="minorHAnsi"/>
        </w:rPr>
        <w:t>先依</w:t>
      </w:r>
      <w:proofErr w:type="gramStart"/>
      <w:r w:rsidRPr="00CA1A43">
        <w:rPr>
          <w:rFonts w:eastAsia="標楷體" w:cstheme="minorHAnsi"/>
        </w:rPr>
        <w:t>個別暴險計算</w:t>
      </w:r>
      <w:proofErr w:type="gramEnd"/>
      <w:r w:rsidRPr="00CA1A43">
        <w:rPr>
          <w:rFonts w:eastAsia="標楷體" w:cstheme="minorHAnsi"/>
        </w:rPr>
        <w:t>瞬間違約風險總部位。</w:t>
      </w:r>
    </w:p>
    <w:p w14:paraId="2C9A7C9F" w14:textId="77777777" w:rsidR="00672BC3" w:rsidRPr="00CA1A43" w:rsidRDefault="00672BC3" w:rsidP="00C642E4">
      <w:pPr>
        <w:pStyle w:val="a7"/>
        <w:numPr>
          <w:ilvl w:val="0"/>
          <w:numId w:val="143"/>
        </w:numPr>
        <w:spacing w:beforeLines="50" w:before="180"/>
        <w:ind w:leftChars="0" w:left="1446" w:hanging="482"/>
        <w:jc w:val="both"/>
        <w:rPr>
          <w:rFonts w:eastAsia="標楷體" w:cstheme="minorHAnsi"/>
        </w:rPr>
      </w:pPr>
      <w:r w:rsidRPr="00CA1A43">
        <w:rPr>
          <w:rFonts w:eastAsia="標楷體" w:cstheme="minorHAnsi"/>
        </w:rPr>
        <w:t>對於相同債務人長短</w:t>
      </w:r>
      <w:proofErr w:type="gramStart"/>
      <w:r w:rsidRPr="00CA1A43">
        <w:rPr>
          <w:rFonts w:eastAsia="標楷體" w:cstheme="minorHAnsi"/>
        </w:rPr>
        <w:t>部位暴險之</w:t>
      </w:r>
      <w:proofErr w:type="gramEnd"/>
      <w:r w:rsidRPr="00CA1A43">
        <w:rPr>
          <w:rFonts w:eastAsia="標楷體" w:cstheme="minorHAnsi"/>
        </w:rPr>
        <w:t>瞬間違約損失金額互抵</w:t>
      </w:r>
      <w:r w:rsidRPr="00CA1A43">
        <w:rPr>
          <w:rFonts w:eastAsia="標楷體" w:cstheme="minorHAnsi"/>
        </w:rPr>
        <w:t>(</w:t>
      </w:r>
      <w:r w:rsidRPr="00CA1A43">
        <w:rPr>
          <w:rFonts w:eastAsia="標楷體" w:cstheme="minorHAnsi"/>
        </w:rPr>
        <w:t>於許可範圍內</w:t>
      </w:r>
      <w:r w:rsidRPr="00CA1A43">
        <w:rPr>
          <w:rFonts w:eastAsia="標楷體" w:cstheme="minorHAnsi"/>
        </w:rPr>
        <w:t>)</w:t>
      </w:r>
      <w:r w:rsidRPr="00CA1A43">
        <w:rPr>
          <w:rFonts w:eastAsia="標楷體" w:cstheme="minorHAnsi"/>
        </w:rPr>
        <w:t>，進而產生每</w:t>
      </w:r>
      <w:proofErr w:type="gramStart"/>
      <w:r w:rsidRPr="00CA1A43">
        <w:rPr>
          <w:rFonts w:eastAsia="標楷體" w:cstheme="minorHAnsi"/>
        </w:rPr>
        <w:t>個</w:t>
      </w:r>
      <w:proofErr w:type="gramEnd"/>
      <w:r w:rsidRPr="00CA1A43">
        <w:rPr>
          <w:rFonts w:eastAsia="標楷體" w:cstheme="minorHAnsi"/>
        </w:rPr>
        <w:t>不同債務人之</w:t>
      </w:r>
      <w:proofErr w:type="gramStart"/>
      <w:r w:rsidRPr="00CA1A43">
        <w:rPr>
          <w:rFonts w:eastAsia="標楷體" w:cstheme="minorHAnsi"/>
        </w:rPr>
        <w:t>淨長或淨短部位暴險</w:t>
      </w:r>
      <w:proofErr w:type="gramEnd"/>
      <w:r w:rsidRPr="00CA1A43">
        <w:rPr>
          <w:rFonts w:eastAsia="標楷體" w:cstheme="minorHAnsi"/>
        </w:rPr>
        <w:t>。</w:t>
      </w:r>
    </w:p>
    <w:p w14:paraId="3DAB9DF4" w14:textId="77777777" w:rsidR="00672BC3" w:rsidRPr="00CA1A43" w:rsidRDefault="00672BC3" w:rsidP="00C642E4">
      <w:pPr>
        <w:pStyle w:val="a7"/>
        <w:numPr>
          <w:ilvl w:val="0"/>
          <w:numId w:val="143"/>
        </w:numPr>
        <w:spacing w:beforeLines="50" w:before="180"/>
        <w:ind w:leftChars="0" w:left="1446" w:hanging="482"/>
        <w:jc w:val="both"/>
        <w:rPr>
          <w:rFonts w:eastAsia="標楷體" w:cstheme="minorHAnsi"/>
        </w:rPr>
      </w:pPr>
      <w:r w:rsidRPr="00CA1A43">
        <w:rPr>
          <w:rFonts w:eastAsia="標楷體" w:cstheme="minorHAnsi"/>
        </w:rPr>
        <w:t>將瞬間違約風險淨部位分類至相應組別。</w:t>
      </w:r>
    </w:p>
    <w:p w14:paraId="7BD76A56" w14:textId="77777777" w:rsidR="00672BC3" w:rsidRPr="00CA1A43" w:rsidRDefault="00672BC3" w:rsidP="00C642E4">
      <w:pPr>
        <w:pStyle w:val="a7"/>
        <w:numPr>
          <w:ilvl w:val="0"/>
          <w:numId w:val="143"/>
        </w:numPr>
        <w:spacing w:beforeLines="50" w:before="180"/>
        <w:ind w:leftChars="0" w:left="1446" w:hanging="482"/>
        <w:jc w:val="both"/>
        <w:rPr>
          <w:rFonts w:eastAsia="標楷體" w:cstheme="minorHAnsi"/>
        </w:rPr>
      </w:pPr>
      <w:r w:rsidRPr="00CA1A43">
        <w:rPr>
          <w:rFonts w:eastAsia="標楷體" w:cstheme="minorHAnsi"/>
        </w:rPr>
        <w:t>在相同</w:t>
      </w:r>
      <w:proofErr w:type="gramStart"/>
      <w:r w:rsidRPr="00CA1A43">
        <w:rPr>
          <w:rFonts w:eastAsia="標楷體" w:cstheme="minorHAnsi"/>
        </w:rPr>
        <w:t>組別內</w:t>
      </w:r>
      <w:proofErr w:type="gramEnd"/>
      <w:r w:rsidRPr="00CA1A43">
        <w:rPr>
          <w:rFonts w:eastAsia="標楷體" w:cstheme="minorHAnsi"/>
        </w:rPr>
        <w:t>，利用瞬間違約風險</w:t>
      </w:r>
      <w:proofErr w:type="gramStart"/>
      <w:r w:rsidRPr="00CA1A43">
        <w:rPr>
          <w:rFonts w:eastAsia="標楷體" w:cstheme="minorHAnsi"/>
        </w:rPr>
        <w:t>淨長及淨短</w:t>
      </w:r>
      <w:proofErr w:type="gramEnd"/>
      <w:r w:rsidRPr="00CA1A43">
        <w:rPr>
          <w:rFonts w:eastAsia="標楷體" w:cstheme="minorHAnsi"/>
        </w:rPr>
        <w:t>部位計算避險效益比率。將其作為折扣因子以減少組</w:t>
      </w:r>
      <w:proofErr w:type="gramStart"/>
      <w:r w:rsidRPr="00CA1A43">
        <w:rPr>
          <w:rFonts w:eastAsia="標楷體" w:cstheme="minorHAnsi"/>
        </w:rPr>
        <w:t>內淨長</w:t>
      </w:r>
      <w:proofErr w:type="gramEnd"/>
      <w:r w:rsidRPr="00CA1A43">
        <w:rPr>
          <w:rFonts w:eastAsia="標楷體" w:cstheme="minorHAnsi"/>
        </w:rPr>
        <w:t>、短部位互抵後之金額。將本計算說明規定的風險權數</w:t>
      </w:r>
      <w:proofErr w:type="gramStart"/>
      <w:r w:rsidRPr="00CA1A43">
        <w:rPr>
          <w:rFonts w:eastAsia="標楷體" w:cstheme="minorHAnsi"/>
        </w:rPr>
        <w:t>應用於淨部位</w:t>
      </w:r>
      <w:proofErr w:type="gramEnd"/>
      <w:r w:rsidRPr="00CA1A43">
        <w:rPr>
          <w:rFonts w:eastAsia="標楷體" w:cstheme="minorHAnsi"/>
        </w:rPr>
        <w:t>然後加總。</w:t>
      </w:r>
    </w:p>
    <w:p w14:paraId="12175723" w14:textId="77777777" w:rsidR="00A458CA" w:rsidRPr="00CA1A43" w:rsidRDefault="00672BC3" w:rsidP="00C642E4">
      <w:pPr>
        <w:pStyle w:val="a7"/>
        <w:numPr>
          <w:ilvl w:val="0"/>
          <w:numId w:val="143"/>
        </w:numPr>
        <w:spacing w:beforeLines="50" w:before="180"/>
        <w:ind w:leftChars="0" w:left="1446" w:hanging="482"/>
        <w:jc w:val="both"/>
        <w:rPr>
          <w:rFonts w:eastAsia="標楷體" w:cstheme="minorHAnsi"/>
        </w:rPr>
      </w:pPr>
      <w:r w:rsidRPr="00CA1A43">
        <w:rPr>
          <w:rFonts w:eastAsia="標楷體" w:cstheme="minorHAnsi"/>
        </w:rPr>
        <w:t>簡單加總各組別</w:t>
      </w:r>
      <w:proofErr w:type="gramStart"/>
      <w:r w:rsidRPr="00CA1A43">
        <w:rPr>
          <w:rFonts w:eastAsia="標楷體" w:cstheme="minorHAnsi"/>
        </w:rPr>
        <w:t>之</w:t>
      </w:r>
      <w:proofErr w:type="gramEnd"/>
      <w:r w:rsidRPr="00CA1A43">
        <w:rPr>
          <w:rFonts w:eastAsia="標楷體" w:cstheme="minorHAnsi"/>
        </w:rPr>
        <w:t>違約風險資本要求得出整體違約風險資本要求。</w:t>
      </w:r>
    </w:p>
    <w:p w14:paraId="247690CA" w14:textId="6D3D85A9" w:rsidR="00877AB5" w:rsidRPr="00CA1A43" w:rsidRDefault="00877AB5" w:rsidP="00C642E4">
      <w:pPr>
        <w:pStyle w:val="a7"/>
        <w:numPr>
          <w:ilvl w:val="0"/>
          <w:numId w:val="144"/>
        </w:numPr>
        <w:spacing w:beforeLines="50" w:before="180"/>
        <w:ind w:leftChars="0" w:left="964" w:hanging="482"/>
        <w:jc w:val="both"/>
        <w:rPr>
          <w:rFonts w:eastAsia="標楷體" w:cstheme="minorHAnsi"/>
        </w:rPr>
      </w:pPr>
      <w:r w:rsidRPr="00CA1A43">
        <w:rPr>
          <w:rFonts w:eastAsia="標楷體" w:cstheme="minorHAnsi"/>
        </w:rPr>
        <w:lastRenderedPageBreak/>
        <w:t>違約風險資本要求於下列</w:t>
      </w:r>
      <w:proofErr w:type="gramStart"/>
      <w:r w:rsidR="009653EE" w:rsidRPr="00837EAB">
        <w:rPr>
          <w:rFonts w:eastAsia="標楷體" w:cstheme="minorHAnsi"/>
        </w:rPr>
        <w:t>工具</w:t>
      </w:r>
      <w:r w:rsidRPr="00CA1A43">
        <w:rPr>
          <w:rFonts w:eastAsia="標楷體" w:cstheme="minorHAnsi"/>
        </w:rPr>
        <w:t>間不存在</w:t>
      </w:r>
      <w:proofErr w:type="gramEnd"/>
      <w:r w:rsidRPr="00CA1A43">
        <w:rPr>
          <w:rFonts w:eastAsia="標楷體" w:cstheme="minorHAnsi"/>
        </w:rPr>
        <w:t>分散效益：</w:t>
      </w:r>
    </w:p>
    <w:p w14:paraId="739D5C43" w14:textId="5C3CF2F5" w:rsidR="00877AB5" w:rsidRPr="00837EAB" w:rsidRDefault="00877AB5" w:rsidP="00C642E4">
      <w:pPr>
        <w:pStyle w:val="a7"/>
        <w:numPr>
          <w:ilvl w:val="0"/>
          <w:numId w:val="145"/>
        </w:numPr>
        <w:spacing w:beforeLines="50" w:before="180"/>
        <w:ind w:leftChars="0" w:left="1446" w:hanging="482"/>
        <w:jc w:val="both"/>
        <w:rPr>
          <w:rFonts w:eastAsia="標楷體" w:cstheme="minorHAnsi"/>
        </w:rPr>
      </w:pPr>
      <w:r w:rsidRPr="00CA1A43">
        <w:rPr>
          <w:rFonts w:eastAsia="標楷體" w:cstheme="minorHAnsi"/>
        </w:rPr>
        <w:t>非證券</w:t>
      </w:r>
      <w:r w:rsidRPr="00837EAB">
        <w:rPr>
          <w:rFonts w:eastAsia="標楷體" w:cstheme="minorHAnsi"/>
        </w:rPr>
        <w:t>化</w:t>
      </w:r>
      <w:r w:rsidR="009653EE" w:rsidRPr="00837EAB">
        <w:rPr>
          <w:rFonts w:eastAsia="標楷體" w:cstheme="minorHAnsi"/>
        </w:rPr>
        <w:t>工具</w:t>
      </w:r>
      <w:r w:rsidRPr="00837EAB">
        <w:rPr>
          <w:rFonts w:eastAsia="標楷體" w:cstheme="minorHAnsi"/>
        </w:rPr>
        <w:t>；</w:t>
      </w:r>
    </w:p>
    <w:p w14:paraId="76E97018" w14:textId="37571178" w:rsidR="00877AB5" w:rsidRPr="00837EAB" w:rsidRDefault="00877AB5" w:rsidP="00C642E4">
      <w:pPr>
        <w:pStyle w:val="a7"/>
        <w:numPr>
          <w:ilvl w:val="0"/>
          <w:numId w:val="145"/>
        </w:numPr>
        <w:spacing w:beforeLines="50" w:before="180"/>
        <w:ind w:leftChars="0" w:left="1446" w:hanging="482"/>
        <w:jc w:val="both"/>
        <w:rPr>
          <w:rFonts w:eastAsia="標楷體" w:cstheme="minorHAnsi"/>
        </w:rPr>
      </w:pPr>
      <w:r w:rsidRPr="00837EAB">
        <w:rPr>
          <w:rFonts w:eastAsia="標楷體" w:cstheme="minorHAnsi"/>
        </w:rPr>
        <w:t>證券化</w:t>
      </w:r>
      <w:r w:rsidRPr="00837EAB">
        <w:rPr>
          <w:rFonts w:eastAsia="標楷體" w:cstheme="minorHAnsi"/>
        </w:rPr>
        <w:t>(</w:t>
      </w:r>
      <w:r w:rsidRPr="00837EAB">
        <w:rPr>
          <w:rFonts w:eastAsia="標楷體" w:cstheme="minorHAnsi"/>
        </w:rPr>
        <w:t>非相關性交易組合，</w:t>
      </w:r>
      <w:r w:rsidRPr="00837EAB">
        <w:rPr>
          <w:rFonts w:eastAsia="標楷體" w:cstheme="minorHAnsi"/>
        </w:rPr>
        <w:t>non-CTP)</w:t>
      </w:r>
      <w:r w:rsidR="009653EE" w:rsidRPr="00837EAB">
        <w:rPr>
          <w:rFonts w:eastAsia="標楷體" w:cstheme="minorHAnsi"/>
        </w:rPr>
        <w:t>工具</w:t>
      </w:r>
      <w:r w:rsidRPr="00837EAB">
        <w:rPr>
          <w:rFonts w:eastAsia="標楷體" w:cstheme="minorHAnsi"/>
        </w:rPr>
        <w:t>；</w:t>
      </w:r>
    </w:p>
    <w:p w14:paraId="747E4F5D" w14:textId="1911D4FC" w:rsidR="00A458CA" w:rsidRPr="00837EAB" w:rsidRDefault="00877AB5" w:rsidP="00C642E4">
      <w:pPr>
        <w:pStyle w:val="a7"/>
        <w:numPr>
          <w:ilvl w:val="0"/>
          <w:numId w:val="145"/>
        </w:numPr>
        <w:spacing w:beforeLines="50" w:before="180"/>
        <w:ind w:leftChars="0" w:left="1446" w:hanging="482"/>
        <w:jc w:val="both"/>
        <w:rPr>
          <w:rFonts w:eastAsia="標楷體" w:cstheme="minorHAnsi"/>
        </w:rPr>
      </w:pPr>
      <w:r w:rsidRPr="00837EAB">
        <w:rPr>
          <w:rFonts w:eastAsia="標楷體" w:cstheme="minorHAnsi"/>
        </w:rPr>
        <w:t>證券化</w:t>
      </w:r>
      <w:r w:rsidRPr="00837EAB">
        <w:rPr>
          <w:rFonts w:eastAsia="標楷體" w:cstheme="minorHAnsi"/>
        </w:rPr>
        <w:t>(</w:t>
      </w:r>
      <w:r w:rsidRPr="00837EAB">
        <w:rPr>
          <w:rFonts w:eastAsia="標楷體" w:cstheme="minorHAnsi"/>
        </w:rPr>
        <w:t>相關性交易組合，</w:t>
      </w:r>
      <w:r w:rsidR="00837EAB" w:rsidRPr="00837EAB">
        <w:rPr>
          <w:rFonts w:eastAsia="標楷體" w:cstheme="minorHAnsi"/>
        </w:rPr>
        <w:t>CTP)</w:t>
      </w:r>
      <w:r w:rsidR="009653EE" w:rsidRPr="00837EAB">
        <w:rPr>
          <w:rFonts w:eastAsia="標楷體" w:cstheme="minorHAnsi"/>
        </w:rPr>
        <w:t>工具</w:t>
      </w:r>
      <w:r w:rsidRPr="00837EAB">
        <w:rPr>
          <w:rFonts w:eastAsia="標楷體" w:cstheme="minorHAnsi"/>
        </w:rPr>
        <w:t>。</w:t>
      </w:r>
    </w:p>
    <w:p w14:paraId="2CB78C5C" w14:textId="4C5A93F4" w:rsidR="00A9681C" w:rsidRPr="00CA1A43" w:rsidRDefault="00877AB5" w:rsidP="00C642E4">
      <w:pPr>
        <w:pStyle w:val="a7"/>
        <w:numPr>
          <w:ilvl w:val="0"/>
          <w:numId w:val="144"/>
        </w:numPr>
        <w:spacing w:beforeLines="50" w:before="180"/>
        <w:ind w:leftChars="0" w:left="964" w:hanging="482"/>
        <w:jc w:val="both"/>
        <w:rPr>
          <w:rFonts w:eastAsia="標楷體" w:cstheme="minorHAnsi"/>
        </w:rPr>
      </w:pPr>
      <w:r w:rsidRPr="00CA1A43">
        <w:rPr>
          <w:rFonts w:eastAsia="標楷體" w:cstheme="minorHAnsi"/>
        </w:rPr>
        <w:t>針對非證券化之信用及權益證券衍生性商品交易，應</w:t>
      </w:r>
      <w:r w:rsidRPr="00AC1578">
        <w:rPr>
          <w:rFonts w:eastAsia="標楷體" w:cstheme="minorHAnsi"/>
          <w:strike/>
          <w:color w:val="FF0000"/>
        </w:rPr>
        <w:t>該使</w:t>
      </w:r>
      <w:r w:rsidR="00AC1578" w:rsidRPr="00AC1578">
        <w:rPr>
          <w:rFonts w:eastAsia="標楷體" w:cstheme="minorHAnsi" w:hint="eastAsia"/>
          <w:color w:val="FF0000"/>
        </w:rPr>
        <w:t>採</w:t>
      </w:r>
      <w:r w:rsidRPr="00CA1A43">
        <w:rPr>
          <w:rFonts w:eastAsia="標楷體" w:cstheme="minorHAnsi"/>
        </w:rPr>
        <w:t>用拆解法</w:t>
      </w:r>
      <w:r w:rsidR="009211C1">
        <w:rPr>
          <w:rFonts w:eastAsia="標楷體" w:cstheme="minorHAnsi"/>
        </w:rPr>
        <w:t>(</w:t>
      </w:r>
      <w:r w:rsidRPr="00CA1A43">
        <w:rPr>
          <w:rFonts w:eastAsia="標楷體" w:cstheme="minorHAnsi"/>
        </w:rPr>
        <w:t>look-through approach)</w:t>
      </w:r>
      <w:r w:rsidRPr="00CA1A43">
        <w:rPr>
          <w:rFonts w:eastAsia="標楷體" w:cstheme="minorHAnsi"/>
        </w:rPr>
        <w:t>決定個別組成之發行人法人機構之瞬間違約</w:t>
      </w:r>
      <w:r w:rsidRPr="00CA1A43">
        <w:rPr>
          <w:rFonts w:eastAsia="標楷體" w:cstheme="minorHAnsi"/>
        </w:rPr>
        <w:t>(JTD)</w:t>
      </w:r>
      <w:r w:rsidRPr="00CA1A43">
        <w:rPr>
          <w:rFonts w:eastAsia="標楷體" w:cstheme="minorHAnsi"/>
        </w:rPr>
        <w:t>金額</w:t>
      </w:r>
      <w:r w:rsidR="005509B1" w:rsidRPr="005509B1">
        <w:rPr>
          <w:rFonts w:eastAsia="標楷體" w:cstheme="minorHAnsi"/>
          <w:color w:val="FF0000"/>
        </w:rPr>
        <w:t>，惟若於計算敏感性基礎法時，經判定為得不適用拆解法之信用及權益證券衍生性商品，則亦得不進行拆解，而比照現股方式計算</w:t>
      </w:r>
      <w:r w:rsidR="00B003B0" w:rsidRPr="00B003B0">
        <w:rPr>
          <w:rFonts w:eastAsia="標楷體" w:cstheme="minorHAnsi"/>
          <w:color w:val="FF0000"/>
        </w:rPr>
        <w:t>瞬間違約</w:t>
      </w:r>
      <w:r w:rsidR="00B003B0" w:rsidRPr="00B003B0">
        <w:rPr>
          <w:rFonts w:eastAsia="標楷體" w:cstheme="minorHAnsi"/>
          <w:color w:val="FF0000"/>
        </w:rPr>
        <w:t>(JTD)</w:t>
      </w:r>
      <w:r w:rsidRPr="00CA1A43">
        <w:rPr>
          <w:rFonts w:eastAsia="標楷體" w:cstheme="minorHAnsi"/>
        </w:rPr>
        <w:t>。</w:t>
      </w:r>
    </w:p>
    <w:p w14:paraId="18907CB7" w14:textId="77777777" w:rsidR="00A9681C" w:rsidRPr="00CA1A43" w:rsidRDefault="00877AB5" w:rsidP="00C642E4">
      <w:pPr>
        <w:pStyle w:val="a7"/>
        <w:numPr>
          <w:ilvl w:val="0"/>
          <w:numId w:val="144"/>
        </w:numPr>
        <w:spacing w:beforeLines="50" w:before="180"/>
        <w:ind w:leftChars="0" w:left="964" w:hanging="482"/>
        <w:jc w:val="both"/>
        <w:rPr>
          <w:rFonts w:eastAsia="標楷體" w:cstheme="minorHAnsi"/>
        </w:rPr>
      </w:pPr>
      <w:r w:rsidRPr="00CA1A43">
        <w:rPr>
          <w:rFonts w:eastAsia="標楷體" w:cstheme="minorHAnsi"/>
        </w:rPr>
        <w:t>對於相關性交易組合</w:t>
      </w:r>
      <w:r w:rsidRPr="00CA1A43">
        <w:rPr>
          <w:rFonts w:eastAsia="標楷體" w:cstheme="minorHAnsi"/>
        </w:rPr>
        <w:t>(CTP)</w:t>
      </w:r>
      <w:r w:rsidRPr="00CA1A43">
        <w:rPr>
          <w:rFonts w:eastAsia="標楷體" w:cstheme="minorHAnsi"/>
        </w:rPr>
        <w:t>，資本要求之計算包括非證券化避險部位之違約風險。此避險部位必須從非證券化違約風險之計算中排除。</w:t>
      </w:r>
    </w:p>
    <w:p w14:paraId="7A0D4368" w14:textId="5D447929" w:rsidR="00877AB5" w:rsidRPr="00CA1A43" w:rsidRDefault="00877AB5" w:rsidP="00C642E4">
      <w:pPr>
        <w:pStyle w:val="a7"/>
        <w:numPr>
          <w:ilvl w:val="0"/>
          <w:numId w:val="144"/>
        </w:numPr>
        <w:spacing w:beforeLines="50" w:before="180"/>
        <w:ind w:leftChars="0" w:left="964" w:hanging="482"/>
        <w:jc w:val="both"/>
        <w:rPr>
          <w:rFonts w:eastAsia="標楷體" w:cstheme="minorHAnsi"/>
        </w:rPr>
      </w:pPr>
      <w:r w:rsidRPr="00CA1A43">
        <w:rPr>
          <w:rFonts w:eastAsia="標楷體" w:cstheme="minorHAnsi"/>
        </w:rPr>
        <w:t>對於受</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九</w:t>
      </w:r>
      <w:r w:rsidRPr="00CA1A43">
        <w:rPr>
          <w:rFonts w:eastAsia="標楷體" w:cstheme="minorHAnsi"/>
        </w:rPr>
        <w:t>)</w:t>
      </w:r>
      <w:r w:rsidRPr="00CA1A43">
        <w:rPr>
          <w:rFonts w:eastAsia="標楷體" w:cstheme="minorHAnsi"/>
        </w:rPr>
        <w:t>點第</w:t>
      </w:r>
      <w:r w:rsidRPr="00CA1A43">
        <w:rPr>
          <w:rFonts w:eastAsia="標楷體" w:cstheme="minorHAnsi"/>
        </w:rPr>
        <w:t>2.(3)</w:t>
      </w:r>
      <w:r w:rsidRPr="00CA1A43">
        <w:rPr>
          <w:rFonts w:eastAsia="標楷體" w:cstheme="minorHAnsi"/>
        </w:rPr>
        <w:t>項規定處理之基金股權投資</w:t>
      </w:r>
      <w:r w:rsidRPr="00CA1A43">
        <w:rPr>
          <w:rFonts w:eastAsia="標楷體" w:cstheme="minorHAnsi"/>
        </w:rPr>
        <w:t>(</w:t>
      </w:r>
      <w:r w:rsidRPr="00CA1A43">
        <w:rPr>
          <w:rFonts w:eastAsia="標楷體" w:cstheme="minorHAnsi"/>
        </w:rPr>
        <w:t>即被</w:t>
      </w:r>
      <w:proofErr w:type="gramStart"/>
      <w:r w:rsidRPr="00CA1A43">
        <w:rPr>
          <w:rFonts w:eastAsia="標楷體" w:cstheme="minorHAnsi"/>
        </w:rPr>
        <w:t>視為無評等</w:t>
      </w:r>
      <w:proofErr w:type="gramEnd"/>
      <w:r w:rsidRPr="00CA1A43">
        <w:rPr>
          <w:rFonts w:eastAsia="標楷體" w:cstheme="minorHAnsi"/>
        </w:rPr>
        <w:t>“</w:t>
      </w:r>
      <w:r w:rsidRPr="00CA1A43">
        <w:rPr>
          <w:rFonts w:eastAsia="標楷體" w:cstheme="minorHAnsi"/>
        </w:rPr>
        <w:t>其他產業</w:t>
      </w:r>
      <w:r w:rsidRPr="00CA1A43">
        <w:rPr>
          <w:rFonts w:eastAsia="標楷體" w:cstheme="minorHAnsi"/>
        </w:rPr>
        <w:t>”</w:t>
      </w:r>
      <w:r w:rsidRPr="00CA1A43">
        <w:rPr>
          <w:rFonts w:eastAsia="標楷體" w:cstheme="minorHAnsi"/>
        </w:rPr>
        <w:t>權益證券</w:t>
      </w:r>
      <w:r w:rsidRPr="00CA1A43">
        <w:rPr>
          <w:rFonts w:eastAsia="標楷體" w:cstheme="minorHAnsi"/>
        </w:rPr>
        <w:t>)</w:t>
      </w:r>
      <w:r w:rsidRPr="00CA1A43">
        <w:rPr>
          <w:rFonts w:eastAsia="標楷體" w:cstheme="minorHAnsi"/>
        </w:rPr>
        <w:t>，基金股權投資應</w:t>
      </w:r>
      <w:proofErr w:type="gramStart"/>
      <w:r w:rsidRPr="00CA1A43">
        <w:rPr>
          <w:rFonts w:eastAsia="標楷體" w:cstheme="minorHAnsi"/>
        </w:rPr>
        <w:t>作為無評等</w:t>
      </w:r>
      <w:proofErr w:type="gramEnd"/>
      <w:r w:rsidRPr="00CA1A43">
        <w:rPr>
          <w:rFonts w:eastAsia="標楷體" w:cstheme="minorHAnsi"/>
        </w:rPr>
        <w:t>的權益證券</w:t>
      </w:r>
      <w:r w:rsidR="009653EE" w:rsidRPr="001454BA">
        <w:rPr>
          <w:rFonts w:eastAsia="標楷體" w:cstheme="minorHAnsi"/>
        </w:rPr>
        <w:t>工具</w:t>
      </w:r>
      <w:r w:rsidRPr="001454BA">
        <w:rPr>
          <w:rFonts w:eastAsia="標楷體" w:cstheme="minorHAnsi"/>
        </w:rPr>
        <w:t>處</w:t>
      </w:r>
      <w:r w:rsidRPr="00CA1A43">
        <w:rPr>
          <w:rFonts w:eastAsia="標楷體" w:cstheme="minorHAnsi"/>
        </w:rPr>
        <w:t>理。其中當基金授權主要投資於高收益或危難證券，銀行應參照</w:t>
      </w: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點第</w:t>
      </w:r>
      <w:r w:rsidRPr="00CA1A43">
        <w:rPr>
          <w:rFonts w:eastAsia="標楷體" w:cstheme="minorHAnsi"/>
        </w:rPr>
        <w:t>3.(3)</w:t>
      </w:r>
      <w:r w:rsidRPr="00CA1A43">
        <w:rPr>
          <w:rFonts w:eastAsia="標楷體" w:cstheme="minorHAnsi"/>
        </w:rPr>
        <w:t>項之</w:t>
      </w:r>
      <w:r w:rsidRPr="00FB3F2A">
        <w:rPr>
          <w:rFonts w:eastAsia="標楷體" w:cstheme="minorHAnsi"/>
        </w:rPr>
        <w:t>表</w:t>
      </w:r>
      <w:r w:rsidR="00FB3F2A" w:rsidRPr="00FB3F2A">
        <w:rPr>
          <w:rFonts w:eastAsia="標楷體" w:cstheme="minorHAnsi" w:hint="eastAsia"/>
        </w:rPr>
        <w:t>15</w:t>
      </w:r>
      <w:r w:rsidRPr="00CA1A43">
        <w:rPr>
          <w:rFonts w:eastAsia="標楷體" w:cstheme="minorHAnsi"/>
        </w:rPr>
        <w:t>並根據基金之授權產出最大風險權數</w:t>
      </w:r>
      <w:r w:rsidRPr="00CA1A43">
        <w:rPr>
          <w:rFonts w:eastAsia="標楷體" w:cstheme="minorHAnsi"/>
        </w:rPr>
        <w:t>(</w:t>
      </w:r>
      <w:r w:rsidRPr="00CA1A43">
        <w:rPr>
          <w:rFonts w:eastAsia="標楷體" w:cstheme="minorHAnsi"/>
        </w:rPr>
        <w:t>假設基金在其授權允許的最大可能範圍內先投資於違約</w:t>
      </w:r>
      <w:r w:rsidR="009653EE" w:rsidRPr="001454BA">
        <w:rPr>
          <w:rFonts w:eastAsia="標楷體" w:cstheme="minorHAnsi"/>
        </w:rPr>
        <w:t>工具</w:t>
      </w:r>
      <w:r w:rsidRPr="00CA1A43">
        <w:rPr>
          <w:rFonts w:eastAsia="標楷體" w:cstheme="minorHAnsi"/>
        </w:rPr>
        <w:t>，接著為</w:t>
      </w:r>
      <w:r w:rsidRPr="00CA1A43">
        <w:rPr>
          <w:rFonts w:eastAsia="標楷體" w:cstheme="minorHAnsi"/>
        </w:rPr>
        <w:t>CCC</w:t>
      </w:r>
      <w:r w:rsidRPr="00CA1A43">
        <w:rPr>
          <w:rFonts w:eastAsia="標楷體" w:cstheme="minorHAnsi"/>
        </w:rPr>
        <w:t>級，接著為</w:t>
      </w:r>
      <w:r w:rsidRPr="00CA1A43">
        <w:rPr>
          <w:rFonts w:eastAsia="標楷體" w:cstheme="minorHAnsi"/>
        </w:rPr>
        <w:t>B</w:t>
      </w:r>
      <w:r w:rsidRPr="00CA1A43">
        <w:rPr>
          <w:rFonts w:eastAsia="標楷體" w:cstheme="minorHAnsi"/>
        </w:rPr>
        <w:t>級，再來是</w:t>
      </w:r>
      <w:r w:rsidRPr="00CA1A43">
        <w:rPr>
          <w:rFonts w:eastAsia="標楷體" w:cstheme="minorHAnsi"/>
        </w:rPr>
        <w:t xml:space="preserve"> BB</w:t>
      </w:r>
      <w:r w:rsidRPr="00CA1A43">
        <w:rPr>
          <w:rFonts w:eastAsia="標楷體" w:cstheme="minorHAnsi"/>
        </w:rPr>
        <w:t>級，計算基金有效平均風險權數</w:t>
      </w:r>
      <w:r w:rsidRPr="00CA1A43">
        <w:rPr>
          <w:rFonts w:eastAsia="標楷體" w:cstheme="minorHAnsi"/>
        </w:rPr>
        <w:t>)</w:t>
      </w:r>
      <w:r w:rsidRPr="00CA1A43">
        <w:rPr>
          <w:rFonts w:eastAsia="標楷體" w:cstheme="minorHAnsi"/>
        </w:rPr>
        <w:t>。對於這些基金股權</w:t>
      </w:r>
      <w:proofErr w:type="gramStart"/>
      <w:r w:rsidRPr="00CA1A43">
        <w:rPr>
          <w:rFonts w:eastAsia="標楷體" w:cstheme="minorHAnsi"/>
        </w:rPr>
        <w:t>投資暴險與其</w:t>
      </w:r>
      <w:proofErr w:type="gramEnd"/>
      <w:r w:rsidRPr="00CA1A43">
        <w:rPr>
          <w:rFonts w:eastAsia="標楷體" w:cstheme="minorHAnsi"/>
        </w:rPr>
        <w:t>他</w:t>
      </w:r>
      <w:proofErr w:type="gramStart"/>
      <w:r w:rsidRPr="00CA1A43">
        <w:rPr>
          <w:rFonts w:eastAsia="標楷體" w:cstheme="minorHAnsi"/>
        </w:rPr>
        <w:t>暴險間不</w:t>
      </w:r>
      <w:proofErr w:type="gramEnd"/>
      <w:r w:rsidRPr="00CA1A43">
        <w:rPr>
          <w:rFonts w:eastAsia="標楷體" w:cstheme="minorHAnsi"/>
        </w:rPr>
        <w:t>允許</w:t>
      </w:r>
      <w:proofErr w:type="gramStart"/>
      <w:r w:rsidRPr="00CA1A43">
        <w:rPr>
          <w:rFonts w:eastAsia="標楷體" w:cstheme="minorHAnsi"/>
        </w:rPr>
        <w:t>互抵及分散</w:t>
      </w:r>
      <w:proofErr w:type="gramEnd"/>
      <w:r w:rsidRPr="00CA1A43">
        <w:rPr>
          <w:rFonts w:eastAsia="標楷體" w:cstheme="minorHAnsi"/>
        </w:rPr>
        <w:t>風險。</w:t>
      </w:r>
    </w:p>
    <w:p w14:paraId="69DFDF32" w14:textId="77777777" w:rsidR="00877AB5" w:rsidRPr="00CA1A43" w:rsidRDefault="000555A9" w:rsidP="00C642E4">
      <w:pPr>
        <w:pStyle w:val="a7"/>
        <w:numPr>
          <w:ilvl w:val="0"/>
          <w:numId w:val="141"/>
        </w:numPr>
        <w:spacing w:beforeLines="50" w:before="180"/>
        <w:ind w:leftChars="0" w:left="737" w:hanging="737"/>
        <w:jc w:val="both"/>
        <w:rPr>
          <w:rFonts w:eastAsia="標楷體" w:cstheme="minorHAnsi"/>
        </w:rPr>
      </w:pPr>
      <w:r w:rsidRPr="00CA1A43">
        <w:rPr>
          <w:rFonts w:eastAsia="標楷體" w:cstheme="minorHAnsi"/>
        </w:rPr>
        <w:t>非證券化之違約風險資本要求</w:t>
      </w:r>
    </w:p>
    <w:p w14:paraId="4C826917" w14:textId="77777777" w:rsidR="00877AB5" w:rsidRPr="00CA1A43" w:rsidRDefault="000555A9" w:rsidP="00C642E4">
      <w:pPr>
        <w:pStyle w:val="a7"/>
        <w:numPr>
          <w:ilvl w:val="0"/>
          <w:numId w:val="149"/>
        </w:numPr>
        <w:spacing w:beforeLines="50" w:before="180"/>
        <w:ind w:leftChars="0" w:left="964" w:hanging="482"/>
        <w:jc w:val="both"/>
        <w:rPr>
          <w:rFonts w:eastAsia="標楷體" w:cstheme="minorHAnsi"/>
        </w:rPr>
      </w:pPr>
      <w:r w:rsidRPr="00CA1A43">
        <w:rPr>
          <w:rFonts w:eastAsia="標楷體" w:cstheme="minorHAnsi"/>
        </w:rPr>
        <w:t>瞬間違約風險總部位</w:t>
      </w:r>
      <w:r w:rsidRPr="00CA1A43">
        <w:rPr>
          <w:rFonts w:eastAsia="標楷體" w:cstheme="minorHAnsi"/>
        </w:rPr>
        <w:t xml:space="preserve"> (gross JTD)</w:t>
      </w:r>
    </w:p>
    <w:p w14:paraId="42066EB9" w14:textId="77777777" w:rsidR="000555A9" w:rsidRPr="00CA1A43" w:rsidRDefault="000555A9"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瞬間違約風險總部位是依</w:t>
      </w:r>
      <w:proofErr w:type="gramStart"/>
      <w:r w:rsidRPr="00CA1A43">
        <w:rPr>
          <w:rFonts w:eastAsia="標楷體" w:cstheme="minorHAnsi"/>
        </w:rPr>
        <w:t>個別暴險部位</w:t>
      </w:r>
      <w:proofErr w:type="gramEnd"/>
      <w:r w:rsidRPr="00CA1A43">
        <w:rPr>
          <w:rFonts w:eastAsia="標楷體" w:cstheme="minorHAnsi"/>
        </w:rPr>
        <w:t>所計算。</w:t>
      </w:r>
      <w:r w:rsidRPr="00CA1A43">
        <w:rPr>
          <w:rStyle w:val="a5"/>
          <w:rFonts w:eastAsia="標楷體" w:cstheme="minorHAnsi"/>
        </w:rPr>
        <w:footnoteReference w:id="43"/>
      </w:r>
    </w:p>
    <w:p w14:paraId="0BD2811B" w14:textId="77777777" w:rsidR="000555A9" w:rsidRPr="00CA1A43" w:rsidRDefault="000555A9"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計算違約風險資本要求時，判定部位的長短方向必須以給定違約情況下導致</w:t>
      </w:r>
      <w:proofErr w:type="gramStart"/>
      <w:r w:rsidRPr="00CA1A43">
        <w:rPr>
          <w:rFonts w:eastAsia="標楷體" w:cstheme="minorHAnsi"/>
        </w:rPr>
        <w:t>信用暴險之</w:t>
      </w:r>
      <w:proofErr w:type="gramEnd"/>
      <w:r w:rsidRPr="00CA1A43">
        <w:rPr>
          <w:rFonts w:eastAsia="標楷體" w:cstheme="minorHAnsi"/>
        </w:rPr>
        <w:t>損失或獲利為基準。如</w:t>
      </w:r>
      <w:proofErr w:type="gramStart"/>
      <w:r w:rsidRPr="00CA1A43">
        <w:rPr>
          <w:rFonts w:eastAsia="標楷體" w:cstheme="minorHAnsi"/>
        </w:rPr>
        <w:t>長暴險</w:t>
      </w:r>
      <w:proofErr w:type="gramEnd"/>
      <w:r w:rsidRPr="00CA1A43">
        <w:rPr>
          <w:rFonts w:eastAsia="標楷體" w:cstheme="minorHAnsi"/>
        </w:rPr>
        <w:t>定義為違約情況下導致損失之</w:t>
      </w:r>
      <w:proofErr w:type="gramStart"/>
      <w:r w:rsidRPr="00CA1A43">
        <w:rPr>
          <w:rFonts w:eastAsia="標楷體" w:cstheme="minorHAnsi"/>
        </w:rPr>
        <w:t>信用暴險</w:t>
      </w:r>
      <w:proofErr w:type="gramEnd"/>
      <w:r w:rsidRPr="00CA1A43">
        <w:rPr>
          <w:rFonts w:eastAsia="標楷體" w:cstheme="minorHAnsi"/>
        </w:rPr>
        <w:t>。</w:t>
      </w:r>
      <w:r w:rsidRPr="00CA1A43">
        <w:rPr>
          <w:rStyle w:val="a5"/>
          <w:rFonts w:eastAsia="標楷體" w:cstheme="minorHAnsi"/>
        </w:rPr>
        <w:footnoteReference w:id="44"/>
      </w:r>
    </w:p>
    <w:p w14:paraId="25AFB0BE" w14:textId="77777777" w:rsidR="000555A9" w:rsidRPr="00CA1A43" w:rsidRDefault="000555A9"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瞬間違約風險總部位</w:t>
      </w:r>
      <w:r w:rsidRPr="00CA1A43">
        <w:rPr>
          <w:rFonts w:eastAsia="標楷體" w:cstheme="minorHAnsi"/>
        </w:rPr>
        <w:t>(gross JTD)</w:t>
      </w:r>
      <w:r w:rsidRPr="00CA1A43">
        <w:rPr>
          <w:rFonts w:eastAsia="標楷體" w:cstheme="minorHAnsi"/>
        </w:rPr>
        <w:t>是</w:t>
      </w:r>
      <w:proofErr w:type="gramStart"/>
      <w:r w:rsidRPr="00CA1A43">
        <w:rPr>
          <w:rFonts w:eastAsia="標楷體" w:cstheme="minorHAnsi"/>
        </w:rPr>
        <w:t>由暴險</w:t>
      </w:r>
      <w:proofErr w:type="gramEnd"/>
      <w:r w:rsidRPr="00CA1A43">
        <w:rPr>
          <w:rFonts w:eastAsia="標楷體" w:cstheme="minorHAnsi"/>
        </w:rPr>
        <w:t>部位之違約損失率</w:t>
      </w:r>
      <w:r w:rsidRPr="00CA1A43">
        <w:rPr>
          <w:rFonts w:eastAsia="標楷體" w:cstheme="minorHAnsi"/>
        </w:rPr>
        <w:t>(LGD)</w:t>
      </w:r>
      <w:r w:rsidRPr="00CA1A43">
        <w:rPr>
          <w:rFonts w:eastAsia="標楷體" w:cstheme="minorHAnsi"/>
        </w:rPr>
        <w:t>、名目本金</w:t>
      </w:r>
      <w:r w:rsidRPr="00CA1A43">
        <w:rPr>
          <w:rFonts w:eastAsia="標楷體" w:cstheme="minorHAnsi"/>
        </w:rPr>
        <w:t>(</w:t>
      </w:r>
      <w:r w:rsidRPr="00CA1A43">
        <w:rPr>
          <w:rFonts w:eastAsia="標楷體" w:cstheme="minorHAnsi"/>
        </w:rPr>
        <w:t>或面額</w:t>
      </w:r>
      <w:r w:rsidRPr="00CA1A43">
        <w:rPr>
          <w:rFonts w:eastAsia="標楷體" w:cstheme="minorHAnsi"/>
        </w:rPr>
        <w:t>)</w:t>
      </w:r>
      <w:r w:rsidRPr="00CA1A43">
        <w:rPr>
          <w:rFonts w:eastAsia="標楷體" w:cstheme="minorHAnsi"/>
        </w:rPr>
        <w:t>及累積已發生之市價損益計算而得。</w:t>
      </w:r>
    </w:p>
    <w:tbl>
      <w:tblPr>
        <w:tblStyle w:val="aa"/>
        <w:tblW w:w="5298" w:type="dxa"/>
        <w:jc w:val="center"/>
        <w:tblLayout w:type="fixed"/>
        <w:tblLook w:val="04A0" w:firstRow="1" w:lastRow="0" w:firstColumn="1" w:lastColumn="0" w:noHBand="0" w:noVBand="1"/>
      </w:tblPr>
      <w:tblGrid>
        <w:gridCol w:w="5298"/>
      </w:tblGrid>
      <w:tr w:rsidR="000555A9" w:rsidRPr="00CA1A43" w14:paraId="0540D863" w14:textId="77777777" w:rsidTr="000555A9">
        <w:trPr>
          <w:trHeight w:val="690"/>
          <w:jc w:val="center"/>
        </w:trPr>
        <w:tc>
          <w:tcPr>
            <w:tcW w:w="5298" w:type="dxa"/>
          </w:tcPr>
          <w:p w14:paraId="601C2AE2" w14:textId="77777777" w:rsidR="000555A9" w:rsidRPr="00CA1A43" w:rsidRDefault="000555A9" w:rsidP="004708E6">
            <w:pPr>
              <w:ind w:leftChars="152" w:left="365"/>
              <w:jc w:val="both"/>
              <w:rPr>
                <w:rFonts w:eastAsia="標楷體" w:cstheme="minorHAnsi"/>
              </w:rPr>
            </w:pPr>
            <w:r w:rsidRPr="00CA1A43">
              <w:rPr>
                <w:rFonts w:eastAsia="標楷體" w:cstheme="minorHAnsi"/>
              </w:rPr>
              <w:lastRenderedPageBreak/>
              <w:t>JTD(</w:t>
            </w:r>
            <w:r w:rsidRPr="00CA1A43">
              <w:rPr>
                <w:rFonts w:eastAsia="標楷體" w:cstheme="minorHAnsi"/>
              </w:rPr>
              <w:t>長</w:t>
            </w:r>
            <w:r w:rsidRPr="00CA1A43">
              <w:rPr>
                <w:rFonts w:eastAsia="標楷體" w:cstheme="minorHAnsi"/>
              </w:rPr>
              <w:t>) = max(</w:t>
            </w:r>
            <w:r w:rsidRPr="00CA1A43">
              <w:rPr>
                <w:rFonts w:eastAsia="標楷體" w:cstheme="minorHAnsi"/>
              </w:rPr>
              <w:t>違約損失率</w:t>
            </w:r>
            <w:r w:rsidRPr="00CA1A43">
              <w:rPr>
                <w:rFonts w:eastAsia="標楷體" w:cstheme="minorHAnsi"/>
              </w:rPr>
              <w:t>×</w:t>
            </w:r>
            <w:r w:rsidRPr="00CA1A43">
              <w:rPr>
                <w:rFonts w:eastAsia="標楷體" w:cstheme="minorHAnsi"/>
              </w:rPr>
              <w:t>名目本金</w:t>
            </w:r>
            <w:r w:rsidRPr="00CA1A43">
              <w:rPr>
                <w:rFonts w:eastAsia="標楷體" w:cstheme="minorHAnsi"/>
              </w:rPr>
              <w:t>+</w:t>
            </w:r>
            <w:r w:rsidRPr="00CA1A43">
              <w:rPr>
                <w:rFonts w:eastAsia="標楷體" w:cstheme="minorHAnsi"/>
              </w:rPr>
              <w:t>損益</w:t>
            </w:r>
            <w:r w:rsidRPr="00CA1A43">
              <w:rPr>
                <w:rFonts w:eastAsia="標楷體" w:cstheme="minorHAnsi"/>
              </w:rPr>
              <w:t>,0)</w:t>
            </w:r>
          </w:p>
          <w:p w14:paraId="33A61358" w14:textId="77777777" w:rsidR="000555A9" w:rsidRPr="00CA1A43" w:rsidRDefault="000555A9" w:rsidP="004708E6">
            <w:pPr>
              <w:pStyle w:val="a7"/>
              <w:ind w:leftChars="152" w:left="365"/>
              <w:jc w:val="both"/>
              <w:rPr>
                <w:rFonts w:eastAsia="標楷體" w:cstheme="minorHAnsi"/>
              </w:rPr>
            </w:pPr>
            <w:r w:rsidRPr="00CA1A43">
              <w:rPr>
                <w:rFonts w:eastAsia="標楷體" w:cstheme="minorHAnsi"/>
              </w:rPr>
              <w:t>JTD(</w:t>
            </w:r>
            <w:r w:rsidRPr="00CA1A43">
              <w:rPr>
                <w:rFonts w:eastAsia="標楷體" w:cstheme="minorHAnsi"/>
              </w:rPr>
              <w:t>短</w:t>
            </w:r>
            <w:r w:rsidRPr="00CA1A43">
              <w:rPr>
                <w:rFonts w:eastAsia="標楷體" w:cstheme="minorHAnsi"/>
              </w:rPr>
              <w:t>) = min(</w:t>
            </w:r>
            <w:r w:rsidRPr="00CA1A43">
              <w:rPr>
                <w:rFonts w:eastAsia="標楷體" w:cstheme="minorHAnsi"/>
              </w:rPr>
              <w:t>違約損失率</w:t>
            </w:r>
            <w:r w:rsidRPr="00CA1A43">
              <w:rPr>
                <w:rFonts w:eastAsia="標楷體" w:cstheme="minorHAnsi"/>
              </w:rPr>
              <w:t>×</w:t>
            </w:r>
            <w:r w:rsidRPr="00CA1A43">
              <w:rPr>
                <w:rFonts w:eastAsia="標楷體" w:cstheme="minorHAnsi"/>
              </w:rPr>
              <w:t>名目本金</w:t>
            </w:r>
            <w:r w:rsidRPr="00CA1A43">
              <w:rPr>
                <w:rFonts w:eastAsia="標楷體" w:cstheme="minorHAnsi"/>
              </w:rPr>
              <w:t>+</w:t>
            </w:r>
            <w:r w:rsidRPr="00CA1A43">
              <w:rPr>
                <w:rFonts w:eastAsia="標楷體" w:cstheme="minorHAnsi"/>
              </w:rPr>
              <w:t>損益</w:t>
            </w:r>
            <w:r w:rsidRPr="00CA1A43">
              <w:rPr>
                <w:rFonts w:eastAsia="標楷體" w:cstheme="minorHAnsi"/>
              </w:rPr>
              <w:t>,0)</w:t>
            </w:r>
          </w:p>
        </w:tc>
      </w:tr>
    </w:tbl>
    <w:p w14:paraId="23B9F109" w14:textId="77777777" w:rsidR="000555A9" w:rsidRPr="00CA1A43" w:rsidRDefault="000555A9" w:rsidP="000555A9">
      <w:pPr>
        <w:pStyle w:val="a7"/>
        <w:spacing w:beforeLines="50" w:before="180"/>
        <w:ind w:leftChars="0" w:left="1446"/>
        <w:jc w:val="both"/>
        <w:rPr>
          <w:rFonts w:eastAsia="標楷體" w:cstheme="minorHAnsi"/>
        </w:rPr>
      </w:pPr>
      <w:r w:rsidRPr="00CA1A43">
        <w:rPr>
          <w:rFonts w:eastAsia="標楷體" w:cstheme="minorHAnsi"/>
        </w:rPr>
        <w:t>其中：</w:t>
      </w:r>
    </w:p>
    <w:p w14:paraId="2F609A0C" w14:textId="77777777" w:rsidR="000555A9" w:rsidRPr="00CA1A43" w:rsidRDefault="000555A9" w:rsidP="00C642E4">
      <w:pPr>
        <w:pStyle w:val="a7"/>
        <w:numPr>
          <w:ilvl w:val="0"/>
          <w:numId w:val="147"/>
        </w:numPr>
        <w:spacing w:beforeLines="50" w:before="180"/>
        <w:ind w:leftChars="0"/>
        <w:jc w:val="both"/>
        <w:rPr>
          <w:rFonts w:eastAsia="標楷體" w:cstheme="minorHAnsi"/>
        </w:rPr>
      </w:pPr>
      <w:r w:rsidRPr="00CA1A43">
        <w:rPr>
          <w:rFonts w:eastAsia="標楷體" w:cstheme="minorHAnsi"/>
        </w:rPr>
        <w:t>名目本金為部位之等值債券名目本金</w:t>
      </w:r>
      <w:r w:rsidRPr="00CA1A43">
        <w:rPr>
          <w:rFonts w:eastAsia="標楷體" w:cstheme="minorHAnsi"/>
        </w:rPr>
        <w:t>(</w:t>
      </w:r>
      <w:r w:rsidRPr="00CA1A43">
        <w:rPr>
          <w:rFonts w:eastAsia="標楷體" w:cstheme="minorHAnsi"/>
        </w:rPr>
        <w:t>或面額</w:t>
      </w:r>
      <w:r w:rsidRPr="00CA1A43">
        <w:rPr>
          <w:rFonts w:eastAsia="標楷體" w:cstheme="minorHAnsi"/>
        </w:rPr>
        <w:t>)</w:t>
      </w:r>
      <w:r w:rsidRPr="00CA1A43">
        <w:rPr>
          <w:rFonts w:eastAsia="標楷體" w:cstheme="minorHAnsi"/>
        </w:rPr>
        <w:t>；</w:t>
      </w:r>
    </w:p>
    <w:p w14:paraId="2802858B" w14:textId="77777777" w:rsidR="00877AB5" w:rsidRPr="00CA1A43" w:rsidRDefault="000555A9" w:rsidP="00C642E4">
      <w:pPr>
        <w:pStyle w:val="a7"/>
        <w:numPr>
          <w:ilvl w:val="0"/>
          <w:numId w:val="147"/>
        </w:numPr>
        <w:spacing w:beforeLines="50" w:before="180"/>
        <w:ind w:leftChars="0"/>
        <w:jc w:val="both"/>
        <w:rPr>
          <w:rFonts w:eastAsia="標楷體" w:cstheme="minorHAnsi"/>
        </w:rPr>
      </w:pPr>
      <w:r w:rsidRPr="00CA1A43">
        <w:rPr>
          <w:rFonts w:eastAsia="標楷體" w:cstheme="minorHAnsi"/>
        </w:rPr>
        <w:t>損益</w:t>
      </w:r>
      <w:r w:rsidRPr="00CA1A43">
        <w:rPr>
          <w:rFonts w:eastAsia="標楷體" w:cstheme="minorHAnsi"/>
        </w:rPr>
        <w:t>(P&amp;L)</w:t>
      </w:r>
      <w:proofErr w:type="gramStart"/>
      <w:r w:rsidRPr="00CA1A43">
        <w:rPr>
          <w:rFonts w:eastAsia="標楷體" w:cstheme="minorHAnsi"/>
        </w:rPr>
        <w:t>為暴險部位</w:t>
      </w:r>
      <w:proofErr w:type="gramEnd"/>
      <w:r w:rsidRPr="00CA1A43">
        <w:rPr>
          <w:rFonts w:eastAsia="標楷體" w:cstheme="minorHAnsi"/>
        </w:rPr>
        <w:t>累積之市價損益。損益</w:t>
      </w:r>
      <w:r w:rsidRPr="00CA1A43">
        <w:rPr>
          <w:rFonts w:eastAsia="標楷體" w:cstheme="minorHAnsi"/>
        </w:rPr>
        <w:t>=</w:t>
      </w:r>
      <w:r w:rsidRPr="00CA1A43">
        <w:rPr>
          <w:rFonts w:eastAsia="標楷體" w:cstheme="minorHAnsi"/>
        </w:rPr>
        <w:t>市場價值</w:t>
      </w:r>
      <w:r w:rsidRPr="00CA1A43">
        <w:rPr>
          <w:rFonts w:eastAsia="標楷體" w:cstheme="minorHAnsi"/>
        </w:rPr>
        <w:t>-</w:t>
      </w:r>
      <w:r w:rsidRPr="00CA1A43">
        <w:rPr>
          <w:rFonts w:eastAsia="標楷體" w:cstheme="minorHAnsi"/>
        </w:rPr>
        <w:t>名目本金，其中市場價值為目前市值部位。</w:t>
      </w:r>
    </w:p>
    <w:p w14:paraId="03C9EE68" w14:textId="77777777" w:rsidR="00553535" w:rsidRPr="00CA1A43" w:rsidRDefault="00553535"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計算瞬間違約風險總部位及違約損失率設定如下：</w:t>
      </w:r>
    </w:p>
    <w:p w14:paraId="74CBB524" w14:textId="516C8319" w:rsidR="00553535" w:rsidRPr="003247B6" w:rsidRDefault="00553535" w:rsidP="00C642E4">
      <w:pPr>
        <w:pStyle w:val="a7"/>
        <w:numPr>
          <w:ilvl w:val="0"/>
          <w:numId w:val="148"/>
        </w:numPr>
        <w:spacing w:beforeLines="50" w:before="180"/>
        <w:ind w:leftChars="0"/>
        <w:jc w:val="both"/>
        <w:rPr>
          <w:rFonts w:eastAsia="標楷體" w:cstheme="minorHAnsi"/>
        </w:rPr>
      </w:pPr>
      <w:r w:rsidRPr="00CA1A43">
        <w:rPr>
          <w:rFonts w:eastAsia="標楷體" w:cstheme="minorHAnsi"/>
        </w:rPr>
        <w:t>權益證券</w:t>
      </w:r>
      <w:r w:rsidR="009653EE" w:rsidRPr="003247B6">
        <w:rPr>
          <w:rFonts w:eastAsia="標楷體" w:cstheme="minorHAnsi"/>
        </w:rPr>
        <w:t>工具</w:t>
      </w:r>
      <w:r w:rsidRPr="003247B6">
        <w:rPr>
          <w:rFonts w:eastAsia="標楷體" w:cstheme="minorHAnsi"/>
        </w:rPr>
        <w:t>和非優先受償債</w:t>
      </w:r>
      <w:proofErr w:type="gramStart"/>
      <w:r w:rsidRPr="003247B6">
        <w:rPr>
          <w:rFonts w:eastAsia="標楷體" w:cstheme="minorHAnsi"/>
        </w:rPr>
        <w:t>務</w:t>
      </w:r>
      <w:proofErr w:type="gramEnd"/>
      <w:r w:rsidR="009653EE" w:rsidRPr="003247B6">
        <w:rPr>
          <w:rFonts w:eastAsia="標楷體" w:cstheme="minorHAnsi"/>
        </w:rPr>
        <w:t>工具</w:t>
      </w:r>
      <w:r w:rsidRPr="003247B6">
        <w:rPr>
          <w:rFonts w:eastAsia="標楷體" w:cstheme="minorHAnsi"/>
        </w:rPr>
        <w:t>之違約損失率為</w:t>
      </w:r>
      <w:r w:rsidRPr="003247B6">
        <w:rPr>
          <w:rFonts w:eastAsia="標楷體" w:cstheme="minorHAnsi"/>
        </w:rPr>
        <w:t>100%</w:t>
      </w:r>
      <w:r w:rsidRPr="003247B6">
        <w:rPr>
          <w:rFonts w:eastAsia="標楷體" w:cstheme="minorHAnsi"/>
        </w:rPr>
        <w:t>。</w:t>
      </w:r>
    </w:p>
    <w:p w14:paraId="45F10A1B" w14:textId="2FD67537" w:rsidR="00553535" w:rsidRPr="003247B6" w:rsidRDefault="00553535" w:rsidP="00C642E4">
      <w:pPr>
        <w:pStyle w:val="a7"/>
        <w:numPr>
          <w:ilvl w:val="0"/>
          <w:numId w:val="148"/>
        </w:numPr>
        <w:spacing w:beforeLines="50" w:before="180"/>
        <w:ind w:leftChars="0"/>
        <w:jc w:val="both"/>
        <w:rPr>
          <w:rFonts w:eastAsia="標楷體" w:cstheme="minorHAnsi"/>
        </w:rPr>
      </w:pPr>
      <w:r w:rsidRPr="003247B6">
        <w:rPr>
          <w:rFonts w:eastAsia="標楷體" w:cstheme="minorHAnsi"/>
        </w:rPr>
        <w:t>優先受償債</w:t>
      </w:r>
      <w:proofErr w:type="gramStart"/>
      <w:r w:rsidRPr="003247B6">
        <w:rPr>
          <w:rFonts w:eastAsia="標楷體" w:cstheme="minorHAnsi"/>
        </w:rPr>
        <w:t>務</w:t>
      </w:r>
      <w:proofErr w:type="gramEnd"/>
      <w:r w:rsidR="009653EE" w:rsidRPr="003247B6">
        <w:rPr>
          <w:rFonts w:eastAsia="標楷體" w:cstheme="minorHAnsi"/>
        </w:rPr>
        <w:t>工具</w:t>
      </w:r>
      <w:r w:rsidRPr="003247B6">
        <w:rPr>
          <w:rFonts w:eastAsia="標楷體" w:cstheme="minorHAnsi"/>
        </w:rPr>
        <w:t>之違約損失率為</w:t>
      </w:r>
      <w:r w:rsidRPr="003247B6">
        <w:rPr>
          <w:rFonts w:eastAsia="標楷體" w:cstheme="minorHAnsi"/>
        </w:rPr>
        <w:t>75%</w:t>
      </w:r>
      <w:r w:rsidRPr="003247B6">
        <w:rPr>
          <w:rFonts w:eastAsia="標楷體" w:cstheme="minorHAnsi"/>
        </w:rPr>
        <w:t>。</w:t>
      </w:r>
    </w:p>
    <w:p w14:paraId="4B1D9A87" w14:textId="77777777" w:rsidR="00553535" w:rsidRPr="003247B6" w:rsidRDefault="00553535" w:rsidP="00C642E4">
      <w:pPr>
        <w:pStyle w:val="a7"/>
        <w:numPr>
          <w:ilvl w:val="0"/>
          <w:numId w:val="148"/>
        </w:numPr>
        <w:spacing w:beforeLines="50" w:before="180"/>
        <w:ind w:leftChars="0"/>
        <w:jc w:val="both"/>
        <w:rPr>
          <w:rFonts w:eastAsia="標楷體" w:cstheme="minorHAnsi"/>
        </w:rPr>
      </w:pPr>
      <w:r w:rsidRPr="003247B6">
        <w:rPr>
          <w:rFonts w:eastAsia="標楷體" w:cstheme="minorHAnsi"/>
        </w:rPr>
        <w:t>擔保債券</w:t>
      </w:r>
      <w:r w:rsidRPr="003247B6">
        <w:rPr>
          <w:rFonts w:eastAsia="標楷體" w:cstheme="minorHAnsi"/>
        </w:rPr>
        <w:t>(</w:t>
      </w:r>
      <w:r w:rsidRPr="003247B6">
        <w:rPr>
          <w:rFonts w:eastAsia="標楷體" w:cstheme="minorHAnsi"/>
        </w:rPr>
        <w:t>定義於</w:t>
      </w:r>
      <w:proofErr w:type="gramStart"/>
      <w:r w:rsidRPr="003247B6">
        <w:rPr>
          <w:rFonts w:eastAsia="標楷體" w:cstheme="minorHAnsi"/>
        </w:rPr>
        <w:t>第二大點第</w:t>
      </w:r>
      <w:proofErr w:type="gramEnd"/>
      <w:r w:rsidRPr="003247B6">
        <w:rPr>
          <w:rFonts w:eastAsia="標楷體" w:cstheme="minorHAnsi"/>
        </w:rPr>
        <w:t>(</w:t>
      </w:r>
      <w:r w:rsidRPr="003247B6">
        <w:rPr>
          <w:rFonts w:eastAsia="標楷體" w:cstheme="minorHAnsi"/>
        </w:rPr>
        <w:t>十一</w:t>
      </w:r>
      <w:r w:rsidRPr="003247B6">
        <w:rPr>
          <w:rFonts w:eastAsia="標楷體" w:cstheme="minorHAnsi"/>
        </w:rPr>
        <w:t>)</w:t>
      </w:r>
      <w:r w:rsidRPr="003247B6">
        <w:rPr>
          <w:rFonts w:eastAsia="標楷體" w:cstheme="minorHAnsi"/>
        </w:rPr>
        <w:t>點第</w:t>
      </w:r>
      <w:r w:rsidRPr="003247B6">
        <w:rPr>
          <w:rFonts w:eastAsia="標楷體" w:cstheme="minorHAnsi"/>
        </w:rPr>
        <w:t>2.(1)</w:t>
      </w:r>
      <w:r w:rsidRPr="003247B6">
        <w:rPr>
          <w:rFonts w:eastAsia="標楷體" w:cstheme="minorHAnsi"/>
        </w:rPr>
        <w:t>項</w:t>
      </w:r>
      <w:r w:rsidRPr="003247B6">
        <w:rPr>
          <w:rFonts w:eastAsia="標楷體" w:cstheme="minorHAnsi"/>
        </w:rPr>
        <w:t>)</w:t>
      </w:r>
      <w:r w:rsidRPr="003247B6">
        <w:rPr>
          <w:rFonts w:eastAsia="標楷體" w:cstheme="minorHAnsi"/>
        </w:rPr>
        <w:t>違約損失率為</w:t>
      </w:r>
      <w:r w:rsidRPr="003247B6">
        <w:rPr>
          <w:rFonts w:eastAsia="標楷體" w:cstheme="minorHAnsi"/>
        </w:rPr>
        <w:t>25%</w:t>
      </w:r>
      <w:r w:rsidRPr="003247B6">
        <w:rPr>
          <w:rFonts w:eastAsia="標楷體" w:cstheme="minorHAnsi"/>
        </w:rPr>
        <w:t>。</w:t>
      </w:r>
    </w:p>
    <w:p w14:paraId="49BE1C63" w14:textId="71C443A5" w:rsidR="000555A9" w:rsidRPr="00CA1A43" w:rsidRDefault="00553535" w:rsidP="00C642E4">
      <w:pPr>
        <w:pStyle w:val="a7"/>
        <w:numPr>
          <w:ilvl w:val="0"/>
          <w:numId w:val="148"/>
        </w:numPr>
        <w:spacing w:beforeLines="50" w:before="180"/>
        <w:ind w:leftChars="0"/>
        <w:jc w:val="both"/>
        <w:rPr>
          <w:rFonts w:eastAsia="標楷體" w:cstheme="minorHAnsi"/>
        </w:rPr>
      </w:pPr>
      <w:r w:rsidRPr="003247B6">
        <w:rPr>
          <w:rFonts w:eastAsia="標楷體" w:cstheme="minorHAnsi"/>
        </w:rPr>
        <w:t>當</w:t>
      </w:r>
      <w:r w:rsidR="009653EE" w:rsidRPr="003247B6">
        <w:rPr>
          <w:rFonts w:eastAsia="標楷體" w:cstheme="minorHAnsi"/>
        </w:rPr>
        <w:t>工具</w:t>
      </w:r>
      <w:r w:rsidRPr="003247B6">
        <w:rPr>
          <w:rFonts w:eastAsia="標楷體" w:cstheme="minorHAnsi"/>
        </w:rPr>
        <w:t>價</w:t>
      </w:r>
      <w:r w:rsidRPr="00CA1A43">
        <w:rPr>
          <w:rFonts w:eastAsia="標楷體" w:cstheme="minorHAnsi"/>
        </w:rPr>
        <w:t>格未和違約回收率連結時</w:t>
      </w:r>
      <w:r w:rsidRPr="00CA1A43">
        <w:rPr>
          <w:rFonts w:eastAsia="標楷體" w:cstheme="minorHAnsi"/>
        </w:rPr>
        <w:t>(</w:t>
      </w:r>
      <w:r w:rsidRPr="00CA1A43">
        <w:rPr>
          <w:rFonts w:eastAsia="標楷體" w:cstheme="minorHAnsi"/>
        </w:rPr>
        <w:t>例如：混合外匯信用選擇權，其中現金流量是收取歐元利息及支付美金之現金流交換，加上特定債務人違約事件觸擊出場機制</w:t>
      </w:r>
      <w:r w:rsidRPr="00CA1A43">
        <w:rPr>
          <w:rFonts w:eastAsia="標楷體" w:cstheme="minorHAnsi"/>
        </w:rPr>
        <w:t>)</w:t>
      </w:r>
      <w:r w:rsidRPr="00CA1A43">
        <w:rPr>
          <w:rFonts w:eastAsia="標楷體" w:cstheme="minorHAnsi"/>
        </w:rPr>
        <w:t>，則無需名目本金和違約損失率之相乘項。</w:t>
      </w:r>
    </w:p>
    <w:p w14:paraId="1D53D8A9" w14:textId="1C224425" w:rsidR="000555A9" w:rsidRPr="00CA1A43" w:rsidRDefault="00553535"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計算</w:t>
      </w: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點第</w:t>
      </w:r>
      <w:r w:rsidRPr="00CA1A43">
        <w:rPr>
          <w:rFonts w:eastAsia="標楷體" w:cstheme="minorHAnsi"/>
        </w:rPr>
        <w:t>1.(3)</w:t>
      </w:r>
      <w:r w:rsidRPr="00CA1A43">
        <w:rPr>
          <w:rFonts w:eastAsia="標楷體" w:cstheme="minorHAnsi"/>
        </w:rPr>
        <w:t>項瞬間違約部位時，長</w:t>
      </w:r>
      <w:r w:rsidRPr="00CA1A43">
        <w:rPr>
          <w:rFonts w:eastAsia="標楷體" w:cstheme="minorHAnsi"/>
        </w:rPr>
        <w:t>(</w:t>
      </w:r>
      <w:r w:rsidRPr="00CA1A43">
        <w:rPr>
          <w:rFonts w:eastAsia="標楷體" w:cstheme="minorHAnsi"/>
        </w:rPr>
        <w:t>短</w:t>
      </w:r>
      <w:r w:rsidRPr="00CA1A43">
        <w:rPr>
          <w:rFonts w:eastAsia="標楷體" w:cstheme="minorHAnsi"/>
        </w:rPr>
        <w:t>)</w:t>
      </w:r>
      <w:proofErr w:type="gramStart"/>
      <w:r w:rsidRPr="00CA1A43">
        <w:rPr>
          <w:rFonts w:eastAsia="標楷體" w:cstheme="minorHAnsi"/>
        </w:rPr>
        <w:t>暴險部位</w:t>
      </w:r>
      <w:proofErr w:type="gramEnd"/>
      <w:r w:rsidR="009653EE" w:rsidRPr="003247B6">
        <w:rPr>
          <w:rFonts w:eastAsia="標楷體" w:cstheme="minorHAnsi"/>
        </w:rPr>
        <w:t>工具</w:t>
      </w:r>
      <w:r w:rsidRPr="00CA1A43">
        <w:rPr>
          <w:rFonts w:eastAsia="標楷體" w:cstheme="minorHAnsi"/>
        </w:rPr>
        <w:t>之名目本金以正</w:t>
      </w:r>
      <w:r w:rsidRPr="00CA1A43">
        <w:rPr>
          <w:rFonts w:eastAsia="標楷體" w:cstheme="minorHAnsi"/>
        </w:rPr>
        <w:t>(</w:t>
      </w:r>
      <w:r w:rsidRPr="00CA1A43">
        <w:rPr>
          <w:rFonts w:eastAsia="標楷體" w:cstheme="minorHAnsi"/>
        </w:rPr>
        <w:t>負</w:t>
      </w:r>
      <w:r w:rsidRPr="00CA1A43">
        <w:rPr>
          <w:rFonts w:eastAsia="標楷體" w:cstheme="minorHAnsi"/>
        </w:rPr>
        <w:t>)</w:t>
      </w:r>
      <w:r w:rsidRPr="00CA1A43">
        <w:rPr>
          <w:rFonts w:eastAsia="標楷體" w:cstheme="minorHAnsi"/>
        </w:rPr>
        <w:t>值表示，而損益為損失</w:t>
      </w:r>
      <w:r w:rsidRPr="00CA1A43">
        <w:rPr>
          <w:rFonts w:eastAsia="標楷體" w:cstheme="minorHAnsi"/>
        </w:rPr>
        <w:t>(</w:t>
      </w:r>
      <w:r w:rsidRPr="00CA1A43">
        <w:rPr>
          <w:rFonts w:eastAsia="標楷體" w:cstheme="minorHAnsi"/>
        </w:rPr>
        <w:t>收益</w:t>
      </w:r>
      <w:r w:rsidRPr="00CA1A43">
        <w:rPr>
          <w:rFonts w:eastAsia="標楷體" w:cstheme="minorHAnsi"/>
        </w:rPr>
        <w:t>)</w:t>
      </w:r>
      <w:r w:rsidRPr="00CA1A43">
        <w:rPr>
          <w:rFonts w:eastAsia="標楷體" w:cstheme="minorHAnsi"/>
        </w:rPr>
        <w:t>則以負</w:t>
      </w:r>
      <w:r w:rsidRPr="00CA1A43">
        <w:rPr>
          <w:rFonts w:eastAsia="標楷體" w:cstheme="minorHAnsi"/>
        </w:rPr>
        <w:t>(</w:t>
      </w:r>
      <w:r w:rsidRPr="00CA1A43">
        <w:rPr>
          <w:rFonts w:eastAsia="標楷體" w:cstheme="minorHAnsi"/>
        </w:rPr>
        <w:t>正</w:t>
      </w:r>
      <w:r w:rsidRPr="00CA1A43">
        <w:rPr>
          <w:rFonts w:eastAsia="標楷體" w:cstheme="minorHAnsi"/>
        </w:rPr>
        <w:t>)</w:t>
      </w:r>
      <w:r w:rsidRPr="00CA1A43">
        <w:rPr>
          <w:rFonts w:eastAsia="標楷體" w:cstheme="minorHAnsi"/>
        </w:rPr>
        <w:t>值表示。若衍生性商品之合約或法律文件允許可在沒有違約</w:t>
      </w:r>
      <w:proofErr w:type="gramStart"/>
      <w:r w:rsidRPr="00CA1A43">
        <w:rPr>
          <w:rFonts w:eastAsia="標楷體" w:cstheme="minorHAnsi"/>
        </w:rPr>
        <w:t>風險暴險情況</w:t>
      </w:r>
      <w:proofErr w:type="gramEnd"/>
      <w:r w:rsidRPr="00CA1A43">
        <w:rPr>
          <w:rFonts w:eastAsia="標楷體" w:cstheme="minorHAnsi"/>
        </w:rPr>
        <w:t>下進行解約，則瞬間違約部位等於零。</w:t>
      </w:r>
    </w:p>
    <w:p w14:paraId="34AB84F1" w14:textId="2502774F" w:rsidR="000555A9" w:rsidRPr="00CA1A43" w:rsidRDefault="00553535"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對所有</w:t>
      </w:r>
      <w:r w:rsidR="009653EE" w:rsidRPr="003247B6">
        <w:rPr>
          <w:rFonts w:eastAsia="標楷體" w:cstheme="minorHAnsi"/>
        </w:rPr>
        <w:t>工具</w:t>
      </w:r>
      <w:r w:rsidRPr="00CA1A43">
        <w:rPr>
          <w:rFonts w:eastAsia="標楷體" w:cstheme="minorHAnsi"/>
        </w:rPr>
        <w:t>而言，名目本金被用以決定違約時的本金損失，而市價評估損失用以決定淨損失，為了不重複計算已反應在部位市場價值的市價評估損失，如下表</w:t>
      </w:r>
      <w:r w:rsidRPr="00CA1A43">
        <w:rPr>
          <w:rFonts w:eastAsia="標楷體" w:cstheme="minorHAnsi"/>
        </w:rPr>
        <w:t>1</w:t>
      </w:r>
      <w:r w:rsidR="00B53754">
        <w:rPr>
          <w:rFonts w:eastAsia="標楷體" w:cstheme="minorHAnsi" w:hint="eastAsia"/>
        </w:rPr>
        <w:t>4</w:t>
      </w:r>
      <w:r w:rsidRPr="00CA1A43">
        <w:rPr>
          <w:rFonts w:eastAsia="標楷體" w:cstheme="minorHAnsi"/>
        </w:rPr>
        <w:t>。表</w:t>
      </w:r>
      <w:r w:rsidRPr="00CA1A43">
        <w:rPr>
          <w:rFonts w:eastAsia="標楷體" w:cstheme="minorHAnsi"/>
        </w:rPr>
        <w:t>1</w:t>
      </w:r>
      <w:r w:rsidR="00B53754">
        <w:rPr>
          <w:rFonts w:eastAsia="標楷體" w:cstheme="minorHAnsi" w:hint="eastAsia"/>
        </w:rPr>
        <w:t>4</w:t>
      </w:r>
      <w:r w:rsidRPr="00CA1A43">
        <w:rPr>
          <w:rFonts w:eastAsia="標楷體" w:cstheme="minorHAnsi"/>
        </w:rPr>
        <w:t>為計算瞬間違約部位時之名目本金及市場價值之範例。</w:t>
      </w:r>
    </w:p>
    <w:tbl>
      <w:tblPr>
        <w:tblW w:w="5000" w:type="pct"/>
        <w:tblBorders>
          <w:top w:val="single" w:sz="12" w:space="0" w:color="auto"/>
          <w:bottom w:val="single" w:sz="12" w:space="0" w:color="auto"/>
          <w:insideH w:val="single" w:sz="4" w:space="0" w:color="A6A6A6"/>
          <w:insideV w:val="single" w:sz="4" w:space="0" w:color="A6A6A6"/>
        </w:tblBorders>
        <w:tblLayout w:type="fixed"/>
        <w:tblLook w:val="04A0" w:firstRow="1" w:lastRow="0" w:firstColumn="1" w:lastColumn="0" w:noHBand="0" w:noVBand="1"/>
      </w:tblPr>
      <w:tblGrid>
        <w:gridCol w:w="2552"/>
        <w:gridCol w:w="1276"/>
        <w:gridCol w:w="2126"/>
        <w:gridCol w:w="960"/>
        <w:gridCol w:w="1392"/>
      </w:tblGrid>
      <w:tr w:rsidR="006D1D96" w:rsidRPr="00CA1A43" w14:paraId="69974E61" w14:textId="77777777" w:rsidTr="004708E6">
        <w:trPr>
          <w:trHeight w:val="454"/>
        </w:trPr>
        <w:tc>
          <w:tcPr>
            <w:tcW w:w="4162" w:type="pct"/>
            <w:gridSpan w:val="4"/>
            <w:tcBorders>
              <w:top w:val="single" w:sz="4" w:space="0" w:color="auto"/>
              <w:left w:val="nil"/>
              <w:bottom w:val="single" w:sz="4" w:space="0" w:color="auto"/>
              <w:right w:val="nil"/>
            </w:tcBorders>
            <w:vAlign w:val="center"/>
          </w:tcPr>
          <w:p w14:paraId="3317D836"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瞬間違約公式中</w:t>
            </w:r>
            <w:proofErr w:type="gramStart"/>
            <w:r w:rsidRPr="00CA1A43">
              <w:rPr>
                <w:rFonts w:asciiTheme="minorHAnsi" w:hAnsiTheme="minorHAnsi" w:cstheme="minorHAnsi"/>
                <w:sz w:val="24"/>
                <w:szCs w:val="24"/>
              </w:rPr>
              <w:t>信用暴險部位</w:t>
            </w:r>
            <w:proofErr w:type="gramEnd"/>
            <w:r w:rsidRPr="00CA1A43">
              <w:rPr>
                <w:rFonts w:asciiTheme="minorHAnsi" w:hAnsiTheme="minorHAnsi" w:cstheme="minorHAnsi"/>
                <w:sz w:val="24"/>
                <w:szCs w:val="24"/>
              </w:rPr>
              <w:t>之組成範例</w:t>
            </w:r>
          </w:p>
        </w:tc>
        <w:tc>
          <w:tcPr>
            <w:tcW w:w="838" w:type="pct"/>
            <w:tcBorders>
              <w:top w:val="single" w:sz="4" w:space="0" w:color="auto"/>
              <w:left w:val="nil"/>
              <w:bottom w:val="single" w:sz="4" w:space="0" w:color="auto"/>
              <w:right w:val="nil"/>
            </w:tcBorders>
            <w:vAlign w:val="center"/>
          </w:tcPr>
          <w:p w14:paraId="34CE4E1C" w14:textId="77777777" w:rsidR="006D1D96" w:rsidRPr="00CA1A43" w:rsidRDefault="006D1D96" w:rsidP="004708E6">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1</w:t>
            </w:r>
            <w:r w:rsidR="00B53754">
              <w:rPr>
                <w:rFonts w:asciiTheme="minorHAnsi" w:hAnsiTheme="minorHAnsi" w:cstheme="minorHAnsi" w:hint="eastAsia"/>
                <w:sz w:val="24"/>
                <w:szCs w:val="24"/>
              </w:rPr>
              <w:t>4</w:t>
            </w:r>
          </w:p>
        </w:tc>
      </w:tr>
      <w:tr w:rsidR="006D1D96" w:rsidRPr="00CA1A43" w14:paraId="0123D630" w14:textId="77777777" w:rsidTr="000F7259">
        <w:trPr>
          <w:trHeight w:val="315"/>
        </w:trPr>
        <w:tc>
          <w:tcPr>
            <w:tcW w:w="1536" w:type="pct"/>
            <w:tcBorders>
              <w:top w:val="single" w:sz="4" w:space="0" w:color="auto"/>
              <w:left w:val="nil"/>
              <w:bottom w:val="single" w:sz="4" w:space="0" w:color="auto"/>
              <w:right w:val="single" w:sz="8" w:space="0" w:color="A6A6A6" w:themeColor="background1" w:themeShade="A6"/>
            </w:tcBorders>
            <w:vAlign w:val="center"/>
          </w:tcPr>
          <w:p w14:paraId="6CA6C0A5" w14:textId="04B96ACD" w:rsidR="006D1D96" w:rsidRPr="00CA1A43" w:rsidRDefault="009653EE" w:rsidP="003247B6">
            <w:pPr>
              <w:pStyle w:val="Item"/>
              <w:rPr>
                <w:rFonts w:asciiTheme="minorHAnsi" w:hAnsiTheme="minorHAnsi" w:cstheme="minorHAnsi"/>
                <w:sz w:val="24"/>
                <w:szCs w:val="24"/>
              </w:rPr>
            </w:pPr>
            <w:r w:rsidRPr="003247B6">
              <w:rPr>
                <w:rFonts w:asciiTheme="minorHAnsi" w:hAnsiTheme="minorHAnsi" w:cstheme="minorHAnsi"/>
                <w:sz w:val="24"/>
                <w:szCs w:val="24"/>
              </w:rPr>
              <w:t>工具</w:t>
            </w:r>
            <w:r w:rsidR="006D1D96" w:rsidRPr="003247B6">
              <w:rPr>
                <w:rFonts w:asciiTheme="minorHAnsi" w:hAnsiTheme="minorHAnsi" w:cstheme="minorHAnsi"/>
                <w:sz w:val="24"/>
                <w:szCs w:val="24"/>
              </w:rPr>
              <w:t>操作</w:t>
            </w:r>
          </w:p>
        </w:tc>
        <w:tc>
          <w:tcPr>
            <w:tcW w:w="768" w:type="pct"/>
            <w:tcBorders>
              <w:top w:val="single" w:sz="4" w:space="0" w:color="auto"/>
              <w:left w:val="single" w:sz="8" w:space="0" w:color="A6A6A6" w:themeColor="background1" w:themeShade="A6"/>
              <w:bottom w:val="single" w:sz="4" w:space="0" w:color="auto"/>
              <w:right w:val="single" w:sz="8" w:space="0" w:color="A6A6A6" w:themeColor="background1" w:themeShade="A6"/>
            </w:tcBorders>
            <w:vAlign w:val="center"/>
          </w:tcPr>
          <w:p w14:paraId="543958E0" w14:textId="77777777" w:rsidR="006D1D96" w:rsidRPr="00CA1A43" w:rsidRDefault="006D1D9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部位方向</w:t>
            </w:r>
          </w:p>
        </w:tc>
        <w:tc>
          <w:tcPr>
            <w:tcW w:w="1280" w:type="pct"/>
            <w:tcBorders>
              <w:top w:val="single" w:sz="4" w:space="0" w:color="auto"/>
              <w:left w:val="single" w:sz="8" w:space="0" w:color="A6A6A6" w:themeColor="background1" w:themeShade="A6"/>
              <w:bottom w:val="single" w:sz="4" w:space="0" w:color="auto"/>
              <w:right w:val="single" w:sz="8" w:space="0" w:color="A6A6A6" w:themeColor="background1" w:themeShade="A6"/>
            </w:tcBorders>
            <w:vAlign w:val="center"/>
          </w:tcPr>
          <w:p w14:paraId="3713689C" w14:textId="77777777" w:rsidR="006D1D96" w:rsidRPr="00CA1A43" w:rsidRDefault="006D1D9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名目本金</w:t>
            </w:r>
          </w:p>
        </w:tc>
        <w:tc>
          <w:tcPr>
            <w:tcW w:w="1416" w:type="pct"/>
            <w:gridSpan w:val="2"/>
            <w:tcBorders>
              <w:top w:val="single" w:sz="4" w:space="0" w:color="auto"/>
              <w:left w:val="single" w:sz="8" w:space="0" w:color="A6A6A6" w:themeColor="background1" w:themeShade="A6"/>
              <w:bottom w:val="single" w:sz="4" w:space="0" w:color="auto"/>
              <w:right w:val="nil"/>
            </w:tcBorders>
            <w:vAlign w:val="center"/>
          </w:tcPr>
          <w:p w14:paraId="7EA0FD56" w14:textId="77777777" w:rsidR="006D1D96" w:rsidRPr="00CA1A43" w:rsidRDefault="006D1D9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損益</w:t>
            </w:r>
            <w:r w:rsidR="00F47FF7" w:rsidRPr="00CA1A43">
              <w:rPr>
                <w:rStyle w:val="a5"/>
                <w:rFonts w:asciiTheme="minorHAnsi" w:hAnsiTheme="minorHAnsi" w:cstheme="minorHAnsi"/>
              </w:rPr>
              <w:footnoteReference w:id="45"/>
            </w:r>
          </w:p>
        </w:tc>
      </w:tr>
      <w:tr w:rsidR="006D1D96" w:rsidRPr="00CA1A43" w14:paraId="4FC40D05" w14:textId="77777777" w:rsidTr="000F7259">
        <w:trPr>
          <w:trHeight w:val="283"/>
        </w:trPr>
        <w:tc>
          <w:tcPr>
            <w:tcW w:w="1536" w:type="pct"/>
            <w:tcBorders>
              <w:top w:val="single" w:sz="4" w:space="0" w:color="auto"/>
              <w:left w:val="nil"/>
              <w:bottom w:val="single" w:sz="8" w:space="0" w:color="A6A6A6" w:themeColor="background1" w:themeShade="A6"/>
              <w:right w:val="single" w:sz="8" w:space="0" w:color="A6A6A6" w:themeColor="background1" w:themeShade="A6"/>
            </w:tcBorders>
            <w:vAlign w:val="center"/>
            <w:hideMark/>
          </w:tcPr>
          <w:p w14:paraId="56DCB259"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購入債券</w:t>
            </w:r>
          </w:p>
        </w:tc>
        <w:tc>
          <w:tcPr>
            <w:tcW w:w="768"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BB2E20A"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長部位</w:t>
            </w:r>
          </w:p>
        </w:tc>
        <w:tc>
          <w:tcPr>
            <w:tcW w:w="1280"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14:paraId="4896798A"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債券面額</w:t>
            </w:r>
          </w:p>
        </w:tc>
        <w:tc>
          <w:tcPr>
            <w:tcW w:w="1416" w:type="pct"/>
            <w:gridSpan w:val="2"/>
            <w:tcBorders>
              <w:top w:val="single" w:sz="4" w:space="0" w:color="auto"/>
              <w:left w:val="single" w:sz="8" w:space="0" w:color="A6A6A6" w:themeColor="background1" w:themeShade="A6"/>
              <w:bottom w:val="single" w:sz="8" w:space="0" w:color="A6A6A6" w:themeColor="background1" w:themeShade="A6"/>
              <w:right w:val="nil"/>
            </w:tcBorders>
            <w:vAlign w:val="center"/>
            <w:hideMark/>
          </w:tcPr>
          <w:p w14:paraId="4FC19027"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市場價值</w:t>
            </w:r>
            <w:r w:rsidRPr="00CA1A43">
              <w:rPr>
                <w:rFonts w:asciiTheme="minorHAnsi" w:hAnsiTheme="minorHAnsi" w:cstheme="minorHAnsi"/>
                <w:sz w:val="24"/>
                <w:szCs w:val="24"/>
              </w:rPr>
              <w:t>-</w:t>
            </w:r>
            <w:r w:rsidRPr="00CA1A43">
              <w:rPr>
                <w:rFonts w:asciiTheme="minorHAnsi" w:hAnsiTheme="minorHAnsi" w:cstheme="minorHAnsi"/>
                <w:sz w:val="24"/>
                <w:szCs w:val="24"/>
              </w:rPr>
              <w:t>面額</w:t>
            </w:r>
          </w:p>
        </w:tc>
      </w:tr>
      <w:tr w:rsidR="006D1D96" w:rsidRPr="00CA1A43" w14:paraId="195FB41B" w14:textId="77777777" w:rsidTr="000F7259">
        <w:trPr>
          <w:trHeight w:val="283"/>
        </w:trPr>
        <w:tc>
          <w:tcPr>
            <w:tcW w:w="1536" w:type="pct"/>
            <w:tcBorders>
              <w:top w:val="single" w:sz="4" w:space="0" w:color="auto"/>
              <w:left w:val="nil"/>
              <w:bottom w:val="single" w:sz="8" w:space="0" w:color="A6A6A6" w:themeColor="background1" w:themeShade="A6"/>
              <w:right w:val="single" w:sz="8" w:space="0" w:color="A6A6A6" w:themeColor="background1" w:themeShade="A6"/>
            </w:tcBorders>
            <w:vAlign w:val="center"/>
          </w:tcPr>
          <w:p w14:paraId="2F346564"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放空債券</w:t>
            </w:r>
          </w:p>
        </w:tc>
        <w:tc>
          <w:tcPr>
            <w:tcW w:w="768"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8226860"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短部位</w:t>
            </w:r>
          </w:p>
        </w:tc>
        <w:tc>
          <w:tcPr>
            <w:tcW w:w="1280"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2B0AE373"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 xml:space="preserve">- </w:t>
            </w:r>
            <w:r w:rsidRPr="00CA1A43">
              <w:rPr>
                <w:rFonts w:asciiTheme="minorHAnsi" w:hAnsiTheme="minorHAnsi" w:cstheme="minorHAnsi"/>
                <w:sz w:val="24"/>
                <w:szCs w:val="24"/>
              </w:rPr>
              <w:t>債券面額</w:t>
            </w:r>
          </w:p>
        </w:tc>
        <w:tc>
          <w:tcPr>
            <w:tcW w:w="1416" w:type="pct"/>
            <w:gridSpan w:val="2"/>
            <w:tcBorders>
              <w:top w:val="single" w:sz="4" w:space="0" w:color="auto"/>
              <w:left w:val="single" w:sz="8" w:space="0" w:color="A6A6A6" w:themeColor="background1" w:themeShade="A6"/>
              <w:bottom w:val="single" w:sz="8" w:space="0" w:color="A6A6A6" w:themeColor="background1" w:themeShade="A6"/>
              <w:right w:val="nil"/>
            </w:tcBorders>
            <w:vAlign w:val="center"/>
          </w:tcPr>
          <w:p w14:paraId="5BC46B92"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面額</w:t>
            </w:r>
            <w:r w:rsidRPr="00CA1A43">
              <w:rPr>
                <w:rFonts w:asciiTheme="minorHAnsi" w:hAnsiTheme="minorHAnsi" w:cstheme="minorHAnsi"/>
                <w:sz w:val="24"/>
                <w:szCs w:val="24"/>
              </w:rPr>
              <w:t>-</w:t>
            </w:r>
            <w:r w:rsidRPr="00CA1A43">
              <w:rPr>
                <w:rFonts w:asciiTheme="minorHAnsi" w:hAnsiTheme="minorHAnsi" w:cstheme="minorHAnsi"/>
                <w:sz w:val="24"/>
                <w:szCs w:val="24"/>
              </w:rPr>
              <w:t>市場價值</w:t>
            </w:r>
          </w:p>
        </w:tc>
      </w:tr>
      <w:tr w:rsidR="006D1D96" w:rsidRPr="00CA1A43" w14:paraId="439C1F8F" w14:textId="77777777" w:rsidTr="000F7259">
        <w:trPr>
          <w:trHeight w:val="283"/>
        </w:trPr>
        <w:tc>
          <w:tcPr>
            <w:tcW w:w="1536" w:type="pct"/>
            <w:tcBorders>
              <w:top w:val="single" w:sz="4" w:space="0" w:color="auto"/>
              <w:left w:val="nil"/>
              <w:bottom w:val="single" w:sz="8" w:space="0" w:color="A6A6A6" w:themeColor="background1" w:themeShade="A6"/>
              <w:right w:val="single" w:sz="8" w:space="0" w:color="A6A6A6" w:themeColor="background1" w:themeShade="A6"/>
            </w:tcBorders>
            <w:vAlign w:val="center"/>
          </w:tcPr>
          <w:p w14:paraId="078D3126"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買入信用違約交換</w:t>
            </w:r>
          </w:p>
        </w:tc>
        <w:tc>
          <w:tcPr>
            <w:tcW w:w="768"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EA34144"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短部位</w:t>
            </w:r>
          </w:p>
        </w:tc>
        <w:tc>
          <w:tcPr>
            <w:tcW w:w="1280" w:type="pct"/>
            <w:tcBorders>
              <w:top w:val="single" w:sz="4" w:space="0" w:color="auto"/>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80BABF6"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 xml:space="preserve">- </w:t>
            </w:r>
            <w:r w:rsidRPr="00CA1A43">
              <w:rPr>
                <w:rFonts w:asciiTheme="minorHAnsi" w:hAnsiTheme="minorHAnsi" w:cstheme="minorHAnsi"/>
                <w:sz w:val="24"/>
                <w:szCs w:val="24"/>
              </w:rPr>
              <w:t>信用違約交換名目本金</w:t>
            </w:r>
          </w:p>
        </w:tc>
        <w:tc>
          <w:tcPr>
            <w:tcW w:w="1416" w:type="pct"/>
            <w:gridSpan w:val="2"/>
            <w:tcBorders>
              <w:top w:val="single" w:sz="4" w:space="0" w:color="auto"/>
              <w:left w:val="single" w:sz="8" w:space="0" w:color="A6A6A6" w:themeColor="background1" w:themeShade="A6"/>
              <w:bottom w:val="single" w:sz="8" w:space="0" w:color="A6A6A6" w:themeColor="background1" w:themeShade="A6"/>
              <w:right w:val="nil"/>
            </w:tcBorders>
            <w:vAlign w:val="center"/>
          </w:tcPr>
          <w:p w14:paraId="22D0E98A" w14:textId="77777777" w:rsidR="006D1D96" w:rsidRPr="00CA1A43" w:rsidRDefault="006D1D96" w:rsidP="004708E6">
            <w:pPr>
              <w:pStyle w:val="Item"/>
              <w:rPr>
                <w:rFonts w:asciiTheme="minorHAnsi" w:hAnsiTheme="minorHAnsi" w:cstheme="minorHAnsi"/>
                <w:sz w:val="24"/>
                <w:szCs w:val="24"/>
              </w:rPr>
            </w:pP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信用違約交換市值</w:t>
            </w:r>
            <w:proofErr w:type="gramStart"/>
            <w:r w:rsidRPr="00CA1A43">
              <w:rPr>
                <w:rFonts w:asciiTheme="minorHAnsi" w:hAnsiTheme="minorHAnsi" w:cstheme="minorHAnsi"/>
                <w:sz w:val="24"/>
                <w:szCs w:val="24"/>
              </w:rPr>
              <w:t>│</w:t>
            </w:r>
            <w:proofErr w:type="gramEnd"/>
          </w:p>
        </w:tc>
      </w:tr>
      <w:tr w:rsidR="006D1D96" w:rsidRPr="00CA1A43" w14:paraId="50B5AB45" w14:textId="77777777" w:rsidTr="000F7259">
        <w:trPr>
          <w:trHeight w:val="381"/>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hideMark/>
          </w:tcPr>
          <w:p w14:paraId="57739547"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賣出信用違約交換</w:t>
            </w:r>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832A6F4"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長部位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14:paraId="1A3B902C"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信用違約交換名目本金</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hideMark/>
          </w:tcPr>
          <w:p w14:paraId="7A169DEE"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信用違約交換市值</w:t>
            </w:r>
            <w:proofErr w:type="gramStart"/>
            <w:r w:rsidRPr="00CA1A43">
              <w:rPr>
                <w:rFonts w:asciiTheme="minorHAnsi" w:hAnsiTheme="minorHAnsi" w:cstheme="minorHAnsi"/>
                <w:sz w:val="24"/>
                <w:szCs w:val="24"/>
              </w:rPr>
              <w:t>│</w:t>
            </w:r>
            <w:proofErr w:type="gramEnd"/>
          </w:p>
        </w:tc>
      </w:tr>
      <w:tr w:rsidR="006D1D96" w:rsidRPr="00CA1A43" w14:paraId="26F6931C" w14:textId="77777777" w:rsidTr="000F7259">
        <w:trPr>
          <w:trHeight w:val="381"/>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647860FD"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lastRenderedPageBreak/>
              <w:t>買入債券</w:t>
            </w:r>
            <w:proofErr w:type="gramStart"/>
            <w:r w:rsidRPr="00CA1A43">
              <w:rPr>
                <w:rFonts w:asciiTheme="minorHAnsi" w:hAnsiTheme="minorHAnsi" w:cstheme="minorHAnsi"/>
                <w:sz w:val="24"/>
                <w:szCs w:val="24"/>
              </w:rPr>
              <w:t>選擇權買權</w:t>
            </w:r>
            <w:proofErr w:type="gramEnd"/>
            <w:r w:rsidR="00F47FF7" w:rsidRPr="00CA1A43">
              <w:rPr>
                <w:rStyle w:val="a5"/>
                <w:rFonts w:asciiTheme="minorHAnsi" w:hAnsiTheme="minorHAnsi" w:cstheme="minorHAnsi"/>
              </w:rPr>
              <w:footnoteReference w:id="46"/>
            </w:r>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92DAB77"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長部位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817E119"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0</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7723796F" w14:textId="77777777" w:rsidR="006D1D96" w:rsidRPr="00CA1A43" w:rsidRDefault="006D1D96" w:rsidP="004708E6">
            <w:pPr>
              <w:pStyle w:val="Item"/>
              <w:rPr>
                <w:rFonts w:asciiTheme="minorHAnsi" w:hAnsiTheme="minorHAnsi" w:cstheme="minorHAnsi"/>
                <w:sz w:val="24"/>
                <w:szCs w:val="24"/>
              </w:rPr>
            </w:pP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p>
        </w:tc>
      </w:tr>
      <w:tr w:rsidR="006D1D96" w:rsidRPr="00CA1A43" w14:paraId="1C1DF582" w14:textId="77777777" w:rsidTr="000F7259">
        <w:trPr>
          <w:trHeight w:val="381"/>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5C764F58"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賣出債券</w:t>
            </w:r>
            <w:proofErr w:type="gramStart"/>
            <w:r w:rsidRPr="00CA1A43">
              <w:rPr>
                <w:rFonts w:asciiTheme="minorHAnsi" w:hAnsiTheme="minorHAnsi" w:cstheme="minorHAnsi"/>
                <w:sz w:val="24"/>
                <w:szCs w:val="24"/>
              </w:rPr>
              <w:t>選擇權買權</w:t>
            </w:r>
            <w:proofErr w:type="gramEnd"/>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1CEC952"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短部位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50E2D46"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0</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7BEBB223"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p>
        </w:tc>
      </w:tr>
      <w:tr w:rsidR="006D1D96" w:rsidRPr="00CA1A43" w14:paraId="608FEA36" w14:textId="77777777" w:rsidTr="000F7259">
        <w:trPr>
          <w:trHeight w:val="381"/>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44603B64"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買入債券</w:t>
            </w:r>
            <w:proofErr w:type="gramStart"/>
            <w:r w:rsidRPr="00CA1A43">
              <w:rPr>
                <w:rFonts w:asciiTheme="minorHAnsi" w:hAnsiTheme="minorHAnsi" w:cstheme="minorHAnsi"/>
                <w:sz w:val="24"/>
                <w:szCs w:val="24"/>
              </w:rPr>
              <w:t>選擇權賣權</w:t>
            </w:r>
            <w:proofErr w:type="gramEnd"/>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AD349E3"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短部位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56C66C25"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 xml:space="preserve">- </w:t>
            </w:r>
            <w:r w:rsidRPr="00CA1A43">
              <w:rPr>
                <w:rFonts w:asciiTheme="minorHAnsi" w:hAnsiTheme="minorHAnsi" w:cstheme="minorHAnsi"/>
                <w:sz w:val="24"/>
                <w:szCs w:val="24"/>
              </w:rPr>
              <w:t>選擇權名目本金</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152FA9C0"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w:t>
            </w:r>
            <w:r w:rsidRPr="00CA1A43">
              <w:rPr>
                <w:rFonts w:asciiTheme="minorHAnsi" w:hAnsiTheme="minorHAnsi" w:cstheme="minorHAnsi"/>
                <w:sz w:val="24"/>
                <w:szCs w:val="24"/>
              </w:rPr>
              <w:t>名目本金</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w:t>
            </w:r>
            <w:r w:rsidRPr="00CA1A43">
              <w:rPr>
                <w:rFonts w:asciiTheme="minorHAnsi" w:hAnsiTheme="minorHAnsi" w:cstheme="minorHAnsi"/>
                <w:sz w:val="24"/>
                <w:szCs w:val="24"/>
              </w:rPr>
              <w:t>履約金額</w:t>
            </w:r>
          </w:p>
        </w:tc>
      </w:tr>
      <w:tr w:rsidR="006D1D96" w:rsidRPr="00CA1A43" w14:paraId="6F1519BA" w14:textId="77777777" w:rsidTr="000F7259">
        <w:trPr>
          <w:trHeight w:val="125"/>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hideMark/>
          </w:tcPr>
          <w:p w14:paraId="0C19140E"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賣出債券</w:t>
            </w:r>
            <w:proofErr w:type="gramStart"/>
            <w:r w:rsidRPr="00CA1A43">
              <w:rPr>
                <w:rFonts w:asciiTheme="minorHAnsi" w:hAnsiTheme="minorHAnsi" w:cstheme="minorHAnsi"/>
                <w:sz w:val="24"/>
                <w:szCs w:val="24"/>
              </w:rPr>
              <w:t>選擇權賣權</w:t>
            </w:r>
            <w:proofErr w:type="gramEnd"/>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92308EB"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長部位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hideMark/>
          </w:tcPr>
          <w:p w14:paraId="101A032E"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選擇權名目本金</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hideMark/>
          </w:tcPr>
          <w:p w14:paraId="50F8AD17"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w:t>
            </w:r>
            <w:r w:rsidRPr="00CA1A43">
              <w:rPr>
                <w:rFonts w:asciiTheme="minorHAnsi" w:hAnsiTheme="minorHAnsi" w:cstheme="minorHAnsi"/>
                <w:sz w:val="24"/>
                <w:szCs w:val="24"/>
              </w:rPr>
              <w:t>履約金額</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w:t>
            </w:r>
            <w:r w:rsidRPr="00CA1A43">
              <w:rPr>
                <w:rFonts w:asciiTheme="minorHAnsi" w:hAnsiTheme="minorHAnsi" w:cstheme="minorHAnsi"/>
                <w:sz w:val="24"/>
                <w:szCs w:val="24"/>
              </w:rPr>
              <w:t>名目本金</w:t>
            </w:r>
          </w:p>
        </w:tc>
      </w:tr>
      <w:tr w:rsidR="006D1D96" w:rsidRPr="00CA1A43" w14:paraId="736A6FCF" w14:textId="77777777" w:rsidTr="000F7259">
        <w:trPr>
          <w:trHeight w:val="125"/>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1788F4A0"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買入現股</w:t>
            </w:r>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C1D61EF"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長部位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E42F66D" w14:textId="56DE5484" w:rsidR="006D1D96" w:rsidRPr="00612B7F" w:rsidRDefault="00612B7F" w:rsidP="004708E6">
            <w:pPr>
              <w:pStyle w:val="Item"/>
              <w:rPr>
                <w:rFonts w:asciiTheme="minorHAnsi" w:hAnsiTheme="minorHAnsi" w:cstheme="minorHAnsi"/>
                <w:sz w:val="24"/>
                <w:szCs w:val="24"/>
              </w:rPr>
            </w:pPr>
            <w:r w:rsidRPr="00612B7F">
              <w:rPr>
                <w:rFonts w:asciiTheme="minorHAnsi" w:hAnsiTheme="minorHAnsi" w:cstheme="minorHAnsi"/>
                <w:color w:val="FF0000"/>
                <w:sz w:val="24"/>
                <w:szCs w:val="24"/>
              </w:rPr>
              <w:t>原始成本</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39F47CF4" w14:textId="783E06AA" w:rsidR="006D1D96" w:rsidRPr="00612B7F" w:rsidRDefault="006D1D96" w:rsidP="004708E6">
            <w:pPr>
              <w:pStyle w:val="Item"/>
              <w:rPr>
                <w:rFonts w:asciiTheme="minorHAnsi" w:hAnsiTheme="minorHAnsi" w:cstheme="minorHAnsi"/>
                <w:sz w:val="24"/>
                <w:szCs w:val="24"/>
              </w:rPr>
            </w:pPr>
            <w:r w:rsidRPr="00612B7F">
              <w:rPr>
                <w:rFonts w:asciiTheme="minorHAnsi" w:hAnsiTheme="minorHAnsi" w:cstheme="minorHAnsi"/>
                <w:sz w:val="24"/>
                <w:szCs w:val="24"/>
              </w:rPr>
              <w:t>市場價值</w:t>
            </w:r>
            <w:r w:rsidR="00612B7F" w:rsidRPr="00612B7F">
              <w:rPr>
                <w:rFonts w:asciiTheme="minorHAnsi" w:hAnsiTheme="minorHAnsi" w:cstheme="minorHAnsi"/>
                <w:color w:val="FF0000"/>
                <w:sz w:val="24"/>
                <w:szCs w:val="24"/>
              </w:rPr>
              <w:t>-</w:t>
            </w:r>
            <w:r w:rsidR="00612B7F" w:rsidRPr="00612B7F">
              <w:rPr>
                <w:rFonts w:asciiTheme="minorHAnsi" w:hAnsiTheme="minorHAnsi" w:cstheme="minorHAnsi"/>
                <w:color w:val="FF0000"/>
                <w:sz w:val="24"/>
                <w:szCs w:val="24"/>
              </w:rPr>
              <w:t>原始成本</w:t>
            </w:r>
          </w:p>
        </w:tc>
      </w:tr>
      <w:tr w:rsidR="006D1D96" w:rsidRPr="00CA1A43" w14:paraId="00470669" w14:textId="77777777" w:rsidTr="000F7259">
        <w:trPr>
          <w:trHeight w:val="125"/>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555049DD"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放空現股</w:t>
            </w:r>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42E9242"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短部位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9ADA1D5" w14:textId="2A5D29EA" w:rsidR="006D1D96" w:rsidRPr="00612B7F" w:rsidRDefault="00AA1117" w:rsidP="004708E6">
            <w:pPr>
              <w:pStyle w:val="Item"/>
              <w:rPr>
                <w:rFonts w:asciiTheme="minorHAnsi" w:hAnsiTheme="minorHAnsi" w:cstheme="minorHAnsi"/>
                <w:sz w:val="24"/>
                <w:szCs w:val="24"/>
              </w:rPr>
            </w:pPr>
            <w:r w:rsidRPr="00612B7F">
              <w:rPr>
                <w:rFonts w:asciiTheme="minorHAnsi" w:hAnsiTheme="minorHAnsi" w:cstheme="minorHAnsi"/>
                <w:color w:val="FF0000"/>
                <w:sz w:val="24"/>
                <w:szCs w:val="24"/>
              </w:rPr>
              <w:t>-</w:t>
            </w:r>
            <w:r w:rsidR="00612B7F" w:rsidRPr="00612B7F">
              <w:rPr>
                <w:rFonts w:asciiTheme="minorHAnsi" w:hAnsiTheme="minorHAnsi" w:cstheme="minorHAnsi"/>
                <w:color w:val="FF0000"/>
                <w:sz w:val="24"/>
                <w:szCs w:val="24"/>
              </w:rPr>
              <w:t>原始成本</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6526102A" w14:textId="14CDB067" w:rsidR="006D1D96" w:rsidRPr="00612B7F" w:rsidRDefault="006D1D96" w:rsidP="004708E6">
            <w:pPr>
              <w:pStyle w:val="Item"/>
              <w:rPr>
                <w:rFonts w:asciiTheme="minorHAnsi" w:hAnsiTheme="minorHAnsi" w:cstheme="minorHAnsi"/>
                <w:sz w:val="24"/>
                <w:szCs w:val="24"/>
              </w:rPr>
            </w:pPr>
            <w:r w:rsidRPr="00612B7F">
              <w:rPr>
                <w:rFonts w:asciiTheme="minorHAnsi" w:hAnsiTheme="minorHAnsi" w:cstheme="minorHAnsi"/>
                <w:sz w:val="24"/>
                <w:szCs w:val="24"/>
              </w:rPr>
              <w:t>-</w:t>
            </w:r>
            <w:r w:rsidRPr="00612B7F">
              <w:rPr>
                <w:rFonts w:asciiTheme="minorHAnsi" w:hAnsiTheme="minorHAnsi" w:cstheme="minorHAnsi"/>
                <w:sz w:val="24"/>
                <w:szCs w:val="24"/>
              </w:rPr>
              <w:t>市場價值</w:t>
            </w:r>
            <w:r w:rsidR="00612B7F" w:rsidRPr="00612B7F">
              <w:rPr>
                <w:rFonts w:asciiTheme="minorHAnsi" w:hAnsiTheme="minorHAnsi" w:cstheme="minorHAnsi"/>
                <w:color w:val="FF0000"/>
                <w:sz w:val="24"/>
                <w:szCs w:val="24"/>
              </w:rPr>
              <w:t>+</w:t>
            </w:r>
            <w:r w:rsidR="00612B7F" w:rsidRPr="00612B7F">
              <w:rPr>
                <w:rFonts w:asciiTheme="minorHAnsi" w:hAnsiTheme="minorHAnsi" w:cstheme="minorHAnsi"/>
                <w:color w:val="FF0000"/>
                <w:sz w:val="24"/>
                <w:szCs w:val="24"/>
              </w:rPr>
              <w:t>原始成本</w:t>
            </w:r>
          </w:p>
        </w:tc>
      </w:tr>
      <w:tr w:rsidR="006D1D96" w:rsidRPr="00CA1A43" w14:paraId="341F03B2" w14:textId="77777777" w:rsidTr="000F7259">
        <w:trPr>
          <w:trHeight w:val="125"/>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3FCD93E1"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買入股票選擇權買權</w:t>
            </w:r>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AEFF3F"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長部位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082FA50"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0</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6BC9B483" w14:textId="77777777" w:rsidR="006D1D96" w:rsidRPr="00CA1A43" w:rsidRDefault="006D1D96" w:rsidP="004708E6">
            <w:pPr>
              <w:pStyle w:val="Item"/>
              <w:rPr>
                <w:rFonts w:asciiTheme="minorHAnsi" w:hAnsiTheme="minorHAnsi" w:cstheme="minorHAnsi"/>
                <w:sz w:val="24"/>
                <w:szCs w:val="24"/>
              </w:rPr>
            </w:pP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p>
        </w:tc>
      </w:tr>
      <w:tr w:rsidR="006D1D96" w:rsidRPr="00CA1A43" w14:paraId="7CC0EBEC" w14:textId="77777777" w:rsidTr="000F7259">
        <w:trPr>
          <w:trHeight w:val="125"/>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24DD921E"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賣出股票選擇權買權</w:t>
            </w:r>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33B4331"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短部位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738D94C6"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0</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1991784D"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p>
        </w:tc>
      </w:tr>
      <w:tr w:rsidR="006D1D96" w:rsidRPr="00CA1A43" w14:paraId="1E3B0CCF" w14:textId="77777777" w:rsidTr="000F7259">
        <w:trPr>
          <w:trHeight w:val="125"/>
        </w:trPr>
        <w:tc>
          <w:tcPr>
            <w:tcW w:w="1536" w:type="pct"/>
            <w:tcBorders>
              <w:top w:val="single" w:sz="8" w:space="0" w:color="A6A6A6" w:themeColor="background1" w:themeShade="A6"/>
              <w:left w:val="nil"/>
              <w:bottom w:val="single" w:sz="8" w:space="0" w:color="A6A6A6" w:themeColor="background1" w:themeShade="A6"/>
              <w:right w:val="single" w:sz="8" w:space="0" w:color="A6A6A6" w:themeColor="background1" w:themeShade="A6"/>
            </w:tcBorders>
            <w:vAlign w:val="center"/>
          </w:tcPr>
          <w:p w14:paraId="1027C7A8"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買入股票選擇權賣權</w:t>
            </w:r>
          </w:p>
        </w:tc>
        <w:tc>
          <w:tcPr>
            <w:tcW w:w="768"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1232284"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短部位</w:t>
            </w:r>
          </w:p>
        </w:tc>
        <w:tc>
          <w:tcPr>
            <w:tcW w:w="128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1BEFFB6C"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0</w:t>
            </w:r>
          </w:p>
        </w:tc>
        <w:tc>
          <w:tcPr>
            <w:tcW w:w="1416" w:type="pct"/>
            <w:gridSpan w:val="2"/>
            <w:tcBorders>
              <w:top w:val="single" w:sz="8" w:space="0" w:color="A6A6A6" w:themeColor="background1" w:themeShade="A6"/>
              <w:left w:val="single" w:sz="8" w:space="0" w:color="A6A6A6" w:themeColor="background1" w:themeShade="A6"/>
              <w:bottom w:val="single" w:sz="8" w:space="0" w:color="A6A6A6" w:themeColor="background1" w:themeShade="A6"/>
              <w:right w:val="nil"/>
            </w:tcBorders>
            <w:vAlign w:val="center"/>
          </w:tcPr>
          <w:p w14:paraId="608D0D10" w14:textId="77777777" w:rsidR="006D1D96" w:rsidRPr="00CA1A43" w:rsidRDefault="006D1D96" w:rsidP="004708E6">
            <w:pPr>
              <w:pStyle w:val="Item"/>
              <w:rPr>
                <w:rFonts w:asciiTheme="minorHAnsi" w:hAnsiTheme="minorHAnsi" w:cstheme="minorHAnsi"/>
                <w:sz w:val="24"/>
                <w:szCs w:val="24"/>
              </w:rPr>
            </w:pP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w:t>
            </w:r>
            <w:r w:rsidRPr="00CA1A43">
              <w:rPr>
                <w:rFonts w:asciiTheme="minorHAnsi" w:hAnsiTheme="minorHAnsi" w:cstheme="minorHAnsi"/>
                <w:sz w:val="24"/>
                <w:szCs w:val="24"/>
              </w:rPr>
              <w:t>履約金額</w:t>
            </w:r>
          </w:p>
        </w:tc>
      </w:tr>
      <w:tr w:rsidR="006D1D96" w:rsidRPr="00CA1A43" w14:paraId="24851972" w14:textId="77777777" w:rsidTr="000F7259">
        <w:trPr>
          <w:trHeight w:val="125"/>
        </w:trPr>
        <w:tc>
          <w:tcPr>
            <w:tcW w:w="1536" w:type="pct"/>
            <w:tcBorders>
              <w:top w:val="single" w:sz="8" w:space="0" w:color="A6A6A6" w:themeColor="background1" w:themeShade="A6"/>
              <w:left w:val="nil"/>
              <w:bottom w:val="single" w:sz="4" w:space="0" w:color="auto"/>
              <w:right w:val="single" w:sz="8" w:space="0" w:color="A6A6A6" w:themeColor="background1" w:themeShade="A6"/>
            </w:tcBorders>
            <w:vAlign w:val="center"/>
          </w:tcPr>
          <w:p w14:paraId="5A672D8D"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賣出股票選擇權賣權</w:t>
            </w:r>
          </w:p>
        </w:tc>
        <w:tc>
          <w:tcPr>
            <w:tcW w:w="768" w:type="pct"/>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14:paraId="434B5795"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長部位</w:t>
            </w:r>
          </w:p>
        </w:tc>
        <w:tc>
          <w:tcPr>
            <w:tcW w:w="1280" w:type="pct"/>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14:paraId="3C6BD568"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0</w:t>
            </w:r>
          </w:p>
        </w:tc>
        <w:tc>
          <w:tcPr>
            <w:tcW w:w="1416" w:type="pct"/>
            <w:gridSpan w:val="2"/>
            <w:tcBorders>
              <w:top w:val="single" w:sz="8" w:space="0" w:color="A6A6A6" w:themeColor="background1" w:themeShade="A6"/>
              <w:left w:val="single" w:sz="8" w:space="0" w:color="A6A6A6" w:themeColor="background1" w:themeShade="A6"/>
              <w:bottom w:val="single" w:sz="4" w:space="0" w:color="auto"/>
              <w:right w:val="nil"/>
            </w:tcBorders>
            <w:vAlign w:val="center"/>
          </w:tcPr>
          <w:p w14:paraId="0FE6CE4D" w14:textId="77777777" w:rsidR="006D1D96" w:rsidRPr="00CA1A43" w:rsidRDefault="006D1D96" w:rsidP="004708E6">
            <w:pPr>
              <w:pStyle w:val="Item"/>
              <w:rPr>
                <w:rFonts w:asciiTheme="minorHAnsi" w:hAnsiTheme="minorHAnsi" w:cstheme="minorHAnsi"/>
                <w:sz w:val="24"/>
                <w:szCs w:val="24"/>
              </w:rPr>
            </w:pPr>
            <w:r w:rsidRPr="00CA1A43">
              <w:rPr>
                <w:rFonts w:asciiTheme="minorHAnsi" w:hAnsiTheme="minorHAnsi" w:cstheme="minorHAnsi"/>
                <w:sz w:val="24"/>
                <w:szCs w:val="24"/>
              </w:rPr>
              <w:t>履約金額</w:t>
            </w:r>
            <w:r w:rsidRPr="00CA1A43">
              <w:rPr>
                <w:rFonts w:asciiTheme="minorHAnsi" w:hAnsiTheme="minorHAnsi" w:cstheme="minorHAnsi"/>
                <w:sz w:val="24"/>
                <w:szCs w:val="24"/>
              </w:rPr>
              <w:t>-</w:t>
            </w:r>
            <w:proofErr w:type="gramStart"/>
            <w:r w:rsidRPr="00CA1A43">
              <w:rPr>
                <w:rFonts w:asciiTheme="minorHAnsi" w:hAnsiTheme="minorHAnsi" w:cstheme="minorHAnsi"/>
                <w:sz w:val="24"/>
                <w:szCs w:val="24"/>
              </w:rPr>
              <w:t>│</w:t>
            </w:r>
            <w:proofErr w:type="gramEnd"/>
            <w:r w:rsidRPr="00CA1A43">
              <w:rPr>
                <w:rFonts w:asciiTheme="minorHAnsi" w:hAnsiTheme="minorHAnsi" w:cstheme="minorHAnsi"/>
                <w:sz w:val="24"/>
                <w:szCs w:val="24"/>
              </w:rPr>
              <w:t>選擇權市值</w:t>
            </w:r>
            <w:proofErr w:type="gramStart"/>
            <w:r w:rsidRPr="00CA1A43">
              <w:rPr>
                <w:rFonts w:asciiTheme="minorHAnsi" w:hAnsiTheme="minorHAnsi" w:cstheme="minorHAnsi"/>
                <w:sz w:val="24"/>
                <w:szCs w:val="24"/>
              </w:rPr>
              <w:t>│</w:t>
            </w:r>
            <w:proofErr w:type="gramEnd"/>
          </w:p>
        </w:tc>
      </w:tr>
    </w:tbl>
    <w:p w14:paraId="212DEA1B" w14:textId="77777777" w:rsidR="000555A9" w:rsidRPr="00CA1A43" w:rsidRDefault="00F47FF7"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針對一年資本期間內之違約，所有到期日小於一年</w:t>
      </w:r>
      <w:proofErr w:type="gramStart"/>
      <w:r w:rsidRPr="00CA1A43">
        <w:rPr>
          <w:rFonts w:eastAsia="標楷體" w:cstheme="minorHAnsi"/>
        </w:rPr>
        <w:t>之暴險及</w:t>
      </w:r>
      <w:proofErr w:type="gramEnd"/>
      <w:r w:rsidRPr="00CA1A43">
        <w:rPr>
          <w:rFonts w:eastAsia="標楷體" w:cstheme="minorHAnsi"/>
        </w:rPr>
        <w:t>其避險部位必須以年化比例調整瞬間違約總部位。對於一年或一年以上</w:t>
      </w:r>
      <w:proofErr w:type="gramStart"/>
      <w:r w:rsidRPr="00CA1A43">
        <w:rPr>
          <w:rFonts w:eastAsia="標楷體" w:cstheme="minorHAnsi"/>
        </w:rPr>
        <w:t>之暴險部位</w:t>
      </w:r>
      <w:proofErr w:type="gramEnd"/>
      <w:r w:rsidRPr="00CA1A43">
        <w:rPr>
          <w:rFonts w:eastAsia="標楷體" w:cstheme="minorHAnsi"/>
        </w:rPr>
        <w:t>，則瞬間違約總部位</w:t>
      </w:r>
      <w:r w:rsidRPr="00CA1A43">
        <w:rPr>
          <w:rFonts w:eastAsia="標楷體" w:cstheme="minorHAnsi"/>
        </w:rPr>
        <w:t>(JTD)</w:t>
      </w:r>
      <w:r w:rsidRPr="00CA1A43">
        <w:rPr>
          <w:rFonts w:eastAsia="標楷體" w:cstheme="minorHAnsi"/>
        </w:rPr>
        <w:t>不需調整</w:t>
      </w:r>
      <w:r w:rsidRPr="00CA1A43">
        <w:rPr>
          <w:rStyle w:val="a5"/>
          <w:rFonts w:eastAsia="標楷體" w:cstheme="minorHAnsi"/>
        </w:rPr>
        <w:footnoteReference w:id="47"/>
      </w:r>
      <w:r w:rsidRPr="00CA1A43">
        <w:rPr>
          <w:rFonts w:eastAsia="標楷體" w:cstheme="minorHAnsi"/>
        </w:rPr>
        <w:t>。</w:t>
      </w:r>
    </w:p>
    <w:p w14:paraId="797AD06B" w14:textId="77777777" w:rsidR="000555A9" w:rsidRPr="00CA1A43" w:rsidRDefault="00F47FF7"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權益證券現貨部位</w:t>
      </w:r>
      <w:r w:rsidRPr="00CA1A43">
        <w:rPr>
          <w:rFonts w:eastAsia="標楷體" w:cstheme="minorHAnsi"/>
        </w:rPr>
        <w:t>(</w:t>
      </w:r>
      <w:r w:rsidRPr="00CA1A43">
        <w:rPr>
          <w:rFonts w:eastAsia="標楷體" w:cstheme="minorHAnsi"/>
        </w:rPr>
        <w:t>意即：股票</w:t>
      </w:r>
      <w:r w:rsidRPr="00CA1A43">
        <w:rPr>
          <w:rFonts w:eastAsia="標楷體" w:cstheme="minorHAnsi"/>
        </w:rPr>
        <w:t>)</w:t>
      </w:r>
      <w:r w:rsidRPr="00CA1A43">
        <w:rPr>
          <w:rFonts w:eastAsia="標楷體" w:cstheme="minorHAnsi"/>
        </w:rPr>
        <w:t>依銀行裁量權，其期限可為一年以上或三個月，惟沒有被允許指派權益證券現貨部位之到期日介於三個月至一年的裁量權。</w:t>
      </w:r>
    </w:p>
    <w:p w14:paraId="779A8511" w14:textId="470854A0" w:rsidR="000555A9" w:rsidRPr="00CA1A43" w:rsidRDefault="00F47FF7"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對於衍生性</w:t>
      </w:r>
      <w:proofErr w:type="gramStart"/>
      <w:r w:rsidRPr="00CA1A43">
        <w:rPr>
          <w:rFonts w:eastAsia="標楷體" w:cstheme="minorHAnsi"/>
        </w:rPr>
        <w:t>商品暴險</w:t>
      </w:r>
      <w:proofErr w:type="gramEnd"/>
      <w:r w:rsidRPr="00CA1A43">
        <w:rPr>
          <w:rFonts w:eastAsia="標楷體" w:cstheme="minorHAnsi"/>
        </w:rPr>
        <w:t>，互抵標準決定於衍生性商品合約之到期日</w:t>
      </w:r>
      <w:proofErr w:type="gramStart"/>
      <w:r w:rsidRPr="00CA1A43">
        <w:rPr>
          <w:rFonts w:eastAsia="標楷體" w:cstheme="minorHAnsi"/>
        </w:rPr>
        <w:t>而非標的</w:t>
      </w:r>
      <w:proofErr w:type="gramEnd"/>
      <w:r w:rsidR="009653EE" w:rsidRPr="003247B6">
        <w:rPr>
          <w:rFonts w:eastAsia="標楷體" w:cstheme="minorHAnsi"/>
        </w:rPr>
        <w:t>工具</w:t>
      </w:r>
      <w:r w:rsidRPr="003247B6">
        <w:rPr>
          <w:rFonts w:eastAsia="標楷體" w:cstheme="minorHAnsi"/>
        </w:rPr>
        <w:t>之</w:t>
      </w:r>
      <w:r w:rsidRPr="00CA1A43">
        <w:rPr>
          <w:rFonts w:eastAsia="標楷體" w:cstheme="minorHAnsi"/>
        </w:rPr>
        <w:t>到期日。</w:t>
      </w:r>
    </w:p>
    <w:p w14:paraId="7DEFC21A" w14:textId="27425BAD" w:rsidR="00877AB5" w:rsidRPr="00CA1A43" w:rsidRDefault="00F47FF7" w:rsidP="00C642E4">
      <w:pPr>
        <w:pStyle w:val="a7"/>
        <w:numPr>
          <w:ilvl w:val="0"/>
          <w:numId w:val="146"/>
        </w:numPr>
        <w:spacing w:beforeLines="50" w:before="180"/>
        <w:ind w:leftChars="0" w:left="1446" w:hanging="482"/>
        <w:jc w:val="both"/>
        <w:rPr>
          <w:rFonts w:eastAsia="標楷體" w:cstheme="minorHAnsi"/>
        </w:rPr>
      </w:pPr>
      <w:r w:rsidRPr="00CA1A43">
        <w:rPr>
          <w:rFonts w:eastAsia="標楷體" w:cstheme="minorHAnsi"/>
        </w:rPr>
        <w:t>到期日小於三個月</w:t>
      </w:r>
      <w:r w:rsidRPr="00CA1A43">
        <w:rPr>
          <w:rFonts w:eastAsia="標楷體" w:cstheme="minorHAnsi"/>
        </w:rPr>
        <w:t>(</w:t>
      </w:r>
      <w:r w:rsidRPr="00CA1A43">
        <w:rPr>
          <w:rFonts w:eastAsia="標楷體" w:cstheme="minorHAnsi"/>
        </w:rPr>
        <w:t>如短期借款</w:t>
      </w:r>
      <w:r w:rsidRPr="00CA1A43">
        <w:rPr>
          <w:rFonts w:eastAsia="標楷體" w:cstheme="minorHAnsi"/>
        </w:rPr>
        <w:t>)</w:t>
      </w:r>
      <w:r w:rsidRPr="00CA1A43">
        <w:rPr>
          <w:rFonts w:eastAsia="標楷體" w:cstheme="minorHAnsi"/>
        </w:rPr>
        <w:t>之產品，其適用瞬間違約總部位之到期權重以四分之一為下限，此相當於三</w:t>
      </w:r>
      <w:r w:rsidR="003247B6">
        <w:rPr>
          <w:rFonts w:eastAsia="標楷體" w:cstheme="minorHAnsi"/>
        </w:rPr>
        <w:t>個月</w:t>
      </w:r>
      <w:r w:rsidRPr="00CA1A43">
        <w:rPr>
          <w:rFonts w:eastAsia="標楷體" w:cstheme="minorHAnsi"/>
        </w:rPr>
        <w:t>(</w:t>
      </w:r>
      <w:r w:rsidRPr="00CA1A43">
        <w:rPr>
          <w:rFonts w:eastAsia="標楷體" w:cstheme="minorHAnsi"/>
        </w:rPr>
        <w:t>意指在違約風險資本要求，</w:t>
      </w:r>
      <w:proofErr w:type="gramStart"/>
      <w:r w:rsidRPr="00CA1A43">
        <w:rPr>
          <w:rFonts w:eastAsia="標楷體" w:cstheme="minorHAnsi"/>
        </w:rPr>
        <w:t>暴險部位</w:t>
      </w:r>
      <w:proofErr w:type="gramEnd"/>
      <w:r w:rsidRPr="00CA1A43">
        <w:rPr>
          <w:rFonts w:eastAsia="標楷體" w:cstheme="minorHAnsi"/>
        </w:rPr>
        <w:t>到期日小於三個月將被視為具有三個月之剩餘到期</w:t>
      </w:r>
      <w:proofErr w:type="gramStart"/>
      <w:r w:rsidRPr="00CA1A43">
        <w:rPr>
          <w:rFonts w:eastAsia="標楷體" w:cstheme="minorHAnsi"/>
        </w:rPr>
        <w:t>期間</w:t>
      </w:r>
      <w:r w:rsidRPr="00CA1A43">
        <w:rPr>
          <w:rFonts w:eastAsia="標楷體" w:cstheme="minorHAnsi"/>
        </w:rPr>
        <w:t>)</w:t>
      </w:r>
      <w:proofErr w:type="gramEnd"/>
      <w:r w:rsidRPr="00CA1A43">
        <w:rPr>
          <w:rFonts w:eastAsia="標楷體" w:cstheme="minorHAnsi"/>
        </w:rPr>
        <w:t>。</w:t>
      </w:r>
      <w:r w:rsidRPr="00CA1A43">
        <w:rPr>
          <w:rStyle w:val="a5"/>
          <w:rFonts w:eastAsia="標楷體" w:cstheme="minorHAnsi"/>
        </w:rPr>
        <w:footnoteReference w:id="48"/>
      </w:r>
    </w:p>
    <w:p w14:paraId="71F6530F" w14:textId="77777777" w:rsidR="00877AB5" w:rsidRPr="00CA1A43" w:rsidRDefault="00350060" w:rsidP="00C642E4">
      <w:pPr>
        <w:pStyle w:val="a7"/>
        <w:numPr>
          <w:ilvl w:val="0"/>
          <w:numId w:val="149"/>
        </w:numPr>
        <w:spacing w:beforeLines="50" w:before="180"/>
        <w:ind w:leftChars="0" w:left="964" w:hanging="482"/>
        <w:jc w:val="both"/>
        <w:rPr>
          <w:rFonts w:eastAsia="標楷體" w:cstheme="minorHAnsi"/>
        </w:rPr>
      </w:pPr>
      <w:r w:rsidRPr="00CA1A43">
        <w:rPr>
          <w:rFonts w:eastAsia="標楷體" w:cstheme="minorHAnsi"/>
        </w:rPr>
        <w:t>瞬間違約風險淨部位</w:t>
      </w:r>
      <w:r w:rsidRPr="00CA1A43">
        <w:rPr>
          <w:rFonts w:eastAsia="標楷體" w:cstheme="minorHAnsi"/>
        </w:rPr>
        <w:t>(net JTD)</w:t>
      </w:r>
    </w:p>
    <w:p w14:paraId="11DD4AC8" w14:textId="77777777" w:rsidR="00350060" w:rsidRPr="00CA1A43" w:rsidRDefault="00350060" w:rsidP="00E61183">
      <w:pPr>
        <w:spacing w:beforeLines="50" w:before="180"/>
        <w:ind w:left="964"/>
        <w:jc w:val="both"/>
        <w:rPr>
          <w:rFonts w:eastAsia="標楷體" w:cstheme="minorHAnsi"/>
        </w:rPr>
      </w:pPr>
      <w:r w:rsidRPr="00CA1A43">
        <w:rPr>
          <w:rFonts w:eastAsia="標楷體" w:cstheme="minorHAnsi"/>
        </w:rPr>
        <w:lastRenderedPageBreak/>
        <w:t>對同一債務人之</w:t>
      </w:r>
      <w:proofErr w:type="gramStart"/>
      <w:r w:rsidRPr="00CA1A43">
        <w:rPr>
          <w:rFonts w:eastAsia="標楷體" w:cstheme="minorHAnsi"/>
        </w:rPr>
        <w:t>暴險互</w:t>
      </w:r>
      <w:proofErr w:type="gramEnd"/>
      <w:r w:rsidRPr="00CA1A43">
        <w:rPr>
          <w:rFonts w:eastAsia="標楷體" w:cstheme="minorHAnsi"/>
        </w:rPr>
        <w:t>抵如下：</w:t>
      </w:r>
    </w:p>
    <w:p w14:paraId="718A9685" w14:textId="77777777" w:rsidR="00350060" w:rsidRPr="00CA1A43" w:rsidRDefault="00350060" w:rsidP="00C642E4">
      <w:pPr>
        <w:pStyle w:val="a7"/>
        <w:numPr>
          <w:ilvl w:val="0"/>
          <w:numId w:val="150"/>
        </w:numPr>
        <w:spacing w:beforeLines="50" w:before="180"/>
        <w:ind w:leftChars="0" w:left="1446" w:hanging="482"/>
        <w:jc w:val="both"/>
        <w:rPr>
          <w:rFonts w:eastAsia="標楷體" w:cstheme="minorHAnsi"/>
        </w:rPr>
      </w:pPr>
      <w:r w:rsidRPr="00CA1A43">
        <w:rPr>
          <w:rFonts w:eastAsia="標楷體" w:cstheme="minorHAnsi"/>
        </w:rPr>
        <w:t>相同債務人之長短部位，於短部位相對長部位有相同或較低之求償順位時，其瞬間違約風險總部位可進行互抵，互抵後即產生瞬間違約</w:t>
      </w:r>
      <w:proofErr w:type="gramStart"/>
      <w:r w:rsidRPr="00CA1A43">
        <w:rPr>
          <w:rFonts w:eastAsia="標楷體" w:cstheme="minorHAnsi"/>
        </w:rPr>
        <w:t>風險淨長部位</w:t>
      </w:r>
      <w:proofErr w:type="gramEnd"/>
      <w:r w:rsidRPr="00CA1A43">
        <w:rPr>
          <w:rFonts w:eastAsia="標楷體" w:cstheme="minorHAnsi"/>
        </w:rPr>
        <w:t>及瞬間違約</w:t>
      </w:r>
      <w:proofErr w:type="gramStart"/>
      <w:r w:rsidRPr="00CA1A43">
        <w:rPr>
          <w:rFonts w:eastAsia="標楷體" w:cstheme="minorHAnsi"/>
        </w:rPr>
        <w:t>風險淨短部位</w:t>
      </w:r>
      <w:proofErr w:type="gramEnd"/>
      <w:r w:rsidRPr="00CA1A43">
        <w:rPr>
          <w:rFonts w:eastAsia="標楷體" w:cstheme="minorHAnsi"/>
        </w:rPr>
        <w:t>。</w:t>
      </w:r>
      <w:r w:rsidRPr="00CA1A43">
        <w:rPr>
          <w:rStyle w:val="a5"/>
          <w:rFonts w:eastAsia="標楷體" w:cstheme="minorHAnsi"/>
        </w:rPr>
        <w:footnoteReference w:id="49"/>
      </w:r>
    </w:p>
    <w:p w14:paraId="6CBD7189" w14:textId="77777777" w:rsidR="00350060" w:rsidRPr="00CA1A43" w:rsidRDefault="00350060" w:rsidP="00C642E4">
      <w:pPr>
        <w:pStyle w:val="a7"/>
        <w:numPr>
          <w:ilvl w:val="0"/>
          <w:numId w:val="150"/>
        </w:numPr>
        <w:spacing w:beforeLines="50" w:before="180"/>
        <w:ind w:leftChars="0" w:left="1446" w:hanging="482"/>
        <w:jc w:val="both"/>
        <w:rPr>
          <w:rFonts w:eastAsia="標楷體" w:cstheme="minorHAnsi"/>
        </w:rPr>
      </w:pPr>
      <w:r w:rsidRPr="00CA1A43">
        <w:rPr>
          <w:rFonts w:eastAsia="標楷體" w:cstheme="minorHAnsi"/>
        </w:rPr>
        <w:t>為確定保證債券為對標的債務人</w:t>
      </w:r>
      <w:proofErr w:type="gramStart"/>
      <w:r w:rsidRPr="00CA1A43">
        <w:rPr>
          <w:rFonts w:eastAsia="標楷體" w:cstheme="minorHAnsi"/>
        </w:rPr>
        <w:t>之暴險或</w:t>
      </w:r>
      <w:proofErr w:type="gramEnd"/>
      <w:r w:rsidRPr="00CA1A43">
        <w:rPr>
          <w:rFonts w:eastAsia="標楷體" w:cstheme="minorHAnsi"/>
        </w:rPr>
        <w:t>對保證人</w:t>
      </w:r>
      <w:proofErr w:type="gramStart"/>
      <w:r w:rsidRPr="00CA1A43">
        <w:rPr>
          <w:rFonts w:eastAsia="標楷體" w:cstheme="minorHAnsi"/>
        </w:rPr>
        <w:t>之暴險</w:t>
      </w:r>
      <w:proofErr w:type="gramEnd"/>
      <w:r w:rsidRPr="00CA1A43">
        <w:rPr>
          <w:rFonts w:eastAsia="標楷體" w:cstheme="minorHAnsi"/>
        </w:rPr>
        <w:t>，適用本計算說明之第二部分信用風險標準法第三章第四大點中第</w:t>
      </w:r>
      <w:r w:rsidRPr="00CA1A43">
        <w:rPr>
          <w:rFonts w:eastAsia="標楷體" w:cstheme="minorHAnsi"/>
        </w:rPr>
        <w:t>2</w:t>
      </w:r>
      <w:r w:rsidRPr="00CA1A43">
        <w:rPr>
          <w:rFonts w:eastAsia="標楷體" w:cstheme="minorHAnsi"/>
        </w:rPr>
        <w:t>點</w:t>
      </w:r>
      <w:r w:rsidRPr="00CA1A43">
        <w:rPr>
          <w:rFonts w:eastAsia="標楷體" w:cstheme="minorHAnsi"/>
        </w:rPr>
        <w:t>(1)</w:t>
      </w:r>
      <w:r w:rsidRPr="00CA1A43">
        <w:rPr>
          <w:rFonts w:eastAsia="標楷體" w:cstheme="minorHAnsi"/>
        </w:rPr>
        <w:t>及</w:t>
      </w:r>
      <w:r w:rsidRPr="00CA1A43">
        <w:rPr>
          <w:rFonts w:eastAsia="標楷體" w:cstheme="minorHAnsi"/>
        </w:rPr>
        <w:t>(2)</w:t>
      </w:r>
      <w:r w:rsidRPr="00CA1A43">
        <w:rPr>
          <w:rFonts w:eastAsia="標楷體" w:cstheme="minorHAnsi"/>
        </w:rPr>
        <w:t>之抵減要求。</w:t>
      </w:r>
    </w:p>
    <w:p w14:paraId="3AB99379" w14:textId="77777777" w:rsidR="00350060" w:rsidRPr="00CA1A43" w:rsidRDefault="00350060" w:rsidP="00C642E4">
      <w:pPr>
        <w:pStyle w:val="a7"/>
        <w:numPr>
          <w:ilvl w:val="0"/>
          <w:numId w:val="150"/>
        </w:numPr>
        <w:spacing w:beforeLines="50" w:before="180"/>
        <w:ind w:leftChars="0" w:left="1446" w:hanging="482"/>
        <w:jc w:val="both"/>
        <w:rPr>
          <w:rFonts w:eastAsia="標楷體" w:cstheme="minorHAnsi"/>
        </w:rPr>
      </w:pPr>
      <w:r w:rsidRPr="00CA1A43">
        <w:rPr>
          <w:rFonts w:eastAsia="標楷體" w:cstheme="minorHAnsi"/>
        </w:rPr>
        <w:t>不同到期</w:t>
      </w:r>
      <w:proofErr w:type="gramStart"/>
      <w:r w:rsidRPr="00CA1A43">
        <w:rPr>
          <w:rFonts w:eastAsia="標楷體" w:cstheme="minorHAnsi"/>
        </w:rPr>
        <w:t>日下之暴險互</w:t>
      </w:r>
      <w:proofErr w:type="gramEnd"/>
      <w:r w:rsidRPr="00CA1A43">
        <w:rPr>
          <w:rFonts w:eastAsia="標楷體" w:cstheme="minorHAnsi"/>
        </w:rPr>
        <w:t>抵標準如下：</w:t>
      </w:r>
    </w:p>
    <w:p w14:paraId="7C5B68C9" w14:textId="77777777" w:rsidR="00350060" w:rsidRPr="00CA1A43" w:rsidRDefault="00350060" w:rsidP="00C642E4">
      <w:pPr>
        <w:pStyle w:val="a7"/>
        <w:numPr>
          <w:ilvl w:val="0"/>
          <w:numId w:val="151"/>
        </w:numPr>
        <w:spacing w:beforeLines="50" w:before="180"/>
        <w:ind w:leftChars="0"/>
        <w:jc w:val="both"/>
        <w:rPr>
          <w:rFonts w:eastAsia="標楷體" w:cstheme="minorHAnsi"/>
          <w:b/>
          <w:i/>
        </w:rPr>
      </w:pPr>
      <w:r w:rsidRPr="00CA1A43">
        <w:rPr>
          <w:rFonts w:eastAsia="標楷體" w:cstheme="minorHAnsi"/>
        </w:rPr>
        <w:t>到期日大於一年資本期間</w:t>
      </w:r>
      <w:proofErr w:type="gramStart"/>
      <w:r w:rsidRPr="00CA1A43">
        <w:rPr>
          <w:rFonts w:eastAsia="標楷體" w:cstheme="minorHAnsi"/>
        </w:rPr>
        <w:t>之暴險部位</w:t>
      </w:r>
      <w:proofErr w:type="gramEnd"/>
      <w:r w:rsidRPr="00CA1A43">
        <w:rPr>
          <w:rFonts w:eastAsia="標楷體" w:cstheme="minorHAnsi"/>
        </w:rPr>
        <w:t>可完全抵銷。</w:t>
      </w:r>
    </w:p>
    <w:p w14:paraId="59CFF36F" w14:textId="77777777" w:rsidR="00350060" w:rsidRPr="00CA1A43" w:rsidRDefault="00350060" w:rsidP="00C642E4">
      <w:pPr>
        <w:pStyle w:val="a7"/>
        <w:numPr>
          <w:ilvl w:val="0"/>
          <w:numId w:val="151"/>
        </w:numPr>
        <w:spacing w:beforeLines="50" w:before="180"/>
        <w:ind w:leftChars="0"/>
        <w:jc w:val="both"/>
        <w:rPr>
          <w:rFonts w:eastAsia="標楷體" w:cstheme="minorHAnsi"/>
          <w:b/>
          <w:i/>
        </w:rPr>
      </w:pPr>
      <w:r w:rsidRPr="00CA1A43">
        <w:rPr>
          <w:rFonts w:eastAsia="標楷體" w:cstheme="minorHAnsi"/>
        </w:rPr>
        <w:t>同一債務人到期日小於等於一年資本期間之長短</w:t>
      </w:r>
      <w:proofErr w:type="gramStart"/>
      <w:r w:rsidRPr="00CA1A43">
        <w:rPr>
          <w:rFonts w:eastAsia="標楷體" w:cstheme="minorHAnsi"/>
        </w:rPr>
        <w:t>部位暴險</w:t>
      </w:r>
      <w:proofErr w:type="gramEnd"/>
      <w:r w:rsidRPr="00CA1A43">
        <w:rPr>
          <w:rFonts w:eastAsia="標楷體" w:cstheme="minorHAnsi"/>
        </w:rPr>
        <w:t>，必須</w:t>
      </w:r>
      <w:proofErr w:type="gramStart"/>
      <w:r w:rsidRPr="00CA1A43">
        <w:rPr>
          <w:rFonts w:eastAsia="標楷體" w:cstheme="minorHAnsi"/>
        </w:rPr>
        <w:t>依暴險</w:t>
      </w:r>
      <w:proofErr w:type="gramEnd"/>
      <w:r w:rsidRPr="00CA1A43">
        <w:rPr>
          <w:rFonts w:eastAsia="標楷體" w:cstheme="minorHAnsi"/>
        </w:rPr>
        <w:t>到期日與資本期間之比率進行加權計算。</w:t>
      </w:r>
      <w:r w:rsidRPr="00CA1A43">
        <w:rPr>
          <w:rStyle w:val="a5"/>
          <w:rFonts w:eastAsia="標楷體" w:cstheme="minorHAnsi"/>
        </w:rPr>
        <w:footnoteReference w:id="50"/>
      </w:r>
    </w:p>
    <w:p w14:paraId="19BAD274" w14:textId="77777777" w:rsidR="00350060" w:rsidRPr="00CA1A43" w:rsidRDefault="00BF4879" w:rsidP="00C642E4">
      <w:pPr>
        <w:pStyle w:val="a7"/>
        <w:numPr>
          <w:ilvl w:val="0"/>
          <w:numId w:val="149"/>
        </w:numPr>
        <w:spacing w:beforeLines="50" w:before="180"/>
        <w:ind w:leftChars="0" w:left="964" w:hanging="482"/>
        <w:jc w:val="both"/>
        <w:rPr>
          <w:rFonts w:eastAsia="標楷體" w:cstheme="minorHAnsi"/>
        </w:rPr>
      </w:pPr>
      <w:r w:rsidRPr="00CA1A43">
        <w:rPr>
          <w:rFonts w:eastAsia="標楷體" w:cstheme="minorHAnsi"/>
        </w:rPr>
        <w:t>計算非證券化的違約風險資本計提</w:t>
      </w:r>
    </w:p>
    <w:p w14:paraId="2F28598C" w14:textId="77777777" w:rsidR="00BF4879" w:rsidRPr="00CA1A43" w:rsidRDefault="00BF4879" w:rsidP="00C642E4">
      <w:pPr>
        <w:pStyle w:val="a7"/>
        <w:numPr>
          <w:ilvl w:val="0"/>
          <w:numId w:val="152"/>
        </w:numPr>
        <w:spacing w:beforeLines="50" w:before="180"/>
        <w:ind w:leftChars="0" w:left="1446" w:hanging="482"/>
        <w:jc w:val="both"/>
        <w:rPr>
          <w:rFonts w:eastAsia="標楷體" w:cstheme="minorHAnsi"/>
        </w:rPr>
      </w:pPr>
      <w:r w:rsidRPr="00CA1A43">
        <w:rPr>
          <w:rFonts w:eastAsia="標楷體" w:cstheme="minorHAnsi"/>
        </w:rPr>
        <w:t>非證券化的違約風險分為三個組別定義如下：</w:t>
      </w:r>
    </w:p>
    <w:p w14:paraId="3A002C8C" w14:textId="77777777" w:rsidR="00BF4879" w:rsidRPr="00CA1A43" w:rsidRDefault="00BF4879" w:rsidP="00C642E4">
      <w:pPr>
        <w:pStyle w:val="a7"/>
        <w:numPr>
          <w:ilvl w:val="0"/>
          <w:numId w:val="153"/>
        </w:numPr>
        <w:spacing w:beforeLines="50" w:before="180"/>
        <w:ind w:leftChars="0"/>
        <w:jc w:val="both"/>
        <w:rPr>
          <w:rFonts w:eastAsia="標楷體" w:cstheme="minorHAnsi"/>
        </w:rPr>
      </w:pPr>
      <w:r w:rsidRPr="00CA1A43">
        <w:rPr>
          <w:rFonts w:eastAsia="標楷體" w:cstheme="minorHAnsi"/>
        </w:rPr>
        <w:t>企業；</w:t>
      </w:r>
    </w:p>
    <w:p w14:paraId="33B9C4C9" w14:textId="77777777" w:rsidR="00BF4879" w:rsidRPr="00CA1A43" w:rsidRDefault="00BF4879" w:rsidP="00C642E4">
      <w:pPr>
        <w:pStyle w:val="a7"/>
        <w:numPr>
          <w:ilvl w:val="0"/>
          <w:numId w:val="153"/>
        </w:numPr>
        <w:spacing w:beforeLines="50" w:before="180"/>
        <w:ind w:leftChars="0"/>
        <w:jc w:val="both"/>
        <w:rPr>
          <w:rFonts w:eastAsia="標楷體" w:cstheme="minorHAnsi"/>
        </w:rPr>
      </w:pPr>
      <w:r w:rsidRPr="00CA1A43">
        <w:rPr>
          <w:rFonts w:eastAsia="標楷體" w:cstheme="minorHAnsi"/>
        </w:rPr>
        <w:t>主權國家；及</w:t>
      </w:r>
    </w:p>
    <w:p w14:paraId="78BF2942" w14:textId="77777777" w:rsidR="00350060" w:rsidRPr="00CA1A43" w:rsidRDefault="00BF4879" w:rsidP="00C642E4">
      <w:pPr>
        <w:pStyle w:val="a7"/>
        <w:numPr>
          <w:ilvl w:val="0"/>
          <w:numId w:val="153"/>
        </w:numPr>
        <w:spacing w:beforeLines="50" w:before="180"/>
        <w:ind w:leftChars="0"/>
        <w:jc w:val="both"/>
        <w:rPr>
          <w:rFonts w:eastAsia="標楷體" w:cstheme="minorHAnsi"/>
        </w:rPr>
      </w:pPr>
      <w:r w:rsidRPr="00CA1A43">
        <w:rPr>
          <w:rFonts w:eastAsia="標楷體" w:cstheme="minorHAnsi"/>
        </w:rPr>
        <w:t>國內地方政府</w:t>
      </w:r>
      <w:r w:rsidRPr="00CA1A43">
        <w:rPr>
          <w:rFonts w:eastAsia="標楷體" w:cstheme="minorHAnsi"/>
        </w:rPr>
        <w:t>/</w:t>
      </w:r>
      <w:r w:rsidRPr="00CA1A43">
        <w:rPr>
          <w:rFonts w:eastAsia="標楷體" w:cstheme="minorHAnsi"/>
        </w:rPr>
        <w:t>直轄市。</w:t>
      </w:r>
    </w:p>
    <w:p w14:paraId="589ECBCD" w14:textId="77777777" w:rsidR="00BF4879" w:rsidRPr="00CA1A43" w:rsidRDefault="00BF4879" w:rsidP="00C642E4">
      <w:pPr>
        <w:pStyle w:val="a7"/>
        <w:numPr>
          <w:ilvl w:val="0"/>
          <w:numId w:val="152"/>
        </w:numPr>
        <w:spacing w:beforeLines="50" w:before="180"/>
        <w:ind w:leftChars="0" w:left="1446" w:hanging="482"/>
        <w:jc w:val="both"/>
        <w:rPr>
          <w:rFonts w:eastAsia="標楷體" w:cstheme="minorHAnsi"/>
        </w:rPr>
      </w:pPr>
      <w:r w:rsidRPr="00CA1A43">
        <w:rPr>
          <w:rFonts w:eastAsia="標楷體" w:cstheme="minorHAnsi"/>
        </w:rPr>
        <w:t>為了判別各組</w:t>
      </w:r>
      <w:proofErr w:type="gramStart"/>
      <w:r w:rsidRPr="00CA1A43">
        <w:rPr>
          <w:rFonts w:eastAsia="標楷體" w:cstheme="minorHAnsi"/>
        </w:rPr>
        <w:t>別內淨長和淨短</w:t>
      </w:r>
      <w:proofErr w:type="gramEnd"/>
      <w:r w:rsidRPr="00CA1A43">
        <w:rPr>
          <w:rFonts w:eastAsia="標楷體" w:cstheme="minorHAnsi"/>
        </w:rPr>
        <w:t>部位的避險關聯性，避險效益比率</w:t>
      </w:r>
      <w:r w:rsidRPr="00CA1A43">
        <w:rPr>
          <w:rFonts w:eastAsia="標楷體" w:cstheme="minorHAnsi"/>
        </w:rPr>
        <w:t>(HBR)</w:t>
      </w:r>
      <w:r w:rsidRPr="00CA1A43">
        <w:rPr>
          <w:rFonts w:eastAsia="標楷體" w:cstheme="minorHAnsi"/>
        </w:rPr>
        <w:t>公式如下：</w:t>
      </w:r>
    </w:p>
    <w:p w14:paraId="5EFD5701" w14:textId="77777777" w:rsidR="00BF4879" w:rsidRPr="00CA1A43" w:rsidRDefault="00BF4879" w:rsidP="00BF4879">
      <w:pPr>
        <w:pStyle w:val="a7"/>
        <w:spacing w:beforeLines="50" w:before="180"/>
        <w:ind w:leftChars="0" w:left="1446"/>
        <w:jc w:val="both"/>
        <w:rPr>
          <w:rFonts w:eastAsia="標楷體" w:cstheme="minorHAnsi"/>
        </w:rPr>
      </w:pPr>
      <m:oMathPara>
        <m:oMath>
          <m:r>
            <w:rPr>
              <w:rFonts w:ascii="Cambria Math" w:eastAsia="標楷體" w:hAnsi="Cambria Math" w:cstheme="minorHAnsi"/>
              <w:szCs w:val="24"/>
            </w:rPr>
            <m:t>HBR</m:t>
          </m:r>
          <m:r>
            <m:rPr>
              <m:sty m:val="p"/>
            </m:rPr>
            <w:rPr>
              <w:rFonts w:ascii="Cambria Math" w:eastAsia="標楷體" w:hAnsi="Cambria Math" w:cstheme="minorHAnsi"/>
              <w:szCs w:val="24"/>
            </w:rPr>
            <m:t>=</m:t>
          </m:r>
          <m:f>
            <m:fPr>
              <m:ctrlPr>
                <w:rPr>
                  <w:rFonts w:ascii="Cambria Math" w:eastAsia="標楷體" w:hAnsi="Cambria Math" w:cstheme="minorHAnsi"/>
                  <w:szCs w:val="24"/>
                </w:rPr>
              </m:ctrlPr>
            </m:fPr>
            <m:num>
              <m:nary>
                <m:naryPr>
                  <m:chr m:val="∑"/>
                  <m:limLoc m:val="undOvr"/>
                  <m:subHide m:val="1"/>
                  <m:supHide m:val="1"/>
                  <m:ctrlPr>
                    <w:rPr>
                      <w:rFonts w:ascii="Cambria Math" w:eastAsia="標楷體" w:hAnsi="Cambria Math" w:cstheme="minorHAnsi"/>
                      <w:i/>
                      <w:szCs w:val="24"/>
                    </w:rPr>
                  </m:ctrlPr>
                </m:naryPr>
                <m:sub/>
                <m:sup/>
                <m:e>
                  <m:r>
                    <w:rPr>
                      <w:rFonts w:ascii="Cambria Math" w:eastAsia="標楷體" w:hAnsi="Cambria Math" w:cstheme="minorHAnsi"/>
                      <w:szCs w:val="24"/>
                    </w:rPr>
                    <m:t>net</m:t>
                  </m:r>
                  <m:sSub>
                    <m:sSubPr>
                      <m:ctrlPr>
                        <w:rPr>
                          <w:rFonts w:ascii="Cambria Math" w:eastAsia="標楷體" w:hAnsi="Cambria Math" w:cstheme="minorHAnsi"/>
                          <w:i/>
                          <w:szCs w:val="24"/>
                        </w:rPr>
                      </m:ctrlPr>
                    </m:sSubPr>
                    <m:e>
                      <m:r>
                        <w:rPr>
                          <w:rFonts w:ascii="Cambria Math" w:eastAsia="標楷體" w:hAnsi="Cambria Math" w:cstheme="minorHAnsi"/>
                          <w:szCs w:val="24"/>
                        </w:rPr>
                        <m:t>JTD</m:t>
                      </m:r>
                    </m:e>
                    <m:sub>
                      <m:r>
                        <w:rPr>
                          <w:rFonts w:ascii="Cambria Math" w:eastAsia="標楷體" w:hAnsi="Cambria Math" w:cstheme="minorHAnsi"/>
                          <w:szCs w:val="24"/>
                        </w:rPr>
                        <m:t>long</m:t>
                      </m:r>
                    </m:sub>
                  </m:sSub>
                </m:e>
              </m:nary>
            </m:num>
            <m:den>
              <m:nary>
                <m:naryPr>
                  <m:chr m:val="∑"/>
                  <m:limLoc m:val="undOvr"/>
                  <m:subHide m:val="1"/>
                  <m:supHide m:val="1"/>
                  <m:ctrlPr>
                    <w:rPr>
                      <w:rFonts w:ascii="Cambria Math" w:eastAsia="標楷體" w:hAnsi="Cambria Math" w:cstheme="minorHAnsi"/>
                      <w:i/>
                      <w:szCs w:val="24"/>
                    </w:rPr>
                  </m:ctrlPr>
                </m:naryPr>
                <m:sub/>
                <m:sup/>
                <m:e>
                  <m:r>
                    <w:rPr>
                      <w:rFonts w:ascii="Cambria Math" w:eastAsia="標楷體" w:hAnsi="Cambria Math" w:cstheme="minorHAnsi"/>
                      <w:szCs w:val="24"/>
                    </w:rPr>
                    <m:t>net</m:t>
                  </m:r>
                  <m:sSub>
                    <m:sSubPr>
                      <m:ctrlPr>
                        <w:rPr>
                          <w:rFonts w:ascii="Cambria Math" w:eastAsia="標楷體" w:hAnsi="Cambria Math" w:cstheme="minorHAnsi"/>
                          <w:i/>
                          <w:szCs w:val="24"/>
                        </w:rPr>
                      </m:ctrlPr>
                    </m:sSubPr>
                    <m:e>
                      <m:r>
                        <w:rPr>
                          <w:rFonts w:ascii="Cambria Math" w:eastAsia="標楷體" w:hAnsi="Cambria Math" w:cstheme="minorHAnsi"/>
                          <w:szCs w:val="24"/>
                        </w:rPr>
                        <m:t>JTD</m:t>
                      </m:r>
                    </m:e>
                    <m:sub>
                      <m:r>
                        <w:rPr>
                          <w:rFonts w:ascii="Cambria Math" w:eastAsia="標楷體" w:hAnsi="Cambria Math" w:cstheme="minorHAnsi"/>
                          <w:szCs w:val="24"/>
                        </w:rPr>
                        <m:t>long</m:t>
                      </m:r>
                    </m:sub>
                  </m:sSub>
                </m:e>
              </m:nary>
              <m:r>
                <w:rPr>
                  <w:rFonts w:ascii="Cambria Math" w:eastAsia="標楷體" w:hAnsi="Cambria Math" w:cstheme="minorHAnsi"/>
                  <w:szCs w:val="24"/>
                </w:rPr>
                <m:t>+</m:t>
              </m:r>
              <m:nary>
                <m:naryPr>
                  <m:chr m:val="∑"/>
                  <m:limLoc m:val="undOvr"/>
                  <m:subHide m:val="1"/>
                  <m:supHide m:val="1"/>
                  <m:ctrlPr>
                    <w:rPr>
                      <w:rFonts w:ascii="Cambria Math" w:eastAsia="標楷體" w:hAnsi="Cambria Math" w:cstheme="minorHAnsi"/>
                      <w:i/>
                      <w:szCs w:val="24"/>
                    </w:rPr>
                  </m:ctrlPr>
                </m:naryPr>
                <m:sub/>
                <m:sup/>
                <m:e>
                  <m:d>
                    <m:dPr>
                      <m:begChr m:val="|"/>
                      <m:endChr m:val="|"/>
                      <m:ctrlPr>
                        <w:rPr>
                          <w:rFonts w:ascii="Cambria Math" w:eastAsia="標楷體" w:hAnsi="Cambria Math" w:cstheme="minorHAnsi"/>
                          <w:i/>
                          <w:szCs w:val="24"/>
                        </w:rPr>
                      </m:ctrlPr>
                    </m:dPr>
                    <m:e>
                      <m:r>
                        <w:rPr>
                          <w:rFonts w:ascii="Cambria Math" w:eastAsia="標楷體" w:hAnsi="Cambria Math" w:cstheme="minorHAnsi"/>
                          <w:szCs w:val="24"/>
                        </w:rPr>
                        <m:t>net</m:t>
                      </m:r>
                      <m:sSub>
                        <m:sSubPr>
                          <m:ctrlPr>
                            <w:rPr>
                              <w:rFonts w:ascii="Cambria Math" w:eastAsia="標楷體" w:hAnsi="Cambria Math" w:cstheme="minorHAnsi"/>
                              <w:i/>
                              <w:szCs w:val="24"/>
                            </w:rPr>
                          </m:ctrlPr>
                        </m:sSubPr>
                        <m:e>
                          <m:r>
                            <w:rPr>
                              <w:rFonts w:ascii="Cambria Math" w:eastAsia="標楷體" w:hAnsi="Cambria Math" w:cstheme="minorHAnsi"/>
                              <w:szCs w:val="24"/>
                            </w:rPr>
                            <m:t>JTD</m:t>
                          </m:r>
                        </m:e>
                        <m:sub>
                          <m:r>
                            <w:rPr>
                              <w:rFonts w:ascii="Cambria Math" w:eastAsia="標楷體" w:hAnsi="Cambria Math" w:cstheme="minorHAnsi"/>
                              <w:szCs w:val="24"/>
                            </w:rPr>
                            <m:t>short</m:t>
                          </m:r>
                        </m:sub>
                      </m:sSub>
                    </m:e>
                  </m:d>
                </m:e>
              </m:nary>
            </m:den>
          </m:f>
        </m:oMath>
      </m:oMathPara>
    </w:p>
    <w:p w14:paraId="37FFB1E8" w14:textId="77777777" w:rsidR="00BF4879" w:rsidRPr="00CA1A43" w:rsidRDefault="00BF4879" w:rsidP="00BF4879">
      <w:pPr>
        <w:ind w:left="1446"/>
        <w:jc w:val="both"/>
        <w:rPr>
          <w:rFonts w:eastAsia="標楷體" w:cstheme="minorHAnsi"/>
        </w:rPr>
      </w:pPr>
      <w:r w:rsidRPr="00CA1A43">
        <w:rPr>
          <w:rFonts w:eastAsia="標楷體" w:cstheme="minorHAnsi"/>
        </w:rPr>
        <w:t>其中</w:t>
      </w:r>
      <w:r w:rsidRPr="00CA1A43">
        <w:rPr>
          <w:rFonts w:eastAsia="標楷體" w:cstheme="minorHAnsi"/>
        </w:rPr>
        <w:t>:</w:t>
      </w:r>
    </w:p>
    <w:p w14:paraId="6758E460" w14:textId="77777777" w:rsidR="00BF4879" w:rsidRPr="00CA1A43" w:rsidRDefault="00AA1117" w:rsidP="00C642E4">
      <w:pPr>
        <w:pStyle w:val="a7"/>
        <w:numPr>
          <w:ilvl w:val="0"/>
          <w:numId w:val="154"/>
        </w:numPr>
        <w:spacing w:beforeLines="50" w:before="180"/>
        <w:ind w:leftChars="0"/>
        <w:jc w:val="both"/>
        <w:rPr>
          <w:rFonts w:eastAsia="標楷體" w:cstheme="minorHAnsi"/>
        </w:rPr>
      </w:pPr>
      <m:oMath>
        <m:nary>
          <m:naryPr>
            <m:chr m:val="∑"/>
            <m:limLoc m:val="undOvr"/>
            <m:subHide m:val="1"/>
            <m:supHide m:val="1"/>
            <m:ctrlPr>
              <w:rPr>
                <w:rFonts w:ascii="Cambria Math" w:eastAsia="標楷體" w:hAnsi="Cambria Math" w:cstheme="minorHAnsi"/>
                <w:i/>
                <w:szCs w:val="24"/>
              </w:rPr>
            </m:ctrlPr>
          </m:naryPr>
          <m:sub/>
          <m:sup/>
          <m:e>
            <m:r>
              <w:rPr>
                <w:rFonts w:ascii="Cambria Math" w:eastAsia="標楷體" w:hAnsi="Cambria Math" w:cstheme="minorHAnsi"/>
                <w:szCs w:val="24"/>
              </w:rPr>
              <m:t>net</m:t>
            </m:r>
            <m:sSub>
              <m:sSubPr>
                <m:ctrlPr>
                  <w:rPr>
                    <w:rFonts w:ascii="Cambria Math" w:eastAsia="標楷體" w:hAnsi="Cambria Math" w:cstheme="minorHAnsi"/>
                    <w:i/>
                    <w:szCs w:val="24"/>
                  </w:rPr>
                </m:ctrlPr>
              </m:sSubPr>
              <m:e>
                <m:r>
                  <w:rPr>
                    <w:rFonts w:ascii="Cambria Math" w:eastAsia="標楷體" w:hAnsi="Cambria Math" w:cstheme="minorHAnsi"/>
                    <w:szCs w:val="24"/>
                  </w:rPr>
                  <m:t>JTD</m:t>
                </m:r>
              </m:e>
              <m:sub>
                <m:r>
                  <w:rPr>
                    <w:rFonts w:ascii="Cambria Math" w:eastAsia="標楷體" w:hAnsi="Cambria Math" w:cstheme="minorHAnsi"/>
                    <w:szCs w:val="24"/>
                  </w:rPr>
                  <m:t>long</m:t>
                </m:r>
              </m:sub>
            </m:sSub>
          </m:e>
        </m:nary>
      </m:oMath>
      <w:r w:rsidR="00BF4879" w:rsidRPr="00CA1A43">
        <w:rPr>
          <w:rFonts w:eastAsia="標楷體" w:cstheme="minorHAnsi"/>
        </w:rPr>
        <w:t>為瞬間違約</w:t>
      </w:r>
      <w:proofErr w:type="gramStart"/>
      <w:r w:rsidR="00BF4879" w:rsidRPr="00CA1A43">
        <w:rPr>
          <w:rFonts w:eastAsia="標楷體" w:cstheme="minorHAnsi"/>
        </w:rPr>
        <w:t>風險淨長部位</w:t>
      </w:r>
      <w:proofErr w:type="gramEnd"/>
      <w:r w:rsidR="00BF4879" w:rsidRPr="00CA1A43">
        <w:rPr>
          <w:rFonts w:eastAsia="標楷體" w:cstheme="minorHAnsi"/>
        </w:rPr>
        <w:t>之簡單加總</w:t>
      </w:r>
      <w:r w:rsidR="00BF4879" w:rsidRPr="00CA1A43">
        <w:rPr>
          <w:rFonts w:eastAsia="標楷體" w:cstheme="minorHAnsi"/>
        </w:rPr>
        <w:t xml:space="preserve"> (</w:t>
      </w:r>
      <w:r w:rsidR="00BF4879" w:rsidRPr="00CA1A43">
        <w:rPr>
          <w:rFonts w:eastAsia="標楷體" w:cstheme="minorHAnsi"/>
        </w:rPr>
        <w:t>非風險加權後</w:t>
      </w:r>
      <w:r w:rsidR="00BF4879" w:rsidRPr="00CA1A43">
        <w:rPr>
          <w:rFonts w:eastAsia="標楷體" w:cstheme="minorHAnsi"/>
        </w:rPr>
        <w:t>)</w:t>
      </w:r>
      <w:proofErr w:type="gramStart"/>
      <w:r w:rsidR="00BF4879" w:rsidRPr="00CA1A43">
        <w:rPr>
          <w:rFonts w:eastAsia="標楷體" w:cstheme="minorHAnsi"/>
        </w:rPr>
        <w:t>必須依跨信用</w:t>
      </w:r>
      <w:proofErr w:type="gramEnd"/>
      <w:r w:rsidR="00BF4879" w:rsidRPr="00CA1A43">
        <w:rPr>
          <w:rFonts w:eastAsia="標楷體" w:cstheme="minorHAnsi"/>
        </w:rPr>
        <w:t>品質分類</w:t>
      </w:r>
      <w:r w:rsidR="00BF4879" w:rsidRPr="00CA1A43">
        <w:rPr>
          <w:rFonts w:eastAsia="標楷體" w:cstheme="minorHAnsi"/>
        </w:rPr>
        <w:t>(</w:t>
      </w:r>
      <w:proofErr w:type="gramStart"/>
      <w:r w:rsidR="00BF4879" w:rsidRPr="00CA1A43">
        <w:rPr>
          <w:rFonts w:eastAsia="標楷體" w:cstheme="minorHAnsi"/>
        </w:rPr>
        <w:t>即評等分</w:t>
      </w:r>
      <w:proofErr w:type="gramEnd"/>
      <w:r w:rsidR="00BF4879" w:rsidRPr="00CA1A43">
        <w:rPr>
          <w:rFonts w:eastAsia="標楷體" w:cstheme="minorHAnsi"/>
        </w:rPr>
        <w:t>群</w:t>
      </w:r>
      <w:r w:rsidR="00BF4879" w:rsidRPr="00CA1A43">
        <w:rPr>
          <w:rFonts w:eastAsia="標楷體" w:cstheme="minorHAnsi"/>
        </w:rPr>
        <w:t>)</w:t>
      </w:r>
      <w:r w:rsidR="00BF4879" w:rsidRPr="00CA1A43">
        <w:rPr>
          <w:rFonts w:eastAsia="標楷體" w:cstheme="minorHAnsi"/>
        </w:rPr>
        <w:t>加總計算。</w:t>
      </w:r>
    </w:p>
    <w:p w14:paraId="583E2192" w14:textId="77777777" w:rsidR="00350060" w:rsidRPr="00CA1A43" w:rsidRDefault="00AA1117" w:rsidP="00C642E4">
      <w:pPr>
        <w:pStyle w:val="a7"/>
        <w:numPr>
          <w:ilvl w:val="0"/>
          <w:numId w:val="154"/>
        </w:numPr>
        <w:spacing w:beforeLines="50" w:before="180"/>
        <w:ind w:leftChars="0"/>
        <w:jc w:val="both"/>
        <w:rPr>
          <w:rFonts w:eastAsia="標楷體" w:cstheme="minorHAnsi"/>
        </w:rPr>
      </w:pPr>
      <m:oMath>
        <m:nary>
          <m:naryPr>
            <m:chr m:val="∑"/>
            <m:limLoc m:val="undOvr"/>
            <m:subHide m:val="1"/>
            <m:supHide m:val="1"/>
            <m:ctrlPr>
              <w:rPr>
                <w:rFonts w:ascii="Cambria Math" w:eastAsia="標楷體" w:hAnsi="Cambria Math" w:cstheme="minorHAnsi"/>
                <w:i/>
                <w:szCs w:val="24"/>
              </w:rPr>
            </m:ctrlPr>
          </m:naryPr>
          <m:sub/>
          <m:sup/>
          <m:e>
            <m:d>
              <m:dPr>
                <m:begChr m:val="|"/>
                <m:endChr m:val="|"/>
                <m:ctrlPr>
                  <w:rPr>
                    <w:rFonts w:ascii="Cambria Math" w:eastAsia="標楷體" w:hAnsi="Cambria Math" w:cstheme="minorHAnsi"/>
                    <w:i/>
                    <w:szCs w:val="24"/>
                  </w:rPr>
                </m:ctrlPr>
              </m:dPr>
              <m:e>
                <m:r>
                  <w:rPr>
                    <w:rFonts w:ascii="Cambria Math" w:eastAsia="標楷體" w:hAnsi="Cambria Math" w:cstheme="minorHAnsi"/>
                    <w:szCs w:val="24"/>
                  </w:rPr>
                  <m:t>net</m:t>
                </m:r>
                <m:sSub>
                  <m:sSubPr>
                    <m:ctrlPr>
                      <w:rPr>
                        <w:rFonts w:ascii="Cambria Math" w:eastAsia="標楷體" w:hAnsi="Cambria Math" w:cstheme="minorHAnsi"/>
                        <w:i/>
                        <w:szCs w:val="24"/>
                      </w:rPr>
                    </m:ctrlPr>
                  </m:sSubPr>
                  <m:e>
                    <m:r>
                      <w:rPr>
                        <w:rFonts w:ascii="Cambria Math" w:eastAsia="標楷體" w:hAnsi="Cambria Math" w:cstheme="minorHAnsi"/>
                        <w:szCs w:val="24"/>
                      </w:rPr>
                      <m:t>JTD</m:t>
                    </m:r>
                  </m:e>
                  <m:sub>
                    <m:r>
                      <w:rPr>
                        <w:rFonts w:ascii="Cambria Math" w:eastAsia="標楷體" w:hAnsi="Cambria Math" w:cstheme="minorHAnsi"/>
                        <w:szCs w:val="24"/>
                      </w:rPr>
                      <m:t>short</m:t>
                    </m:r>
                  </m:sub>
                </m:sSub>
              </m:e>
            </m:d>
          </m:e>
        </m:nary>
      </m:oMath>
      <w:r w:rsidR="00BF4879" w:rsidRPr="00CA1A43">
        <w:rPr>
          <w:rFonts w:eastAsia="標楷體" w:cstheme="minorHAnsi"/>
        </w:rPr>
        <w:t>為瞬間違約</w:t>
      </w:r>
      <w:proofErr w:type="gramStart"/>
      <w:r w:rsidR="00BF4879" w:rsidRPr="00CA1A43">
        <w:rPr>
          <w:rFonts w:eastAsia="標楷體" w:cstheme="minorHAnsi"/>
        </w:rPr>
        <w:t>風險淨短部位</w:t>
      </w:r>
      <w:proofErr w:type="gramEnd"/>
      <w:r w:rsidR="00BF4879" w:rsidRPr="00CA1A43">
        <w:rPr>
          <w:rFonts w:eastAsia="標楷體" w:cstheme="minorHAnsi"/>
        </w:rPr>
        <w:t>取絕對值之簡單加總</w:t>
      </w:r>
      <w:r w:rsidR="00BF4879" w:rsidRPr="00CA1A43">
        <w:rPr>
          <w:rFonts w:eastAsia="標楷體" w:cstheme="minorHAnsi"/>
        </w:rPr>
        <w:t>(</w:t>
      </w:r>
      <w:r w:rsidR="00BF4879" w:rsidRPr="00CA1A43">
        <w:rPr>
          <w:rFonts w:eastAsia="標楷體" w:cstheme="minorHAnsi"/>
        </w:rPr>
        <w:t>非風險加權後</w:t>
      </w:r>
      <w:r w:rsidR="00BF4879" w:rsidRPr="00CA1A43">
        <w:rPr>
          <w:rFonts w:eastAsia="標楷體" w:cstheme="minorHAnsi"/>
        </w:rPr>
        <w:t>)</w:t>
      </w:r>
      <w:proofErr w:type="gramStart"/>
      <w:r w:rsidR="00BF4879" w:rsidRPr="00CA1A43">
        <w:rPr>
          <w:rFonts w:eastAsia="標楷體" w:cstheme="minorHAnsi"/>
        </w:rPr>
        <w:t>必須依跨信用</w:t>
      </w:r>
      <w:proofErr w:type="gramEnd"/>
      <w:r w:rsidR="00BF4879" w:rsidRPr="00CA1A43">
        <w:rPr>
          <w:rFonts w:eastAsia="標楷體" w:cstheme="minorHAnsi"/>
        </w:rPr>
        <w:t>品質分類</w:t>
      </w:r>
      <w:r w:rsidR="00BF4879" w:rsidRPr="00CA1A43">
        <w:rPr>
          <w:rFonts w:eastAsia="標楷體" w:cstheme="minorHAnsi"/>
        </w:rPr>
        <w:t>(</w:t>
      </w:r>
      <w:proofErr w:type="gramStart"/>
      <w:r w:rsidR="00BF4879" w:rsidRPr="00CA1A43">
        <w:rPr>
          <w:rFonts w:eastAsia="標楷體" w:cstheme="minorHAnsi"/>
        </w:rPr>
        <w:t>即評等分</w:t>
      </w:r>
      <w:proofErr w:type="gramEnd"/>
      <w:r w:rsidR="00BF4879" w:rsidRPr="00CA1A43">
        <w:rPr>
          <w:rFonts w:eastAsia="標楷體" w:cstheme="minorHAnsi"/>
        </w:rPr>
        <w:t>群</w:t>
      </w:r>
      <w:r w:rsidR="00BF4879" w:rsidRPr="00CA1A43">
        <w:rPr>
          <w:rFonts w:eastAsia="標楷體" w:cstheme="minorHAnsi"/>
        </w:rPr>
        <w:t>)</w:t>
      </w:r>
      <w:r w:rsidR="00BF4879" w:rsidRPr="00CA1A43">
        <w:rPr>
          <w:rFonts w:eastAsia="標楷體" w:cstheme="minorHAnsi"/>
        </w:rPr>
        <w:t>加總計算。</w:t>
      </w:r>
    </w:p>
    <w:p w14:paraId="629AD10D" w14:textId="77777777" w:rsidR="00350060" w:rsidRPr="00CA1A43" w:rsidRDefault="00E61183" w:rsidP="00C642E4">
      <w:pPr>
        <w:pStyle w:val="a7"/>
        <w:numPr>
          <w:ilvl w:val="0"/>
          <w:numId w:val="152"/>
        </w:numPr>
        <w:spacing w:beforeLines="50" w:before="180"/>
        <w:ind w:leftChars="0" w:left="1446" w:hanging="482"/>
        <w:jc w:val="both"/>
        <w:rPr>
          <w:rFonts w:eastAsia="標楷體" w:cstheme="minorHAnsi"/>
        </w:rPr>
      </w:pPr>
      <w:r w:rsidRPr="00CA1A43">
        <w:rPr>
          <w:rFonts w:eastAsia="標楷體" w:cstheme="minorHAnsi"/>
        </w:rPr>
        <w:t>加權瞬間違約風險淨部位計算時，所有三個組別</w:t>
      </w:r>
      <w:r w:rsidRPr="00CA1A43">
        <w:rPr>
          <w:rFonts w:eastAsia="標楷體" w:cstheme="minorHAnsi"/>
        </w:rPr>
        <w:t>(</w:t>
      </w:r>
      <w:r w:rsidRPr="00CA1A43">
        <w:rPr>
          <w:rFonts w:eastAsia="標楷體" w:cstheme="minorHAnsi"/>
        </w:rPr>
        <w:t>不論交易對手類型</w:t>
      </w:r>
      <w:r w:rsidRPr="00CA1A43">
        <w:rPr>
          <w:rFonts w:eastAsia="標楷體" w:cstheme="minorHAnsi"/>
        </w:rPr>
        <w:t>)</w:t>
      </w:r>
      <w:r w:rsidRPr="00CA1A43">
        <w:rPr>
          <w:rFonts w:eastAsia="標楷體" w:cstheme="minorHAnsi"/>
        </w:rPr>
        <w:t>之違約風險權數依據信用品質分類</w:t>
      </w:r>
      <w:r w:rsidRPr="00CA1A43">
        <w:rPr>
          <w:rFonts w:eastAsia="標楷體" w:cstheme="minorHAnsi"/>
        </w:rPr>
        <w:t>(</w:t>
      </w:r>
      <w:r w:rsidRPr="00CA1A43">
        <w:rPr>
          <w:rFonts w:eastAsia="標楷體" w:cstheme="minorHAnsi"/>
        </w:rPr>
        <w:t>評等分群</w:t>
      </w:r>
      <w:r w:rsidRPr="00CA1A43">
        <w:rPr>
          <w:rFonts w:eastAsia="標楷體" w:cstheme="minorHAnsi"/>
        </w:rPr>
        <w:t>)</w:t>
      </w:r>
      <w:r w:rsidRPr="00CA1A43">
        <w:rPr>
          <w:rFonts w:eastAsia="標楷體" w:cstheme="minorHAnsi"/>
        </w:rPr>
        <w:t>來決定，如下表</w:t>
      </w:r>
      <w:r w:rsidR="00B53754">
        <w:rPr>
          <w:rFonts w:eastAsia="標楷體" w:cstheme="minorHAnsi" w:hint="eastAsia"/>
        </w:rPr>
        <w:t>15</w:t>
      </w:r>
      <w:r w:rsidRPr="00CA1A43">
        <w:rPr>
          <w:rFonts w:eastAsia="標楷體" w:cstheme="minorHAnsi"/>
        </w:rPr>
        <w:t>：</w:t>
      </w:r>
    </w:p>
    <w:tbl>
      <w:tblPr>
        <w:tblW w:w="4146" w:type="pct"/>
        <w:tblInd w:w="14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546"/>
        <w:gridCol w:w="1274"/>
        <w:gridCol w:w="2067"/>
      </w:tblGrid>
      <w:tr w:rsidR="00E61183" w:rsidRPr="00CA1A43" w14:paraId="1176DF21" w14:textId="77777777" w:rsidTr="00E61183">
        <w:trPr>
          <w:trHeight w:val="471"/>
        </w:trPr>
        <w:tc>
          <w:tcPr>
            <w:tcW w:w="3499" w:type="pct"/>
            <w:gridSpan w:val="2"/>
            <w:tcBorders>
              <w:top w:val="single" w:sz="4" w:space="0" w:color="auto"/>
              <w:left w:val="nil"/>
              <w:bottom w:val="single" w:sz="4" w:space="0" w:color="auto"/>
              <w:right w:val="nil"/>
            </w:tcBorders>
            <w:vAlign w:val="center"/>
          </w:tcPr>
          <w:p w14:paraId="6852D8F4" w14:textId="77777777" w:rsidR="00E61183" w:rsidRPr="00CA1A43" w:rsidRDefault="00E61183"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lastRenderedPageBreak/>
              <w:t>依信用品質分類之非證券化違約風險權數</w:t>
            </w:r>
          </w:p>
        </w:tc>
        <w:tc>
          <w:tcPr>
            <w:tcW w:w="1501" w:type="pct"/>
            <w:tcBorders>
              <w:top w:val="single" w:sz="4" w:space="0" w:color="auto"/>
              <w:left w:val="nil"/>
              <w:bottom w:val="single" w:sz="4" w:space="0" w:color="auto"/>
              <w:right w:val="nil"/>
            </w:tcBorders>
            <w:vAlign w:val="center"/>
          </w:tcPr>
          <w:p w14:paraId="4D5A04CC" w14:textId="77777777" w:rsidR="00E61183" w:rsidRPr="00CA1A43" w:rsidRDefault="00E61183" w:rsidP="004708E6">
            <w:pPr>
              <w:pStyle w:val="Item"/>
              <w:ind w:left="388"/>
              <w:jc w:val="right"/>
              <w:rPr>
                <w:rFonts w:asciiTheme="minorHAnsi" w:hAnsiTheme="minorHAnsi" w:cstheme="minorHAnsi"/>
                <w:sz w:val="24"/>
                <w:szCs w:val="24"/>
              </w:rPr>
            </w:pPr>
            <w:r w:rsidRPr="00CA1A43">
              <w:rPr>
                <w:rFonts w:asciiTheme="minorHAnsi" w:hAnsiTheme="minorHAnsi" w:cstheme="minorHAnsi"/>
                <w:sz w:val="24"/>
                <w:szCs w:val="24"/>
              </w:rPr>
              <w:t>表</w:t>
            </w:r>
            <w:r w:rsidR="00B53754">
              <w:rPr>
                <w:rFonts w:asciiTheme="minorHAnsi" w:hAnsiTheme="minorHAnsi" w:cstheme="minorHAnsi" w:hint="eastAsia"/>
                <w:sz w:val="24"/>
                <w:szCs w:val="24"/>
              </w:rPr>
              <w:t>15</w:t>
            </w:r>
          </w:p>
        </w:tc>
      </w:tr>
      <w:tr w:rsidR="00E61183" w:rsidRPr="00CA1A43" w14:paraId="6177011D" w14:textId="77777777" w:rsidTr="00E61183">
        <w:trPr>
          <w:trHeight w:val="274"/>
        </w:trPr>
        <w:tc>
          <w:tcPr>
            <w:tcW w:w="2574" w:type="pct"/>
            <w:tcBorders>
              <w:top w:val="single" w:sz="4" w:space="0" w:color="auto"/>
              <w:left w:val="nil"/>
              <w:bottom w:val="single" w:sz="4" w:space="0" w:color="auto"/>
              <w:right w:val="single" w:sz="4" w:space="0" w:color="A6A6A6"/>
            </w:tcBorders>
            <w:vAlign w:val="center"/>
          </w:tcPr>
          <w:p w14:paraId="185AA060"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信用品質分類</w:t>
            </w:r>
            <w:r w:rsidRPr="00CA1A43">
              <w:rPr>
                <w:rStyle w:val="a5"/>
                <w:rFonts w:asciiTheme="minorHAnsi" w:hAnsiTheme="minorHAnsi" w:cstheme="minorHAnsi"/>
              </w:rPr>
              <w:footnoteReference w:id="51"/>
            </w:r>
          </w:p>
        </w:tc>
        <w:tc>
          <w:tcPr>
            <w:tcW w:w="2426" w:type="pct"/>
            <w:gridSpan w:val="2"/>
            <w:tcBorders>
              <w:top w:val="single" w:sz="4" w:space="0" w:color="auto"/>
              <w:left w:val="single" w:sz="4" w:space="0" w:color="A6A6A6"/>
              <w:bottom w:val="single" w:sz="4" w:space="0" w:color="auto"/>
              <w:right w:val="nil"/>
            </w:tcBorders>
            <w:vAlign w:val="center"/>
          </w:tcPr>
          <w:p w14:paraId="67C73CDE"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違約風險權數</w:t>
            </w:r>
          </w:p>
        </w:tc>
      </w:tr>
      <w:tr w:rsidR="00E61183" w:rsidRPr="00CA1A43" w14:paraId="29BF1547" w14:textId="77777777" w:rsidTr="00E61183">
        <w:trPr>
          <w:trHeight w:val="260"/>
        </w:trPr>
        <w:tc>
          <w:tcPr>
            <w:tcW w:w="2574" w:type="pct"/>
            <w:tcBorders>
              <w:top w:val="single" w:sz="4" w:space="0" w:color="auto"/>
              <w:left w:val="nil"/>
              <w:bottom w:val="single" w:sz="4" w:space="0" w:color="A6A6A6"/>
              <w:right w:val="single" w:sz="4" w:space="0" w:color="A6A6A6"/>
            </w:tcBorders>
            <w:vAlign w:val="center"/>
            <w:hideMark/>
          </w:tcPr>
          <w:p w14:paraId="2D72A807"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AAA</w:t>
            </w:r>
          </w:p>
        </w:tc>
        <w:tc>
          <w:tcPr>
            <w:tcW w:w="2426" w:type="pct"/>
            <w:gridSpan w:val="2"/>
            <w:tcBorders>
              <w:top w:val="single" w:sz="4" w:space="0" w:color="auto"/>
              <w:left w:val="single" w:sz="4" w:space="0" w:color="A6A6A6"/>
              <w:bottom w:val="single" w:sz="4" w:space="0" w:color="A6A6A6"/>
              <w:right w:val="nil"/>
            </w:tcBorders>
            <w:vAlign w:val="center"/>
            <w:hideMark/>
          </w:tcPr>
          <w:p w14:paraId="22A4DD00"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0.5%</w:t>
            </w:r>
          </w:p>
        </w:tc>
      </w:tr>
      <w:tr w:rsidR="00E61183" w:rsidRPr="00CA1A43" w14:paraId="70612D19" w14:textId="77777777" w:rsidTr="00E61183">
        <w:trPr>
          <w:trHeight w:val="244"/>
        </w:trPr>
        <w:tc>
          <w:tcPr>
            <w:tcW w:w="2574" w:type="pct"/>
            <w:tcBorders>
              <w:top w:val="single" w:sz="4" w:space="0" w:color="A6A6A6"/>
              <w:left w:val="nil"/>
              <w:bottom w:val="single" w:sz="4" w:space="0" w:color="A6A6A6"/>
              <w:right w:val="single" w:sz="4" w:space="0" w:color="A6A6A6"/>
            </w:tcBorders>
            <w:vAlign w:val="center"/>
            <w:hideMark/>
          </w:tcPr>
          <w:p w14:paraId="22A01B30"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AA</w:t>
            </w:r>
          </w:p>
        </w:tc>
        <w:tc>
          <w:tcPr>
            <w:tcW w:w="2426" w:type="pct"/>
            <w:gridSpan w:val="2"/>
            <w:tcBorders>
              <w:top w:val="single" w:sz="4" w:space="0" w:color="A6A6A6"/>
              <w:left w:val="single" w:sz="4" w:space="0" w:color="A6A6A6"/>
              <w:bottom w:val="single" w:sz="4" w:space="0" w:color="A6A6A6"/>
              <w:right w:val="nil"/>
            </w:tcBorders>
            <w:vAlign w:val="center"/>
            <w:hideMark/>
          </w:tcPr>
          <w:p w14:paraId="733FC478"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r>
      <w:tr w:rsidR="00E61183" w:rsidRPr="00CA1A43" w14:paraId="621C8D0B" w14:textId="77777777" w:rsidTr="00E61183">
        <w:trPr>
          <w:trHeight w:val="244"/>
        </w:trPr>
        <w:tc>
          <w:tcPr>
            <w:tcW w:w="2574" w:type="pct"/>
            <w:tcBorders>
              <w:top w:val="single" w:sz="4" w:space="0" w:color="A6A6A6"/>
              <w:left w:val="nil"/>
              <w:bottom w:val="single" w:sz="4" w:space="0" w:color="A6A6A6"/>
              <w:right w:val="single" w:sz="4" w:space="0" w:color="A6A6A6"/>
            </w:tcBorders>
            <w:vAlign w:val="center"/>
            <w:hideMark/>
          </w:tcPr>
          <w:p w14:paraId="5B0BFB83"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A</w:t>
            </w:r>
          </w:p>
        </w:tc>
        <w:tc>
          <w:tcPr>
            <w:tcW w:w="2426" w:type="pct"/>
            <w:gridSpan w:val="2"/>
            <w:tcBorders>
              <w:top w:val="single" w:sz="4" w:space="0" w:color="A6A6A6"/>
              <w:left w:val="single" w:sz="4" w:space="0" w:color="A6A6A6"/>
              <w:bottom w:val="single" w:sz="4" w:space="0" w:color="A6A6A6"/>
              <w:right w:val="nil"/>
            </w:tcBorders>
            <w:vAlign w:val="center"/>
            <w:hideMark/>
          </w:tcPr>
          <w:p w14:paraId="75BCABED"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r>
      <w:tr w:rsidR="00E61183" w:rsidRPr="00CA1A43" w14:paraId="5DCB5BD0" w14:textId="77777777" w:rsidTr="00E61183">
        <w:trPr>
          <w:trHeight w:val="244"/>
        </w:trPr>
        <w:tc>
          <w:tcPr>
            <w:tcW w:w="2574" w:type="pct"/>
            <w:tcBorders>
              <w:top w:val="single" w:sz="4" w:space="0" w:color="A6A6A6"/>
              <w:left w:val="nil"/>
              <w:bottom w:val="single" w:sz="4" w:space="0" w:color="A6A6A6"/>
              <w:right w:val="single" w:sz="4" w:space="0" w:color="A6A6A6"/>
            </w:tcBorders>
            <w:vAlign w:val="center"/>
            <w:hideMark/>
          </w:tcPr>
          <w:p w14:paraId="7C5BD933"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BBB</w:t>
            </w:r>
          </w:p>
        </w:tc>
        <w:tc>
          <w:tcPr>
            <w:tcW w:w="2426" w:type="pct"/>
            <w:gridSpan w:val="2"/>
            <w:tcBorders>
              <w:top w:val="single" w:sz="4" w:space="0" w:color="A6A6A6"/>
              <w:left w:val="single" w:sz="4" w:space="0" w:color="A6A6A6"/>
              <w:bottom w:val="single" w:sz="4" w:space="0" w:color="A6A6A6"/>
              <w:right w:val="nil"/>
            </w:tcBorders>
            <w:vAlign w:val="center"/>
            <w:hideMark/>
          </w:tcPr>
          <w:p w14:paraId="6AA8838B"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p>
        </w:tc>
      </w:tr>
      <w:tr w:rsidR="00E61183" w:rsidRPr="00CA1A43" w14:paraId="04A0C31D" w14:textId="77777777" w:rsidTr="00E61183">
        <w:trPr>
          <w:trHeight w:val="244"/>
        </w:trPr>
        <w:tc>
          <w:tcPr>
            <w:tcW w:w="2574" w:type="pct"/>
            <w:tcBorders>
              <w:top w:val="single" w:sz="4" w:space="0" w:color="A6A6A6"/>
              <w:left w:val="nil"/>
              <w:bottom w:val="single" w:sz="4" w:space="0" w:color="A6A6A6"/>
              <w:right w:val="single" w:sz="4" w:space="0" w:color="A6A6A6"/>
            </w:tcBorders>
            <w:vAlign w:val="center"/>
            <w:hideMark/>
          </w:tcPr>
          <w:p w14:paraId="5D8E1F1D"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BB</w:t>
            </w:r>
          </w:p>
        </w:tc>
        <w:tc>
          <w:tcPr>
            <w:tcW w:w="2426" w:type="pct"/>
            <w:gridSpan w:val="2"/>
            <w:tcBorders>
              <w:top w:val="single" w:sz="4" w:space="0" w:color="A6A6A6"/>
              <w:left w:val="single" w:sz="4" w:space="0" w:color="A6A6A6"/>
              <w:bottom w:val="single" w:sz="4" w:space="0" w:color="A6A6A6"/>
              <w:right w:val="nil"/>
            </w:tcBorders>
            <w:vAlign w:val="center"/>
            <w:hideMark/>
          </w:tcPr>
          <w:p w14:paraId="304C9299"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E61183" w:rsidRPr="00CA1A43" w14:paraId="4701DBFB" w14:textId="77777777" w:rsidTr="00E61183">
        <w:trPr>
          <w:trHeight w:val="244"/>
        </w:trPr>
        <w:tc>
          <w:tcPr>
            <w:tcW w:w="2574" w:type="pct"/>
            <w:tcBorders>
              <w:top w:val="single" w:sz="4" w:space="0" w:color="A6A6A6"/>
              <w:left w:val="nil"/>
              <w:bottom w:val="single" w:sz="4" w:space="0" w:color="A6A6A6"/>
              <w:right w:val="single" w:sz="4" w:space="0" w:color="A6A6A6"/>
            </w:tcBorders>
            <w:vAlign w:val="center"/>
            <w:hideMark/>
          </w:tcPr>
          <w:p w14:paraId="2669E69C"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B</w:t>
            </w:r>
          </w:p>
        </w:tc>
        <w:tc>
          <w:tcPr>
            <w:tcW w:w="2426" w:type="pct"/>
            <w:gridSpan w:val="2"/>
            <w:tcBorders>
              <w:top w:val="single" w:sz="4" w:space="0" w:color="A6A6A6"/>
              <w:left w:val="single" w:sz="4" w:space="0" w:color="A6A6A6"/>
              <w:bottom w:val="single" w:sz="4" w:space="0" w:color="A6A6A6"/>
              <w:right w:val="nil"/>
            </w:tcBorders>
            <w:vAlign w:val="center"/>
            <w:hideMark/>
          </w:tcPr>
          <w:p w14:paraId="47C0B58E"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r>
      <w:tr w:rsidR="00E61183" w:rsidRPr="00CA1A43" w14:paraId="524FDE4A" w14:textId="77777777" w:rsidTr="00E61183">
        <w:trPr>
          <w:trHeight w:val="244"/>
        </w:trPr>
        <w:tc>
          <w:tcPr>
            <w:tcW w:w="2574" w:type="pct"/>
            <w:tcBorders>
              <w:top w:val="single" w:sz="4" w:space="0" w:color="A6A6A6"/>
              <w:left w:val="nil"/>
              <w:bottom w:val="single" w:sz="4" w:space="0" w:color="A6A6A6"/>
              <w:right w:val="single" w:sz="4" w:space="0" w:color="A6A6A6"/>
            </w:tcBorders>
            <w:vAlign w:val="center"/>
            <w:hideMark/>
          </w:tcPr>
          <w:p w14:paraId="2D610C65"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CCC</w:t>
            </w:r>
          </w:p>
        </w:tc>
        <w:tc>
          <w:tcPr>
            <w:tcW w:w="2426" w:type="pct"/>
            <w:gridSpan w:val="2"/>
            <w:tcBorders>
              <w:top w:val="single" w:sz="4" w:space="0" w:color="A6A6A6"/>
              <w:left w:val="single" w:sz="4" w:space="0" w:color="A6A6A6"/>
              <w:bottom w:val="single" w:sz="4" w:space="0" w:color="A6A6A6"/>
              <w:right w:val="nil"/>
            </w:tcBorders>
            <w:vAlign w:val="center"/>
            <w:hideMark/>
          </w:tcPr>
          <w:p w14:paraId="7F253ADB"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r>
      <w:tr w:rsidR="00E61183" w:rsidRPr="00CA1A43" w14:paraId="252FFB64" w14:textId="77777777" w:rsidTr="00E61183">
        <w:trPr>
          <w:trHeight w:val="274"/>
        </w:trPr>
        <w:tc>
          <w:tcPr>
            <w:tcW w:w="2574" w:type="pct"/>
            <w:tcBorders>
              <w:top w:val="single" w:sz="4" w:space="0" w:color="A6A6A6"/>
              <w:left w:val="nil"/>
              <w:bottom w:val="single" w:sz="4" w:space="0" w:color="A6A6A6"/>
              <w:right w:val="single" w:sz="4" w:space="0" w:color="A6A6A6"/>
            </w:tcBorders>
            <w:vAlign w:val="center"/>
            <w:hideMark/>
          </w:tcPr>
          <w:p w14:paraId="5D0FAB1A" w14:textId="77777777" w:rsidR="00E61183" w:rsidRPr="00CA1A43" w:rsidRDefault="00E61183" w:rsidP="004708E6">
            <w:pPr>
              <w:pStyle w:val="Item"/>
              <w:jc w:val="center"/>
              <w:rPr>
                <w:rFonts w:asciiTheme="minorHAnsi" w:hAnsiTheme="minorHAnsi" w:cstheme="minorHAnsi"/>
                <w:sz w:val="24"/>
                <w:szCs w:val="24"/>
              </w:rPr>
            </w:pPr>
            <w:proofErr w:type="gramStart"/>
            <w:r w:rsidRPr="00CA1A43">
              <w:rPr>
                <w:rFonts w:asciiTheme="minorHAnsi" w:hAnsiTheme="minorHAnsi" w:cstheme="minorHAnsi"/>
                <w:sz w:val="24"/>
                <w:szCs w:val="24"/>
              </w:rPr>
              <w:t>無評等</w:t>
            </w:r>
            <w:proofErr w:type="gramEnd"/>
          </w:p>
        </w:tc>
        <w:tc>
          <w:tcPr>
            <w:tcW w:w="2426" w:type="pct"/>
            <w:gridSpan w:val="2"/>
            <w:tcBorders>
              <w:top w:val="single" w:sz="4" w:space="0" w:color="A6A6A6"/>
              <w:left w:val="single" w:sz="4" w:space="0" w:color="A6A6A6"/>
              <w:bottom w:val="single" w:sz="4" w:space="0" w:color="A6A6A6"/>
              <w:right w:val="nil"/>
            </w:tcBorders>
            <w:vAlign w:val="center"/>
            <w:hideMark/>
          </w:tcPr>
          <w:p w14:paraId="3D23E5B4"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E61183" w:rsidRPr="00CA1A43" w14:paraId="4EDF70D3" w14:textId="77777777" w:rsidTr="00E61183">
        <w:trPr>
          <w:trHeight w:val="290"/>
        </w:trPr>
        <w:tc>
          <w:tcPr>
            <w:tcW w:w="2574" w:type="pct"/>
            <w:tcBorders>
              <w:top w:val="single" w:sz="4" w:space="0" w:color="A6A6A6"/>
              <w:left w:val="nil"/>
              <w:bottom w:val="single" w:sz="4" w:space="0" w:color="auto"/>
              <w:right w:val="single" w:sz="4" w:space="0" w:color="A6A6A6"/>
            </w:tcBorders>
            <w:vAlign w:val="center"/>
            <w:hideMark/>
          </w:tcPr>
          <w:p w14:paraId="3CCBEC5E"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違約</w:t>
            </w:r>
          </w:p>
        </w:tc>
        <w:tc>
          <w:tcPr>
            <w:tcW w:w="2426" w:type="pct"/>
            <w:gridSpan w:val="2"/>
            <w:tcBorders>
              <w:top w:val="single" w:sz="4" w:space="0" w:color="A6A6A6"/>
              <w:left w:val="single" w:sz="4" w:space="0" w:color="A6A6A6"/>
              <w:bottom w:val="single" w:sz="4" w:space="0" w:color="auto"/>
              <w:right w:val="nil"/>
            </w:tcBorders>
            <w:vAlign w:val="center"/>
            <w:hideMark/>
          </w:tcPr>
          <w:p w14:paraId="76379F19" w14:textId="77777777" w:rsidR="00E61183" w:rsidRPr="00CA1A43" w:rsidRDefault="00E61183"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bl>
    <w:p w14:paraId="6CF83A79" w14:textId="77777777" w:rsidR="00E61183" w:rsidRPr="00CA1A43" w:rsidRDefault="00E61183" w:rsidP="00C642E4">
      <w:pPr>
        <w:pStyle w:val="a7"/>
        <w:numPr>
          <w:ilvl w:val="0"/>
          <w:numId w:val="152"/>
        </w:numPr>
        <w:spacing w:beforeLines="50" w:before="180"/>
        <w:ind w:leftChars="0" w:left="1446" w:hanging="482"/>
        <w:jc w:val="both"/>
        <w:rPr>
          <w:rFonts w:eastAsia="標楷體" w:cstheme="minorHAnsi"/>
        </w:rPr>
      </w:pPr>
      <w:r w:rsidRPr="00CA1A43">
        <w:rPr>
          <w:rFonts w:eastAsia="標楷體" w:cstheme="minorHAnsi"/>
        </w:rPr>
        <w:t>計算各組別</w:t>
      </w:r>
      <w:proofErr w:type="gramStart"/>
      <w:r w:rsidRPr="00CA1A43">
        <w:rPr>
          <w:rFonts w:eastAsia="標楷體" w:cstheme="minorHAnsi"/>
        </w:rPr>
        <w:t>之</w:t>
      </w:r>
      <w:proofErr w:type="gramEnd"/>
      <w:r w:rsidRPr="00CA1A43">
        <w:rPr>
          <w:rFonts w:eastAsia="標楷體" w:cstheme="minorHAnsi"/>
        </w:rPr>
        <w:t>資本要求時，需合併跨信用品質分類</w:t>
      </w:r>
      <w:r w:rsidRPr="00CA1A43">
        <w:rPr>
          <w:rFonts w:eastAsia="標楷體" w:cstheme="minorHAnsi"/>
        </w:rPr>
        <w:t>(</w:t>
      </w:r>
      <w:proofErr w:type="gramStart"/>
      <w:r w:rsidRPr="00CA1A43">
        <w:rPr>
          <w:rFonts w:eastAsia="標楷體" w:cstheme="minorHAnsi"/>
        </w:rPr>
        <w:t>即評等分</w:t>
      </w:r>
      <w:proofErr w:type="gramEnd"/>
      <w:r w:rsidRPr="00CA1A43">
        <w:rPr>
          <w:rFonts w:eastAsia="標楷體" w:cstheme="minorHAnsi"/>
        </w:rPr>
        <w:t>群</w:t>
      </w:r>
      <w:r w:rsidRPr="00CA1A43">
        <w:rPr>
          <w:rFonts w:eastAsia="標楷體" w:cstheme="minorHAnsi"/>
        </w:rPr>
        <w:t>)</w:t>
      </w:r>
      <w:r w:rsidRPr="00CA1A43">
        <w:rPr>
          <w:rFonts w:eastAsia="標楷體" w:cstheme="minorHAnsi"/>
        </w:rPr>
        <w:t>之加權後瞬間違約</w:t>
      </w:r>
      <w:proofErr w:type="gramStart"/>
      <w:r w:rsidRPr="00CA1A43">
        <w:rPr>
          <w:rFonts w:eastAsia="標楷體" w:cstheme="minorHAnsi"/>
        </w:rPr>
        <w:t>風險淨長部位</w:t>
      </w:r>
      <w:proofErr w:type="gramEnd"/>
      <w:r w:rsidRPr="00CA1A43">
        <w:rPr>
          <w:rFonts w:eastAsia="標楷體" w:cstheme="minorHAnsi"/>
        </w:rPr>
        <w:t>總和、避險效益比率及跨信用品質分類</w:t>
      </w:r>
      <w:r w:rsidRPr="00CA1A43">
        <w:rPr>
          <w:rFonts w:eastAsia="標楷體" w:cstheme="minorHAnsi"/>
        </w:rPr>
        <w:t>(</w:t>
      </w:r>
      <w:proofErr w:type="gramStart"/>
      <w:r w:rsidRPr="00CA1A43">
        <w:rPr>
          <w:rFonts w:eastAsia="標楷體" w:cstheme="minorHAnsi"/>
        </w:rPr>
        <w:t>即評等分</w:t>
      </w:r>
      <w:proofErr w:type="gramEnd"/>
      <w:r w:rsidRPr="00CA1A43">
        <w:rPr>
          <w:rFonts w:eastAsia="標楷體" w:cstheme="minorHAnsi"/>
        </w:rPr>
        <w:t>群</w:t>
      </w:r>
      <w:r w:rsidRPr="00CA1A43">
        <w:rPr>
          <w:rFonts w:eastAsia="標楷體" w:cstheme="minorHAnsi"/>
        </w:rPr>
        <w:t>)</w:t>
      </w:r>
      <w:r w:rsidRPr="00CA1A43">
        <w:rPr>
          <w:rFonts w:eastAsia="標楷體" w:cstheme="minorHAnsi"/>
        </w:rPr>
        <w:t>之加權後瞬間違約</w:t>
      </w:r>
      <w:proofErr w:type="gramStart"/>
      <w:r w:rsidRPr="00CA1A43">
        <w:rPr>
          <w:rFonts w:eastAsia="標楷體" w:cstheme="minorHAnsi"/>
        </w:rPr>
        <w:t>風險淨短部位</w:t>
      </w:r>
      <w:proofErr w:type="gramEnd"/>
      <w:r w:rsidRPr="00CA1A43">
        <w:rPr>
          <w:rFonts w:eastAsia="標楷體" w:cstheme="minorHAnsi"/>
        </w:rPr>
        <w:t>總和。以組別</w:t>
      </w:r>
      <w:r w:rsidRPr="00CA1A43">
        <w:rPr>
          <w:rFonts w:eastAsia="標楷體" w:cstheme="minorHAnsi"/>
        </w:rPr>
        <w:t>b</w:t>
      </w:r>
      <w:r w:rsidRPr="00CA1A43">
        <w:rPr>
          <w:rFonts w:eastAsia="標楷體" w:cstheme="minorHAnsi"/>
        </w:rPr>
        <w:t>為例，違約風險資本計提</w:t>
      </w:r>
      <w:r w:rsidRPr="00CA1A43">
        <w:rPr>
          <w:rFonts w:eastAsia="標楷體" w:cstheme="minorHAnsi"/>
        </w:rPr>
        <w:t>(DRC)</w:t>
      </w:r>
      <w:r w:rsidRPr="00CA1A43">
        <w:rPr>
          <w:rFonts w:eastAsia="標楷體" w:cstheme="minorHAnsi"/>
        </w:rPr>
        <w:t>公式如下：</w:t>
      </w:r>
    </w:p>
    <w:p w14:paraId="09E81C69" w14:textId="77777777" w:rsidR="00E61183" w:rsidRPr="00CA1A43" w:rsidRDefault="00AA1117" w:rsidP="00E61183">
      <w:pPr>
        <w:rPr>
          <w:rFonts w:eastAsia="標楷體" w:cstheme="minorHAnsi"/>
        </w:rPr>
      </w:pPr>
      <m:oMathPara>
        <m:oMath>
          <m:sSub>
            <m:sSubPr>
              <m:ctrlPr>
                <w:rPr>
                  <w:rFonts w:ascii="Cambria Math" w:eastAsia="標楷體" w:hAnsi="Cambria Math" w:cstheme="minorHAnsi"/>
                </w:rPr>
              </m:ctrlPr>
            </m:sSubPr>
            <m:e>
              <m:r>
                <w:rPr>
                  <w:rFonts w:ascii="Cambria Math" w:eastAsia="標楷體" w:hAnsi="Cambria Math" w:cstheme="minorHAnsi"/>
                </w:rPr>
                <m:t>DRC</m:t>
              </m:r>
            </m:e>
            <m:sub>
              <m:r>
                <w:rPr>
                  <w:rFonts w:ascii="Cambria Math" w:eastAsia="標楷體" w:hAnsi="Cambria Math" w:cstheme="minorHAnsi"/>
                </w:rPr>
                <m:t>b</m:t>
              </m:r>
            </m:sub>
          </m:sSub>
          <m:r>
            <w:rPr>
              <w:rFonts w:ascii="Cambria Math" w:eastAsia="標楷體" w:hAnsi="Cambria Math" w:cstheme="minorHAnsi"/>
            </w:rPr>
            <m:t>=max</m:t>
          </m:r>
          <m:d>
            <m:dPr>
              <m:begChr m:val="["/>
              <m:endChr m:val="]"/>
              <m:ctrlPr>
                <w:rPr>
                  <w:rFonts w:ascii="Cambria Math" w:eastAsia="標楷體" w:hAnsi="Cambria Math" w:cstheme="minorHAnsi"/>
                  <w:i/>
                </w:rPr>
              </m:ctrlPr>
            </m:dPr>
            <m:e>
              <m:d>
                <m:dPr>
                  <m:ctrlPr>
                    <w:rPr>
                      <w:rFonts w:ascii="Cambria Math" w:eastAsia="標楷體" w:hAnsi="Cambria Math" w:cstheme="minorHAnsi"/>
                      <w:i/>
                    </w:rPr>
                  </m:ctrlPr>
                </m:dPr>
                <m:e>
                  <m:nary>
                    <m:naryPr>
                      <m:chr m:val="∑"/>
                      <m:limLoc m:val="subSup"/>
                      <m:ctrlPr>
                        <w:rPr>
                          <w:rFonts w:ascii="Cambria Math" w:eastAsia="標楷體" w:hAnsi="Cambria Math" w:cstheme="minorHAnsi"/>
                          <w:i/>
                        </w:rPr>
                      </m:ctrlPr>
                    </m:naryPr>
                    <m:sub>
                      <m:r>
                        <w:rPr>
                          <w:rFonts w:ascii="Cambria Math" w:eastAsia="標楷體" w:hAnsi="Cambria Math" w:cstheme="minorHAnsi"/>
                        </w:rPr>
                        <m:t>i∈Long</m:t>
                      </m:r>
                    </m:sub>
                    <m:sup/>
                    <m:e>
                      <m:sSub>
                        <m:sSubPr>
                          <m:ctrlPr>
                            <w:rPr>
                              <w:rFonts w:ascii="Cambria Math" w:eastAsia="標楷體" w:hAnsi="Cambria Math" w:cstheme="minorHAnsi"/>
                              <w:i/>
                            </w:rPr>
                          </m:ctrlPr>
                        </m:sSubPr>
                        <m:e>
                          <m:r>
                            <w:rPr>
                              <w:rFonts w:ascii="Cambria Math" w:eastAsia="標楷體" w:hAnsi="Cambria Math" w:cstheme="minorHAnsi"/>
                            </w:rPr>
                            <m:t>RW</m:t>
                          </m:r>
                        </m:e>
                        <m:sub>
                          <m:r>
                            <w:rPr>
                              <w:rFonts w:ascii="Cambria Math" w:eastAsia="標楷體" w:hAnsi="Cambria Math" w:cstheme="minorHAnsi"/>
                            </w:rPr>
                            <m:t>i</m:t>
                          </m:r>
                        </m:sub>
                      </m:sSub>
                      <m:r>
                        <w:rPr>
                          <w:rFonts w:ascii="Cambria Math" w:eastAsia="標楷體" w:hAnsi="Cambria Math" w:cstheme="minorHAnsi"/>
                        </w:rPr>
                        <m:t>∙net</m:t>
                      </m:r>
                      <m:sSub>
                        <m:sSubPr>
                          <m:ctrlPr>
                            <w:rPr>
                              <w:rFonts w:ascii="Cambria Math" w:eastAsia="標楷體" w:hAnsi="Cambria Math" w:cstheme="minorHAnsi"/>
                              <w:i/>
                            </w:rPr>
                          </m:ctrlPr>
                        </m:sSubPr>
                        <m:e>
                          <m:r>
                            <w:rPr>
                              <w:rFonts w:ascii="Cambria Math" w:eastAsia="標楷體" w:hAnsi="Cambria Math" w:cstheme="minorHAnsi"/>
                            </w:rPr>
                            <m:t>JTD</m:t>
                          </m:r>
                        </m:e>
                        <m:sub>
                          <m:r>
                            <w:rPr>
                              <w:rFonts w:ascii="Cambria Math" w:eastAsia="標楷體" w:hAnsi="Cambria Math" w:cstheme="minorHAnsi"/>
                            </w:rPr>
                            <m:t>i</m:t>
                          </m:r>
                        </m:sub>
                      </m:sSub>
                    </m:e>
                  </m:nary>
                </m:e>
              </m:d>
              <m:r>
                <w:rPr>
                  <w:rFonts w:ascii="Cambria Math" w:eastAsia="標楷體" w:hAnsi="Cambria Math" w:cstheme="minorHAnsi"/>
                </w:rPr>
                <m:t>-HBR∙</m:t>
              </m:r>
              <m:d>
                <m:dPr>
                  <m:ctrlPr>
                    <w:rPr>
                      <w:rFonts w:ascii="Cambria Math" w:eastAsia="標楷體" w:hAnsi="Cambria Math" w:cstheme="minorHAnsi"/>
                      <w:i/>
                    </w:rPr>
                  </m:ctrlPr>
                </m:dPr>
                <m:e>
                  <m:nary>
                    <m:naryPr>
                      <m:chr m:val="∑"/>
                      <m:limLoc m:val="subSup"/>
                      <m:ctrlPr>
                        <w:rPr>
                          <w:rFonts w:ascii="Cambria Math" w:eastAsia="標楷體" w:hAnsi="Cambria Math" w:cstheme="minorHAnsi"/>
                          <w:i/>
                        </w:rPr>
                      </m:ctrlPr>
                    </m:naryPr>
                    <m:sub>
                      <m:r>
                        <w:rPr>
                          <w:rFonts w:ascii="Cambria Math" w:eastAsia="標楷體" w:hAnsi="Cambria Math" w:cstheme="minorHAnsi"/>
                        </w:rPr>
                        <m:t>i∈Short</m:t>
                      </m:r>
                    </m:sub>
                    <m:sup/>
                    <m:e>
                      <m:sSub>
                        <m:sSubPr>
                          <m:ctrlPr>
                            <w:rPr>
                              <w:rFonts w:ascii="Cambria Math" w:eastAsia="標楷體" w:hAnsi="Cambria Math" w:cstheme="minorHAnsi"/>
                              <w:i/>
                            </w:rPr>
                          </m:ctrlPr>
                        </m:sSubPr>
                        <m:e>
                          <m:r>
                            <w:rPr>
                              <w:rFonts w:ascii="Cambria Math" w:eastAsia="標楷體" w:hAnsi="Cambria Math" w:cstheme="minorHAnsi"/>
                            </w:rPr>
                            <m:t>RW</m:t>
                          </m:r>
                        </m:e>
                        <m:sub>
                          <m:r>
                            <w:rPr>
                              <w:rFonts w:ascii="Cambria Math" w:eastAsia="標楷體" w:hAnsi="Cambria Math" w:cstheme="minorHAnsi"/>
                            </w:rPr>
                            <m:t>i</m:t>
                          </m:r>
                        </m:sub>
                      </m:sSub>
                      <m:r>
                        <w:rPr>
                          <w:rFonts w:ascii="Cambria Math" w:eastAsia="標楷體" w:hAnsi="Cambria Math" w:cstheme="minorHAnsi"/>
                        </w:rPr>
                        <m:t>∙</m:t>
                      </m:r>
                      <m:d>
                        <m:dPr>
                          <m:begChr m:val="|"/>
                          <m:endChr m:val="|"/>
                          <m:ctrlPr>
                            <w:rPr>
                              <w:rFonts w:ascii="Cambria Math" w:eastAsia="標楷體" w:hAnsi="Cambria Math" w:cstheme="minorHAnsi"/>
                              <w:i/>
                            </w:rPr>
                          </m:ctrlPr>
                        </m:dPr>
                        <m:e>
                          <m:r>
                            <w:rPr>
                              <w:rFonts w:ascii="Cambria Math" w:eastAsia="標楷體" w:hAnsi="Cambria Math" w:cstheme="minorHAnsi"/>
                            </w:rPr>
                            <m:t>net</m:t>
                          </m:r>
                          <m:sSub>
                            <m:sSubPr>
                              <m:ctrlPr>
                                <w:rPr>
                                  <w:rFonts w:ascii="Cambria Math" w:eastAsia="標楷體" w:hAnsi="Cambria Math" w:cstheme="minorHAnsi"/>
                                  <w:i/>
                                </w:rPr>
                              </m:ctrlPr>
                            </m:sSubPr>
                            <m:e>
                              <m:r>
                                <w:rPr>
                                  <w:rFonts w:ascii="Cambria Math" w:eastAsia="標楷體" w:hAnsi="Cambria Math" w:cstheme="minorHAnsi"/>
                                </w:rPr>
                                <m:t>JTD</m:t>
                              </m:r>
                            </m:e>
                            <m:sub>
                              <m:r>
                                <w:rPr>
                                  <w:rFonts w:ascii="Cambria Math" w:eastAsia="標楷體" w:hAnsi="Cambria Math" w:cstheme="minorHAnsi"/>
                                </w:rPr>
                                <m:t>i</m:t>
                              </m:r>
                            </m:sub>
                          </m:sSub>
                        </m:e>
                      </m:d>
                    </m:e>
                  </m:nary>
                </m:e>
              </m:d>
              <m:r>
                <w:rPr>
                  <w:rFonts w:ascii="Cambria Math" w:eastAsia="標楷體" w:hAnsi="Cambria Math" w:cstheme="minorHAnsi"/>
                </w:rPr>
                <m:t>;</m:t>
              </m:r>
              <m:r>
                <m:rPr>
                  <m:sty m:val="p"/>
                </m:rPr>
                <w:rPr>
                  <w:rFonts w:ascii="Cambria Math" w:eastAsia="標楷體" w:hAnsi="Cambria Math" w:cstheme="minorHAnsi"/>
                </w:rPr>
                <m:t>0</m:t>
              </m:r>
            </m:e>
          </m:d>
        </m:oMath>
      </m:oMathPara>
    </w:p>
    <w:p w14:paraId="2896A3B7" w14:textId="2CD281A8" w:rsidR="00E61183" w:rsidRPr="00CA1A43" w:rsidRDefault="00E61183" w:rsidP="00E61183">
      <w:pPr>
        <w:spacing w:beforeLines="50" w:before="180"/>
        <w:ind w:left="1446"/>
        <w:jc w:val="both"/>
        <w:rPr>
          <w:rFonts w:eastAsia="標楷體" w:cstheme="minorHAnsi"/>
        </w:rPr>
      </w:pPr>
      <w:r w:rsidRPr="00CA1A43">
        <w:rPr>
          <w:rFonts w:eastAsia="標楷體" w:cstheme="minorHAnsi"/>
        </w:rPr>
        <w:t>其中，</w:t>
      </w:r>
      <w:proofErr w:type="spellStart"/>
      <w:r w:rsidRPr="00CA1A43">
        <w:rPr>
          <w:rFonts w:eastAsia="標楷體" w:cstheme="minorHAnsi"/>
        </w:rPr>
        <w:t>i</w:t>
      </w:r>
      <w:proofErr w:type="spellEnd"/>
      <w:r w:rsidRPr="00CA1A43">
        <w:rPr>
          <w:rFonts w:eastAsia="標楷體" w:cstheme="minorHAnsi"/>
        </w:rPr>
        <w:t>為組別</w:t>
      </w:r>
      <w:r w:rsidRPr="00CA1A43">
        <w:rPr>
          <w:rFonts w:eastAsia="標楷體" w:cstheme="minorHAnsi"/>
        </w:rPr>
        <w:t>b</w:t>
      </w:r>
      <w:r w:rsidRPr="00CA1A43">
        <w:rPr>
          <w:rFonts w:eastAsia="標楷體" w:cstheme="minorHAnsi"/>
        </w:rPr>
        <w:t>中之</w:t>
      </w:r>
      <w:r w:rsidR="009653EE" w:rsidRPr="0029561E">
        <w:rPr>
          <w:rFonts w:eastAsia="標楷體" w:cstheme="minorHAnsi"/>
        </w:rPr>
        <w:t>工具</w:t>
      </w:r>
      <w:r w:rsidR="0029561E">
        <w:rPr>
          <w:rFonts w:eastAsia="標楷體" w:cstheme="minorHAnsi" w:hint="eastAsia"/>
        </w:rPr>
        <w:t>。</w:t>
      </w:r>
    </w:p>
    <w:p w14:paraId="36136678" w14:textId="77777777" w:rsidR="00350060" w:rsidRPr="00CA1A43" w:rsidRDefault="00E61183" w:rsidP="00C642E4">
      <w:pPr>
        <w:pStyle w:val="a7"/>
        <w:numPr>
          <w:ilvl w:val="0"/>
          <w:numId w:val="152"/>
        </w:numPr>
        <w:spacing w:beforeLines="50" w:before="180"/>
        <w:ind w:leftChars="0" w:left="1446" w:hanging="482"/>
        <w:jc w:val="both"/>
        <w:rPr>
          <w:rFonts w:eastAsia="標楷體" w:cstheme="minorHAnsi"/>
        </w:rPr>
      </w:pPr>
      <w:r w:rsidRPr="00CA1A43">
        <w:rPr>
          <w:rFonts w:eastAsia="標楷體" w:cstheme="minorHAnsi"/>
        </w:rPr>
        <w:t>非證券化之違約風險在不同組</w:t>
      </w:r>
      <w:proofErr w:type="gramStart"/>
      <w:r w:rsidRPr="00CA1A43">
        <w:rPr>
          <w:rFonts w:eastAsia="標楷體" w:cstheme="minorHAnsi"/>
        </w:rPr>
        <w:t>別間無避</w:t>
      </w:r>
      <w:proofErr w:type="gramEnd"/>
      <w:r w:rsidRPr="00CA1A43">
        <w:rPr>
          <w:rFonts w:eastAsia="標楷體" w:cstheme="minorHAnsi"/>
        </w:rPr>
        <w:t>險效果，故其資本要求必須為各組別層級資本要求之簡單加總。</w:t>
      </w:r>
    </w:p>
    <w:p w14:paraId="214ECBE8" w14:textId="77777777" w:rsidR="00350060" w:rsidRPr="00CA1A43" w:rsidRDefault="009B5AF0" w:rsidP="00C642E4">
      <w:pPr>
        <w:pStyle w:val="a7"/>
        <w:numPr>
          <w:ilvl w:val="0"/>
          <w:numId w:val="141"/>
        </w:numPr>
        <w:spacing w:beforeLines="50" w:before="180"/>
        <w:ind w:leftChars="0" w:left="737" w:hanging="737"/>
        <w:jc w:val="both"/>
        <w:rPr>
          <w:rFonts w:eastAsia="標楷體" w:cstheme="minorHAnsi"/>
        </w:rPr>
      </w:pPr>
      <w:r w:rsidRPr="00CA1A43">
        <w:rPr>
          <w:rFonts w:eastAsia="標楷體" w:cstheme="minorHAnsi"/>
        </w:rPr>
        <w:t>證券化之違約風險資本要求</w:t>
      </w:r>
      <w:r w:rsidRPr="00CA1A43">
        <w:rPr>
          <w:rFonts w:eastAsia="標楷體" w:cstheme="minorHAnsi"/>
        </w:rPr>
        <w:t>(</w:t>
      </w:r>
      <w:r w:rsidRPr="00CA1A43">
        <w:rPr>
          <w:rFonts w:eastAsia="標楷體" w:cstheme="minorHAnsi"/>
        </w:rPr>
        <w:t>非相關性交易組合</w:t>
      </w:r>
      <w:r w:rsidRPr="00CA1A43">
        <w:rPr>
          <w:rFonts w:eastAsia="標楷體" w:cstheme="minorHAnsi"/>
        </w:rPr>
        <w:t>,non-CTP)</w:t>
      </w:r>
    </w:p>
    <w:p w14:paraId="66F1539A" w14:textId="77777777" w:rsidR="00350060" w:rsidRPr="00CA1A43" w:rsidRDefault="009B5AF0" w:rsidP="00C642E4">
      <w:pPr>
        <w:pStyle w:val="a7"/>
        <w:numPr>
          <w:ilvl w:val="0"/>
          <w:numId w:val="155"/>
        </w:numPr>
        <w:spacing w:beforeLines="50" w:before="180"/>
        <w:ind w:leftChars="0" w:left="964" w:hanging="482"/>
        <w:jc w:val="both"/>
        <w:rPr>
          <w:rFonts w:eastAsia="標楷體" w:cstheme="minorHAnsi"/>
        </w:rPr>
      </w:pPr>
      <w:r w:rsidRPr="00CA1A43">
        <w:rPr>
          <w:rFonts w:eastAsia="標楷體" w:cstheme="minorHAnsi"/>
        </w:rPr>
        <w:t>瞬間違約風險總部位</w:t>
      </w:r>
      <w:r w:rsidRPr="00CA1A43">
        <w:rPr>
          <w:rFonts w:eastAsia="標楷體" w:cstheme="minorHAnsi"/>
        </w:rPr>
        <w:t xml:space="preserve"> (gross JTD)</w:t>
      </w:r>
    </w:p>
    <w:p w14:paraId="5321305B" w14:textId="77777777" w:rsidR="00350060" w:rsidRPr="00CA1A43" w:rsidRDefault="009B5AF0" w:rsidP="00C642E4">
      <w:pPr>
        <w:pStyle w:val="a7"/>
        <w:numPr>
          <w:ilvl w:val="0"/>
          <w:numId w:val="156"/>
        </w:numPr>
        <w:spacing w:beforeLines="50" w:before="180"/>
        <w:ind w:leftChars="0" w:left="1446" w:hanging="482"/>
        <w:jc w:val="both"/>
        <w:rPr>
          <w:rFonts w:eastAsia="標楷體" w:cstheme="minorHAnsi"/>
        </w:rPr>
      </w:pPr>
      <w:r w:rsidRPr="00CA1A43">
        <w:rPr>
          <w:rFonts w:eastAsia="標楷體" w:cstheme="minorHAnsi"/>
        </w:rPr>
        <w:t>證券化之瞬間違約風險總部位之計算除不適用違約損失率外，其計算方式和非證券化之違約風險相同。因</w:t>
      </w:r>
      <w:proofErr w:type="gramStart"/>
      <w:r w:rsidRPr="00CA1A43">
        <w:rPr>
          <w:rFonts w:eastAsia="標楷體" w:cstheme="minorHAnsi"/>
        </w:rPr>
        <w:t>證券化暴險</w:t>
      </w:r>
      <w:proofErr w:type="gramEnd"/>
      <w:r w:rsidRPr="00CA1A43">
        <w:rPr>
          <w:rFonts w:eastAsia="標楷體" w:cstheme="minorHAnsi"/>
        </w:rPr>
        <w:t>所對應之違約風險權數已包含其違約損失率，為避免重覆計算違約損失率，證券化之瞬間違約風險僅計算</w:t>
      </w:r>
      <w:proofErr w:type="gramStart"/>
      <w:r w:rsidRPr="00CA1A43">
        <w:rPr>
          <w:rFonts w:eastAsia="標楷體" w:cstheme="minorHAnsi"/>
        </w:rPr>
        <w:t>證券化暴險</w:t>
      </w:r>
      <w:proofErr w:type="gramEnd"/>
      <w:r w:rsidRPr="00CA1A43">
        <w:rPr>
          <w:rFonts w:eastAsia="標楷體" w:cstheme="minorHAnsi"/>
        </w:rPr>
        <w:t>之市場價值</w:t>
      </w:r>
      <w:r w:rsidRPr="00CA1A43">
        <w:rPr>
          <w:rFonts w:eastAsia="標楷體" w:cstheme="minorHAnsi"/>
        </w:rPr>
        <w:t>(</w:t>
      </w:r>
      <w:r w:rsidRPr="00CA1A43">
        <w:rPr>
          <w:rFonts w:eastAsia="標楷體" w:cstheme="minorHAnsi"/>
        </w:rPr>
        <w:t>即分</w:t>
      </w:r>
      <w:proofErr w:type="gramStart"/>
      <w:r w:rsidRPr="00CA1A43">
        <w:rPr>
          <w:rFonts w:eastAsia="標楷體" w:cstheme="minorHAnsi"/>
        </w:rPr>
        <w:t>券</w:t>
      </w:r>
      <w:proofErr w:type="gramEnd"/>
      <w:r w:rsidRPr="00CA1A43">
        <w:rPr>
          <w:rFonts w:eastAsia="標楷體" w:cstheme="minorHAnsi"/>
        </w:rPr>
        <w:t>部位之瞬間違約風險即為其市場價值</w:t>
      </w:r>
      <w:r w:rsidRPr="00CA1A43">
        <w:rPr>
          <w:rFonts w:eastAsia="標楷體" w:cstheme="minorHAnsi"/>
        </w:rPr>
        <w:t>)</w:t>
      </w:r>
      <w:r w:rsidRPr="00CA1A43">
        <w:rPr>
          <w:rFonts w:eastAsia="標楷體" w:cstheme="minorHAnsi"/>
        </w:rPr>
        <w:t>。</w:t>
      </w:r>
    </w:p>
    <w:p w14:paraId="3B49051A" w14:textId="77777777" w:rsidR="00350060" w:rsidRPr="00CA1A43" w:rsidRDefault="009B5AF0" w:rsidP="00C642E4">
      <w:pPr>
        <w:pStyle w:val="a7"/>
        <w:numPr>
          <w:ilvl w:val="0"/>
          <w:numId w:val="156"/>
        </w:numPr>
        <w:spacing w:beforeLines="50" w:before="180"/>
        <w:ind w:leftChars="0" w:left="1446" w:hanging="482"/>
        <w:jc w:val="both"/>
        <w:rPr>
          <w:rFonts w:eastAsia="標楷體" w:cstheme="minorHAnsi"/>
        </w:rPr>
      </w:pPr>
      <w:r w:rsidRPr="00CA1A43">
        <w:rPr>
          <w:rFonts w:eastAsia="標楷體" w:cstheme="minorHAnsi"/>
        </w:rPr>
        <w:t>為了證券化</w:t>
      </w:r>
      <w:r w:rsidRPr="00CA1A43">
        <w:rPr>
          <w:rFonts w:eastAsia="標楷體" w:cstheme="minorHAnsi"/>
        </w:rPr>
        <w:t>(non-CTP)</w:t>
      </w:r>
      <w:r w:rsidRPr="00CA1A43">
        <w:rPr>
          <w:rFonts w:eastAsia="標楷體" w:cstheme="minorHAnsi"/>
        </w:rPr>
        <w:t>之</w:t>
      </w:r>
      <w:proofErr w:type="gramStart"/>
      <w:r w:rsidRPr="00CA1A43">
        <w:rPr>
          <w:rFonts w:eastAsia="標楷體" w:cstheme="minorHAnsi"/>
        </w:rPr>
        <w:t>互抵及避</w:t>
      </w:r>
      <w:proofErr w:type="gramEnd"/>
      <w:r w:rsidRPr="00CA1A43">
        <w:rPr>
          <w:rFonts w:eastAsia="標楷體" w:cstheme="minorHAnsi"/>
        </w:rPr>
        <w:t>險目的而將部位中之標的名稱或非分</w:t>
      </w:r>
      <w:proofErr w:type="gramStart"/>
      <w:r w:rsidRPr="00CA1A43">
        <w:rPr>
          <w:rFonts w:eastAsia="標楷體" w:cstheme="minorHAnsi"/>
        </w:rPr>
        <w:t>券</w:t>
      </w:r>
      <w:proofErr w:type="gramEnd"/>
      <w:r w:rsidRPr="00CA1A43">
        <w:rPr>
          <w:rFonts w:eastAsia="標楷體" w:cstheme="minorHAnsi"/>
        </w:rPr>
        <w:t>指數部位依比例拆解成為</w:t>
      </w:r>
      <w:proofErr w:type="gramStart"/>
      <w:r w:rsidRPr="00CA1A43">
        <w:rPr>
          <w:rFonts w:eastAsia="標楷體" w:cstheme="minorHAnsi"/>
        </w:rPr>
        <w:t>一</w:t>
      </w:r>
      <w:proofErr w:type="gramEnd"/>
      <w:r w:rsidRPr="00CA1A43">
        <w:rPr>
          <w:rFonts w:eastAsia="標楷體" w:cstheme="minorHAnsi"/>
        </w:rPr>
        <w:t>約當複製分</w:t>
      </w:r>
      <w:proofErr w:type="gramStart"/>
      <w:r w:rsidRPr="00CA1A43">
        <w:rPr>
          <w:rFonts w:eastAsia="標楷體" w:cstheme="minorHAnsi"/>
        </w:rPr>
        <w:t>券</w:t>
      </w:r>
      <w:proofErr w:type="gramEnd"/>
      <w:r w:rsidRPr="00CA1A43">
        <w:rPr>
          <w:rFonts w:eastAsia="標楷體" w:cstheme="minorHAnsi"/>
        </w:rPr>
        <w:t>，且此分</w:t>
      </w:r>
      <w:proofErr w:type="gramStart"/>
      <w:r w:rsidRPr="00CA1A43">
        <w:rPr>
          <w:rFonts w:eastAsia="標楷體" w:cstheme="minorHAnsi"/>
        </w:rPr>
        <w:t>券</w:t>
      </w:r>
      <w:proofErr w:type="gramEnd"/>
      <w:r w:rsidRPr="00CA1A43">
        <w:rPr>
          <w:rFonts w:eastAsia="標楷體" w:cstheme="minorHAnsi"/>
        </w:rPr>
        <w:t>包含完整分</w:t>
      </w:r>
      <w:proofErr w:type="gramStart"/>
      <w:r w:rsidRPr="00CA1A43">
        <w:rPr>
          <w:rFonts w:eastAsia="標楷體" w:cstheme="minorHAnsi"/>
        </w:rPr>
        <w:t>券</w:t>
      </w:r>
      <w:proofErr w:type="gramEnd"/>
      <w:r w:rsidRPr="00CA1A43">
        <w:rPr>
          <w:rFonts w:eastAsia="標楷體" w:cstheme="minorHAnsi"/>
        </w:rPr>
        <w:t>架構。</w:t>
      </w:r>
      <w:proofErr w:type="gramStart"/>
      <w:r w:rsidRPr="00CA1A43">
        <w:rPr>
          <w:rFonts w:eastAsia="標楷體" w:cstheme="minorHAnsi"/>
        </w:rPr>
        <w:t>當標的</w:t>
      </w:r>
      <w:proofErr w:type="gramEnd"/>
      <w:r w:rsidRPr="00CA1A43">
        <w:rPr>
          <w:rFonts w:eastAsia="標楷體" w:cstheme="minorHAnsi"/>
        </w:rPr>
        <w:t>名稱使用此方式時，必須從非證券化違約風險中剔除。</w:t>
      </w:r>
    </w:p>
    <w:p w14:paraId="7B557B73" w14:textId="77777777" w:rsidR="009B5AF0" w:rsidRPr="00CA1A43" w:rsidRDefault="009B5AF0" w:rsidP="00C642E4">
      <w:pPr>
        <w:pStyle w:val="a7"/>
        <w:numPr>
          <w:ilvl w:val="0"/>
          <w:numId w:val="155"/>
        </w:numPr>
        <w:spacing w:beforeLines="50" w:before="180"/>
        <w:ind w:leftChars="0" w:left="964" w:hanging="482"/>
        <w:jc w:val="both"/>
        <w:rPr>
          <w:rFonts w:eastAsia="標楷體" w:cstheme="minorHAnsi"/>
        </w:rPr>
      </w:pPr>
      <w:r w:rsidRPr="00CA1A43">
        <w:rPr>
          <w:rFonts w:eastAsia="標楷體" w:cstheme="minorHAnsi"/>
        </w:rPr>
        <w:lastRenderedPageBreak/>
        <w:t>瞬間違約風險淨部位</w:t>
      </w:r>
      <w:r w:rsidRPr="00CA1A43">
        <w:rPr>
          <w:rFonts w:eastAsia="標楷體" w:cstheme="minorHAnsi"/>
        </w:rPr>
        <w:t xml:space="preserve"> (net JTD)</w:t>
      </w:r>
    </w:p>
    <w:p w14:paraId="196DF626" w14:textId="77777777" w:rsidR="009B5AF0" w:rsidRPr="00CA1A43" w:rsidRDefault="009B5AF0" w:rsidP="00C642E4">
      <w:pPr>
        <w:pStyle w:val="a7"/>
        <w:numPr>
          <w:ilvl w:val="0"/>
          <w:numId w:val="157"/>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(non-CTP)</w:t>
      </w:r>
      <w:r w:rsidRPr="00CA1A43">
        <w:rPr>
          <w:rFonts w:eastAsia="標楷體" w:cstheme="minorHAnsi"/>
        </w:rPr>
        <w:t>違約風險之互抵，僅限於特定證券化</w:t>
      </w:r>
      <w:proofErr w:type="gramStart"/>
      <w:r w:rsidRPr="00CA1A43">
        <w:rPr>
          <w:rFonts w:eastAsia="標楷體" w:cstheme="minorHAnsi"/>
        </w:rPr>
        <w:t>之暴險</w:t>
      </w:r>
      <w:proofErr w:type="gramEnd"/>
      <w:r w:rsidRPr="00CA1A43">
        <w:rPr>
          <w:rFonts w:eastAsia="標楷體" w:cstheme="minorHAnsi"/>
        </w:rPr>
        <w:t>(</w:t>
      </w:r>
      <w:r w:rsidRPr="00CA1A43">
        <w:rPr>
          <w:rFonts w:eastAsia="標楷體" w:cstheme="minorHAnsi"/>
        </w:rPr>
        <w:t>即有相同標的資產池之分</w:t>
      </w:r>
      <w:proofErr w:type="gramStart"/>
      <w:r w:rsidRPr="00CA1A43">
        <w:rPr>
          <w:rFonts w:eastAsia="標楷體" w:cstheme="minorHAnsi"/>
        </w:rPr>
        <w:t>券</w:t>
      </w:r>
      <w:proofErr w:type="gramEnd"/>
      <w:r w:rsidRPr="00CA1A43">
        <w:rPr>
          <w:rFonts w:eastAsia="標楷體" w:cstheme="minorHAnsi"/>
        </w:rPr>
        <w:t>)</w:t>
      </w:r>
      <w:r w:rsidRPr="00CA1A43">
        <w:rPr>
          <w:rFonts w:eastAsia="標楷體" w:cstheme="minorHAnsi"/>
        </w:rPr>
        <w:t>。即下列情況不得互抵：</w:t>
      </w:r>
    </w:p>
    <w:p w14:paraId="2A88BD96" w14:textId="77777777" w:rsidR="009B5AF0" w:rsidRPr="00CA1A43" w:rsidRDefault="009B5AF0" w:rsidP="00C642E4">
      <w:pPr>
        <w:pStyle w:val="a7"/>
        <w:numPr>
          <w:ilvl w:val="0"/>
          <w:numId w:val="158"/>
        </w:numPr>
        <w:spacing w:beforeLines="50" w:before="180"/>
        <w:ind w:leftChars="0"/>
        <w:jc w:val="both"/>
        <w:rPr>
          <w:rFonts w:eastAsia="標楷體" w:cstheme="minorHAnsi"/>
        </w:rPr>
      </w:pPr>
      <w:r w:rsidRPr="00CA1A43">
        <w:rPr>
          <w:rFonts w:eastAsia="標楷體" w:cstheme="minorHAnsi"/>
        </w:rPr>
        <w:t>被證券化之標的投資組合</w:t>
      </w:r>
      <w:r w:rsidRPr="00CA1A43">
        <w:rPr>
          <w:rFonts w:eastAsia="標楷體" w:cstheme="minorHAnsi"/>
        </w:rPr>
        <w:t>(</w:t>
      </w:r>
      <w:r w:rsidRPr="00CA1A43">
        <w:rPr>
          <w:rFonts w:eastAsia="標楷體" w:cstheme="minorHAnsi"/>
        </w:rPr>
        <w:t>即標的資產池</w:t>
      </w:r>
      <w:r w:rsidRPr="00CA1A43">
        <w:rPr>
          <w:rFonts w:eastAsia="標楷體" w:cstheme="minorHAnsi"/>
        </w:rPr>
        <w:t>)</w:t>
      </w:r>
      <w:r w:rsidRPr="00CA1A43">
        <w:rPr>
          <w:rFonts w:eastAsia="標楷體" w:cstheme="minorHAnsi"/>
        </w:rPr>
        <w:t>不同，</w:t>
      </w:r>
      <w:proofErr w:type="gramStart"/>
      <w:r w:rsidRPr="00CA1A43">
        <w:rPr>
          <w:rFonts w:eastAsia="標楷體" w:cstheme="minorHAnsi"/>
        </w:rPr>
        <w:t>證券化暴險不</w:t>
      </w:r>
      <w:proofErr w:type="gramEnd"/>
      <w:r w:rsidRPr="00CA1A43">
        <w:rPr>
          <w:rFonts w:eastAsia="標楷體" w:cstheme="minorHAnsi"/>
        </w:rPr>
        <w:t>允許互抵，即使其</w:t>
      </w:r>
      <w:proofErr w:type="gramStart"/>
      <w:r w:rsidRPr="00CA1A43">
        <w:rPr>
          <w:rFonts w:eastAsia="標楷體" w:cstheme="minorHAnsi"/>
        </w:rPr>
        <w:t>起賠點和止賠點</w:t>
      </w:r>
      <w:proofErr w:type="gramEnd"/>
      <w:r w:rsidRPr="00CA1A43">
        <w:rPr>
          <w:rFonts w:eastAsia="標楷體" w:cstheme="minorHAnsi"/>
        </w:rPr>
        <w:t>是相同，亦不可進行違約風險抵銷；</w:t>
      </w:r>
    </w:p>
    <w:p w14:paraId="5ADDFCA8" w14:textId="77777777" w:rsidR="009B5AF0" w:rsidRPr="00CA1A43" w:rsidRDefault="009B5AF0" w:rsidP="00C642E4">
      <w:pPr>
        <w:pStyle w:val="a7"/>
        <w:numPr>
          <w:ilvl w:val="0"/>
          <w:numId w:val="158"/>
        </w:numPr>
        <w:spacing w:beforeLines="50" w:before="180"/>
        <w:ind w:leftChars="0"/>
        <w:jc w:val="both"/>
        <w:rPr>
          <w:rFonts w:eastAsia="標楷體" w:cstheme="minorHAnsi"/>
        </w:rPr>
      </w:pPr>
      <w:r w:rsidRPr="00CA1A43">
        <w:rPr>
          <w:rFonts w:eastAsia="標楷體" w:cstheme="minorHAnsi"/>
        </w:rPr>
        <w:t>被證券化之標的資產相同，但不同分</w:t>
      </w:r>
      <w:proofErr w:type="gramStart"/>
      <w:r w:rsidRPr="00CA1A43">
        <w:rPr>
          <w:rFonts w:eastAsia="標楷體" w:cstheme="minorHAnsi"/>
        </w:rPr>
        <w:t>券</w:t>
      </w:r>
      <w:proofErr w:type="gramEnd"/>
      <w:r w:rsidRPr="00CA1A43">
        <w:rPr>
          <w:rFonts w:eastAsia="標楷體" w:cstheme="minorHAnsi"/>
        </w:rPr>
        <w:t>間之</w:t>
      </w:r>
      <w:proofErr w:type="gramStart"/>
      <w:r w:rsidRPr="00CA1A43">
        <w:rPr>
          <w:rFonts w:eastAsia="標楷體" w:cstheme="minorHAnsi"/>
        </w:rPr>
        <w:t>證券化暴險亦</w:t>
      </w:r>
      <w:proofErr w:type="gramEnd"/>
      <w:r w:rsidRPr="00CA1A43">
        <w:rPr>
          <w:rFonts w:eastAsia="標楷體" w:cstheme="minorHAnsi"/>
        </w:rPr>
        <w:t>不允許違約風險互抵。</w:t>
      </w:r>
    </w:p>
    <w:p w14:paraId="113298B8" w14:textId="77777777" w:rsidR="009B5AF0" w:rsidRPr="00CA1A43" w:rsidRDefault="009B5AF0" w:rsidP="00C642E4">
      <w:pPr>
        <w:pStyle w:val="a7"/>
        <w:numPr>
          <w:ilvl w:val="0"/>
          <w:numId w:val="157"/>
        </w:numPr>
        <w:spacing w:beforeLines="50" w:before="180"/>
        <w:ind w:leftChars="0" w:left="1446" w:hanging="482"/>
        <w:jc w:val="both"/>
        <w:rPr>
          <w:rFonts w:eastAsia="標楷體" w:cstheme="minorHAnsi"/>
        </w:rPr>
      </w:pPr>
      <w:r w:rsidRPr="00CA1A43">
        <w:rPr>
          <w:rFonts w:eastAsia="標楷體" w:cstheme="minorHAnsi"/>
        </w:rPr>
        <w:t>僅到期日不同，而其他方面皆相同之</w:t>
      </w:r>
      <w:proofErr w:type="gramStart"/>
      <w:r w:rsidRPr="00CA1A43">
        <w:rPr>
          <w:rFonts w:eastAsia="標楷體" w:cstheme="minorHAnsi"/>
        </w:rPr>
        <w:t>證券化暴險</w:t>
      </w:r>
      <w:proofErr w:type="gramEnd"/>
      <w:r w:rsidRPr="00CA1A43">
        <w:rPr>
          <w:rFonts w:eastAsia="標楷體" w:cstheme="minorHAnsi"/>
        </w:rPr>
        <w:t>可以進行互抵。非證券化之互抵規則</w:t>
      </w:r>
      <w:r w:rsidRPr="00CA1A43">
        <w:rPr>
          <w:rFonts w:eastAsia="標楷體" w:cstheme="minorHAnsi"/>
        </w:rPr>
        <w:t>(</w:t>
      </w:r>
      <w:r w:rsidRPr="00CA1A43">
        <w:rPr>
          <w:rFonts w:eastAsia="標楷體" w:cstheme="minorHAnsi"/>
        </w:rPr>
        <w:t>即</w:t>
      </w: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點第</w:t>
      </w:r>
      <w:r w:rsidRPr="00CA1A43">
        <w:rPr>
          <w:rFonts w:eastAsia="標楷體" w:cstheme="minorHAnsi"/>
        </w:rPr>
        <w:t>1.(7)</w:t>
      </w:r>
      <w:r w:rsidRPr="00CA1A43">
        <w:rPr>
          <w:rFonts w:eastAsia="標楷體" w:cstheme="minorHAnsi"/>
        </w:rPr>
        <w:t>項至第</w:t>
      </w:r>
      <w:r w:rsidRPr="00CA1A43">
        <w:rPr>
          <w:rFonts w:eastAsia="標楷體" w:cstheme="minorHAnsi"/>
        </w:rPr>
        <w:t>1.(10)</w:t>
      </w:r>
      <w:r w:rsidRPr="00CA1A43">
        <w:rPr>
          <w:rFonts w:eastAsia="標楷體" w:cstheme="minorHAnsi"/>
        </w:rPr>
        <w:t>項所述以其小於一年之比例調整瞬間違約風險部位</w:t>
      </w:r>
      <w:r w:rsidRPr="00CA1A43">
        <w:rPr>
          <w:rFonts w:eastAsia="標楷體" w:cstheme="minorHAnsi"/>
        </w:rPr>
        <w:t>)</w:t>
      </w:r>
      <w:r w:rsidRPr="00CA1A43">
        <w:rPr>
          <w:rFonts w:eastAsia="標楷體" w:cstheme="minorHAnsi"/>
        </w:rPr>
        <w:t>仍適用於證券化</w:t>
      </w:r>
      <w:r w:rsidRPr="00CA1A43">
        <w:rPr>
          <w:rFonts w:eastAsia="標楷體" w:cstheme="minorHAnsi"/>
        </w:rPr>
        <w:t>(non-CTP)</w:t>
      </w:r>
      <w:r w:rsidRPr="00CA1A43">
        <w:rPr>
          <w:rFonts w:eastAsia="標楷體" w:cstheme="minorHAnsi"/>
        </w:rPr>
        <w:t>。</w:t>
      </w:r>
      <w:proofErr w:type="gramStart"/>
      <w:r w:rsidRPr="00CA1A43">
        <w:rPr>
          <w:rFonts w:eastAsia="標楷體" w:cstheme="minorHAnsi"/>
        </w:rPr>
        <w:t>互抵僅限於</w:t>
      </w:r>
      <w:proofErr w:type="gramEnd"/>
      <w:r w:rsidRPr="00CA1A43">
        <w:rPr>
          <w:rFonts w:eastAsia="標楷體" w:cstheme="minorHAnsi"/>
        </w:rPr>
        <w:t>下列特定證券化</w:t>
      </w:r>
      <w:proofErr w:type="gramStart"/>
      <w:r w:rsidRPr="00CA1A43">
        <w:rPr>
          <w:rFonts w:eastAsia="標楷體" w:cstheme="minorHAnsi"/>
        </w:rPr>
        <w:t>之暴險</w:t>
      </w:r>
      <w:proofErr w:type="gramEnd"/>
      <w:r w:rsidRPr="00CA1A43">
        <w:rPr>
          <w:rFonts w:eastAsia="標楷體" w:cstheme="minorHAnsi"/>
        </w:rPr>
        <w:t>。</w:t>
      </w:r>
    </w:p>
    <w:p w14:paraId="5D197C98" w14:textId="77777777" w:rsidR="009B5AF0" w:rsidRPr="00CA1A43" w:rsidRDefault="009B5AF0" w:rsidP="00C642E4">
      <w:pPr>
        <w:pStyle w:val="a7"/>
        <w:numPr>
          <w:ilvl w:val="0"/>
          <w:numId w:val="159"/>
        </w:numPr>
        <w:spacing w:beforeLines="50" w:before="180"/>
        <w:ind w:leftChars="0"/>
        <w:jc w:val="both"/>
        <w:rPr>
          <w:rFonts w:eastAsia="標楷體" w:cstheme="minorHAnsi"/>
        </w:rPr>
      </w:pPr>
      <w:r w:rsidRPr="00CA1A43">
        <w:rPr>
          <w:rFonts w:eastAsia="標楷體" w:cstheme="minorHAnsi"/>
        </w:rPr>
        <w:t>可透過分解完全複製之</w:t>
      </w:r>
      <w:proofErr w:type="gramStart"/>
      <w:r w:rsidRPr="00CA1A43">
        <w:rPr>
          <w:rFonts w:eastAsia="標楷體" w:cstheme="minorHAnsi"/>
        </w:rPr>
        <w:t>證券化暴險</w:t>
      </w:r>
      <w:proofErr w:type="gramEnd"/>
      <w:r w:rsidRPr="00CA1A43">
        <w:rPr>
          <w:rFonts w:eastAsia="標楷體" w:cstheme="minorHAnsi"/>
        </w:rPr>
        <w:t>是可進行互抵。若一組</w:t>
      </w:r>
      <w:proofErr w:type="gramStart"/>
      <w:r w:rsidRPr="00CA1A43">
        <w:rPr>
          <w:rFonts w:eastAsia="標楷體" w:cstheme="minorHAnsi"/>
        </w:rPr>
        <w:t>證券化暴險長</w:t>
      </w:r>
      <w:proofErr w:type="gramEnd"/>
      <w:r w:rsidRPr="00CA1A43">
        <w:rPr>
          <w:rFonts w:eastAsia="標楷體" w:cstheme="minorHAnsi"/>
        </w:rPr>
        <w:t>部位可被一組</w:t>
      </w:r>
      <w:proofErr w:type="gramStart"/>
      <w:r w:rsidRPr="00CA1A43">
        <w:rPr>
          <w:rFonts w:eastAsia="標楷體" w:cstheme="minorHAnsi"/>
        </w:rPr>
        <w:t>證券化暴險短</w:t>
      </w:r>
      <w:proofErr w:type="gramEnd"/>
      <w:r w:rsidRPr="00CA1A43">
        <w:rPr>
          <w:rFonts w:eastAsia="標楷體" w:cstheme="minorHAnsi"/>
        </w:rPr>
        <w:t>部位所複製，該</w:t>
      </w:r>
      <w:proofErr w:type="gramStart"/>
      <w:r w:rsidRPr="00CA1A43">
        <w:rPr>
          <w:rFonts w:eastAsia="標楷體" w:cstheme="minorHAnsi"/>
        </w:rPr>
        <w:t>證券化暴險可被互</w:t>
      </w:r>
      <w:proofErr w:type="gramEnd"/>
      <w:r w:rsidRPr="00CA1A43">
        <w:rPr>
          <w:rFonts w:eastAsia="標楷體" w:cstheme="minorHAnsi"/>
        </w:rPr>
        <w:t>抵。</w:t>
      </w:r>
    </w:p>
    <w:p w14:paraId="35CDC470" w14:textId="77777777" w:rsidR="009B5AF0" w:rsidRPr="00CA1A43" w:rsidRDefault="009B5AF0" w:rsidP="00C642E4">
      <w:pPr>
        <w:pStyle w:val="a7"/>
        <w:numPr>
          <w:ilvl w:val="0"/>
          <w:numId w:val="159"/>
        </w:numPr>
        <w:spacing w:beforeLines="50" w:before="180"/>
        <w:ind w:leftChars="0"/>
        <w:jc w:val="both"/>
        <w:rPr>
          <w:rFonts w:eastAsia="標楷體" w:cstheme="minorHAnsi"/>
        </w:rPr>
      </w:pPr>
      <w:r w:rsidRPr="00CA1A43">
        <w:rPr>
          <w:rFonts w:eastAsia="標楷體" w:cstheme="minorHAnsi"/>
        </w:rPr>
        <w:t>當證券化</w:t>
      </w:r>
      <w:proofErr w:type="gramStart"/>
      <w:r w:rsidRPr="00CA1A43">
        <w:rPr>
          <w:rFonts w:eastAsia="標楷體" w:cstheme="minorHAnsi"/>
        </w:rPr>
        <w:t>長暴險</w:t>
      </w:r>
      <w:proofErr w:type="gramEnd"/>
      <w:r w:rsidRPr="00CA1A43">
        <w:rPr>
          <w:rFonts w:eastAsia="標楷體" w:cstheme="minorHAnsi"/>
        </w:rPr>
        <w:t>部位可被不同標的資產池之</w:t>
      </w:r>
      <w:proofErr w:type="gramStart"/>
      <w:r w:rsidRPr="00CA1A43">
        <w:rPr>
          <w:rFonts w:eastAsia="標楷體" w:cstheme="minorHAnsi"/>
        </w:rPr>
        <w:t>證券化短暴險</w:t>
      </w:r>
      <w:proofErr w:type="gramEnd"/>
      <w:r w:rsidRPr="00CA1A43">
        <w:rPr>
          <w:rFonts w:eastAsia="標楷體" w:cstheme="minorHAnsi"/>
        </w:rPr>
        <w:t>部位所複製，則此</w:t>
      </w:r>
      <w:r w:rsidRPr="00CA1A43">
        <w:rPr>
          <w:rFonts w:eastAsia="標楷體" w:cstheme="minorHAnsi"/>
        </w:rPr>
        <w:t>“</w:t>
      </w:r>
      <w:r w:rsidRPr="00CA1A43">
        <w:rPr>
          <w:rFonts w:eastAsia="標楷體" w:cstheme="minorHAnsi"/>
        </w:rPr>
        <w:t>混合型</w:t>
      </w:r>
      <w:r w:rsidRPr="00CA1A43">
        <w:rPr>
          <w:rFonts w:eastAsia="標楷體" w:cstheme="minorHAnsi"/>
        </w:rPr>
        <w:t>”</w:t>
      </w:r>
      <w:r w:rsidRPr="00CA1A43">
        <w:rPr>
          <w:rFonts w:eastAsia="標楷體" w:cstheme="minorHAnsi"/>
        </w:rPr>
        <w:t>標的資產池的</w:t>
      </w:r>
      <w:proofErr w:type="gramStart"/>
      <w:r w:rsidRPr="00CA1A43">
        <w:rPr>
          <w:rFonts w:eastAsia="標楷體" w:cstheme="minorHAnsi"/>
        </w:rPr>
        <w:t>證券化暴險</w:t>
      </w:r>
      <w:proofErr w:type="gramEnd"/>
      <w:r w:rsidRPr="00CA1A43">
        <w:rPr>
          <w:rFonts w:eastAsia="標楷體" w:cstheme="minorHAnsi"/>
        </w:rPr>
        <w:t>，可與複製之</w:t>
      </w:r>
      <w:proofErr w:type="gramStart"/>
      <w:r w:rsidRPr="00CA1A43">
        <w:rPr>
          <w:rFonts w:eastAsia="標楷體" w:cstheme="minorHAnsi"/>
        </w:rPr>
        <w:t>證券化暴險</w:t>
      </w:r>
      <w:proofErr w:type="gramEnd"/>
      <w:r w:rsidRPr="00CA1A43">
        <w:rPr>
          <w:rFonts w:eastAsia="標楷體" w:cstheme="minorHAnsi"/>
        </w:rPr>
        <w:t>進行互抵。</w:t>
      </w:r>
    </w:p>
    <w:p w14:paraId="31F5C1C6" w14:textId="77777777" w:rsidR="009B5AF0" w:rsidRPr="00CA1A43" w:rsidRDefault="009B5AF0" w:rsidP="00C642E4">
      <w:pPr>
        <w:pStyle w:val="a7"/>
        <w:numPr>
          <w:ilvl w:val="0"/>
          <w:numId w:val="159"/>
        </w:numPr>
        <w:spacing w:beforeLines="50" w:before="180"/>
        <w:ind w:leftChars="0"/>
        <w:jc w:val="both"/>
        <w:rPr>
          <w:rFonts w:eastAsia="標楷體" w:cstheme="minorHAnsi"/>
        </w:rPr>
      </w:pPr>
      <w:r w:rsidRPr="00CA1A43">
        <w:rPr>
          <w:rFonts w:eastAsia="標楷體" w:cstheme="minorHAnsi"/>
        </w:rPr>
        <w:t>拆解後，互抵規則可適用在任何其他情況下。如同非證券化違約風險的情況，</w:t>
      </w:r>
      <w:proofErr w:type="gramStart"/>
      <w:r w:rsidRPr="00CA1A43">
        <w:rPr>
          <w:rFonts w:eastAsia="標楷體" w:cstheme="minorHAnsi"/>
        </w:rPr>
        <w:t>證券化暴險</w:t>
      </w:r>
      <w:proofErr w:type="gramEnd"/>
      <w:r w:rsidRPr="00CA1A43">
        <w:rPr>
          <w:rFonts w:eastAsia="標楷體" w:cstheme="minorHAnsi"/>
        </w:rPr>
        <w:t>之長短方向應由標的信用之長短方向來決定。</w:t>
      </w:r>
      <w:r w:rsidR="00D73351" w:rsidRPr="00CA1A43">
        <w:rPr>
          <w:rStyle w:val="a5"/>
          <w:rFonts w:eastAsia="標楷體" w:cstheme="minorHAnsi"/>
        </w:rPr>
        <w:footnoteReference w:id="52"/>
      </w:r>
    </w:p>
    <w:p w14:paraId="3C178E8A" w14:textId="77777777" w:rsidR="009B5AF0" w:rsidRPr="00CA1A43" w:rsidRDefault="00C815AA" w:rsidP="00C642E4">
      <w:pPr>
        <w:pStyle w:val="a7"/>
        <w:numPr>
          <w:ilvl w:val="0"/>
          <w:numId w:val="155"/>
        </w:numPr>
        <w:spacing w:beforeLines="50" w:before="180"/>
        <w:ind w:leftChars="0" w:left="964" w:hanging="482"/>
        <w:jc w:val="both"/>
        <w:rPr>
          <w:rFonts w:eastAsia="標楷體" w:cstheme="minorHAnsi"/>
        </w:rPr>
      </w:pPr>
      <w:r w:rsidRPr="00CA1A43">
        <w:rPr>
          <w:rFonts w:eastAsia="標楷體" w:cstheme="minorHAnsi"/>
        </w:rPr>
        <w:t>計算證券化</w:t>
      </w:r>
      <w:r w:rsidRPr="00CA1A43">
        <w:rPr>
          <w:rFonts w:eastAsia="標楷體" w:cstheme="minorHAnsi"/>
        </w:rPr>
        <w:t>(</w:t>
      </w:r>
      <w:r w:rsidRPr="00CA1A43">
        <w:rPr>
          <w:rFonts w:eastAsia="標楷體" w:cstheme="minorHAnsi"/>
        </w:rPr>
        <w:t>非相關性交易組合</w:t>
      </w:r>
      <w:r w:rsidRPr="00CA1A43">
        <w:rPr>
          <w:rFonts w:eastAsia="標楷體" w:cstheme="minorHAnsi"/>
        </w:rPr>
        <w:t>,non-CTP)</w:t>
      </w:r>
      <w:r w:rsidRPr="00CA1A43">
        <w:rPr>
          <w:rFonts w:eastAsia="標楷體" w:cstheme="minorHAnsi"/>
        </w:rPr>
        <w:t>之違約風險資本要求</w:t>
      </w:r>
    </w:p>
    <w:p w14:paraId="6EC41427" w14:textId="77777777" w:rsidR="00C815AA" w:rsidRPr="00CA1A43" w:rsidRDefault="00C815AA" w:rsidP="00C642E4">
      <w:pPr>
        <w:pStyle w:val="a7"/>
        <w:numPr>
          <w:ilvl w:val="0"/>
          <w:numId w:val="160"/>
        </w:numPr>
        <w:spacing w:beforeLines="50" w:before="180"/>
        <w:ind w:leftChars="0" w:left="1446" w:hanging="482"/>
        <w:jc w:val="both"/>
        <w:rPr>
          <w:rFonts w:eastAsia="標楷體" w:cstheme="minorHAnsi"/>
        </w:rPr>
      </w:pPr>
      <w:r w:rsidRPr="00CA1A43">
        <w:rPr>
          <w:rFonts w:eastAsia="標楷體" w:cstheme="minorHAnsi"/>
        </w:rPr>
        <w:t>針對證券化</w:t>
      </w:r>
      <w:r w:rsidRPr="00CA1A43">
        <w:rPr>
          <w:rFonts w:eastAsia="標楷體" w:cstheme="minorHAnsi"/>
        </w:rPr>
        <w:t>(non-CTP)</w:t>
      </w:r>
      <w:r w:rsidRPr="00CA1A43">
        <w:rPr>
          <w:rFonts w:eastAsia="標楷體" w:cstheme="minorHAnsi"/>
        </w:rPr>
        <w:t>之違約風險，組別定義如下：</w:t>
      </w:r>
    </w:p>
    <w:p w14:paraId="73461C11" w14:textId="77777777" w:rsidR="00C815AA" w:rsidRPr="00CA1A43" w:rsidRDefault="00C815AA" w:rsidP="00C642E4">
      <w:pPr>
        <w:pStyle w:val="a7"/>
        <w:numPr>
          <w:ilvl w:val="0"/>
          <w:numId w:val="161"/>
        </w:numPr>
        <w:spacing w:beforeLines="50" w:before="180"/>
        <w:ind w:leftChars="0"/>
        <w:jc w:val="both"/>
        <w:rPr>
          <w:rFonts w:eastAsia="標楷體" w:cstheme="minorHAnsi"/>
        </w:rPr>
      </w:pPr>
      <w:r w:rsidRPr="00CA1A43">
        <w:rPr>
          <w:rFonts w:eastAsia="標楷體" w:cstheme="minorHAnsi"/>
        </w:rPr>
        <w:t>企業</w:t>
      </w:r>
      <w:r w:rsidRPr="00CA1A43">
        <w:rPr>
          <w:rFonts w:eastAsia="標楷體" w:cstheme="minorHAnsi"/>
        </w:rPr>
        <w:t>(</w:t>
      </w:r>
      <w:r w:rsidRPr="00CA1A43">
        <w:rPr>
          <w:rFonts w:eastAsia="標楷體" w:cstheme="minorHAnsi"/>
        </w:rPr>
        <w:t>排除中小企業</w:t>
      </w:r>
      <w:r w:rsidRPr="00CA1A43">
        <w:rPr>
          <w:rFonts w:eastAsia="標楷體" w:cstheme="minorHAnsi"/>
        </w:rPr>
        <w:t>)</w:t>
      </w:r>
      <w:r w:rsidRPr="00CA1A43">
        <w:rPr>
          <w:rFonts w:eastAsia="標楷體" w:cstheme="minorHAnsi"/>
        </w:rPr>
        <w:t>－所有地區視為同一組別。</w:t>
      </w:r>
    </w:p>
    <w:p w14:paraId="63AFBAC6" w14:textId="77777777" w:rsidR="00C815AA" w:rsidRPr="00CA1A43" w:rsidRDefault="00C815AA" w:rsidP="00C642E4">
      <w:pPr>
        <w:pStyle w:val="a7"/>
        <w:numPr>
          <w:ilvl w:val="0"/>
          <w:numId w:val="161"/>
        </w:numPr>
        <w:spacing w:beforeLines="50" w:before="180"/>
        <w:ind w:leftChars="0"/>
        <w:jc w:val="both"/>
        <w:rPr>
          <w:rFonts w:eastAsia="標楷體" w:cstheme="minorHAnsi"/>
        </w:rPr>
      </w:pPr>
      <w:r w:rsidRPr="00CA1A43">
        <w:rPr>
          <w:rFonts w:eastAsia="標楷體" w:cstheme="minorHAnsi"/>
        </w:rPr>
        <w:t>其他的組別依據兩個維度來定義：</w:t>
      </w:r>
    </w:p>
    <w:p w14:paraId="679D2ED8" w14:textId="77777777" w:rsidR="00C815AA" w:rsidRPr="00CA1A43" w:rsidRDefault="00C815AA" w:rsidP="00C642E4">
      <w:pPr>
        <w:pStyle w:val="a7"/>
        <w:numPr>
          <w:ilvl w:val="0"/>
          <w:numId w:val="162"/>
        </w:numPr>
        <w:ind w:leftChars="0" w:left="2421" w:hanging="493"/>
        <w:jc w:val="both"/>
        <w:rPr>
          <w:rFonts w:eastAsia="標楷體" w:cstheme="minorHAnsi"/>
        </w:rPr>
      </w:pPr>
      <w:r w:rsidRPr="00CA1A43">
        <w:rPr>
          <w:rFonts w:eastAsia="標楷體" w:cstheme="minorHAnsi"/>
        </w:rPr>
        <w:t>資產類別：</w:t>
      </w:r>
      <w:r w:rsidRPr="00CA1A43">
        <w:rPr>
          <w:rFonts w:eastAsia="標楷體" w:cstheme="minorHAnsi"/>
        </w:rPr>
        <w:t>11</w:t>
      </w:r>
      <w:r w:rsidRPr="00CA1A43">
        <w:rPr>
          <w:rFonts w:eastAsia="標楷體" w:cstheme="minorHAnsi"/>
        </w:rPr>
        <w:t>個資產類別定義為資產擔保商業本票</w:t>
      </w:r>
      <w:r w:rsidRPr="00CA1A43">
        <w:rPr>
          <w:rFonts w:eastAsia="標楷體" w:cstheme="minorHAnsi"/>
        </w:rPr>
        <w:t>(ABCP)</w:t>
      </w:r>
      <w:r w:rsidRPr="00CA1A43">
        <w:rPr>
          <w:rFonts w:eastAsia="標楷體" w:cstheme="minorHAnsi"/>
        </w:rPr>
        <w:t>、汽車貸款</w:t>
      </w:r>
      <w:r w:rsidRPr="00CA1A43">
        <w:rPr>
          <w:rFonts w:eastAsia="標楷體" w:cstheme="minorHAnsi"/>
        </w:rPr>
        <w:t>/</w:t>
      </w:r>
      <w:r w:rsidRPr="00CA1A43">
        <w:rPr>
          <w:rFonts w:eastAsia="標楷體" w:cstheme="minorHAnsi"/>
        </w:rPr>
        <w:t>租賃、住宅用不動產抵押貸款證券</w:t>
      </w:r>
      <w:r w:rsidRPr="00CA1A43">
        <w:rPr>
          <w:rFonts w:eastAsia="標楷體" w:cstheme="minorHAnsi"/>
        </w:rPr>
        <w:t>(RMBS)</w:t>
      </w:r>
      <w:r w:rsidRPr="00CA1A43">
        <w:rPr>
          <w:rFonts w:eastAsia="標楷體" w:cstheme="minorHAnsi"/>
        </w:rPr>
        <w:t>、信用卡、商業抵押擔保證券</w:t>
      </w:r>
      <w:r w:rsidRPr="00CA1A43">
        <w:rPr>
          <w:rFonts w:eastAsia="標楷體" w:cstheme="minorHAnsi"/>
        </w:rPr>
        <w:t>(CMBS)</w:t>
      </w:r>
      <w:r w:rsidRPr="00CA1A43">
        <w:rPr>
          <w:rFonts w:eastAsia="標楷體" w:cstheme="minorHAnsi"/>
        </w:rPr>
        <w:t>、擔保貸款證券、雙層擔保債務證券</w:t>
      </w:r>
      <w:r w:rsidRPr="00CA1A43">
        <w:rPr>
          <w:rFonts w:eastAsia="標楷體" w:cstheme="minorHAnsi"/>
        </w:rPr>
        <w:t>(CDO-Squared)</w:t>
      </w:r>
      <w:r w:rsidRPr="00CA1A43">
        <w:rPr>
          <w:rFonts w:eastAsia="標楷體" w:cstheme="minorHAnsi"/>
        </w:rPr>
        <w:t>、中小企業貸款、助學貸款、其他零售貸款，其他批發貸款。</w:t>
      </w:r>
    </w:p>
    <w:p w14:paraId="141B0A69" w14:textId="77777777" w:rsidR="009B5AF0" w:rsidRPr="00CA1A43" w:rsidRDefault="00C815AA" w:rsidP="00C642E4">
      <w:pPr>
        <w:pStyle w:val="a7"/>
        <w:numPr>
          <w:ilvl w:val="0"/>
          <w:numId w:val="162"/>
        </w:numPr>
        <w:ind w:leftChars="0" w:left="2421" w:hanging="493"/>
        <w:jc w:val="both"/>
        <w:rPr>
          <w:rFonts w:eastAsia="標楷體" w:cstheme="minorHAnsi"/>
        </w:rPr>
      </w:pPr>
      <w:r w:rsidRPr="00CA1A43">
        <w:rPr>
          <w:rFonts w:eastAsia="標楷體" w:cstheme="minorHAnsi"/>
        </w:rPr>
        <w:t>地區：</w:t>
      </w:r>
      <w:r w:rsidRPr="00CA1A43">
        <w:rPr>
          <w:rFonts w:eastAsia="標楷體" w:cstheme="minorHAnsi"/>
        </w:rPr>
        <w:t>4</w:t>
      </w:r>
      <w:r w:rsidRPr="00CA1A43">
        <w:rPr>
          <w:rFonts w:eastAsia="標楷體" w:cstheme="minorHAnsi"/>
        </w:rPr>
        <w:t>個地區分別是亞洲，歐洲，北美和其他國家。</w:t>
      </w:r>
    </w:p>
    <w:p w14:paraId="6C6B0DDF" w14:textId="77777777" w:rsidR="00C815AA" w:rsidRPr="00CA1A43" w:rsidRDefault="00C815AA" w:rsidP="00C642E4">
      <w:pPr>
        <w:pStyle w:val="a7"/>
        <w:numPr>
          <w:ilvl w:val="0"/>
          <w:numId w:val="160"/>
        </w:numPr>
        <w:spacing w:beforeLines="50" w:before="180"/>
        <w:ind w:leftChars="0" w:left="1446" w:hanging="482"/>
        <w:jc w:val="both"/>
        <w:rPr>
          <w:rFonts w:eastAsia="標楷體" w:cstheme="minorHAnsi"/>
        </w:rPr>
      </w:pPr>
      <w:r w:rsidRPr="00CA1A43">
        <w:rPr>
          <w:rFonts w:eastAsia="標楷體" w:cstheme="minorHAnsi"/>
        </w:rPr>
        <w:lastRenderedPageBreak/>
        <w:t>銀行必須依市場上常用慣例，透過標的資產之類型和地區來判別</w:t>
      </w:r>
      <w:proofErr w:type="gramStart"/>
      <w:r w:rsidRPr="00CA1A43">
        <w:rPr>
          <w:rFonts w:eastAsia="標楷體" w:cstheme="minorHAnsi"/>
        </w:rPr>
        <w:t>證券化暴險</w:t>
      </w:r>
      <w:proofErr w:type="gramEnd"/>
      <w:r w:rsidRPr="00CA1A43">
        <w:rPr>
          <w:rFonts w:eastAsia="標楷體" w:cstheme="minorHAnsi"/>
        </w:rPr>
        <w:t>的組別。</w:t>
      </w:r>
    </w:p>
    <w:p w14:paraId="620018E6" w14:textId="77777777" w:rsidR="00C815AA" w:rsidRPr="00CA1A43" w:rsidRDefault="00C815AA" w:rsidP="00C642E4">
      <w:pPr>
        <w:pStyle w:val="a7"/>
        <w:numPr>
          <w:ilvl w:val="0"/>
          <w:numId w:val="163"/>
        </w:numPr>
        <w:spacing w:beforeLines="50" w:before="180"/>
        <w:ind w:leftChars="0"/>
        <w:jc w:val="both"/>
        <w:rPr>
          <w:rFonts w:eastAsia="標楷體" w:cstheme="minorHAnsi"/>
        </w:rPr>
      </w:pPr>
      <w:r w:rsidRPr="00CA1A43">
        <w:rPr>
          <w:rFonts w:eastAsia="標楷體" w:cstheme="minorHAnsi"/>
        </w:rPr>
        <w:t>銀行必須將每</w:t>
      </w:r>
      <w:proofErr w:type="gramStart"/>
      <w:r w:rsidRPr="00CA1A43">
        <w:rPr>
          <w:rFonts w:eastAsia="標楷體" w:cstheme="minorHAnsi"/>
        </w:rPr>
        <w:t>個證券化暴險</w:t>
      </w:r>
      <w:proofErr w:type="gramEnd"/>
      <w:r w:rsidRPr="00CA1A43">
        <w:rPr>
          <w:rFonts w:eastAsia="標楷體" w:cstheme="minorHAnsi"/>
        </w:rPr>
        <w:t>分配到上述之組別中，且僅可分類至一個組別。</w:t>
      </w:r>
    </w:p>
    <w:p w14:paraId="38C8172E" w14:textId="77777777" w:rsidR="00C815AA" w:rsidRPr="00CA1A43" w:rsidRDefault="00C815AA" w:rsidP="00C642E4">
      <w:pPr>
        <w:pStyle w:val="a7"/>
        <w:numPr>
          <w:ilvl w:val="0"/>
          <w:numId w:val="163"/>
        </w:numPr>
        <w:spacing w:beforeLines="50" w:before="180"/>
        <w:ind w:leftChars="0"/>
        <w:jc w:val="both"/>
        <w:rPr>
          <w:rFonts w:eastAsia="標楷體" w:cstheme="minorHAnsi"/>
        </w:rPr>
      </w:pPr>
      <w:r w:rsidRPr="00CA1A43">
        <w:rPr>
          <w:rFonts w:eastAsia="標楷體" w:cstheme="minorHAnsi"/>
        </w:rPr>
        <w:t>銀行必須將標的資產同類型且同地區之所有</w:t>
      </w:r>
      <w:proofErr w:type="gramStart"/>
      <w:r w:rsidRPr="00CA1A43">
        <w:rPr>
          <w:rFonts w:eastAsia="標楷體" w:cstheme="minorHAnsi"/>
        </w:rPr>
        <w:t>證券化暴險</w:t>
      </w:r>
      <w:proofErr w:type="gramEnd"/>
      <w:r w:rsidRPr="00CA1A43">
        <w:rPr>
          <w:rFonts w:eastAsia="標楷體" w:cstheme="minorHAnsi"/>
        </w:rPr>
        <w:t>分類到相同組別中。</w:t>
      </w:r>
    </w:p>
    <w:p w14:paraId="6F2E2191" w14:textId="77777777" w:rsidR="009B5AF0" w:rsidRPr="00CA1A43" w:rsidRDefault="00C815AA" w:rsidP="00C642E4">
      <w:pPr>
        <w:pStyle w:val="a7"/>
        <w:numPr>
          <w:ilvl w:val="0"/>
          <w:numId w:val="163"/>
        </w:numPr>
        <w:spacing w:beforeLines="50" w:before="180"/>
        <w:ind w:leftChars="0"/>
        <w:jc w:val="both"/>
        <w:rPr>
          <w:rFonts w:eastAsia="標楷體" w:cstheme="minorHAnsi"/>
        </w:rPr>
      </w:pPr>
      <w:r w:rsidRPr="00CA1A43">
        <w:rPr>
          <w:rFonts w:eastAsia="標楷體" w:cstheme="minorHAnsi"/>
        </w:rPr>
        <w:t>無法分配之類型或地區的任何</w:t>
      </w:r>
      <w:proofErr w:type="gramStart"/>
      <w:r w:rsidRPr="00CA1A43">
        <w:rPr>
          <w:rFonts w:eastAsia="標楷體" w:cstheme="minorHAnsi"/>
        </w:rPr>
        <w:t>證券化暴險</w:t>
      </w:r>
      <w:proofErr w:type="gramEnd"/>
      <w:r w:rsidRPr="00CA1A43">
        <w:rPr>
          <w:rFonts w:eastAsia="標楷體" w:cstheme="minorHAnsi"/>
        </w:rPr>
        <w:t>，銀行須將其分配至</w:t>
      </w:r>
      <w:r w:rsidRPr="00CA1A43">
        <w:rPr>
          <w:rFonts w:eastAsia="標楷體" w:cstheme="minorHAnsi"/>
        </w:rPr>
        <w:t>“</w:t>
      </w:r>
      <w:r w:rsidRPr="00CA1A43">
        <w:rPr>
          <w:rFonts w:eastAsia="標楷體" w:cstheme="minorHAnsi"/>
        </w:rPr>
        <w:t>其他組別</w:t>
      </w:r>
      <w:r w:rsidRPr="00CA1A43">
        <w:rPr>
          <w:rFonts w:eastAsia="標楷體" w:cstheme="minorHAnsi"/>
        </w:rPr>
        <w:t>”</w:t>
      </w:r>
      <w:r w:rsidRPr="00CA1A43">
        <w:rPr>
          <w:rFonts w:eastAsia="標楷體" w:cstheme="minorHAnsi"/>
        </w:rPr>
        <w:t>。</w:t>
      </w:r>
    </w:p>
    <w:p w14:paraId="57CA9A0E" w14:textId="77777777" w:rsidR="00C815AA" w:rsidRPr="00CA1A43" w:rsidRDefault="00C815AA" w:rsidP="00C642E4">
      <w:pPr>
        <w:pStyle w:val="a7"/>
        <w:numPr>
          <w:ilvl w:val="0"/>
          <w:numId w:val="160"/>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(non-CTP)</w:t>
      </w:r>
      <w:r w:rsidRPr="00CA1A43">
        <w:rPr>
          <w:rFonts w:eastAsia="標楷體" w:cstheme="minorHAnsi"/>
        </w:rPr>
        <w:t>之違約風險資本要求類似於非證券化。組內之違約風險資本要求計算如下：</w:t>
      </w:r>
    </w:p>
    <w:p w14:paraId="1284F7F6" w14:textId="77777777" w:rsidR="00C815AA" w:rsidRPr="00CA1A43" w:rsidRDefault="00C815AA" w:rsidP="00C642E4">
      <w:pPr>
        <w:pStyle w:val="a7"/>
        <w:numPr>
          <w:ilvl w:val="0"/>
          <w:numId w:val="164"/>
        </w:numPr>
        <w:spacing w:beforeLines="50" w:before="180"/>
        <w:ind w:leftChars="0"/>
        <w:jc w:val="both"/>
        <w:rPr>
          <w:rFonts w:eastAsia="標楷體" w:cstheme="minorHAnsi"/>
        </w:rPr>
      </w:pPr>
      <w:r w:rsidRPr="00CA1A43">
        <w:rPr>
          <w:rFonts w:eastAsia="標楷體" w:cstheme="minorHAnsi"/>
        </w:rPr>
        <w:t>避險效益比率</w:t>
      </w:r>
      <w:r w:rsidRPr="00CA1A43">
        <w:rPr>
          <w:rFonts w:eastAsia="標楷體" w:cstheme="minorHAnsi"/>
        </w:rPr>
        <w:t>(</w:t>
      </w:r>
      <w:r w:rsidRPr="00CA1A43">
        <w:rPr>
          <w:rFonts w:eastAsia="標楷體" w:cstheme="minorHAnsi"/>
        </w:rPr>
        <w:t>如</w:t>
      </w: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點第</w:t>
      </w:r>
      <w:r w:rsidRPr="00CA1A43">
        <w:rPr>
          <w:rFonts w:eastAsia="標楷體" w:cstheme="minorHAnsi"/>
        </w:rPr>
        <w:t>3.(2)</w:t>
      </w:r>
      <w:r w:rsidRPr="00CA1A43">
        <w:rPr>
          <w:rFonts w:eastAsia="標楷體" w:cstheme="minorHAnsi"/>
        </w:rPr>
        <w:t>項所述</w:t>
      </w:r>
      <w:r w:rsidRPr="00CA1A43">
        <w:rPr>
          <w:rFonts w:eastAsia="標楷體" w:cstheme="minorHAnsi"/>
        </w:rPr>
        <w:t>)</w:t>
      </w:r>
      <w:r w:rsidRPr="00CA1A43">
        <w:rPr>
          <w:rFonts w:eastAsia="標楷體" w:cstheme="minorHAnsi"/>
        </w:rPr>
        <w:t>適用於組內之</w:t>
      </w:r>
      <w:proofErr w:type="gramStart"/>
      <w:r w:rsidRPr="00CA1A43">
        <w:rPr>
          <w:rFonts w:eastAsia="標楷體" w:cstheme="minorHAnsi"/>
        </w:rPr>
        <w:t>證券化淨短暴險</w:t>
      </w:r>
      <w:proofErr w:type="gramEnd"/>
      <w:r w:rsidRPr="00CA1A43">
        <w:rPr>
          <w:rFonts w:eastAsia="標楷體" w:cstheme="minorHAnsi"/>
        </w:rPr>
        <w:t>部位。</w:t>
      </w:r>
    </w:p>
    <w:p w14:paraId="122948ED" w14:textId="77777777" w:rsidR="00C815AA" w:rsidRPr="00CA1A43" w:rsidRDefault="00C815AA" w:rsidP="00C642E4">
      <w:pPr>
        <w:pStyle w:val="a7"/>
        <w:numPr>
          <w:ilvl w:val="0"/>
          <w:numId w:val="164"/>
        </w:numPr>
        <w:spacing w:beforeLines="50" w:before="180"/>
        <w:ind w:leftChars="0"/>
        <w:jc w:val="both"/>
        <w:rPr>
          <w:rFonts w:eastAsia="標楷體" w:cstheme="minorHAnsi"/>
        </w:rPr>
      </w:pPr>
      <w:r w:rsidRPr="00CA1A43">
        <w:rPr>
          <w:rFonts w:eastAsia="標楷體" w:cstheme="minorHAnsi"/>
        </w:rPr>
        <w:t>資本要求計算如</w:t>
      </w: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點第</w:t>
      </w:r>
      <w:r w:rsidRPr="00CA1A43">
        <w:rPr>
          <w:rFonts w:eastAsia="標楷體" w:cstheme="minorHAnsi"/>
        </w:rPr>
        <w:t>3.(4)</w:t>
      </w:r>
      <w:r w:rsidRPr="00CA1A43">
        <w:rPr>
          <w:rFonts w:eastAsia="標楷體" w:cstheme="minorHAnsi"/>
        </w:rPr>
        <w:t>項所述。</w:t>
      </w:r>
    </w:p>
    <w:p w14:paraId="54DF542F" w14:textId="77777777" w:rsidR="00C815AA" w:rsidRPr="00CA1A43" w:rsidRDefault="00C815AA" w:rsidP="00C642E4">
      <w:pPr>
        <w:pStyle w:val="a7"/>
        <w:numPr>
          <w:ilvl w:val="0"/>
          <w:numId w:val="160"/>
        </w:numPr>
        <w:spacing w:beforeLines="50" w:before="180"/>
        <w:ind w:leftChars="0" w:left="1446" w:hanging="482"/>
        <w:jc w:val="both"/>
        <w:rPr>
          <w:rFonts w:eastAsia="標楷體" w:cstheme="minorHAnsi"/>
        </w:rPr>
      </w:pPr>
      <w:r w:rsidRPr="00CA1A43">
        <w:rPr>
          <w:rFonts w:eastAsia="標楷體" w:cstheme="minorHAnsi"/>
        </w:rPr>
        <w:t>為計算加權瞬間違約風險淨部位，</w:t>
      </w:r>
      <w:proofErr w:type="gramStart"/>
      <w:r w:rsidRPr="00CA1A43">
        <w:rPr>
          <w:rFonts w:eastAsia="標楷體" w:cstheme="minorHAnsi"/>
        </w:rPr>
        <w:t>證券化暴險</w:t>
      </w:r>
      <w:proofErr w:type="gramEnd"/>
      <w:r w:rsidRPr="00CA1A43">
        <w:rPr>
          <w:rFonts w:eastAsia="標楷體" w:cstheme="minorHAnsi"/>
        </w:rPr>
        <w:t>之風險權數是依分</w:t>
      </w:r>
      <w:proofErr w:type="gramStart"/>
      <w:r w:rsidRPr="00CA1A43">
        <w:rPr>
          <w:rFonts w:eastAsia="標楷體" w:cstheme="minorHAnsi"/>
        </w:rPr>
        <w:t>券</w:t>
      </w:r>
      <w:proofErr w:type="gramEnd"/>
      <w:r w:rsidRPr="00CA1A43">
        <w:rPr>
          <w:rFonts w:eastAsia="標楷體" w:cstheme="minorHAnsi"/>
        </w:rPr>
        <w:t>而非依信用品質分類進行定義，證券化</w:t>
      </w:r>
      <w:r w:rsidRPr="00CA1A43">
        <w:rPr>
          <w:rFonts w:eastAsia="標楷體" w:cstheme="minorHAnsi"/>
        </w:rPr>
        <w:t>(non-CTP)</w:t>
      </w:r>
      <w:r w:rsidRPr="00CA1A43">
        <w:rPr>
          <w:rFonts w:eastAsia="標楷體" w:cstheme="minorHAnsi"/>
        </w:rPr>
        <w:t>之風險權數適用如下：</w:t>
      </w:r>
    </w:p>
    <w:p w14:paraId="16AD6FBC" w14:textId="77777777" w:rsidR="00C815AA" w:rsidRPr="00CA1A43" w:rsidRDefault="00C815AA" w:rsidP="00F23548">
      <w:pPr>
        <w:pStyle w:val="a7"/>
        <w:numPr>
          <w:ilvl w:val="0"/>
          <w:numId w:val="165"/>
        </w:numPr>
        <w:spacing w:beforeLines="50" w:before="180"/>
        <w:ind w:leftChars="0"/>
        <w:jc w:val="both"/>
        <w:rPr>
          <w:rFonts w:eastAsia="標楷體" w:cstheme="minorHAnsi"/>
        </w:rPr>
      </w:pPr>
      <w:proofErr w:type="gramStart"/>
      <w:r w:rsidRPr="00CA1A43">
        <w:rPr>
          <w:rFonts w:eastAsia="標楷體" w:cstheme="minorHAnsi"/>
        </w:rPr>
        <w:t>證券化暴險</w:t>
      </w:r>
      <w:proofErr w:type="gramEnd"/>
      <w:r w:rsidRPr="00CA1A43">
        <w:rPr>
          <w:rFonts w:eastAsia="標楷體" w:cstheme="minorHAnsi"/>
        </w:rPr>
        <w:t>之違約風險權重是基於</w:t>
      </w:r>
      <w:r w:rsidR="00F23548" w:rsidRPr="00F23548">
        <w:rPr>
          <w:rFonts w:eastAsia="標楷體" w:cstheme="minorHAnsi" w:hint="eastAsia"/>
        </w:rPr>
        <w:t>第三部分證券化</w:t>
      </w:r>
      <w:r w:rsidRPr="00CA1A43">
        <w:rPr>
          <w:rFonts w:eastAsia="標楷體" w:cstheme="minorHAnsi"/>
        </w:rPr>
        <w:t>(</w:t>
      </w:r>
      <w:proofErr w:type="gramStart"/>
      <w:r w:rsidRPr="00CA1A43">
        <w:rPr>
          <w:rFonts w:eastAsia="標楷體" w:cstheme="minorHAnsi"/>
        </w:rPr>
        <w:t>於計提</w:t>
      </w:r>
      <w:proofErr w:type="gramEnd"/>
      <w:r w:rsidRPr="00CA1A43">
        <w:rPr>
          <w:rFonts w:eastAsia="標楷體" w:cstheme="minorHAnsi"/>
        </w:rPr>
        <w:t>資本目的時被評估為簡單、透明和</w:t>
      </w:r>
      <w:proofErr w:type="gramStart"/>
      <w:r w:rsidRPr="00CA1A43">
        <w:rPr>
          <w:rFonts w:eastAsia="標楷體" w:cstheme="minorHAnsi"/>
        </w:rPr>
        <w:t>可</w:t>
      </w:r>
      <w:proofErr w:type="gramEnd"/>
      <w:r w:rsidRPr="00CA1A43">
        <w:rPr>
          <w:rFonts w:eastAsia="標楷體" w:cstheme="minorHAnsi"/>
        </w:rPr>
        <w:t>比較的證券化交易，依照該文件中替代資本處理要求</w:t>
      </w:r>
      <w:r w:rsidRPr="00CA1A43">
        <w:rPr>
          <w:rFonts w:eastAsia="標楷體" w:cstheme="minorHAnsi"/>
        </w:rPr>
        <w:t>)</w:t>
      </w:r>
      <w:r w:rsidRPr="00CA1A43">
        <w:rPr>
          <w:rFonts w:eastAsia="標楷體" w:cstheme="minorHAnsi"/>
        </w:rPr>
        <w:t>，並作出以下修改：因交易</w:t>
      </w:r>
      <w:proofErr w:type="gramStart"/>
      <w:r w:rsidRPr="00CA1A43">
        <w:rPr>
          <w:rFonts w:eastAsia="標楷體" w:cstheme="minorHAnsi"/>
        </w:rPr>
        <w:t>簿</w:t>
      </w:r>
      <w:proofErr w:type="gramEnd"/>
      <w:r w:rsidRPr="00CA1A43">
        <w:rPr>
          <w:rFonts w:eastAsia="標楷體" w:cstheme="minorHAnsi"/>
        </w:rPr>
        <w:t>移轉風險已納入信用價差資本要求中，為避免因銀行</w:t>
      </w:r>
      <w:proofErr w:type="gramStart"/>
      <w:r w:rsidRPr="00CA1A43">
        <w:rPr>
          <w:rFonts w:eastAsia="標楷體" w:cstheme="minorHAnsi"/>
        </w:rPr>
        <w:t>簿</w:t>
      </w:r>
      <w:proofErr w:type="gramEnd"/>
      <w:r w:rsidRPr="00CA1A43">
        <w:rPr>
          <w:rFonts w:eastAsia="標楷體" w:cstheme="minorHAnsi"/>
        </w:rPr>
        <w:t>到期日調整造成風險重覆計提，銀行</w:t>
      </w:r>
      <w:proofErr w:type="gramStart"/>
      <w:r w:rsidRPr="00CA1A43">
        <w:rPr>
          <w:rFonts w:eastAsia="標楷體" w:cstheme="minorHAnsi"/>
        </w:rPr>
        <w:t>簿</w:t>
      </w:r>
      <w:proofErr w:type="gramEnd"/>
      <w:r w:rsidRPr="00CA1A43">
        <w:rPr>
          <w:rFonts w:eastAsia="標楷體" w:cstheme="minorHAnsi"/>
        </w:rPr>
        <w:t>證券化架構中到期日參數應被設定為零。意即假設到期日為一年。</w:t>
      </w:r>
    </w:p>
    <w:p w14:paraId="16A43EEA" w14:textId="77777777" w:rsidR="00C815AA" w:rsidRPr="00CA1A43" w:rsidRDefault="00C815AA" w:rsidP="00C642E4">
      <w:pPr>
        <w:pStyle w:val="a7"/>
        <w:numPr>
          <w:ilvl w:val="0"/>
          <w:numId w:val="165"/>
        </w:numPr>
        <w:spacing w:beforeLines="50" w:before="180"/>
        <w:ind w:leftChars="0"/>
        <w:jc w:val="both"/>
        <w:rPr>
          <w:rFonts w:eastAsia="標楷體" w:cstheme="minorHAnsi"/>
        </w:rPr>
      </w:pPr>
      <w:r w:rsidRPr="00CA1A43">
        <w:rPr>
          <w:rFonts w:eastAsia="標楷體" w:cstheme="minorHAnsi"/>
        </w:rPr>
        <w:t>依銀行簿中對應之方式，依標的資產池之層級決定其風險權數。</w:t>
      </w:r>
    </w:p>
    <w:p w14:paraId="360E52A7" w14:textId="77777777" w:rsidR="00C815AA" w:rsidRPr="00CA1A43" w:rsidRDefault="00C815AA" w:rsidP="00C642E4">
      <w:pPr>
        <w:pStyle w:val="a7"/>
        <w:numPr>
          <w:ilvl w:val="0"/>
          <w:numId w:val="165"/>
        </w:numPr>
        <w:spacing w:beforeLines="50" w:before="180"/>
        <w:ind w:leftChars="0"/>
        <w:jc w:val="both"/>
        <w:rPr>
          <w:rFonts w:eastAsia="標楷體" w:cstheme="minorHAnsi"/>
        </w:rPr>
      </w:pPr>
      <w:r w:rsidRPr="00CA1A43">
        <w:rPr>
          <w:rFonts w:eastAsia="標楷體" w:cstheme="minorHAnsi"/>
        </w:rPr>
        <w:t>對於個別證券化現貨部位，於標準法下資本要求得以該交易之公允價值為上限。</w:t>
      </w:r>
    </w:p>
    <w:p w14:paraId="5E859A9F" w14:textId="77777777" w:rsidR="00C815AA" w:rsidRPr="00CA1A43" w:rsidRDefault="00A32398" w:rsidP="00C642E4">
      <w:pPr>
        <w:pStyle w:val="a7"/>
        <w:numPr>
          <w:ilvl w:val="0"/>
          <w:numId w:val="160"/>
        </w:numPr>
        <w:spacing w:beforeLines="50" w:before="180"/>
        <w:ind w:leftChars="0" w:left="1446" w:hanging="482"/>
        <w:jc w:val="both"/>
        <w:rPr>
          <w:rFonts w:eastAsia="標楷體" w:cstheme="minorHAnsi"/>
        </w:rPr>
      </w:pPr>
      <w:r w:rsidRPr="00CA1A43">
        <w:rPr>
          <w:rFonts w:eastAsia="標楷體" w:cstheme="minorHAnsi"/>
        </w:rPr>
        <w:t>證券化之違約風險在不同組</w:t>
      </w:r>
      <w:proofErr w:type="gramStart"/>
      <w:r w:rsidRPr="00CA1A43">
        <w:rPr>
          <w:rFonts w:eastAsia="標楷體" w:cstheme="minorHAnsi"/>
        </w:rPr>
        <w:t>別間無避</w:t>
      </w:r>
      <w:proofErr w:type="gramEnd"/>
      <w:r w:rsidRPr="00CA1A43">
        <w:rPr>
          <w:rFonts w:eastAsia="標楷體" w:cstheme="minorHAnsi"/>
        </w:rPr>
        <w:t>險效果，故其資本要求為各組別資本要求之簡單加總。</w:t>
      </w:r>
    </w:p>
    <w:p w14:paraId="4689AA51" w14:textId="77777777" w:rsidR="00C815AA" w:rsidRPr="00CA1A43" w:rsidRDefault="00A32398" w:rsidP="00C642E4">
      <w:pPr>
        <w:pStyle w:val="a7"/>
        <w:numPr>
          <w:ilvl w:val="0"/>
          <w:numId w:val="141"/>
        </w:numPr>
        <w:spacing w:beforeLines="50" w:before="180"/>
        <w:ind w:leftChars="0" w:left="737" w:hanging="737"/>
        <w:jc w:val="both"/>
        <w:rPr>
          <w:rFonts w:eastAsia="標楷體" w:cstheme="minorHAnsi"/>
        </w:rPr>
      </w:pPr>
      <w:r w:rsidRPr="00CA1A43">
        <w:rPr>
          <w:rFonts w:eastAsia="標楷體" w:cstheme="minorHAnsi"/>
        </w:rPr>
        <w:t>證券化</w:t>
      </w:r>
      <w:r w:rsidRPr="00CA1A43">
        <w:rPr>
          <w:rFonts w:eastAsia="標楷體" w:cstheme="minorHAnsi"/>
        </w:rPr>
        <w:t>(</w:t>
      </w:r>
      <w:r w:rsidRPr="00CA1A43">
        <w:rPr>
          <w:rFonts w:eastAsia="標楷體" w:cstheme="minorHAnsi"/>
        </w:rPr>
        <w:t>相關性交易組合</w:t>
      </w:r>
      <w:r w:rsidRPr="00CA1A43">
        <w:rPr>
          <w:rFonts w:eastAsia="標楷體" w:cstheme="minorHAnsi"/>
        </w:rPr>
        <w:t>,CTP)</w:t>
      </w:r>
      <w:r w:rsidRPr="00CA1A43">
        <w:rPr>
          <w:rFonts w:eastAsia="標楷體" w:cstheme="minorHAnsi"/>
        </w:rPr>
        <w:t>之違約風險資本要求</w:t>
      </w:r>
    </w:p>
    <w:p w14:paraId="2A57B620" w14:textId="77777777" w:rsidR="00C815AA" w:rsidRPr="00CA1A43" w:rsidRDefault="00A32398" w:rsidP="00C642E4">
      <w:pPr>
        <w:pStyle w:val="a7"/>
        <w:numPr>
          <w:ilvl w:val="0"/>
          <w:numId w:val="168"/>
        </w:numPr>
        <w:spacing w:beforeLines="50" w:before="180"/>
        <w:ind w:leftChars="0" w:left="964" w:hanging="482"/>
        <w:jc w:val="both"/>
        <w:rPr>
          <w:rFonts w:eastAsia="標楷體" w:cstheme="minorHAnsi"/>
        </w:rPr>
      </w:pPr>
      <w:r w:rsidRPr="00CA1A43">
        <w:rPr>
          <w:rFonts w:eastAsia="標楷體" w:cstheme="minorHAnsi"/>
        </w:rPr>
        <w:t>瞬間違約風險總部位</w:t>
      </w:r>
      <w:r w:rsidRPr="00CA1A43">
        <w:rPr>
          <w:rFonts w:eastAsia="標楷體" w:cstheme="minorHAnsi"/>
        </w:rPr>
        <w:t xml:space="preserve"> (gross JTD)</w:t>
      </w:r>
    </w:p>
    <w:p w14:paraId="01F2B528" w14:textId="77777777" w:rsidR="00C815AA" w:rsidRPr="00CA1A43" w:rsidRDefault="00A32398" w:rsidP="00C642E4">
      <w:pPr>
        <w:pStyle w:val="a7"/>
        <w:numPr>
          <w:ilvl w:val="0"/>
          <w:numId w:val="166"/>
        </w:numPr>
        <w:spacing w:beforeLines="50" w:before="180"/>
        <w:ind w:leftChars="0" w:left="1446" w:hanging="482"/>
        <w:jc w:val="both"/>
        <w:rPr>
          <w:rFonts w:eastAsia="標楷體" w:cstheme="minorHAnsi"/>
        </w:rPr>
      </w:pPr>
      <w:r w:rsidRPr="00CA1A43">
        <w:rPr>
          <w:rFonts w:eastAsia="標楷體" w:cstheme="minorHAnsi"/>
        </w:rPr>
        <w:t>計算證券化</w:t>
      </w:r>
      <w:r w:rsidRPr="00CA1A43">
        <w:rPr>
          <w:rFonts w:eastAsia="標楷體" w:cstheme="minorHAnsi"/>
        </w:rPr>
        <w:t>(CTP)</w:t>
      </w:r>
      <w:r w:rsidRPr="00CA1A43">
        <w:rPr>
          <w:rFonts w:eastAsia="標楷體" w:cstheme="minorHAnsi"/>
        </w:rPr>
        <w:t>之瞬間違約風險總部位</w:t>
      </w:r>
      <w:r w:rsidRPr="00CA1A43">
        <w:rPr>
          <w:rFonts w:eastAsia="標楷體" w:cstheme="minorHAnsi"/>
        </w:rPr>
        <w:t>(gross JTD)</w:t>
      </w:r>
      <w:r w:rsidRPr="00CA1A43">
        <w:rPr>
          <w:rFonts w:eastAsia="標楷體" w:cstheme="minorHAnsi"/>
        </w:rPr>
        <w:t>須比照證券化</w:t>
      </w:r>
      <w:r w:rsidRPr="00CA1A43">
        <w:rPr>
          <w:rFonts w:eastAsia="標楷體" w:cstheme="minorHAnsi"/>
        </w:rPr>
        <w:t>(non-CTP)</w:t>
      </w:r>
      <w:r w:rsidRPr="00CA1A43">
        <w:rPr>
          <w:rFonts w:eastAsia="標楷體" w:cstheme="minorHAnsi"/>
        </w:rPr>
        <w:t>之計算方式。</w:t>
      </w:r>
    </w:p>
    <w:p w14:paraId="571C769A" w14:textId="77777777" w:rsidR="00C815AA" w:rsidRPr="00CA1A43" w:rsidRDefault="00A32398" w:rsidP="00C642E4">
      <w:pPr>
        <w:pStyle w:val="a7"/>
        <w:numPr>
          <w:ilvl w:val="0"/>
          <w:numId w:val="166"/>
        </w:numPr>
        <w:spacing w:beforeLines="50" w:before="180"/>
        <w:ind w:leftChars="0" w:left="1446" w:hanging="482"/>
        <w:jc w:val="both"/>
        <w:rPr>
          <w:rFonts w:eastAsia="標楷體" w:cstheme="minorHAnsi"/>
        </w:rPr>
      </w:pPr>
      <w:r w:rsidRPr="00CA1A43">
        <w:rPr>
          <w:rFonts w:eastAsia="標楷體" w:cstheme="minorHAnsi"/>
        </w:rPr>
        <w:lastRenderedPageBreak/>
        <w:t>證券化</w:t>
      </w:r>
      <w:r w:rsidRPr="00CA1A43">
        <w:rPr>
          <w:rFonts w:eastAsia="標楷體" w:cstheme="minorHAnsi"/>
        </w:rPr>
        <w:t>(CTP)(</w:t>
      </w:r>
      <w:r w:rsidRPr="00CA1A43">
        <w:rPr>
          <w:rFonts w:eastAsia="標楷體" w:cstheme="minorHAnsi"/>
        </w:rPr>
        <w:t>即單一名稱和指數避險</w:t>
      </w:r>
      <w:r w:rsidRPr="00CA1A43">
        <w:rPr>
          <w:rFonts w:eastAsia="標楷體" w:cstheme="minorHAnsi"/>
        </w:rPr>
        <w:t>)</w:t>
      </w:r>
      <w:r w:rsidRPr="00CA1A43">
        <w:rPr>
          <w:rFonts w:eastAsia="標楷體" w:cstheme="minorHAnsi"/>
        </w:rPr>
        <w:t>之瞬間違約風險總部位被定義為其市場價值。</w:t>
      </w:r>
    </w:p>
    <w:p w14:paraId="79FEDF31" w14:textId="77777777" w:rsidR="00A32398" w:rsidRPr="00CA1A43" w:rsidRDefault="00A32398" w:rsidP="00C642E4">
      <w:pPr>
        <w:pStyle w:val="a7"/>
        <w:numPr>
          <w:ilvl w:val="0"/>
          <w:numId w:val="166"/>
        </w:numPr>
        <w:spacing w:beforeLines="50" w:before="180"/>
        <w:ind w:leftChars="0" w:left="1446" w:hanging="482"/>
        <w:jc w:val="both"/>
        <w:rPr>
          <w:rFonts w:eastAsia="標楷體" w:cstheme="minorHAnsi"/>
        </w:rPr>
      </w:pPr>
      <w:r w:rsidRPr="00CA1A43">
        <w:rPr>
          <w:rFonts w:eastAsia="標楷體" w:cstheme="minorHAnsi"/>
        </w:rPr>
        <w:t>非第一順位違約產品</w:t>
      </w:r>
      <w:r w:rsidRPr="00CA1A43">
        <w:rPr>
          <w:rFonts w:eastAsia="標楷體" w:cstheme="minorHAnsi"/>
        </w:rPr>
        <w:t>(Nth-to-default products)</w:t>
      </w:r>
      <w:r w:rsidRPr="00CA1A43">
        <w:rPr>
          <w:rFonts w:eastAsia="標楷體" w:cstheme="minorHAnsi"/>
        </w:rPr>
        <w:t>應被視為具有</w:t>
      </w:r>
      <w:proofErr w:type="gramStart"/>
      <w:r w:rsidRPr="00CA1A43">
        <w:rPr>
          <w:rFonts w:eastAsia="標楷體" w:cstheme="minorHAnsi"/>
        </w:rPr>
        <w:t>起賠點和止賠點</w:t>
      </w:r>
      <w:proofErr w:type="gramEnd"/>
      <w:r w:rsidRPr="00CA1A43">
        <w:rPr>
          <w:rFonts w:eastAsia="標楷體" w:cstheme="minorHAnsi"/>
        </w:rPr>
        <w:t>之分</w:t>
      </w:r>
      <w:proofErr w:type="gramStart"/>
      <w:r w:rsidRPr="00CA1A43">
        <w:rPr>
          <w:rFonts w:eastAsia="標楷體" w:cstheme="minorHAnsi"/>
        </w:rPr>
        <w:t>券</w:t>
      </w:r>
      <w:proofErr w:type="gramEnd"/>
      <w:r w:rsidRPr="00CA1A43">
        <w:rPr>
          <w:rFonts w:eastAsia="標楷體" w:cstheme="minorHAnsi"/>
        </w:rPr>
        <w:t>，其定義如下，其中，「名稱總數量」為標的資產池中之所有名稱總數。</w:t>
      </w:r>
    </w:p>
    <w:p w14:paraId="41C54533" w14:textId="77777777" w:rsidR="00A32398" w:rsidRPr="00CA1A43" w:rsidRDefault="00A32398" w:rsidP="00C642E4">
      <w:pPr>
        <w:pStyle w:val="a7"/>
        <w:numPr>
          <w:ilvl w:val="0"/>
          <w:numId w:val="167"/>
        </w:numPr>
        <w:spacing w:beforeLines="50" w:before="180"/>
        <w:ind w:leftChars="0"/>
        <w:jc w:val="both"/>
        <w:rPr>
          <w:rFonts w:eastAsia="標楷體" w:cstheme="minorHAnsi"/>
        </w:rPr>
      </w:pPr>
      <w:r w:rsidRPr="00CA1A43">
        <w:rPr>
          <w:rFonts w:eastAsia="標楷體" w:cstheme="minorHAnsi"/>
        </w:rPr>
        <w:t>信用損失</w:t>
      </w:r>
      <w:proofErr w:type="gramStart"/>
      <w:r w:rsidRPr="00CA1A43">
        <w:rPr>
          <w:rFonts w:eastAsia="標楷體" w:cstheme="minorHAnsi"/>
        </w:rPr>
        <w:t>起賠點</w:t>
      </w:r>
      <w:proofErr w:type="gramEnd"/>
      <w:r w:rsidRPr="00CA1A43">
        <w:rPr>
          <w:rFonts w:eastAsia="標楷體" w:cstheme="minorHAnsi"/>
        </w:rPr>
        <w:t>=(N - 1)/</w:t>
      </w:r>
      <w:r w:rsidRPr="00CA1A43">
        <w:rPr>
          <w:rFonts w:eastAsia="標楷體" w:cstheme="minorHAnsi"/>
        </w:rPr>
        <w:t>名稱總數量</w:t>
      </w:r>
    </w:p>
    <w:p w14:paraId="47FC8CAB" w14:textId="77777777" w:rsidR="00C815AA" w:rsidRPr="00CA1A43" w:rsidRDefault="00A32398" w:rsidP="00C642E4">
      <w:pPr>
        <w:pStyle w:val="a7"/>
        <w:numPr>
          <w:ilvl w:val="0"/>
          <w:numId w:val="167"/>
        </w:numPr>
        <w:spacing w:beforeLines="50" w:before="180"/>
        <w:ind w:leftChars="0"/>
        <w:jc w:val="both"/>
        <w:rPr>
          <w:rFonts w:eastAsia="標楷體" w:cstheme="minorHAnsi"/>
        </w:rPr>
      </w:pPr>
      <w:r w:rsidRPr="00CA1A43">
        <w:rPr>
          <w:rFonts w:eastAsia="標楷體" w:cstheme="minorHAnsi"/>
        </w:rPr>
        <w:t>信用損失</w:t>
      </w:r>
      <w:proofErr w:type="gramStart"/>
      <w:r w:rsidRPr="00CA1A43">
        <w:rPr>
          <w:rFonts w:eastAsia="標楷體" w:cstheme="minorHAnsi"/>
        </w:rPr>
        <w:t>止賠點</w:t>
      </w:r>
      <w:proofErr w:type="gramEnd"/>
      <w:r w:rsidRPr="00CA1A43">
        <w:rPr>
          <w:rFonts w:eastAsia="標楷體" w:cstheme="minorHAnsi"/>
        </w:rPr>
        <w:t>= N/</w:t>
      </w:r>
      <w:r w:rsidRPr="00CA1A43">
        <w:rPr>
          <w:rFonts w:eastAsia="標楷體" w:cstheme="minorHAnsi"/>
        </w:rPr>
        <w:t>名稱總數量</w:t>
      </w:r>
    </w:p>
    <w:p w14:paraId="3EAD5F7A" w14:textId="77777777" w:rsidR="00C815AA" w:rsidRPr="00CA1A43" w:rsidRDefault="00A32398" w:rsidP="00C642E4">
      <w:pPr>
        <w:pStyle w:val="a7"/>
        <w:numPr>
          <w:ilvl w:val="0"/>
          <w:numId w:val="168"/>
        </w:numPr>
        <w:spacing w:beforeLines="50" w:before="180"/>
        <w:ind w:leftChars="0" w:left="964" w:hanging="482"/>
        <w:jc w:val="both"/>
        <w:rPr>
          <w:rFonts w:eastAsia="標楷體" w:cstheme="minorHAnsi"/>
        </w:rPr>
      </w:pPr>
      <w:r w:rsidRPr="00CA1A43">
        <w:rPr>
          <w:rFonts w:eastAsia="標楷體" w:cstheme="minorHAnsi"/>
        </w:rPr>
        <w:t>瞬間違約風險淨部位</w:t>
      </w:r>
      <w:r w:rsidRPr="00CA1A43">
        <w:rPr>
          <w:rFonts w:eastAsia="標楷體" w:cstheme="minorHAnsi"/>
        </w:rPr>
        <w:t xml:space="preserve"> (net JTD)</w:t>
      </w:r>
    </w:p>
    <w:p w14:paraId="1C349F9E" w14:textId="77777777" w:rsidR="00A32398" w:rsidRPr="00CA1A43" w:rsidRDefault="00A32398" w:rsidP="00C642E4">
      <w:pPr>
        <w:pStyle w:val="a7"/>
        <w:numPr>
          <w:ilvl w:val="0"/>
          <w:numId w:val="170"/>
        </w:numPr>
        <w:spacing w:beforeLines="50" w:before="180"/>
        <w:ind w:leftChars="0" w:left="1446" w:hanging="482"/>
        <w:jc w:val="both"/>
        <w:rPr>
          <w:rFonts w:eastAsia="標楷體" w:cstheme="minorHAnsi"/>
        </w:rPr>
      </w:pPr>
      <w:r w:rsidRPr="00CA1A43">
        <w:rPr>
          <w:rFonts w:eastAsia="標楷體" w:cstheme="minorHAnsi"/>
        </w:rPr>
        <w:t>僅到期日不同，而其他方面皆相同</w:t>
      </w:r>
      <w:proofErr w:type="gramStart"/>
      <w:r w:rsidRPr="00CA1A43">
        <w:rPr>
          <w:rFonts w:eastAsia="標楷體" w:cstheme="minorHAnsi"/>
        </w:rPr>
        <w:t>之暴險可以</w:t>
      </w:r>
      <w:proofErr w:type="gramEnd"/>
      <w:r w:rsidRPr="00CA1A43">
        <w:rPr>
          <w:rFonts w:eastAsia="標楷體" w:cstheme="minorHAnsi"/>
        </w:rPr>
        <w:t>進行互抵。長短部位以違約時產生損失或獲利來判斷之概念與非證券化一致。非證券化之互抵規則包含</w:t>
      </w: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點第</w:t>
      </w:r>
      <w:r w:rsidRPr="00CA1A43">
        <w:rPr>
          <w:rFonts w:eastAsia="標楷體" w:cstheme="minorHAnsi"/>
        </w:rPr>
        <w:t>1.(7)</w:t>
      </w:r>
      <w:r w:rsidRPr="00CA1A43">
        <w:rPr>
          <w:rFonts w:eastAsia="標楷體" w:cstheme="minorHAnsi"/>
        </w:rPr>
        <w:t>項至第</w:t>
      </w:r>
      <w:r w:rsidRPr="00CA1A43">
        <w:rPr>
          <w:rFonts w:eastAsia="標楷體" w:cstheme="minorHAnsi"/>
        </w:rPr>
        <w:t>1.(10)</w:t>
      </w:r>
      <w:r w:rsidRPr="00CA1A43">
        <w:rPr>
          <w:rFonts w:eastAsia="標楷體" w:cstheme="minorHAnsi"/>
        </w:rPr>
        <w:t>項所述小於一年之部位調整方式仍適用於證券化</w:t>
      </w:r>
      <w:r w:rsidRPr="00CA1A43">
        <w:rPr>
          <w:rFonts w:eastAsia="標楷體" w:cstheme="minorHAnsi"/>
        </w:rPr>
        <w:t>(CTP)</w:t>
      </w:r>
      <w:r w:rsidRPr="00CA1A43">
        <w:rPr>
          <w:rFonts w:eastAsia="標楷體" w:cstheme="minorHAnsi"/>
        </w:rPr>
        <w:t>瞬間違約風險部位。</w:t>
      </w:r>
    </w:p>
    <w:p w14:paraId="29DC3123" w14:textId="77777777" w:rsidR="00A32398" w:rsidRPr="00CA1A43" w:rsidRDefault="00A32398" w:rsidP="00C642E4">
      <w:pPr>
        <w:pStyle w:val="a7"/>
        <w:numPr>
          <w:ilvl w:val="0"/>
          <w:numId w:val="169"/>
        </w:numPr>
        <w:spacing w:beforeLines="50" w:before="180"/>
        <w:ind w:leftChars="0"/>
        <w:jc w:val="both"/>
        <w:rPr>
          <w:rFonts w:eastAsia="標楷體" w:cstheme="minorHAnsi"/>
        </w:rPr>
      </w:pPr>
      <w:r w:rsidRPr="00CA1A43">
        <w:rPr>
          <w:rFonts w:eastAsia="標楷體" w:cstheme="minorHAnsi"/>
        </w:rPr>
        <w:t>針對指數型產品，完全相同指數族群</w:t>
      </w:r>
      <w:r w:rsidRPr="00CA1A43">
        <w:rPr>
          <w:rFonts w:eastAsia="標楷體" w:cstheme="minorHAnsi"/>
        </w:rPr>
        <w:t>(</w:t>
      </w:r>
      <w:r w:rsidRPr="00CA1A43">
        <w:rPr>
          <w:rFonts w:eastAsia="標楷體" w:cstheme="minorHAnsi"/>
        </w:rPr>
        <w:t>如</w:t>
      </w:r>
      <w:r w:rsidRPr="00CA1A43">
        <w:rPr>
          <w:rFonts w:eastAsia="標楷體" w:cstheme="minorHAnsi"/>
        </w:rPr>
        <w:t>CDX NA IG)</w:t>
      </w:r>
      <w:r w:rsidRPr="00CA1A43">
        <w:rPr>
          <w:rFonts w:eastAsia="標楷體" w:cstheme="minorHAnsi"/>
        </w:rPr>
        <w:t>、序列</w:t>
      </w:r>
      <w:r w:rsidRPr="00CA1A43">
        <w:rPr>
          <w:rFonts w:eastAsia="標楷體" w:cstheme="minorHAnsi"/>
        </w:rPr>
        <w:t>(</w:t>
      </w:r>
      <w:r w:rsidRPr="00CA1A43">
        <w:rPr>
          <w:rFonts w:eastAsia="標楷體" w:cstheme="minorHAnsi"/>
        </w:rPr>
        <w:t>如</w:t>
      </w:r>
      <w:r w:rsidRPr="00CA1A43">
        <w:rPr>
          <w:rFonts w:eastAsia="標楷體" w:cstheme="minorHAnsi"/>
        </w:rPr>
        <w:t>series 18)</w:t>
      </w:r>
      <w:r w:rsidRPr="00CA1A43">
        <w:rPr>
          <w:rFonts w:eastAsia="標楷體" w:cstheme="minorHAnsi"/>
        </w:rPr>
        <w:t>及分</w:t>
      </w:r>
      <w:proofErr w:type="gramStart"/>
      <w:r w:rsidRPr="00CA1A43">
        <w:rPr>
          <w:rFonts w:eastAsia="標楷體" w:cstheme="minorHAnsi"/>
        </w:rPr>
        <w:t>券</w:t>
      </w:r>
      <w:proofErr w:type="gramEnd"/>
      <w:r w:rsidRPr="00CA1A43">
        <w:rPr>
          <w:rFonts w:eastAsia="標楷體" w:cstheme="minorHAnsi"/>
        </w:rPr>
        <w:t>(</w:t>
      </w:r>
      <w:r w:rsidRPr="00CA1A43">
        <w:rPr>
          <w:rFonts w:eastAsia="標楷體" w:cstheme="minorHAnsi"/>
        </w:rPr>
        <w:t>如</w:t>
      </w:r>
      <w:r w:rsidRPr="00CA1A43">
        <w:rPr>
          <w:rFonts w:eastAsia="標楷體" w:cstheme="minorHAnsi"/>
        </w:rPr>
        <w:t>0-3%)</w:t>
      </w:r>
      <w:r w:rsidRPr="00CA1A43">
        <w:rPr>
          <w:rFonts w:eastAsia="標楷體" w:cstheme="minorHAnsi"/>
        </w:rPr>
        <w:t>，</w:t>
      </w:r>
      <w:proofErr w:type="gramStart"/>
      <w:r w:rsidRPr="00CA1A43">
        <w:rPr>
          <w:rFonts w:eastAsia="標楷體" w:cstheme="minorHAnsi"/>
        </w:rPr>
        <w:t>證券化暴險</w:t>
      </w:r>
      <w:proofErr w:type="gramEnd"/>
      <w:r w:rsidRPr="00CA1A43">
        <w:rPr>
          <w:rFonts w:eastAsia="標楷體" w:cstheme="minorHAnsi"/>
        </w:rPr>
        <w:t>應該跨到期日依前述互抵規則進行互抵。</w:t>
      </w:r>
    </w:p>
    <w:p w14:paraId="7F55E327" w14:textId="77777777" w:rsidR="00A32398" w:rsidRPr="00CA1A43" w:rsidRDefault="00A32398" w:rsidP="00C642E4">
      <w:pPr>
        <w:pStyle w:val="a7"/>
        <w:numPr>
          <w:ilvl w:val="0"/>
          <w:numId w:val="169"/>
        </w:numPr>
        <w:spacing w:beforeLines="50" w:before="180"/>
        <w:ind w:leftChars="0"/>
        <w:jc w:val="both"/>
        <w:rPr>
          <w:rFonts w:eastAsia="標楷體" w:cstheme="minorHAnsi"/>
        </w:rPr>
      </w:pPr>
      <w:r w:rsidRPr="00CA1A43">
        <w:rPr>
          <w:rFonts w:eastAsia="標楷體" w:cstheme="minorHAnsi"/>
        </w:rPr>
        <w:t>透過拆解可以被完美複製的長</w:t>
      </w:r>
      <w:r w:rsidRPr="00CA1A43">
        <w:rPr>
          <w:rFonts w:eastAsia="標楷體" w:cstheme="minorHAnsi"/>
        </w:rPr>
        <w:t>/</w:t>
      </w:r>
      <w:proofErr w:type="gramStart"/>
      <w:r w:rsidRPr="00CA1A43">
        <w:rPr>
          <w:rFonts w:eastAsia="標楷體" w:cstheme="minorHAnsi"/>
        </w:rPr>
        <w:t>短暴險</w:t>
      </w:r>
      <w:proofErr w:type="gramEnd"/>
      <w:r w:rsidRPr="00CA1A43">
        <w:rPr>
          <w:rFonts w:eastAsia="標楷體" w:cstheme="minorHAnsi"/>
        </w:rPr>
        <w:t>部位可依下述方式進行互抵。</w:t>
      </w:r>
      <w:proofErr w:type="gramStart"/>
      <w:r w:rsidRPr="00CA1A43">
        <w:rPr>
          <w:rFonts w:eastAsia="標楷體" w:cstheme="minorHAnsi"/>
        </w:rPr>
        <w:t>當互抵</w:t>
      </w:r>
      <w:proofErr w:type="gramEnd"/>
      <w:r w:rsidRPr="00CA1A43">
        <w:rPr>
          <w:rFonts w:eastAsia="標楷體" w:cstheme="minorHAnsi"/>
        </w:rPr>
        <w:t>涉及拆</w:t>
      </w:r>
      <w:proofErr w:type="gramStart"/>
      <w:r w:rsidRPr="00CA1A43">
        <w:rPr>
          <w:rFonts w:eastAsia="標楷體" w:cstheme="minorHAnsi"/>
        </w:rPr>
        <w:t>解暴險</w:t>
      </w:r>
      <w:proofErr w:type="gramEnd"/>
      <w:r w:rsidRPr="00CA1A43">
        <w:rPr>
          <w:rFonts w:eastAsia="標楷體" w:cstheme="minorHAnsi"/>
        </w:rPr>
        <w:t>部位為約當單一名稱標的</w:t>
      </w:r>
      <w:proofErr w:type="gramStart"/>
      <w:r w:rsidRPr="00CA1A43">
        <w:rPr>
          <w:rFonts w:eastAsia="標楷體" w:cstheme="minorHAnsi"/>
        </w:rPr>
        <w:t>暴險時</w:t>
      </w:r>
      <w:proofErr w:type="gramEnd"/>
      <w:r w:rsidRPr="00CA1A43">
        <w:rPr>
          <w:rFonts w:eastAsia="標楷體" w:cstheme="minorHAnsi"/>
        </w:rPr>
        <w:t>，使用評價模型進行</w:t>
      </w:r>
      <w:proofErr w:type="gramStart"/>
      <w:r w:rsidRPr="00CA1A43">
        <w:rPr>
          <w:rFonts w:eastAsia="標楷體" w:cstheme="minorHAnsi"/>
        </w:rPr>
        <w:t>拆解僅在</w:t>
      </w:r>
      <w:proofErr w:type="gramEnd"/>
      <w:r w:rsidRPr="00CA1A43">
        <w:rPr>
          <w:rFonts w:eastAsia="標楷體" w:cstheme="minorHAnsi"/>
        </w:rPr>
        <w:t>下述特定情況下被允許。</w:t>
      </w:r>
      <w:proofErr w:type="gramStart"/>
      <w:r w:rsidRPr="00CA1A43">
        <w:rPr>
          <w:rFonts w:eastAsia="標楷體" w:cstheme="minorHAnsi"/>
        </w:rPr>
        <w:t>此拆解</w:t>
      </w:r>
      <w:proofErr w:type="gramEnd"/>
      <w:r w:rsidRPr="00CA1A43">
        <w:rPr>
          <w:rFonts w:eastAsia="標楷體" w:cstheme="minorHAnsi"/>
        </w:rPr>
        <w:t>部位即標的單一名稱債務人違約對該證券價值之敏感性部位。使用評價模型進行拆解其定義如下：證券化</w:t>
      </w:r>
      <w:r w:rsidRPr="00CA1A43">
        <w:rPr>
          <w:rFonts w:eastAsia="標楷體" w:cstheme="minorHAnsi"/>
        </w:rPr>
        <w:t>(</w:t>
      </w:r>
      <w:r w:rsidRPr="00CA1A43">
        <w:rPr>
          <w:rFonts w:eastAsia="標楷體" w:cstheme="minorHAnsi"/>
        </w:rPr>
        <w:t>例如分</w:t>
      </w:r>
      <w:proofErr w:type="gramStart"/>
      <w:r w:rsidRPr="00CA1A43">
        <w:rPr>
          <w:rFonts w:eastAsia="標楷體" w:cstheme="minorHAnsi"/>
        </w:rPr>
        <w:t>券</w:t>
      </w:r>
      <w:proofErr w:type="gramEnd"/>
      <w:r w:rsidRPr="00CA1A43">
        <w:rPr>
          <w:rFonts w:eastAsia="標楷體" w:cstheme="minorHAnsi"/>
        </w:rPr>
        <w:t>部位</w:t>
      </w:r>
      <w:r w:rsidRPr="00CA1A43">
        <w:rPr>
          <w:rFonts w:eastAsia="標楷體" w:cstheme="minorHAnsi"/>
        </w:rPr>
        <w:t>)</w:t>
      </w:r>
      <w:r w:rsidRPr="00CA1A43">
        <w:rPr>
          <w:rFonts w:eastAsia="標楷體" w:cstheme="minorHAnsi"/>
        </w:rPr>
        <w:t>組成中，約當單一名稱標的</w:t>
      </w:r>
      <w:proofErr w:type="gramStart"/>
      <w:r w:rsidRPr="00CA1A43">
        <w:rPr>
          <w:rFonts w:eastAsia="標楷體" w:cstheme="minorHAnsi"/>
        </w:rPr>
        <w:t>之暴險為</w:t>
      </w:r>
      <w:proofErr w:type="gramEnd"/>
      <w:r w:rsidRPr="00CA1A43">
        <w:rPr>
          <w:rFonts w:eastAsia="標楷體" w:cstheme="minorHAnsi"/>
        </w:rPr>
        <w:t>透過模型評價該證券化無設定條件下的價值和假設該單一名稱違約且違約回收率為零的條件下證券化商品理論價值間之差異。此情況下，拆解至約當單一</w:t>
      </w:r>
      <w:proofErr w:type="gramStart"/>
      <w:r w:rsidRPr="00CA1A43">
        <w:rPr>
          <w:rFonts w:eastAsia="標楷體" w:cstheme="minorHAnsi"/>
        </w:rPr>
        <w:t>名稱暴險必須</w:t>
      </w:r>
      <w:proofErr w:type="gramEnd"/>
      <w:r w:rsidRPr="00CA1A43">
        <w:rPr>
          <w:rFonts w:eastAsia="標楷體" w:cstheme="minorHAnsi"/>
        </w:rPr>
        <w:t>計算證券化資產中單一名稱之邊際違約效果，特別是拆解單一名稱之加總金額，必須等於該證券化資產未拆解之價值。</w:t>
      </w:r>
      <w:proofErr w:type="gramStart"/>
      <w:r w:rsidRPr="00CA1A43">
        <w:rPr>
          <w:rFonts w:eastAsia="標楷體" w:cstheme="minorHAnsi"/>
        </w:rPr>
        <w:t>此外，此拆解僅</w:t>
      </w:r>
      <w:proofErr w:type="gramEnd"/>
      <w:r w:rsidRPr="00CA1A43">
        <w:rPr>
          <w:rFonts w:eastAsia="標楷體" w:cstheme="minorHAnsi"/>
        </w:rPr>
        <w:t>限於陽春型證券化產品</w:t>
      </w:r>
      <w:r w:rsidRPr="00CA1A43">
        <w:rPr>
          <w:rFonts w:eastAsia="標楷體" w:cstheme="minorHAnsi"/>
        </w:rPr>
        <w:t>(</w:t>
      </w:r>
      <w:r w:rsidRPr="00CA1A43">
        <w:rPr>
          <w:rFonts w:eastAsia="標楷體" w:cstheme="minorHAnsi"/>
        </w:rPr>
        <w:t>如陽春型</w:t>
      </w:r>
      <w:r w:rsidRPr="00CA1A43">
        <w:rPr>
          <w:rFonts w:eastAsia="標楷體" w:cstheme="minorHAnsi"/>
        </w:rPr>
        <w:t xml:space="preserve">CDOs, </w:t>
      </w:r>
      <w:r w:rsidRPr="00CA1A43">
        <w:rPr>
          <w:rFonts w:eastAsia="標楷體" w:cstheme="minorHAnsi"/>
        </w:rPr>
        <w:t>指數分</w:t>
      </w:r>
      <w:proofErr w:type="gramStart"/>
      <w:r w:rsidRPr="00CA1A43">
        <w:rPr>
          <w:rFonts w:eastAsia="標楷體" w:cstheme="minorHAnsi"/>
        </w:rPr>
        <w:t>券</w:t>
      </w:r>
      <w:proofErr w:type="gramEnd"/>
      <w:r w:rsidRPr="00CA1A43">
        <w:rPr>
          <w:rFonts w:eastAsia="標楷體" w:cstheme="minorHAnsi"/>
        </w:rPr>
        <w:t>或客製化產品</w:t>
      </w:r>
      <w:r w:rsidRPr="00CA1A43">
        <w:rPr>
          <w:rFonts w:eastAsia="標楷體" w:cstheme="minorHAnsi"/>
        </w:rPr>
        <w:t>)</w:t>
      </w:r>
      <w:r w:rsidRPr="00CA1A43">
        <w:rPr>
          <w:rFonts w:eastAsia="標楷體" w:cstheme="minorHAnsi"/>
        </w:rPr>
        <w:t>，</w:t>
      </w:r>
      <w:r w:rsidRPr="00CA1A43">
        <w:rPr>
          <w:rFonts w:eastAsia="標楷體" w:cstheme="minorHAnsi"/>
        </w:rPr>
        <w:t>“</w:t>
      </w:r>
      <w:r w:rsidRPr="00CA1A43">
        <w:rPr>
          <w:rFonts w:eastAsia="標楷體" w:cstheme="minorHAnsi"/>
        </w:rPr>
        <w:t>新奇型</w:t>
      </w:r>
      <w:r w:rsidRPr="00CA1A43">
        <w:rPr>
          <w:rFonts w:eastAsia="標楷體" w:cstheme="minorHAnsi"/>
        </w:rPr>
        <w:t>”</w:t>
      </w:r>
      <w:r w:rsidRPr="00CA1A43">
        <w:rPr>
          <w:rFonts w:eastAsia="標楷體" w:cstheme="minorHAnsi"/>
        </w:rPr>
        <w:t>證券化產品</w:t>
      </w:r>
      <w:r w:rsidRPr="00CA1A43">
        <w:rPr>
          <w:rFonts w:eastAsia="標楷體" w:cstheme="minorHAnsi"/>
        </w:rPr>
        <w:t>(</w:t>
      </w:r>
      <w:r w:rsidRPr="00CA1A43">
        <w:rPr>
          <w:rFonts w:eastAsia="標楷體" w:cstheme="minorHAnsi"/>
        </w:rPr>
        <w:t>如：雙層擔保債務憑證</w:t>
      </w:r>
      <w:r w:rsidRPr="00CA1A43">
        <w:rPr>
          <w:rFonts w:eastAsia="標楷體" w:cstheme="minorHAnsi"/>
        </w:rPr>
        <w:t>(CDO-squared))</w:t>
      </w:r>
      <w:r w:rsidRPr="00CA1A43">
        <w:rPr>
          <w:rFonts w:eastAsia="標楷體" w:cstheme="minorHAnsi"/>
        </w:rPr>
        <w:t>之拆解不被允許。</w:t>
      </w:r>
    </w:p>
    <w:p w14:paraId="1CF84E66" w14:textId="77777777" w:rsidR="00A32398" w:rsidRPr="00CA1A43" w:rsidRDefault="00A32398" w:rsidP="00C642E4">
      <w:pPr>
        <w:pStyle w:val="a7"/>
        <w:numPr>
          <w:ilvl w:val="0"/>
          <w:numId w:val="169"/>
        </w:numPr>
        <w:spacing w:beforeLines="50" w:before="180"/>
        <w:ind w:leftChars="0"/>
        <w:jc w:val="both"/>
        <w:rPr>
          <w:rFonts w:eastAsia="標楷體" w:cstheme="minorHAnsi"/>
        </w:rPr>
      </w:pPr>
      <w:r w:rsidRPr="00CA1A43">
        <w:rPr>
          <w:rFonts w:eastAsia="標楷體" w:cstheme="minorHAnsi"/>
        </w:rPr>
        <w:t>針對指數型分</w:t>
      </w:r>
      <w:proofErr w:type="gramStart"/>
      <w:r w:rsidRPr="00CA1A43">
        <w:rPr>
          <w:rFonts w:eastAsia="標楷體" w:cstheme="minorHAnsi"/>
        </w:rPr>
        <w:t>券</w:t>
      </w:r>
      <w:proofErr w:type="gramEnd"/>
      <w:r w:rsidRPr="00CA1A43">
        <w:rPr>
          <w:rFonts w:eastAsia="標楷體" w:cstheme="minorHAnsi"/>
        </w:rPr>
        <w:t>及非分</w:t>
      </w:r>
      <w:proofErr w:type="gramStart"/>
      <w:r w:rsidRPr="00CA1A43">
        <w:rPr>
          <w:rFonts w:eastAsia="標楷體" w:cstheme="minorHAnsi"/>
        </w:rPr>
        <w:t>券</w:t>
      </w:r>
      <w:proofErr w:type="gramEnd"/>
      <w:r w:rsidRPr="00CA1A43">
        <w:rPr>
          <w:rFonts w:eastAsia="標楷體" w:cstheme="minorHAnsi"/>
        </w:rPr>
        <w:t>之指數長短部位，若</w:t>
      </w:r>
      <w:proofErr w:type="gramStart"/>
      <w:r w:rsidRPr="00CA1A43">
        <w:rPr>
          <w:rFonts w:eastAsia="標楷體" w:cstheme="minorHAnsi"/>
        </w:rPr>
        <w:t>其暴險</w:t>
      </w:r>
      <w:proofErr w:type="gramEnd"/>
      <w:r w:rsidRPr="00CA1A43">
        <w:rPr>
          <w:rFonts w:eastAsia="標楷體" w:cstheme="minorHAnsi"/>
        </w:rPr>
        <w:t>具有完全相同之指數序列，則可透過複製和拆解進行互抵</w:t>
      </w:r>
      <w:r w:rsidR="00786400" w:rsidRPr="00CA1A43">
        <w:rPr>
          <w:rStyle w:val="a5"/>
          <w:rFonts w:eastAsia="標楷體" w:cstheme="minorHAnsi"/>
        </w:rPr>
        <w:footnoteReference w:id="53"/>
      </w:r>
      <w:r w:rsidRPr="00CA1A43">
        <w:rPr>
          <w:rFonts w:eastAsia="標楷體" w:cstheme="minorHAnsi"/>
        </w:rPr>
        <w:t>。假如所有部位皆為完全相同指數與序列</w:t>
      </w:r>
      <w:r w:rsidRPr="00CA1A43">
        <w:rPr>
          <w:rFonts w:eastAsia="標楷體" w:cstheme="minorHAnsi"/>
        </w:rPr>
        <w:t>(</w:t>
      </w:r>
      <w:r w:rsidRPr="00CA1A43">
        <w:rPr>
          <w:rFonts w:eastAsia="標楷體" w:cstheme="minorHAnsi"/>
        </w:rPr>
        <w:t>如</w:t>
      </w:r>
      <w:r w:rsidRPr="00CA1A43">
        <w:rPr>
          <w:rFonts w:eastAsia="標楷體" w:cstheme="minorHAnsi"/>
        </w:rPr>
        <w:t xml:space="preserve"> CDX NA IG </w:t>
      </w:r>
      <w:r w:rsidRPr="00CA1A43">
        <w:rPr>
          <w:rFonts w:eastAsia="標楷體" w:cstheme="minorHAnsi"/>
        </w:rPr>
        <w:t>序列</w:t>
      </w:r>
      <w:r w:rsidRPr="00CA1A43">
        <w:rPr>
          <w:rFonts w:eastAsia="標楷體" w:cstheme="minorHAnsi"/>
        </w:rPr>
        <w:t>18)</w:t>
      </w:r>
      <w:r w:rsidRPr="00CA1A43">
        <w:rPr>
          <w:rFonts w:eastAsia="標楷體" w:cstheme="minorHAnsi"/>
        </w:rPr>
        <w:t>，在指</w:t>
      </w:r>
      <w:r w:rsidRPr="00CA1A43">
        <w:rPr>
          <w:rFonts w:eastAsia="標楷體" w:cstheme="minorHAnsi"/>
        </w:rPr>
        <w:lastRenderedPageBreak/>
        <w:t>數序列中</w:t>
      </w:r>
      <w:r w:rsidRPr="00CA1A43">
        <w:rPr>
          <w:rFonts w:eastAsia="標楷體" w:cstheme="minorHAnsi"/>
        </w:rPr>
        <w:t>(</w:t>
      </w:r>
      <w:r w:rsidRPr="00CA1A43">
        <w:rPr>
          <w:rFonts w:eastAsia="標楷體" w:cstheme="minorHAnsi"/>
        </w:rPr>
        <w:t>非分</w:t>
      </w:r>
      <w:proofErr w:type="gramStart"/>
      <w:r w:rsidRPr="00CA1A43">
        <w:rPr>
          <w:rFonts w:eastAsia="標楷體" w:cstheme="minorHAnsi"/>
        </w:rPr>
        <w:t>券</w:t>
      </w:r>
      <w:proofErr w:type="gramEnd"/>
      <w:r w:rsidRPr="00CA1A43">
        <w:rPr>
          <w:rFonts w:eastAsia="標楷體" w:cstheme="minorHAnsi"/>
        </w:rPr>
        <w:t>)</w:t>
      </w:r>
      <w:r w:rsidRPr="00CA1A43">
        <w:rPr>
          <w:rFonts w:eastAsia="標楷體" w:cstheme="minorHAnsi"/>
        </w:rPr>
        <w:t>可以被完美組合或複製部位之不同分</w:t>
      </w:r>
      <w:proofErr w:type="gramStart"/>
      <w:r w:rsidRPr="00CA1A43">
        <w:rPr>
          <w:rFonts w:eastAsia="標楷體" w:cstheme="minorHAnsi"/>
        </w:rPr>
        <w:t>券</w:t>
      </w:r>
      <w:proofErr w:type="gramEnd"/>
      <w:r w:rsidRPr="00CA1A43">
        <w:rPr>
          <w:rFonts w:eastAsia="標楷體" w:cstheme="minorHAnsi"/>
        </w:rPr>
        <w:t>的</w:t>
      </w:r>
      <w:proofErr w:type="gramStart"/>
      <w:r w:rsidRPr="00CA1A43">
        <w:rPr>
          <w:rFonts w:eastAsia="標楷體" w:cstheme="minorHAnsi"/>
        </w:rPr>
        <w:t>證券化暴險長</w:t>
      </w:r>
      <w:proofErr w:type="gramEnd"/>
      <w:r w:rsidRPr="00CA1A43">
        <w:rPr>
          <w:rFonts w:eastAsia="標楷體" w:cstheme="minorHAnsi"/>
        </w:rPr>
        <w:t>部位，可與其在指數序列中之</w:t>
      </w:r>
      <w:proofErr w:type="gramStart"/>
      <w:r w:rsidRPr="00CA1A43">
        <w:rPr>
          <w:rFonts w:eastAsia="標楷體" w:cstheme="minorHAnsi"/>
        </w:rPr>
        <w:t>證券化短</w:t>
      </w:r>
      <w:proofErr w:type="gramEnd"/>
      <w:r w:rsidRPr="00CA1A43">
        <w:rPr>
          <w:rFonts w:eastAsia="標楷體" w:cstheme="minorHAnsi"/>
        </w:rPr>
        <w:t>部位互抵。長短</w:t>
      </w:r>
      <w:proofErr w:type="gramStart"/>
      <w:r w:rsidRPr="00CA1A43">
        <w:rPr>
          <w:rFonts w:eastAsia="標楷體" w:cstheme="minorHAnsi"/>
        </w:rPr>
        <w:t>指數暴險部位</w:t>
      </w:r>
      <w:proofErr w:type="gramEnd"/>
      <w:r w:rsidRPr="00CA1A43">
        <w:rPr>
          <w:rFonts w:eastAsia="標楷體" w:cstheme="minorHAnsi"/>
        </w:rPr>
        <w:t>和由指數內單一名稱組成之部位也可透過拆解進行互抵</w:t>
      </w:r>
      <w:r w:rsidR="00786400" w:rsidRPr="00CA1A43">
        <w:rPr>
          <w:rStyle w:val="a5"/>
          <w:rFonts w:eastAsia="標楷體" w:cstheme="minorHAnsi"/>
        </w:rPr>
        <w:footnoteReference w:id="54"/>
      </w:r>
      <w:r w:rsidRPr="00CA1A43">
        <w:rPr>
          <w:rFonts w:eastAsia="標楷體" w:cstheme="minorHAnsi"/>
        </w:rPr>
        <w:t>。當無法完美複製時不允許進行互抵，除滿足下述指示：當證券化</w:t>
      </w:r>
      <w:proofErr w:type="gramStart"/>
      <w:r w:rsidRPr="00CA1A43">
        <w:rPr>
          <w:rFonts w:eastAsia="標楷體" w:cstheme="minorHAnsi"/>
        </w:rPr>
        <w:t>長短暴險除了</w:t>
      </w:r>
      <w:proofErr w:type="gramEnd"/>
      <w:r w:rsidRPr="00CA1A43">
        <w:rPr>
          <w:rFonts w:eastAsia="標楷體" w:cstheme="minorHAnsi"/>
        </w:rPr>
        <w:t>殘餘部位外，其餘皆相同時，則必需揭露該</w:t>
      </w:r>
      <w:proofErr w:type="gramStart"/>
      <w:r w:rsidRPr="00CA1A43">
        <w:rPr>
          <w:rFonts w:eastAsia="標楷體" w:cstheme="minorHAnsi"/>
        </w:rPr>
        <w:t>殘餘暴險部位</w:t>
      </w:r>
      <w:proofErr w:type="gramEnd"/>
      <w:r w:rsidRPr="00CA1A43">
        <w:rPr>
          <w:rFonts w:eastAsia="標楷體" w:cstheme="minorHAnsi"/>
        </w:rPr>
        <w:t>之淨額</w:t>
      </w:r>
      <w:r w:rsidR="00786400" w:rsidRPr="00CA1A43">
        <w:rPr>
          <w:rStyle w:val="a5"/>
          <w:rFonts w:eastAsia="標楷體" w:cstheme="minorHAnsi"/>
        </w:rPr>
        <w:footnoteReference w:id="55"/>
      </w:r>
      <w:r w:rsidRPr="00CA1A43">
        <w:rPr>
          <w:rFonts w:eastAsia="標楷體" w:cstheme="minorHAnsi"/>
        </w:rPr>
        <w:t>。</w:t>
      </w:r>
    </w:p>
    <w:p w14:paraId="7CE46303" w14:textId="77777777" w:rsidR="00A32398" w:rsidRPr="00CA1A43" w:rsidRDefault="00A32398" w:rsidP="00C642E4">
      <w:pPr>
        <w:pStyle w:val="a7"/>
        <w:numPr>
          <w:ilvl w:val="0"/>
          <w:numId w:val="169"/>
        </w:numPr>
        <w:spacing w:beforeLines="50" w:before="180"/>
        <w:ind w:leftChars="0"/>
        <w:jc w:val="both"/>
        <w:rPr>
          <w:rFonts w:eastAsia="標楷體" w:cstheme="minorHAnsi"/>
        </w:rPr>
      </w:pPr>
      <w:r w:rsidRPr="00CA1A43">
        <w:rPr>
          <w:rFonts w:eastAsia="標楷體" w:cstheme="minorHAnsi"/>
        </w:rPr>
        <w:t>相同指數或序列之不同分</w:t>
      </w:r>
      <w:proofErr w:type="gramStart"/>
      <w:r w:rsidRPr="00CA1A43">
        <w:rPr>
          <w:rFonts w:eastAsia="標楷體" w:cstheme="minorHAnsi"/>
        </w:rPr>
        <w:t>券</w:t>
      </w:r>
      <w:proofErr w:type="gramEnd"/>
      <w:r w:rsidRPr="00CA1A43">
        <w:rPr>
          <w:rFonts w:eastAsia="標楷體" w:cstheme="minorHAnsi"/>
        </w:rPr>
        <w:t>、相同指數之不同序列及不同指數無法進行互抵。</w:t>
      </w:r>
    </w:p>
    <w:p w14:paraId="60B760A0" w14:textId="77777777" w:rsidR="00A32398" w:rsidRPr="00CA1A43" w:rsidRDefault="00A5041D" w:rsidP="00C642E4">
      <w:pPr>
        <w:pStyle w:val="a7"/>
        <w:numPr>
          <w:ilvl w:val="0"/>
          <w:numId w:val="168"/>
        </w:numPr>
        <w:spacing w:beforeLines="50" w:before="180"/>
        <w:ind w:leftChars="0" w:left="964" w:hanging="482"/>
        <w:jc w:val="both"/>
        <w:rPr>
          <w:rFonts w:eastAsia="標楷體" w:cstheme="minorHAnsi"/>
        </w:rPr>
      </w:pPr>
      <w:r w:rsidRPr="00CA1A43">
        <w:rPr>
          <w:rFonts w:eastAsia="標楷體" w:cstheme="minorHAnsi"/>
        </w:rPr>
        <w:t>計算證券化</w:t>
      </w:r>
      <w:r w:rsidRPr="00CA1A43">
        <w:rPr>
          <w:rFonts w:eastAsia="標楷體" w:cstheme="minorHAnsi"/>
        </w:rPr>
        <w:t>(</w:t>
      </w:r>
      <w:r w:rsidRPr="00CA1A43">
        <w:rPr>
          <w:rFonts w:eastAsia="標楷體" w:cstheme="minorHAnsi"/>
        </w:rPr>
        <w:t>相關性交易組合</w:t>
      </w:r>
      <w:r w:rsidRPr="00CA1A43">
        <w:rPr>
          <w:rFonts w:eastAsia="標楷體" w:cstheme="minorHAnsi"/>
        </w:rPr>
        <w:t>,CTP)</w:t>
      </w:r>
      <w:r w:rsidRPr="00CA1A43">
        <w:rPr>
          <w:rFonts w:eastAsia="標楷體" w:cstheme="minorHAnsi"/>
        </w:rPr>
        <w:t>之違約風險資本要求</w:t>
      </w:r>
    </w:p>
    <w:p w14:paraId="7602C1BF" w14:textId="77777777" w:rsidR="00A32398" w:rsidRPr="00CA1A43" w:rsidRDefault="00A5041D" w:rsidP="00C642E4">
      <w:pPr>
        <w:pStyle w:val="a7"/>
        <w:numPr>
          <w:ilvl w:val="0"/>
          <w:numId w:val="171"/>
        </w:numPr>
        <w:spacing w:beforeLines="50" w:before="180"/>
        <w:ind w:leftChars="0" w:left="1446" w:hanging="482"/>
        <w:jc w:val="both"/>
        <w:rPr>
          <w:rFonts w:eastAsia="標楷體" w:cstheme="minorHAnsi"/>
        </w:rPr>
      </w:pPr>
      <w:r w:rsidRPr="00CA1A43">
        <w:rPr>
          <w:rFonts w:eastAsia="標楷體" w:cstheme="minorHAnsi"/>
        </w:rPr>
        <w:t>針對證券化</w:t>
      </w:r>
      <w:r w:rsidRPr="00CA1A43">
        <w:rPr>
          <w:rFonts w:eastAsia="標楷體" w:cstheme="minorHAnsi"/>
        </w:rPr>
        <w:t>(CTP)</w:t>
      </w:r>
      <w:r w:rsidRPr="00CA1A43">
        <w:rPr>
          <w:rFonts w:eastAsia="標楷體" w:cstheme="minorHAnsi"/>
        </w:rPr>
        <w:t>之違約風險，每</w:t>
      </w:r>
      <w:proofErr w:type="gramStart"/>
      <w:r w:rsidRPr="00CA1A43">
        <w:rPr>
          <w:rFonts w:eastAsia="標楷體" w:cstheme="minorHAnsi"/>
        </w:rPr>
        <w:t>個</w:t>
      </w:r>
      <w:proofErr w:type="gramEnd"/>
      <w:r w:rsidRPr="00CA1A43">
        <w:rPr>
          <w:rFonts w:eastAsia="標楷體" w:cstheme="minorHAnsi"/>
        </w:rPr>
        <w:t>指數皆被視為一組別。指數清單包含但不限於：</w:t>
      </w:r>
      <w:r w:rsidRPr="00CA1A43">
        <w:rPr>
          <w:rFonts w:eastAsia="標楷體" w:cstheme="minorHAnsi"/>
        </w:rPr>
        <w:t xml:space="preserve">CDX North America IG, </w:t>
      </w:r>
      <w:proofErr w:type="spellStart"/>
      <w:r w:rsidRPr="00CA1A43">
        <w:rPr>
          <w:rFonts w:eastAsia="標楷體" w:cstheme="minorHAnsi"/>
        </w:rPr>
        <w:t>iTraxx</w:t>
      </w:r>
      <w:proofErr w:type="spellEnd"/>
      <w:r w:rsidRPr="00CA1A43">
        <w:rPr>
          <w:rFonts w:eastAsia="標楷體" w:cstheme="minorHAnsi"/>
        </w:rPr>
        <w:t xml:space="preserve"> Europe IG, CDX HY, </w:t>
      </w:r>
      <w:proofErr w:type="spellStart"/>
      <w:r w:rsidRPr="00CA1A43">
        <w:rPr>
          <w:rFonts w:eastAsia="標楷體" w:cstheme="minorHAnsi"/>
        </w:rPr>
        <w:t>iTraxx</w:t>
      </w:r>
      <w:proofErr w:type="spellEnd"/>
      <w:r w:rsidRPr="00CA1A43">
        <w:rPr>
          <w:rFonts w:eastAsia="標楷體" w:cstheme="minorHAnsi"/>
        </w:rPr>
        <w:t xml:space="preserve"> XO, LCDX (</w:t>
      </w:r>
      <w:r w:rsidRPr="00CA1A43">
        <w:rPr>
          <w:rFonts w:eastAsia="標楷體" w:cstheme="minorHAnsi"/>
        </w:rPr>
        <w:t>貸款指數</w:t>
      </w:r>
      <w:r w:rsidRPr="00CA1A43">
        <w:rPr>
          <w:rFonts w:eastAsia="標楷體" w:cstheme="minorHAnsi"/>
        </w:rPr>
        <w:t xml:space="preserve">), </w:t>
      </w:r>
      <w:proofErr w:type="spellStart"/>
      <w:r w:rsidRPr="00CA1A43">
        <w:rPr>
          <w:rFonts w:eastAsia="標楷體" w:cstheme="minorHAnsi"/>
        </w:rPr>
        <w:t>iTraxx</w:t>
      </w:r>
      <w:proofErr w:type="spellEnd"/>
      <w:r w:rsidRPr="00CA1A43">
        <w:rPr>
          <w:rFonts w:eastAsia="標楷體" w:cstheme="minorHAnsi"/>
        </w:rPr>
        <w:t xml:space="preserve"> </w:t>
      </w:r>
      <w:proofErr w:type="spellStart"/>
      <w:r w:rsidRPr="00CA1A43">
        <w:rPr>
          <w:rFonts w:eastAsia="標楷體" w:cstheme="minorHAnsi"/>
        </w:rPr>
        <w:t>LevX</w:t>
      </w:r>
      <w:proofErr w:type="spellEnd"/>
      <w:r w:rsidRPr="00CA1A43">
        <w:rPr>
          <w:rFonts w:eastAsia="標楷體" w:cstheme="minorHAnsi"/>
        </w:rPr>
        <w:t xml:space="preserve"> (</w:t>
      </w:r>
      <w:r w:rsidRPr="00CA1A43">
        <w:rPr>
          <w:rFonts w:eastAsia="標楷體" w:cstheme="minorHAnsi"/>
        </w:rPr>
        <w:t>貸款指數</w:t>
      </w:r>
      <w:r w:rsidRPr="00CA1A43">
        <w:rPr>
          <w:rFonts w:eastAsia="標楷體" w:cstheme="minorHAnsi"/>
        </w:rPr>
        <w:t xml:space="preserve">), Asia Corp, Latin America Corp, Other Regions Corp, Major Sovereign (G7 and Western Europe), </w:t>
      </w:r>
      <w:r w:rsidRPr="00CA1A43">
        <w:rPr>
          <w:rFonts w:eastAsia="標楷體" w:cstheme="minorHAnsi"/>
        </w:rPr>
        <w:t>其他主權。</w:t>
      </w:r>
    </w:p>
    <w:p w14:paraId="62CFC49B" w14:textId="77777777" w:rsidR="00C815AA" w:rsidRPr="00CA1A43" w:rsidRDefault="00A5041D" w:rsidP="00C642E4">
      <w:pPr>
        <w:pStyle w:val="a7"/>
        <w:numPr>
          <w:ilvl w:val="0"/>
          <w:numId w:val="171"/>
        </w:numPr>
        <w:spacing w:beforeLines="50" w:before="180"/>
        <w:ind w:leftChars="0" w:left="1446" w:hanging="482"/>
        <w:jc w:val="both"/>
        <w:rPr>
          <w:rFonts w:eastAsia="標楷體" w:cstheme="minorHAnsi"/>
        </w:rPr>
      </w:pPr>
      <w:r w:rsidRPr="00CA1A43">
        <w:rPr>
          <w:rFonts w:eastAsia="標楷體" w:cstheme="minorHAnsi"/>
        </w:rPr>
        <w:t>客製的</w:t>
      </w:r>
      <w:proofErr w:type="gramStart"/>
      <w:r w:rsidRPr="00CA1A43">
        <w:rPr>
          <w:rFonts w:eastAsia="標楷體" w:cstheme="minorHAnsi"/>
        </w:rPr>
        <w:t>證券化暴險</w:t>
      </w:r>
      <w:proofErr w:type="gramEnd"/>
      <w:r w:rsidRPr="00CA1A43">
        <w:rPr>
          <w:rFonts w:eastAsia="標楷體" w:cstheme="minorHAnsi"/>
        </w:rPr>
        <w:t>，應分配到其客製分</w:t>
      </w:r>
      <w:proofErr w:type="gramStart"/>
      <w:r w:rsidRPr="00CA1A43">
        <w:rPr>
          <w:rFonts w:eastAsia="標楷體" w:cstheme="minorHAnsi"/>
        </w:rPr>
        <w:t>券</w:t>
      </w:r>
      <w:proofErr w:type="gramEnd"/>
      <w:r w:rsidRPr="00CA1A43">
        <w:rPr>
          <w:rFonts w:eastAsia="標楷體" w:cstheme="minorHAnsi"/>
        </w:rPr>
        <w:t>指數之組別。例如</w:t>
      </w:r>
      <w:proofErr w:type="gramStart"/>
      <w:r w:rsidRPr="00CA1A43">
        <w:rPr>
          <w:rFonts w:eastAsia="標楷體" w:cstheme="minorHAnsi"/>
        </w:rPr>
        <w:t>一</w:t>
      </w:r>
      <w:proofErr w:type="gramEnd"/>
      <w:r w:rsidRPr="00CA1A43">
        <w:rPr>
          <w:rFonts w:eastAsia="標楷體" w:cstheme="minorHAnsi"/>
        </w:rPr>
        <w:t>特定指數之客製分</w:t>
      </w:r>
      <w:proofErr w:type="gramStart"/>
      <w:r w:rsidRPr="00CA1A43">
        <w:rPr>
          <w:rFonts w:eastAsia="標楷體" w:cstheme="minorHAnsi"/>
        </w:rPr>
        <w:t>券</w:t>
      </w:r>
      <w:proofErr w:type="gramEnd"/>
      <w:r w:rsidRPr="00CA1A43">
        <w:rPr>
          <w:rFonts w:eastAsia="標楷體" w:cstheme="minorHAnsi"/>
        </w:rPr>
        <w:t>5%-8%</w:t>
      </w:r>
      <w:r w:rsidRPr="00CA1A43">
        <w:rPr>
          <w:rFonts w:eastAsia="標楷體" w:cstheme="minorHAnsi"/>
        </w:rPr>
        <w:t>，應被分配到該指數之組別中。</w:t>
      </w:r>
    </w:p>
    <w:p w14:paraId="57B650D7" w14:textId="4C08B77B" w:rsidR="00C815AA" w:rsidRPr="00CA1A43" w:rsidRDefault="00A5041D" w:rsidP="00C642E4">
      <w:pPr>
        <w:pStyle w:val="a7"/>
        <w:numPr>
          <w:ilvl w:val="0"/>
          <w:numId w:val="171"/>
        </w:numPr>
        <w:spacing w:beforeLines="50" w:before="180"/>
        <w:ind w:leftChars="0" w:left="1446" w:hanging="482"/>
        <w:jc w:val="both"/>
        <w:rPr>
          <w:rFonts w:eastAsia="標楷體" w:cstheme="minorHAnsi"/>
        </w:rPr>
      </w:pPr>
      <w:r w:rsidRPr="00CA1A43">
        <w:rPr>
          <w:rFonts w:eastAsia="標楷體" w:cstheme="minorHAnsi"/>
        </w:rPr>
        <w:t>依據</w:t>
      </w:r>
      <w:r w:rsidR="00BD2FB5" w:rsidRPr="00F23548">
        <w:rPr>
          <w:rFonts w:eastAsia="標楷體" w:cstheme="minorHAnsi" w:hint="eastAsia"/>
        </w:rPr>
        <w:t>第三部分證券化</w:t>
      </w:r>
      <w:r w:rsidRPr="00CA1A43">
        <w:rPr>
          <w:rFonts w:eastAsia="標楷體" w:cstheme="minorHAnsi"/>
        </w:rPr>
        <w:t>，證券化分</w:t>
      </w:r>
      <w:proofErr w:type="gramStart"/>
      <w:r w:rsidRPr="00CA1A43">
        <w:rPr>
          <w:rFonts w:eastAsia="標楷體" w:cstheme="minorHAnsi"/>
        </w:rPr>
        <w:t>券</w:t>
      </w:r>
      <w:proofErr w:type="gramEnd"/>
      <w:r w:rsidRPr="00CA1A43">
        <w:rPr>
          <w:rFonts w:eastAsia="標楷體" w:cstheme="minorHAnsi"/>
        </w:rPr>
        <w:t>違約風險權數適用於對應的銀行</w:t>
      </w:r>
      <w:proofErr w:type="gramStart"/>
      <w:r w:rsidRPr="00CA1A43">
        <w:rPr>
          <w:rFonts w:eastAsia="標楷體" w:cstheme="minorHAnsi"/>
        </w:rPr>
        <w:t>簿</w:t>
      </w:r>
      <w:proofErr w:type="gramEnd"/>
      <w:r w:rsidR="009653EE" w:rsidRPr="00463407">
        <w:rPr>
          <w:rFonts w:eastAsia="標楷體" w:cstheme="minorHAnsi"/>
        </w:rPr>
        <w:t>工具</w:t>
      </w:r>
      <w:r w:rsidRPr="00CA1A43">
        <w:rPr>
          <w:rFonts w:eastAsia="標楷體" w:cstheme="minorHAnsi"/>
        </w:rPr>
        <w:t>。因信用評等移轉風險已納入交易</w:t>
      </w:r>
      <w:proofErr w:type="gramStart"/>
      <w:r w:rsidRPr="00CA1A43">
        <w:rPr>
          <w:rFonts w:eastAsia="標楷體" w:cstheme="minorHAnsi"/>
        </w:rPr>
        <w:t>簿</w:t>
      </w:r>
      <w:proofErr w:type="gramEnd"/>
      <w:r w:rsidRPr="00CA1A43">
        <w:rPr>
          <w:rFonts w:eastAsia="標楷體" w:cstheme="minorHAnsi"/>
        </w:rPr>
        <w:t>信用價差資本計提中，調整的資本要求，為避免於銀行</w:t>
      </w:r>
      <w:proofErr w:type="gramStart"/>
      <w:r w:rsidRPr="00CA1A43">
        <w:rPr>
          <w:rFonts w:eastAsia="標楷體" w:cstheme="minorHAnsi"/>
        </w:rPr>
        <w:t>簿</w:t>
      </w:r>
      <w:proofErr w:type="gramEnd"/>
      <w:r w:rsidRPr="00CA1A43">
        <w:rPr>
          <w:rFonts w:eastAsia="標楷體" w:cstheme="minorHAnsi"/>
        </w:rPr>
        <w:t>到期日調整造成風險重覆計提，銀行</w:t>
      </w:r>
      <w:proofErr w:type="gramStart"/>
      <w:r w:rsidRPr="00CA1A43">
        <w:rPr>
          <w:rFonts w:eastAsia="標楷體" w:cstheme="minorHAnsi"/>
        </w:rPr>
        <w:t>簿</w:t>
      </w:r>
      <w:proofErr w:type="gramEnd"/>
      <w:r w:rsidRPr="00CA1A43">
        <w:rPr>
          <w:rFonts w:eastAsia="標楷體" w:cstheme="minorHAnsi"/>
        </w:rPr>
        <w:t>證券化架構中到期日參數應被設定為零，意即假設到期日為一年。</w:t>
      </w:r>
    </w:p>
    <w:p w14:paraId="08481C7A" w14:textId="77777777" w:rsidR="00A5041D" w:rsidRPr="00CA1A43" w:rsidRDefault="00A5041D" w:rsidP="00C642E4">
      <w:pPr>
        <w:pStyle w:val="a7"/>
        <w:numPr>
          <w:ilvl w:val="0"/>
          <w:numId w:val="171"/>
        </w:numPr>
        <w:spacing w:beforeLines="50" w:before="180"/>
        <w:ind w:leftChars="0" w:left="1446" w:hanging="482"/>
        <w:jc w:val="both"/>
        <w:rPr>
          <w:rFonts w:eastAsia="標楷體" w:cstheme="minorHAnsi"/>
        </w:rPr>
      </w:pPr>
      <w:r w:rsidRPr="00CA1A43">
        <w:rPr>
          <w:rFonts w:eastAsia="標楷體" w:cstheme="minorHAnsi"/>
        </w:rPr>
        <w:t>針對非分</w:t>
      </w:r>
      <w:proofErr w:type="gramStart"/>
      <w:r w:rsidRPr="00CA1A43">
        <w:rPr>
          <w:rFonts w:eastAsia="標楷體" w:cstheme="minorHAnsi"/>
        </w:rPr>
        <w:t>券</w:t>
      </w:r>
      <w:proofErr w:type="gramEnd"/>
      <w:r w:rsidRPr="00CA1A43">
        <w:rPr>
          <w:rFonts w:eastAsia="標楷體" w:cstheme="minorHAnsi"/>
        </w:rPr>
        <w:t>產品，其風險權數同非證券化之規定。針對分</w:t>
      </w:r>
      <w:proofErr w:type="gramStart"/>
      <w:r w:rsidRPr="00CA1A43">
        <w:rPr>
          <w:rFonts w:eastAsia="標楷體" w:cstheme="minorHAnsi"/>
        </w:rPr>
        <w:t>券</w:t>
      </w:r>
      <w:proofErr w:type="gramEnd"/>
      <w:r w:rsidRPr="00CA1A43">
        <w:rPr>
          <w:rFonts w:eastAsia="標楷體" w:cstheme="minorHAnsi"/>
        </w:rPr>
        <w:t>產品，銀行必須使用銀行簿之風險權數。</w:t>
      </w:r>
    </w:p>
    <w:p w14:paraId="51793C07" w14:textId="77777777" w:rsidR="003F2CCF" w:rsidRPr="00CA1A43" w:rsidRDefault="003F2CCF" w:rsidP="00C642E4">
      <w:pPr>
        <w:pStyle w:val="a7"/>
        <w:numPr>
          <w:ilvl w:val="0"/>
          <w:numId w:val="171"/>
        </w:numPr>
        <w:spacing w:beforeLines="50" w:before="180"/>
        <w:ind w:leftChars="0" w:left="1446" w:hanging="482"/>
        <w:jc w:val="both"/>
        <w:rPr>
          <w:rFonts w:eastAsia="標楷體" w:cstheme="minorHAnsi"/>
        </w:rPr>
      </w:pPr>
      <w:r w:rsidRPr="00CA1A43">
        <w:rPr>
          <w:rFonts w:eastAsia="標楷體" w:cstheme="minorHAnsi"/>
        </w:rPr>
        <w:t>在指數層級下之</w:t>
      </w:r>
      <w:proofErr w:type="gramStart"/>
      <w:r w:rsidRPr="00CA1A43">
        <w:rPr>
          <w:rFonts w:eastAsia="標楷體" w:cstheme="minorHAnsi"/>
        </w:rPr>
        <w:t>組別內</w:t>
      </w:r>
      <w:proofErr w:type="gramEnd"/>
      <w:r w:rsidRPr="00CA1A43">
        <w:rPr>
          <w:rFonts w:eastAsia="標楷體" w:cstheme="minorHAnsi"/>
        </w:rPr>
        <w:t>(</w:t>
      </w:r>
      <w:r w:rsidRPr="00CA1A43">
        <w:rPr>
          <w:rFonts w:eastAsia="標楷體" w:cstheme="minorHAnsi"/>
        </w:rPr>
        <w:t>即各指數</w:t>
      </w:r>
      <w:r w:rsidRPr="00CA1A43">
        <w:rPr>
          <w:rFonts w:eastAsia="標楷體" w:cstheme="minorHAnsi"/>
        </w:rPr>
        <w:t>)</w:t>
      </w:r>
      <w:r w:rsidRPr="00CA1A43">
        <w:rPr>
          <w:rFonts w:eastAsia="標楷體" w:cstheme="minorHAnsi"/>
        </w:rPr>
        <w:t>，決定證券化</w:t>
      </w:r>
      <w:r w:rsidRPr="00CA1A43">
        <w:rPr>
          <w:rFonts w:eastAsia="標楷體" w:cstheme="minorHAnsi"/>
        </w:rPr>
        <w:t>(CTP)</w:t>
      </w:r>
      <w:r w:rsidRPr="00CA1A43">
        <w:rPr>
          <w:rFonts w:eastAsia="標楷體" w:cstheme="minorHAnsi"/>
        </w:rPr>
        <w:t>違約風險資本要求之方式如同非證券化之違約風險資本要求。</w:t>
      </w:r>
    </w:p>
    <w:p w14:paraId="3300ABDD" w14:textId="77777777" w:rsidR="003F2CCF" w:rsidRPr="00CA1A43" w:rsidRDefault="003F2CCF" w:rsidP="00C642E4">
      <w:pPr>
        <w:pStyle w:val="a7"/>
        <w:numPr>
          <w:ilvl w:val="0"/>
          <w:numId w:val="172"/>
        </w:numPr>
        <w:spacing w:beforeLines="50" w:before="180"/>
        <w:ind w:leftChars="0"/>
        <w:jc w:val="both"/>
        <w:rPr>
          <w:rFonts w:eastAsia="標楷體" w:cstheme="minorHAnsi"/>
        </w:rPr>
      </w:pPr>
      <w:proofErr w:type="gramStart"/>
      <w:r w:rsidRPr="00CA1A43">
        <w:rPr>
          <w:rFonts w:eastAsia="標楷體" w:cstheme="minorHAnsi"/>
        </w:rPr>
        <w:t>第三大點第</w:t>
      </w:r>
      <w:proofErr w:type="gramEnd"/>
      <w:r w:rsidRPr="00CA1A43">
        <w:rPr>
          <w:rFonts w:eastAsia="標楷體" w:cstheme="minorHAnsi"/>
        </w:rPr>
        <w:t>(</w:t>
      </w:r>
      <w:r w:rsidRPr="00CA1A43">
        <w:rPr>
          <w:rFonts w:eastAsia="標楷體" w:cstheme="minorHAnsi"/>
        </w:rPr>
        <w:t>四</w:t>
      </w:r>
      <w:r w:rsidRPr="00CA1A43">
        <w:rPr>
          <w:rFonts w:eastAsia="標楷體" w:cstheme="minorHAnsi"/>
        </w:rPr>
        <w:t>)</w:t>
      </w:r>
      <w:r w:rsidRPr="00CA1A43">
        <w:rPr>
          <w:rFonts w:eastAsia="標楷體" w:cstheme="minorHAnsi"/>
        </w:rPr>
        <w:t>點第</w:t>
      </w:r>
      <w:r w:rsidRPr="00CA1A43">
        <w:rPr>
          <w:rFonts w:eastAsia="標楷體" w:cstheme="minorHAnsi"/>
        </w:rPr>
        <w:t>3.(2)</w:t>
      </w:r>
      <w:r w:rsidRPr="00CA1A43">
        <w:rPr>
          <w:rFonts w:eastAsia="標楷體" w:cstheme="minorHAnsi"/>
        </w:rPr>
        <w:t>項所定義之避險效益比率</w:t>
      </w:r>
      <w:r w:rsidRPr="00CA1A43">
        <w:rPr>
          <w:rFonts w:eastAsia="標楷體" w:cstheme="minorHAnsi"/>
        </w:rPr>
        <w:t>HBR</w:t>
      </w:r>
      <w:r w:rsidRPr="00CA1A43">
        <w:rPr>
          <w:rFonts w:eastAsia="標楷體" w:cstheme="minorHAnsi"/>
        </w:rPr>
        <w:t>被修正並應用到下列公式所示之各組</w:t>
      </w:r>
      <w:proofErr w:type="gramStart"/>
      <w:r w:rsidRPr="00CA1A43">
        <w:rPr>
          <w:rFonts w:eastAsia="標楷體" w:cstheme="minorHAnsi"/>
        </w:rPr>
        <w:t>別淨短</w:t>
      </w:r>
      <w:proofErr w:type="gramEnd"/>
      <w:r w:rsidRPr="00CA1A43">
        <w:rPr>
          <w:rFonts w:eastAsia="標楷體" w:cstheme="minorHAnsi"/>
        </w:rPr>
        <w:t>部位，其中，對於</w:t>
      </w:r>
      <w:proofErr w:type="spellStart"/>
      <w:r w:rsidRPr="00CA1A43">
        <w:rPr>
          <w:rFonts w:eastAsia="標楷體" w:cstheme="minorHAnsi"/>
        </w:rPr>
        <w:t>HBR</w:t>
      </w:r>
      <w:r w:rsidRPr="00CA1A43">
        <w:rPr>
          <w:rFonts w:eastAsia="標楷體" w:cstheme="minorHAnsi"/>
          <w:vertAlign w:val="subscript"/>
        </w:rPr>
        <w:t>ctp</w:t>
      </w:r>
      <w:proofErr w:type="spellEnd"/>
      <w:r w:rsidRPr="00CA1A43">
        <w:rPr>
          <w:rFonts w:eastAsia="標楷體" w:cstheme="minorHAnsi"/>
        </w:rPr>
        <w:t>的下標</w:t>
      </w:r>
      <w:proofErr w:type="spellStart"/>
      <w:r w:rsidRPr="00CA1A43">
        <w:rPr>
          <w:rFonts w:eastAsia="標楷體" w:cstheme="minorHAnsi"/>
        </w:rPr>
        <w:t>ctp</w:t>
      </w:r>
      <w:proofErr w:type="spellEnd"/>
      <w:r w:rsidRPr="00CA1A43">
        <w:rPr>
          <w:rFonts w:eastAsia="標楷體" w:cstheme="minorHAnsi"/>
        </w:rPr>
        <w:t>代表跨整個</w:t>
      </w:r>
      <w:r w:rsidRPr="00CA1A43">
        <w:rPr>
          <w:rFonts w:eastAsia="標楷體" w:cstheme="minorHAnsi"/>
        </w:rPr>
        <w:t>CTP</w:t>
      </w:r>
      <w:r w:rsidRPr="00CA1A43">
        <w:rPr>
          <w:rFonts w:eastAsia="標楷體" w:cstheme="minorHAnsi"/>
        </w:rPr>
        <w:t>下之</w:t>
      </w:r>
      <w:proofErr w:type="gramStart"/>
      <w:r w:rsidRPr="00CA1A43">
        <w:rPr>
          <w:rFonts w:eastAsia="標楷體" w:cstheme="minorHAnsi"/>
        </w:rPr>
        <w:t>長短暴險部位</w:t>
      </w:r>
      <w:proofErr w:type="gramEnd"/>
      <w:r w:rsidRPr="00CA1A43">
        <w:rPr>
          <w:rFonts w:eastAsia="標楷體" w:cstheme="minorHAnsi"/>
        </w:rPr>
        <w:t>所計算之避險效益比率</w:t>
      </w:r>
      <w:r w:rsidRPr="00CA1A43">
        <w:rPr>
          <w:rFonts w:eastAsia="標楷體" w:cstheme="minorHAnsi"/>
        </w:rPr>
        <w:t>(</w:t>
      </w:r>
      <w:r w:rsidRPr="00CA1A43">
        <w:rPr>
          <w:rFonts w:eastAsia="標楷體" w:cstheme="minorHAnsi"/>
        </w:rPr>
        <w:t>而不是只使用特定組別</w:t>
      </w:r>
      <w:proofErr w:type="gramStart"/>
      <w:r w:rsidRPr="00CA1A43">
        <w:rPr>
          <w:rFonts w:eastAsia="標楷體" w:cstheme="minorHAnsi"/>
        </w:rPr>
        <w:t>之</w:t>
      </w:r>
      <w:proofErr w:type="gramEnd"/>
      <w:r w:rsidRPr="00CA1A43">
        <w:rPr>
          <w:rFonts w:eastAsia="標楷體" w:cstheme="minorHAnsi"/>
        </w:rPr>
        <w:t>長部位及短部位</w:t>
      </w:r>
      <w:r w:rsidRPr="00CA1A43">
        <w:rPr>
          <w:rFonts w:eastAsia="標楷體" w:cstheme="minorHAnsi"/>
        </w:rPr>
        <w:t>)</w:t>
      </w:r>
      <w:r w:rsidRPr="00CA1A43">
        <w:rPr>
          <w:rFonts w:eastAsia="標楷體" w:cstheme="minorHAnsi"/>
        </w:rPr>
        <w:t>。此公式中各風險加權之加總金額包含所有指數相關</w:t>
      </w:r>
      <w:proofErr w:type="gramStart"/>
      <w:r w:rsidRPr="00CA1A43">
        <w:rPr>
          <w:rFonts w:eastAsia="標楷體" w:cstheme="minorHAnsi"/>
        </w:rPr>
        <w:t>之暴險</w:t>
      </w:r>
      <w:proofErr w:type="gramEnd"/>
      <w:r w:rsidRPr="00CA1A43">
        <w:rPr>
          <w:rFonts w:eastAsia="標楷體" w:cstheme="minorHAnsi"/>
        </w:rPr>
        <w:t>(</w:t>
      </w:r>
      <w:r w:rsidRPr="00CA1A43">
        <w:rPr>
          <w:rFonts w:eastAsia="標楷體" w:cstheme="minorHAnsi"/>
        </w:rPr>
        <w:t>即指</w:t>
      </w:r>
      <w:r w:rsidRPr="00CA1A43">
        <w:rPr>
          <w:rFonts w:eastAsia="標楷體" w:cstheme="minorHAnsi"/>
        </w:rPr>
        <w:lastRenderedPageBreak/>
        <w:t>數分</w:t>
      </w:r>
      <w:proofErr w:type="gramStart"/>
      <w:r w:rsidRPr="00CA1A43">
        <w:rPr>
          <w:rFonts w:eastAsia="標楷體" w:cstheme="minorHAnsi"/>
        </w:rPr>
        <w:t>券</w:t>
      </w:r>
      <w:proofErr w:type="gramEnd"/>
      <w:r w:rsidRPr="00CA1A43">
        <w:rPr>
          <w:rFonts w:eastAsia="標楷體" w:cstheme="minorHAnsi"/>
        </w:rPr>
        <w:t>，客製化，非分</w:t>
      </w:r>
      <w:proofErr w:type="gramStart"/>
      <w:r w:rsidRPr="00CA1A43">
        <w:rPr>
          <w:rFonts w:eastAsia="標楷體" w:cstheme="minorHAnsi"/>
        </w:rPr>
        <w:t>券</w:t>
      </w:r>
      <w:proofErr w:type="gramEnd"/>
      <w:r w:rsidRPr="00CA1A43">
        <w:rPr>
          <w:rFonts w:eastAsia="標楷體" w:cstheme="minorHAnsi"/>
        </w:rPr>
        <w:t>指數，或單一名稱</w:t>
      </w:r>
      <w:r w:rsidRPr="00CA1A43">
        <w:rPr>
          <w:rFonts w:eastAsia="標楷體" w:cstheme="minorHAnsi"/>
        </w:rPr>
        <w:t>)</w:t>
      </w:r>
      <w:r w:rsidRPr="00CA1A43">
        <w:rPr>
          <w:rFonts w:eastAsia="標楷體" w:cstheme="minorHAnsi"/>
        </w:rPr>
        <w:t>。</w:t>
      </w:r>
    </w:p>
    <w:p w14:paraId="3BCE1686" w14:textId="77777777" w:rsidR="003F2CCF" w:rsidRPr="00CA1A43" w:rsidRDefault="003F2CCF" w:rsidP="00C642E4">
      <w:pPr>
        <w:pStyle w:val="a7"/>
        <w:numPr>
          <w:ilvl w:val="0"/>
          <w:numId w:val="172"/>
        </w:numPr>
        <w:spacing w:beforeLines="50" w:before="180"/>
        <w:ind w:leftChars="0"/>
        <w:jc w:val="both"/>
        <w:rPr>
          <w:rFonts w:eastAsia="標楷體" w:cstheme="minorHAnsi"/>
        </w:rPr>
      </w:pPr>
      <w:r w:rsidRPr="00CA1A43">
        <w:rPr>
          <w:rFonts w:eastAsia="標楷體" w:cstheme="minorHAnsi"/>
        </w:rPr>
        <w:t>各組別違約風險資本計提</w:t>
      </w:r>
      <w:r w:rsidRPr="00CA1A43">
        <w:rPr>
          <w:rFonts w:eastAsia="標楷體" w:cstheme="minorHAnsi"/>
        </w:rPr>
        <w:t>(</w:t>
      </w:r>
      <w:proofErr w:type="spellStart"/>
      <w:r w:rsidRPr="00CA1A43">
        <w:rPr>
          <w:rFonts w:eastAsia="標楷體" w:cstheme="minorHAnsi"/>
        </w:rPr>
        <w:t>DRC</w:t>
      </w:r>
      <w:r w:rsidRPr="00CA1A43">
        <w:rPr>
          <w:rFonts w:eastAsia="標楷體" w:cstheme="minorHAnsi"/>
          <w:vertAlign w:val="subscript"/>
        </w:rPr>
        <w:t>b</w:t>
      </w:r>
      <w:proofErr w:type="spellEnd"/>
      <w:r w:rsidRPr="00CA1A43">
        <w:rPr>
          <w:rFonts w:eastAsia="標楷體" w:cstheme="minorHAnsi"/>
        </w:rPr>
        <w:t>)</w:t>
      </w:r>
      <w:r w:rsidRPr="00CA1A43">
        <w:rPr>
          <w:rFonts w:eastAsia="標楷體" w:cstheme="minorHAnsi"/>
        </w:rPr>
        <w:t>並無下限為零之假設，此與非證券化資本計提方式不同，故各指數下違約風險資本要求</w:t>
      </w:r>
      <w:r w:rsidRPr="00CA1A43">
        <w:rPr>
          <w:rFonts w:eastAsia="標楷體" w:cstheme="minorHAnsi"/>
        </w:rPr>
        <w:t>(</w:t>
      </w:r>
      <w:proofErr w:type="spellStart"/>
      <w:r w:rsidRPr="00CA1A43">
        <w:rPr>
          <w:rFonts w:eastAsia="標楷體" w:cstheme="minorHAnsi"/>
        </w:rPr>
        <w:t>DRC</w:t>
      </w:r>
      <w:r w:rsidRPr="00CA1A43">
        <w:rPr>
          <w:rFonts w:eastAsia="標楷體" w:cstheme="minorHAnsi"/>
          <w:vertAlign w:val="subscript"/>
        </w:rPr>
        <w:t>b</w:t>
      </w:r>
      <w:proofErr w:type="spellEnd"/>
      <w:r w:rsidRPr="00CA1A43">
        <w:rPr>
          <w:rFonts w:eastAsia="標楷體" w:cstheme="minorHAnsi"/>
        </w:rPr>
        <w:t>)</w:t>
      </w:r>
      <w:r w:rsidRPr="00CA1A43">
        <w:rPr>
          <w:rFonts w:eastAsia="標楷體" w:cstheme="minorHAnsi"/>
        </w:rPr>
        <w:t>可能為負。</w:t>
      </w:r>
    </w:p>
    <w:p w14:paraId="6C42F954" w14:textId="77777777" w:rsidR="00A5041D" w:rsidRPr="00CA1A43" w:rsidRDefault="00AA1117" w:rsidP="003F2CCF">
      <w:pPr>
        <w:spacing w:beforeLines="50" w:before="180"/>
        <w:jc w:val="both"/>
        <w:rPr>
          <w:rFonts w:eastAsia="標楷體" w:cstheme="minorHAnsi"/>
        </w:rPr>
      </w:pPr>
      <m:oMathPara>
        <m:oMath>
          <m:sSub>
            <m:sSubPr>
              <m:ctrlPr>
                <w:rPr>
                  <w:rFonts w:ascii="Cambria Math" w:eastAsia="標楷體" w:hAnsi="Cambria Math" w:cstheme="minorHAnsi"/>
                </w:rPr>
              </m:ctrlPr>
            </m:sSubPr>
            <m:e>
              <m:r>
                <w:rPr>
                  <w:rFonts w:ascii="Cambria Math" w:eastAsia="標楷體" w:hAnsi="Cambria Math" w:cstheme="minorHAnsi"/>
                </w:rPr>
                <m:t>DRC</m:t>
              </m:r>
            </m:e>
            <m:sub>
              <m:r>
                <w:rPr>
                  <w:rFonts w:ascii="Cambria Math" w:eastAsia="標楷體" w:hAnsi="Cambria Math" w:cstheme="minorHAnsi"/>
                </w:rPr>
                <m:t>b</m:t>
              </m:r>
            </m:sub>
          </m:sSub>
          <m:r>
            <w:rPr>
              <w:rFonts w:ascii="Cambria Math" w:eastAsia="標楷體" w:hAnsi="Cambria Math" w:cstheme="minorHAnsi"/>
            </w:rPr>
            <m:t>=</m:t>
          </m:r>
          <m:d>
            <m:dPr>
              <m:ctrlPr>
                <w:rPr>
                  <w:rFonts w:ascii="Cambria Math" w:eastAsia="標楷體" w:hAnsi="Cambria Math" w:cstheme="minorHAnsi"/>
                  <w:i/>
                </w:rPr>
              </m:ctrlPr>
            </m:dPr>
            <m:e>
              <m:nary>
                <m:naryPr>
                  <m:chr m:val="∑"/>
                  <m:limLoc m:val="subSup"/>
                  <m:ctrlPr>
                    <w:rPr>
                      <w:rFonts w:ascii="Cambria Math" w:eastAsia="標楷體" w:hAnsi="Cambria Math" w:cstheme="minorHAnsi"/>
                      <w:i/>
                    </w:rPr>
                  </m:ctrlPr>
                </m:naryPr>
                <m:sub>
                  <m:r>
                    <w:rPr>
                      <w:rFonts w:ascii="Cambria Math" w:eastAsia="標楷體" w:hAnsi="Cambria Math" w:cstheme="minorHAnsi"/>
                    </w:rPr>
                    <m:t>i∈Long</m:t>
                  </m:r>
                </m:sub>
                <m:sup/>
                <m:e>
                  <m:sSub>
                    <m:sSubPr>
                      <m:ctrlPr>
                        <w:rPr>
                          <w:rFonts w:ascii="Cambria Math" w:eastAsia="標楷體" w:hAnsi="Cambria Math" w:cstheme="minorHAnsi"/>
                          <w:i/>
                        </w:rPr>
                      </m:ctrlPr>
                    </m:sSubPr>
                    <m:e>
                      <m:r>
                        <w:rPr>
                          <w:rFonts w:ascii="Cambria Math" w:eastAsia="標楷體" w:hAnsi="Cambria Math" w:cstheme="minorHAnsi"/>
                        </w:rPr>
                        <m:t>RW</m:t>
                      </m:r>
                    </m:e>
                    <m:sub>
                      <m:r>
                        <w:rPr>
                          <w:rFonts w:ascii="Cambria Math" w:eastAsia="標楷體" w:hAnsi="Cambria Math" w:cstheme="minorHAnsi"/>
                        </w:rPr>
                        <m:t>i</m:t>
                      </m:r>
                    </m:sub>
                  </m:sSub>
                  <m:r>
                    <w:rPr>
                      <w:rFonts w:ascii="Cambria Math" w:eastAsia="標楷體" w:hAnsi="Cambria Math" w:cstheme="minorHAnsi"/>
                    </w:rPr>
                    <m:t>∙net</m:t>
                  </m:r>
                  <m:sSub>
                    <m:sSubPr>
                      <m:ctrlPr>
                        <w:rPr>
                          <w:rFonts w:ascii="Cambria Math" w:eastAsia="標楷體" w:hAnsi="Cambria Math" w:cstheme="minorHAnsi"/>
                          <w:i/>
                        </w:rPr>
                      </m:ctrlPr>
                    </m:sSubPr>
                    <m:e>
                      <m:r>
                        <w:rPr>
                          <w:rFonts w:ascii="Cambria Math" w:eastAsia="標楷體" w:hAnsi="Cambria Math" w:cstheme="minorHAnsi"/>
                        </w:rPr>
                        <m:t>JTD</m:t>
                      </m:r>
                    </m:e>
                    <m:sub>
                      <m:r>
                        <w:rPr>
                          <w:rFonts w:ascii="Cambria Math" w:eastAsia="標楷體" w:hAnsi="Cambria Math" w:cstheme="minorHAnsi"/>
                        </w:rPr>
                        <m:t>i</m:t>
                      </m:r>
                    </m:sub>
                  </m:sSub>
                </m:e>
              </m:nary>
            </m:e>
          </m:d>
          <m:r>
            <w:rPr>
              <w:rFonts w:ascii="Cambria Math" w:eastAsia="標楷體" w:hAnsi="Cambria Math" w:cstheme="minorHAnsi"/>
            </w:rPr>
            <m:t>-</m:t>
          </m:r>
          <m:sSub>
            <m:sSubPr>
              <m:ctrlPr>
                <w:rPr>
                  <w:rFonts w:ascii="Cambria Math" w:eastAsia="標楷體" w:hAnsi="Cambria Math" w:cstheme="minorHAnsi"/>
                  <w:i/>
                </w:rPr>
              </m:ctrlPr>
            </m:sSubPr>
            <m:e>
              <m:r>
                <w:rPr>
                  <w:rFonts w:ascii="Cambria Math" w:eastAsia="標楷體" w:hAnsi="Cambria Math" w:cstheme="minorHAnsi"/>
                </w:rPr>
                <m:t>HBR</m:t>
              </m:r>
            </m:e>
            <m:sub>
              <m:r>
                <w:rPr>
                  <w:rFonts w:ascii="Cambria Math" w:eastAsia="標楷體" w:hAnsi="Cambria Math" w:cstheme="minorHAnsi"/>
                </w:rPr>
                <m:t>ctp</m:t>
              </m:r>
            </m:sub>
          </m:sSub>
          <m:r>
            <w:rPr>
              <w:rFonts w:ascii="Cambria Math" w:eastAsia="標楷體" w:hAnsi="Cambria Math" w:cstheme="minorHAnsi"/>
            </w:rPr>
            <m:t>∙</m:t>
          </m:r>
          <m:d>
            <m:dPr>
              <m:ctrlPr>
                <w:rPr>
                  <w:rFonts w:ascii="Cambria Math" w:eastAsia="標楷體" w:hAnsi="Cambria Math" w:cstheme="minorHAnsi"/>
                  <w:i/>
                </w:rPr>
              </m:ctrlPr>
            </m:dPr>
            <m:e>
              <m:nary>
                <m:naryPr>
                  <m:chr m:val="∑"/>
                  <m:limLoc m:val="subSup"/>
                  <m:ctrlPr>
                    <w:rPr>
                      <w:rFonts w:ascii="Cambria Math" w:eastAsia="標楷體" w:hAnsi="Cambria Math" w:cstheme="minorHAnsi"/>
                      <w:i/>
                    </w:rPr>
                  </m:ctrlPr>
                </m:naryPr>
                <m:sub>
                  <m:r>
                    <w:rPr>
                      <w:rFonts w:ascii="Cambria Math" w:eastAsia="標楷體" w:hAnsi="Cambria Math" w:cstheme="minorHAnsi"/>
                    </w:rPr>
                    <m:t>i∈Short</m:t>
                  </m:r>
                </m:sub>
                <m:sup/>
                <m:e>
                  <m:sSub>
                    <m:sSubPr>
                      <m:ctrlPr>
                        <w:rPr>
                          <w:rFonts w:ascii="Cambria Math" w:eastAsia="標楷體" w:hAnsi="Cambria Math" w:cstheme="minorHAnsi"/>
                          <w:i/>
                        </w:rPr>
                      </m:ctrlPr>
                    </m:sSubPr>
                    <m:e>
                      <m:r>
                        <w:rPr>
                          <w:rFonts w:ascii="Cambria Math" w:eastAsia="標楷體" w:hAnsi="Cambria Math" w:cstheme="minorHAnsi"/>
                        </w:rPr>
                        <m:t>RW</m:t>
                      </m:r>
                    </m:e>
                    <m:sub>
                      <m:r>
                        <w:rPr>
                          <w:rFonts w:ascii="Cambria Math" w:eastAsia="標楷體" w:hAnsi="Cambria Math" w:cstheme="minorHAnsi"/>
                        </w:rPr>
                        <m:t>i</m:t>
                      </m:r>
                    </m:sub>
                  </m:sSub>
                  <m:r>
                    <w:rPr>
                      <w:rFonts w:ascii="Cambria Math" w:eastAsia="標楷體" w:hAnsi="Cambria Math" w:cstheme="minorHAnsi"/>
                    </w:rPr>
                    <m:t>∙</m:t>
                  </m:r>
                  <m:d>
                    <m:dPr>
                      <m:begChr m:val="|"/>
                      <m:endChr m:val="|"/>
                      <m:ctrlPr>
                        <w:rPr>
                          <w:rFonts w:ascii="Cambria Math" w:eastAsia="標楷體" w:hAnsi="Cambria Math" w:cstheme="minorHAnsi"/>
                          <w:i/>
                        </w:rPr>
                      </m:ctrlPr>
                    </m:dPr>
                    <m:e>
                      <m:r>
                        <w:rPr>
                          <w:rFonts w:ascii="Cambria Math" w:eastAsia="標楷體" w:hAnsi="Cambria Math" w:cstheme="minorHAnsi"/>
                        </w:rPr>
                        <m:t>net</m:t>
                      </m:r>
                      <m:sSub>
                        <m:sSubPr>
                          <m:ctrlPr>
                            <w:rPr>
                              <w:rFonts w:ascii="Cambria Math" w:eastAsia="標楷體" w:hAnsi="Cambria Math" w:cstheme="minorHAnsi"/>
                              <w:i/>
                            </w:rPr>
                          </m:ctrlPr>
                        </m:sSubPr>
                        <m:e>
                          <m:r>
                            <w:rPr>
                              <w:rFonts w:ascii="Cambria Math" w:eastAsia="標楷體" w:hAnsi="Cambria Math" w:cstheme="minorHAnsi"/>
                            </w:rPr>
                            <m:t>JTD</m:t>
                          </m:r>
                        </m:e>
                        <m:sub>
                          <m:r>
                            <w:rPr>
                              <w:rFonts w:ascii="Cambria Math" w:eastAsia="標楷體" w:hAnsi="Cambria Math" w:cstheme="minorHAnsi"/>
                            </w:rPr>
                            <m:t>i</m:t>
                          </m:r>
                        </m:sub>
                      </m:sSub>
                    </m:e>
                  </m:d>
                </m:e>
              </m:nary>
            </m:e>
          </m:d>
        </m:oMath>
      </m:oMathPara>
    </w:p>
    <w:p w14:paraId="606405DF" w14:textId="77777777" w:rsidR="003F2CCF" w:rsidRPr="00CA1A43" w:rsidRDefault="003F2CCF" w:rsidP="00C642E4">
      <w:pPr>
        <w:pStyle w:val="a7"/>
        <w:numPr>
          <w:ilvl w:val="0"/>
          <w:numId w:val="171"/>
        </w:numPr>
        <w:spacing w:beforeLines="50" w:before="180"/>
        <w:ind w:leftChars="0" w:left="1446" w:hanging="482"/>
        <w:jc w:val="both"/>
        <w:rPr>
          <w:rFonts w:eastAsia="標楷體" w:cstheme="minorHAnsi"/>
        </w:rPr>
      </w:pPr>
      <w:r w:rsidRPr="00CA1A43">
        <w:rPr>
          <w:rFonts w:eastAsia="標楷體" w:cstheme="minorHAnsi"/>
        </w:rPr>
        <w:t>證券化</w:t>
      </w:r>
      <w:r w:rsidRPr="00CA1A43">
        <w:rPr>
          <w:rFonts w:eastAsia="標楷體" w:cstheme="minorHAnsi"/>
        </w:rPr>
        <w:t>(CTP)</w:t>
      </w:r>
      <w:r w:rsidRPr="00CA1A43">
        <w:rPr>
          <w:rFonts w:eastAsia="標楷體" w:cstheme="minorHAnsi"/>
        </w:rPr>
        <w:t>之總違約風險資本要求由加總各組別層級之資本金額，計算公式如下</w:t>
      </w:r>
      <w:r w:rsidRPr="00CA1A43">
        <w:rPr>
          <w:rStyle w:val="a5"/>
          <w:rFonts w:eastAsia="標楷體" w:cstheme="minorHAnsi"/>
        </w:rPr>
        <w:footnoteReference w:id="56"/>
      </w:r>
      <w:r w:rsidRPr="00CA1A43">
        <w:rPr>
          <w:rFonts w:eastAsia="標楷體" w:cstheme="minorHAnsi"/>
        </w:rPr>
        <w:t>：</w:t>
      </w:r>
    </w:p>
    <w:p w14:paraId="78422DAD" w14:textId="77777777" w:rsidR="003F2CCF" w:rsidRPr="00CA1A43" w:rsidRDefault="00AA1117" w:rsidP="003F2CCF">
      <w:pPr>
        <w:pStyle w:val="a7"/>
        <w:spacing w:beforeLines="50" w:before="180"/>
        <w:ind w:leftChars="0"/>
        <w:jc w:val="both"/>
        <w:rPr>
          <w:rFonts w:eastAsia="標楷體" w:cstheme="minorHAnsi"/>
        </w:rPr>
      </w:pPr>
      <m:oMathPara>
        <m:oMathParaPr>
          <m:jc m:val="center"/>
        </m:oMathParaPr>
        <m:oMath>
          <m:sSub>
            <m:sSubPr>
              <m:ctrlPr>
                <w:rPr>
                  <w:rFonts w:ascii="Cambria Math" w:eastAsia="標楷體" w:hAnsi="Cambria Math" w:cstheme="minorHAnsi"/>
                </w:rPr>
              </m:ctrlPr>
            </m:sSubPr>
            <m:e>
              <m:r>
                <w:rPr>
                  <w:rFonts w:ascii="Cambria Math" w:eastAsia="標楷體" w:hAnsi="Cambria Math" w:cstheme="minorHAnsi"/>
                </w:rPr>
                <m:t>DRC</m:t>
              </m:r>
            </m:e>
            <m:sub>
              <m:r>
                <w:rPr>
                  <w:rFonts w:ascii="Cambria Math" w:eastAsia="標楷體" w:hAnsi="Cambria Math" w:cstheme="minorHAnsi"/>
                </w:rPr>
                <m:t>CTP</m:t>
              </m:r>
            </m:sub>
          </m:sSub>
          <m:r>
            <m:rPr>
              <m:sty m:val="p"/>
            </m:rPr>
            <w:rPr>
              <w:rFonts w:ascii="Cambria Math" w:eastAsia="標楷體" w:hAnsi="Cambria Math" w:cstheme="minorHAnsi"/>
            </w:rPr>
            <m:t>=</m:t>
          </m:r>
          <m:r>
            <w:rPr>
              <w:rFonts w:ascii="Cambria Math" w:eastAsia="標楷體" w:hAnsi="Cambria Math" w:cstheme="minorHAnsi"/>
            </w:rPr>
            <m:t>max</m:t>
          </m:r>
          <m:d>
            <m:dPr>
              <m:begChr m:val="["/>
              <m:endChr m:val="]"/>
              <m:ctrlPr>
                <w:rPr>
                  <w:rFonts w:ascii="Cambria Math" w:eastAsia="標楷體" w:hAnsi="Cambria Math" w:cstheme="minorHAnsi"/>
                </w:rPr>
              </m:ctrlPr>
            </m:dPr>
            <m:e>
              <m:nary>
                <m:naryPr>
                  <m:chr m:val="∑"/>
                  <m:limLoc m:val="undOvr"/>
                  <m:supHide m:val="1"/>
                  <m:ctrlPr>
                    <w:rPr>
                      <w:rFonts w:ascii="Cambria Math" w:eastAsia="標楷體" w:hAnsi="Cambria Math" w:cstheme="minorHAnsi"/>
                    </w:rPr>
                  </m:ctrlPr>
                </m:naryPr>
                <m:sub>
                  <m:r>
                    <w:rPr>
                      <w:rFonts w:ascii="Cambria Math" w:eastAsia="標楷體" w:hAnsi="Cambria Math" w:cstheme="minorHAnsi"/>
                    </w:rPr>
                    <m:t>b</m:t>
                  </m:r>
                </m:sub>
                <m:sup/>
                <m:e>
                  <m:d>
                    <m:dPr>
                      <m:ctrlPr>
                        <w:rPr>
                          <w:rFonts w:ascii="Cambria Math" w:eastAsia="標楷體" w:hAnsi="Cambria Math" w:cstheme="minorHAnsi"/>
                        </w:rPr>
                      </m:ctrlPr>
                    </m:dPr>
                    <m:e>
                      <m:r>
                        <w:rPr>
                          <w:rFonts w:ascii="Cambria Math" w:eastAsia="標楷體" w:hAnsi="Cambria Math" w:cstheme="minorHAnsi"/>
                        </w:rPr>
                        <m:t>max</m:t>
                      </m:r>
                      <m:d>
                        <m:dPr>
                          <m:begChr m:val="["/>
                          <m:endChr m:val="]"/>
                          <m:ctrlPr>
                            <w:rPr>
                              <w:rFonts w:ascii="Cambria Math" w:eastAsia="標楷體" w:hAnsi="Cambria Math" w:cstheme="minorHAnsi"/>
                            </w:rPr>
                          </m:ctrlPr>
                        </m:dPr>
                        <m:e>
                          <m:sSub>
                            <m:sSubPr>
                              <m:ctrlPr>
                                <w:rPr>
                                  <w:rFonts w:ascii="Cambria Math" w:eastAsia="標楷體" w:hAnsi="Cambria Math" w:cstheme="minorHAnsi"/>
                                </w:rPr>
                              </m:ctrlPr>
                            </m:sSubPr>
                            <m:e>
                              <m:r>
                                <w:rPr>
                                  <w:rFonts w:ascii="Cambria Math" w:eastAsia="標楷體" w:hAnsi="Cambria Math" w:cstheme="minorHAnsi"/>
                                </w:rPr>
                                <m:t>DRC</m:t>
                              </m:r>
                            </m:e>
                            <m:sub>
                              <m:r>
                                <w:rPr>
                                  <w:rFonts w:ascii="Cambria Math" w:eastAsia="標楷體" w:hAnsi="Cambria Math" w:cstheme="minorHAnsi"/>
                                </w:rPr>
                                <m:t>b</m:t>
                              </m:r>
                            </m:sub>
                          </m:sSub>
                          <m:r>
                            <m:rPr>
                              <m:sty m:val="p"/>
                            </m:rPr>
                            <w:rPr>
                              <w:rFonts w:ascii="Cambria Math" w:eastAsia="標楷體" w:hAnsi="Cambria Math" w:cstheme="minorHAnsi"/>
                            </w:rPr>
                            <m:t>, 0</m:t>
                          </m:r>
                        </m:e>
                      </m:d>
                      <m:r>
                        <m:rPr>
                          <m:sty m:val="p"/>
                        </m:rPr>
                        <w:rPr>
                          <w:rFonts w:ascii="Cambria Math" w:eastAsia="標楷體" w:hAnsi="Cambria Math" w:cstheme="minorHAnsi"/>
                        </w:rPr>
                        <m:t>+0.5×</m:t>
                      </m:r>
                      <m:r>
                        <w:rPr>
                          <w:rFonts w:ascii="Cambria Math" w:eastAsia="標楷體" w:hAnsi="Cambria Math" w:cstheme="minorHAnsi"/>
                        </w:rPr>
                        <m:t>min</m:t>
                      </m:r>
                      <m:d>
                        <m:dPr>
                          <m:begChr m:val="["/>
                          <m:endChr m:val="]"/>
                          <m:ctrlPr>
                            <w:rPr>
                              <w:rFonts w:ascii="Cambria Math" w:eastAsia="標楷體" w:hAnsi="Cambria Math" w:cstheme="minorHAnsi"/>
                            </w:rPr>
                          </m:ctrlPr>
                        </m:dPr>
                        <m:e>
                          <m:sSub>
                            <m:sSubPr>
                              <m:ctrlPr>
                                <w:rPr>
                                  <w:rFonts w:ascii="Cambria Math" w:eastAsia="標楷體" w:hAnsi="Cambria Math" w:cstheme="minorHAnsi"/>
                                </w:rPr>
                              </m:ctrlPr>
                            </m:sSubPr>
                            <m:e>
                              <m:r>
                                <w:rPr>
                                  <w:rFonts w:ascii="Cambria Math" w:eastAsia="標楷體" w:hAnsi="Cambria Math" w:cstheme="minorHAnsi"/>
                                </w:rPr>
                                <m:t>DRC</m:t>
                              </m:r>
                            </m:e>
                            <m:sub>
                              <m:r>
                                <w:rPr>
                                  <w:rFonts w:ascii="Cambria Math" w:eastAsia="標楷體" w:hAnsi="Cambria Math" w:cstheme="minorHAnsi"/>
                                </w:rPr>
                                <m:t>b</m:t>
                              </m:r>
                            </m:sub>
                          </m:sSub>
                          <m:r>
                            <m:rPr>
                              <m:sty m:val="p"/>
                            </m:rPr>
                            <w:rPr>
                              <w:rFonts w:ascii="Cambria Math" w:eastAsia="標楷體" w:hAnsi="Cambria Math" w:cstheme="minorHAnsi"/>
                            </w:rPr>
                            <m:t>, 0</m:t>
                          </m:r>
                        </m:e>
                      </m:d>
                    </m:e>
                  </m:d>
                </m:e>
              </m:nary>
              <m:r>
                <m:rPr>
                  <m:sty m:val="p"/>
                </m:rPr>
                <w:rPr>
                  <w:rFonts w:ascii="Cambria Math" w:eastAsia="標楷體" w:hAnsi="Cambria Math" w:cstheme="minorHAnsi"/>
                </w:rPr>
                <m:t>, 0</m:t>
              </m:r>
            </m:e>
          </m:d>
        </m:oMath>
      </m:oMathPara>
    </w:p>
    <w:p w14:paraId="1DDF34BE" w14:textId="77777777" w:rsidR="003F2CCF" w:rsidRPr="00CA1A43" w:rsidRDefault="003F2CCF" w:rsidP="003F2CCF">
      <w:pPr>
        <w:pStyle w:val="a7"/>
        <w:numPr>
          <w:ilvl w:val="0"/>
          <w:numId w:val="48"/>
        </w:numPr>
        <w:spacing w:beforeLines="50" w:before="180"/>
        <w:ind w:leftChars="0" w:left="567" w:hanging="567"/>
        <w:jc w:val="both"/>
        <w:outlineLvl w:val="0"/>
        <w:rPr>
          <w:rFonts w:eastAsia="標楷體" w:cstheme="minorHAnsi"/>
          <w:b/>
          <w:sz w:val="28"/>
          <w:szCs w:val="28"/>
        </w:rPr>
      </w:pPr>
      <w:bookmarkStart w:id="12" w:name="_Toc67992452"/>
      <w:r w:rsidRPr="00CA1A43">
        <w:rPr>
          <w:rFonts w:eastAsia="標楷體" w:cstheme="minorHAnsi"/>
          <w:b/>
          <w:sz w:val="28"/>
          <w:szCs w:val="28"/>
        </w:rPr>
        <w:t>殘餘風險附加金額</w:t>
      </w:r>
      <w:bookmarkEnd w:id="12"/>
    </w:p>
    <w:p w14:paraId="16F73046" w14:textId="2FC0A283" w:rsidR="00A5041D" w:rsidRPr="005B5933" w:rsidRDefault="003F2CCF" w:rsidP="00C642E4">
      <w:pPr>
        <w:pStyle w:val="a7"/>
        <w:numPr>
          <w:ilvl w:val="0"/>
          <w:numId w:val="173"/>
        </w:numPr>
        <w:spacing w:beforeLines="50" w:before="180"/>
        <w:ind w:leftChars="0" w:left="737" w:hanging="737"/>
        <w:jc w:val="both"/>
        <w:rPr>
          <w:rFonts w:eastAsia="標楷體" w:cstheme="minorHAnsi"/>
        </w:rPr>
      </w:pPr>
      <w:r w:rsidRPr="00CA1A43">
        <w:rPr>
          <w:rFonts w:eastAsia="標楷體" w:cstheme="minorHAnsi"/>
        </w:rPr>
        <w:t>在標準法的資本要求下，所有承擔殘餘風險的</w:t>
      </w:r>
      <w:r w:rsidR="009653EE" w:rsidRPr="005B5933">
        <w:rPr>
          <w:rFonts w:eastAsia="標楷體" w:cstheme="minorHAnsi"/>
        </w:rPr>
        <w:t>工具</w:t>
      </w:r>
      <w:r w:rsidRPr="005B5933">
        <w:rPr>
          <w:rFonts w:eastAsia="標楷體" w:cstheme="minorHAnsi"/>
        </w:rPr>
        <w:t>，</w:t>
      </w:r>
      <w:proofErr w:type="gramStart"/>
      <w:r w:rsidRPr="005B5933">
        <w:rPr>
          <w:rFonts w:eastAsia="標楷體" w:cstheme="minorHAnsi"/>
        </w:rPr>
        <w:t>均須於</w:t>
      </w:r>
      <w:proofErr w:type="gramEnd"/>
      <w:r w:rsidRPr="005B5933">
        <w:rPr>
          <w:rFonts w:eastAsia="標楷體" w:cstheme="minorHAnsi"/>
        </w:rPr>
        <w:t>其他風險資本要求外，額外計提殘餘風險附加金額。</w:t>
      </w:r>
    </w:p>
    <w:p w14:paraId="24039957" w14:textId="55AD7813" w:rsidR="00A5041D" w:rsidRPr="005B5933" w:rsidRDefault="003F2CCF" w:rsidP="00C642E4">
      <w:pPr>
        <w:pStyle w:val="a7"/>
        <w:numPr>
          <w:ilvl w:val="0"/>
          <w:numId w:val="173"/>
        </w:numPr>
        <w:spacing w:beforeLines="50" w:before="180"/>
        <w:ind w:leftChars="0" w:left="737" w:hanging="737"/>
        <w:jc w:val="both"/>
        <w:rPr>
          <w:rFonts w:eastAsia="標楷體" w:cstheme="minorHAnsi"/>
        </w:rPr>
      </w:pPr>
      <w:r w:rsidRPr="005B5933">
        <w:rPr>
          <w:rFonts w:eastAsia="標楷體" w:cstheme="minorHAnsi"/>
        </w:rPr>
        <w:t>受殘餘風險附加金額影響之</w:t>
      </w:r>
      <w:r w:rsidR="009653EE" w:rsidRPr="005B5933">
        <w:rPr>
          <w:rFonts w:eastAsia="標楷體" w:cstheme="minorHAnsi"/>
        </w:rPr>
        <w:t>工具</w:t>
      </w:r>
    </w:p>
    <w:p w14:paraId="391E6304" w14:textId="70AEDB64" w:rsidR="00A5041D" w:rsidRPr="00CA1A43" w:rsidRDefault="003F2CCF" w:rsidP="00C642E4">
      <w:pPr>
        <w:pStyle w:val="a7"/>
        <w:numPr>
          <w:ilvl w:val="0"/>
          <w:numId w:val="174"/>
        </w:numPr>
        <w:spacing w:beforeLines="50" w:before="180"/>
        <w:ind w:leftChars="0" w:left="964" w:hanging="482"/>
        <w:jc w:val="both"/>
        <w:rPr>
          <w:rFonts w:eastAsia="標楷體" w:cstheme="minorHAnsi"/>
        </w:rPr>
      </w:pPr>
      <w:r w:rsidRPr="00CA1A43">
        <w:rPr>
          <w:rFonts w:eastAsia="標楷體" w:cstheme="minorHAnsi"/>
        </w:rPr>
        <w:t>含有新奇標的物的</w:t>
      </w:r>
      <w:r w:rsidR="009653EE" w:rsidRPr="005B5933">
        <w:rPr>
          <w:rFonts w:eastAsia="標楷體" w:cstheme="minorHAnsi"/>
        </w:rPr>
        <w:t>工具</w:t>
      </w:r>
      <w:r w:rsidRPr="005B5933">
        <w:rPr>
          <w:rFonts w:eastAsia="標楷體" w:cstheme="minorHAnsi"/>
        </w:rPr>
        <w:t>及包含有其他殘餘風險的</w:t>
      </w:r>
      <w:r w:rsidR="009653EE" w:rsidRPr="005B5933">
        <w:rPr>
          <w:rFonts w:eastAsia="標楷體" w:cstheme="minorHAnsi"/>
        </w:rPr>
        <w:t>工具</w:t>
      </w:r>
      <w:r w:rsidRPr="00CA1A43">
        <w:rPr>
          <w:rFonts w:eastAsia="標楷體" w:cstheme="minorHAnsi"/>
        </w:rPr>
        <w:t>受殘餘風險附加金額影響。</w:t>
      </w:r>
    </w:p>
    <w:p w14:paraId="5DC96412" w14:textId="554399F0" w:rsidR="003F2CCF" w:rsidRPr="00CA1A43" w:rsidRDefault="003F2CCF" w:rsidP="00C642E4">
      <w:pPr>
        <w:pStyle w:val="a7"/>
        <w:numPr>
          <w:ilvl w:val="0"/>
          <w:numId w:val="174"/>
        </w:numPr>
        <w:spacing w:beforeLines="50" w:before="180"/>
        <w:ind w:leftChars="0" w:left="964" w:hanging="482"/>
        <w:jc w:val="both"/>
        <w:rPr>
          <w:rFonts w:eastAsia="標楷體" w:cstheme="minorHAnsi"/>
        </w:rPr>
      </w:pPr>
      <w:r w:rsidRPr="00CA1A43">
        <w:rPr>
          <w:rFonts w:eastAsia="標楷體" w:cstheme="minorHAnsi"/>
        </w:rPr>
        <w:t>含有新奇標的物的</w:t>
      </w:r>
      <w:r w:rsidR="009653EE" w:rsidRPr="005B5933">
        <w:rPr>
          <w:rFonts w:eastAsia="標楷體" w:cstheme="minorHAnsi"/>
        </w:rPr>
        <w:t>工具</w:t>
      </w:r>
      <w:r w:rsidRPr="005B5933">
        <w:rPr>
          <w:rFonts w:eastAsia="標楷體" w:cstheme="minorHAnsi"/>
        </w:rPr>
        <w:t>係指具有</w:t>
      </w:r>
      <w:proofErr w:type="gramStart"/>
      <w:r w:rsidRPr="005B5933">
        <w:rPr>
          <w:rFonts w:eastAsia="標楷體" w:cstheme="minorHAnsi"/>
        </w:rPr>
        <w:t>一</w:t>
      </w:r>
      <w:proofErr w:type="gramEnd"/>
      <w:r w:rsidRPr="005B5933">
        <w:rPr>
          <w:rFonts w:eastAsia="標楷體" w:cstheme="minorHAnsi"/>
        </w:rPr>
        <w:t>標的</w:t>
      </w:r>
      <w:proofErr w:type="gramStart"/>
      <w:r w:rsidRPr="005B5933">
        <w:rPr>
          <w:rFonts w:eastAsia="標楷體" w:cstheme="minorHAnsi"/>
        </w:rPr>
        <w:t>物暴險</w:t>
      </w:r>
      <w:proofErr w:type="gramEnd"/>
      <w:r w:rsidRPr="005B5933">
        <w:rPr>
          <w:rFonts w:eastAsia="標楷體" w:cstheme="minorHAnsi"/>
        </w:rPr>
        <w:t>並不在敏感性基礎法</w:t>
      </w:r>
      <w:r w:rsidRPr="005B5933">
        <w:rPr>
          <w:rFonts w:eastAsia="標楷體" w:cstheme="minorHAnsi"/>
        </w:rPr>
        <w:t>(SBM)</w:t>
      </w:r>
      <w:r w:rsidRPr="005B5933">
        <w:rPr>
          <w:rFonts w:eastAsia="標楷體" w:cstheme="minorHAnsi"/>
        </w:rPr>
        <w:t>下任何風險類別之</w:t>
      </w:r>
      <w:r w:rsidRPr="005B5933">
        <w:rPr>
          <w:rFonts w:eastAsia="標楷體" w:cstheme="minorHAnsi"/>
        </w:rPr>
        <w:t>delta</w:t>
      </w:r>
      <w:r w:rsidRPr="005B5933">
        <w:rPr>
          <w:rFonts w:eastAsia="標楷體" w:cstheme="minorHAnsi"/>
        </w:rPr>
        <w:t>、</w:t>
      </w:r>
      <w:proofErr w:type="spellStart"/>
      <w:r w:rsidRPr="005B5933">
        <w:rPr>
          <w:rFonts w:eastAsia="標楷體" w:cstheme="minorHAnsi"/>
        </w:rPr>
        <w:t>vega</w:t>
      </w:r>
      <w:proofErr w:type="spellEnd"/>
      <w:r w:rsidRPr="005B5933">
        <w:rPr>
          <w:rFonts w:eastAsia="標楷體" w:cstheme="minorHAnsi"/>
        </w:rPr>
        <w:t>或</w:t>
      </w:r>
      <w:r w:rsidRPr="005B5933">
        <w:rPr>
          <w:rFonts w:eastAsia="標楷體" w:cstheme="minorHAnsi"/>
        </w:rPr>
        <w:t>curvature</w:t>
      </w:r>
      <w:r w:rsidRPr="005B5933">
        <w:rPr>
          <w:rFonts w:eastAsia="標楷體" w:cstheme="minorHAnsi"/>
        </w:rPr>
        <w:t>風險範疇或標準法下違約風險資本要求</w:t>
      </w:r>
      <w:r w:rsidRPr="005B5933">
        <w:rPr>
          <w:rFonts w:eastAsia="標楷體" w:cstheme="minorHAnsi"/>
        </w:rPr>
        <w:t>(DRC)</w:t>
      </w:r>
      <w:r w:rsidRPr="005B5933">
        <w:rPr>
          <w:rFonts w:eastAsia="標楷體" w:cstheme="minorHAnsi"/>
        </w:rPr>
        <w:t>的交易</w:t>
      </w:r>
      <w:proofErr w:type="gramStart"/>
      <w:r w:rsidRPr="005B5933">
        <w:rPr>
          <w:rFonts w:eastAsia="標楷體" w:cstheme="minorHAnsi"/>
        </w:rPr>
        <w:t>簿</w:t>
      </w:r>
      <w:proofErr w:type="gramEnd"/>
      <w:r w:rsidR="009653EE" w:rsidRPr="005B5933">
        <w:rPr>
          <w:rFonts w:eastAsia="標楷體" w:cstheme="minorHAnsi"/>
        </w:rPr>
        <w:t>工具</w:t>
      </w:r>
      <w:r w:rsidRPr="00CA1A43">
        <w:rPr>
          <w:rFonts w:eastAsia="標楷體" w:cstheme="minorHAnsi"/>
        </w:rPr>
        <w:t>。</w:t>
      </w:r>
      <w:r w:rsidR="00AE6EFC" w:rsidRPr="00CA1A43">
        <w:rPr>
          <w:rStyle w:val="a5"/>
          <w:rFonts w:eastAsia="標楷體" w:cstheme="minorHAnsi"/>
        </w:rPr>
        <w:footnoteReference w:id="57"/>
      </w:r>
    </w:p>
    <w:p w14:paraId="1210FBA8" w14:textId="156BBC15" w:rsidR="00F94D42" w:rsidRPr="005B5933" w:rsidRDefault="00F94D42" w:rsidP="00C642E4">
      <w:pPr>
        <w:pStyle w:val="a7"/>
        <w:numPr>
          <w:ilvl w:val="0"/>
          <w:numId w:val="174"/>
        </w:numPr>
        <w:spacing w:beforeLines="50" w:before="180"/>
        <w:ind w:leftChars="0" w:left="964" w:hanging="482"/>
        <w:jc w:val="both"/>
        <w:rPr>
          <w:rFonts w:eastAsia="標楷體" w:cstheme="minorHAnsi"/>
        </w:rPr>
      </w:pPr>
      <w:r w:rsidRPr="00CA1A43">
        <w:rPr>
          <w:rFonts w:eastAsia="標楷體" w:cstheme="minorHAnsi"/>
        </w:rPr>
        <w:t>擁有其他殘餘風險的</w:t>
      </w:r>
      <w:r w:rsidR="009653EE" w:rsidRPr="005B5933">
        <w:rPr>
          <w:rFonts w:eastAsia="標楷體" w:cstheme="minorHAnsi"/>
        </w:rPr>
        <w:t>工具</w:t>
      </w:r>
      <w:r w:rsidRPr="005B5933">
        <w:rPr>
          <w:rFonts w:eastAsia="標楷體" w:cstheme="minorHAnsi"/>
        </w:rPr>
        <w:t>滿足以下至少一項條件：</w:t>
      </w:r>
    </w:p>
    <w:p w14:paraId="30930BD6" w14:textId="5F695003" w:rsidR="00F94D42" w:rsidRPr="00CA1A43" w:rsidRDefault="00F94D42" w:rsidP="00C642E4">
      <w:pPr>
        <w:pStyle w:val="a7"/>
        <w:numPr>
          <w:ilvl w:val="0"/>
          <w:numId w:val="175"/>
        </w:numPr>
        <w:spacing w:beforeLines="50" w:before="180"/>
        <w:ind w:leftChars="0" w:left="1446" w:hanging="482"/>
        <w:jc w:val="both"/>
        <w:rPr>
          <w:rFonts w:eastAsia="標楷體" w:cstheme="minorHAnsi"/>
        </w:rPr>
      </w:pPr>
      <w:r w:rsidRPr="005B5933">
        <w:rPr>
          <w:rFonts w:eastAsia="標楷體" w:cstheme="minorHAnsi"/>
        </w:rPr>
        <w:t>交易</w:t>
      </w:r>
      <w:proofErr w:type="gramStart"/>
      <w:r w:rsidRPr="005B5933">
        <w:rPr>
          <w:rFonts w:eastAsia="標楷體" w:cstheme="minorHAnsi"/>
        </w:rPr>
        <w:t>簿</w:t>
      </w:r>
      <w:proofErr w:type="gramEnd"/>
      <w:r w:rsidR="009653EE" w:rsidRPr="005B5933">
        <w:rPr>
          <w:rFonts w:eastAsia="標楷體" w:cstheme="minorHAnsi"/>
        </w:rPr>
        <w:t>工具</w:t>
      </w:r>
      <w:r w:rsidRPr="005B5933">
        <w:rPr>
          <w:rFonts w:eastAsia="標楷體" w:cstheme="minorHAnsi"/>
        </w:rPr>
        <w:t>受</w:t>
      </w:r>
      <w:proofErr w:type="spellStart"/>
      <w:r w:rsidRPr="005B5933">
        <w:rPr>
          <w:rFonts w:eastAsia="標楷體" w:cstheme="minorHAnsi"/>
        </w:rPr>
        <w:t>v</w:t>
      </w:r>
      <w:r w:rsidRPr="00CA1A43">
        <w:rPr>
          <w:rFonts w:eastAsia="標楷體" w:cstheme="minorHAnsi"/>
        </w:rPr>
        <w:t>ega</w:t>
      </w:r>
      <w:proofErr w:type="spellEnd"/>
      <w:r w:rsidRPr="00CA1A43">
        <w:rPr>
          <w:rFonts w:eastAsia="標楷體" w:cstheme="minorHAnsi"/>
        </w:rPr>
        <w:t xml:space="preserve"> </w:t>
      </w:r>
      <w:r w:rsidRPr="00CA1A43">
        <w:rPr>
          <w:rFonts w:eastAsia="標楷體" w:cstheme="minorHAnsi"/>
        </w:rPr>
        <w:t>或</w:t>
      </w:r>
      <w:r w:rsidRPr="00CA1A43">
        <w:rPr>
          <w:rFonts w:eastAsia="標楷體" w:cstheme="minorHAnsi"/>
        </w:rPr>
        <w:t xml:space="preserve">curvature </w:t>
      </w:r>
      <w:r w:rsidRPr="00CA1A43">
        <w:rPr>
          <w:rFonts w:eastAsia="標楷體" w:cstheme="minorHAnsi"/>
        </w:rPr>
        <w:t>風險資本要求影響，且其報酬不能利用單一標的為權益證券價格、商品價格、匯率、債券價格、</w:t>
      </w:r>
      <w:r w:rsidRPr="00CA1A43">
        <w:rPr>
          <w:rFonts w:eastAsia="標楷體" w:cstheme="minorHAnsi"/>
        </w:rPr>
        <w:t xml:space="preserve">CDS </w:t>
      </w:r>
      <w:r w:rsidRPr="00CA1A43">
        <w:rPr>
          <w:rFonts w:eastAsia="標楷體" w:cstheme="minorHAnsi"/>
        </w:rPr>
        <w:t>價格或利率交換之標準選擇權的線性組合來完美複製或表達。</w:t>
      </w:r>
    </w:p>
    <w:p w14:paraId="1439E63D" w14:textId="7A8299DB" w:rsidR="003F2CCF" w:rsidRPr="00CA1A43" w:rsidRDefault="00F94D42" w:rsidP="00C642E4">
      <w:pPr>
        <w:pStyle w:val="a7"/>
        <w:numPr>
          <w:ilvl w:val="0"/>
          <w:numId w:val="175"/>
        </w:numPr>
        <w:spacing w:beforeLines="50" w:before="180"/>
        <w:ind w:leftChars="0" w:left="1446" w:hanging="482"/>
        <w:jc w:val="both"/>
        <w:rPr>
          <w:rFonts w:eastAsia="標楷體" w:cstheme="minorHAnsi"/>
        </w:rPr>
      </w:pPr>
      <w:r w:rsidRPr="00CA1A43">
        <w:rPr>
          <w:rFonts w:eastAsia="標楷體" w:cstheme="minorHAnsi"/>
        </w:rPr>
        <w:lastRenderedPageBreak/>
        <w:t>符合</w:t>
      </w:r>
      <w:proofErr w:type="gramStart"/>
      <w:r w:rsidRPr="00CA1A43">
        <w:rPr>
          <w:rFonts w:eastAsia="標楷體" w:cstheme="minorHAnsi"/>
        </w:rPr>
        <w:t>第一大點第</w:t>
      </w:r>
      <w:proofErr w:type="gramEnd"/>
      <w:r w:rsidRPr="00CA1A43">
        <w:rPr>
          <w:rFonts w:eastAsia="標楷體" w:cstheme="minorHAnsi"/>
        </w:rPr>
        <w:t>(</w:t>
      </w:r>
      <w:r w:rsidRPr="00CA1A43">
        <w:rPr>
          <w:rFonts w:eastAsia="標楷體" w:cstheme="minorHAnsi"/>
        </w:rPr>
        <w:t>二</w:t>
      </w:r>
      <w:r w:rsidRPr="00CA1A43">
        <w:rPr>
          <w:rFonts w:eastAsia="標楷體" w:cstheme="minorHAnsi"/>
        </w:rPr>
        <w:t>)</w:t>
      </w:r>
      <w:r w:rsidRPr="00CA1A43">
        <w:rPr>
          <w:rFonts w:eastAsia="標楷體" w:cstheme="minorHAnsi"/>
        </w:rPr>
        <w:t>點中相關性交易組合定義之</w:t>
      </w:r>
      <w:r w:rsidR="009653EE" w:rsidRPr="005B5933">
        <w:rPr>
          <w:rFonts w:eastAsia="標楷體" w:cstheme="minorHAnsi"/>
        </w:rPr>
        <w:t>工具</w:t>
      </w:r>
      <w:r w:rsidRPr="005B5933">
        <w:rPr>
          <w:rFonts w:eastAsia="標楷體" w:cstheme="minorHAnsi"/>
        </w:rPr>
        <w:t>，惟本計算說明認定為相關性交易組合之合格避險</w:t>
      </w:r>
      <w:r w:rsidR="009653EE" w:rsidRPr="005B5933">
        <w:rPr>
          <w:rFonts w:eastAsia="標楷體" w:cstheme="minorHAnsi"/>
        </w:rPr>
        <w:t>工具</w:t>
      </w:r>
      <w:r w:rsidRPr="005B5933">
        <w:rPr>
          <w:rFonts w:eastAsia="標楷體" w:cstheme="minorHAnsi"/>
        </w:rPr>
        <w:t>除外</w:t>
      </w:r>
      <w:r w:rsidRPr="00CA1A43">
        <w:rPr>
          <w:rFonts w:eastAsia="標楷體" w:cstheme="minorHAnsi"/>
        </w:rPr>
        <w:t>。</w:t>
      </w:r>
    </w:p>
    <w:p w14:paraId="0C426F4E" w14:textId="2AEBE872" w:rsidR="00F94D42" w:rsidRPr="00CA1A43" w:rsidRDefault="00F94D42" w:rsidP="00C642E4">
      <w:pPr>
        <w:pStyle w:val="a7"/>
        <w:numPr>
          <w:ilvl w:val="0"/>
          <w:numId w:val="174"/>
        </w:numPr>
        <w:spacing w:beforeLines="50" w:before="180"/>
        <w:ind w:leftChars="0" w:left="964" w:hanging="482"/>
        <w:jc w:val="both"/>
        <w:rPr>
          <w:rFonts w:eastAsia="標楷體" w:cstheme="minorHAnsi"/>
        </w:rPr>
      </w:pPr>
      <w:r w:rsidRPr="00CA1A43">
        <w:rPr>
          <w:rFonts w:eastAsia="標楷體" w:cstheme="minorHAnsi"/>
        </w:rPr>
        <w:t>具其他殘餘風險之類型或</w:t>
      </w:r>
      <w:r w:rsidR="009653EE" w:rsidRPr="005B5933">
        <w:rPr>
          <w:rFonts w:eastAsia="標楷體" w:cstheme="minorHAnsi"/>
        </w:rPr>
        <w:t>工具</w:t>
      </w:r>
      <w:r w:rsidRPr="005B5933">
        <w:rPr>
          <w:rFonts w:eastAsia="標楷體" w:cstheme="minorHAnsi"/>
        </w:rPr>
        <w:t>，</w:t>
      </w:r>
      <w:r w:rsidRPr="00CA1A43">
        <w:rPr>
          <w:rFonts w:eastAsia="標楷體" w:cstheme="minorHAnsi"/>
        </w:rPr>
        <w:t>包含</w:t>
      </w:r>
      <w:r w:rsidRPr="00CA1A43">
        <w:rPr>
          <w:rFonts w:eastAsia="標楷體" w:cstheme="minorHAnsi"/>
        </w:rPr>
        <w:t>(</w:t>
      </w:r>
      <w:r w:rsidRPr="00CA1A43">
        <w:rPr>
          <w:rFonts w:eastAsia="標楷體" w:cstheme="minorHAnsi"/>
        </w:rPr>
        <w:t>但不限於</w:t>
      </w:r>
      <w:r w:rsidRPr="00CA1A43">
        <w:rPr>
          <w:rFonts w:eastAsia="標楷體" w:cstheme="minorHAnsi"/>
        </w:rPr>
        <w:t>)</w:t>
      </w:r>
      <w:r w:rsidRPr="00CA1A43">
        <w:rPr>
          <w:rFonts w:eastAsia="標楷體" w:cstheme="minorHAnsi"/>
        </w:rPr>
        <w:t>以下條件：</w:t>
      </w:r>
    </w:p>
    <w:p w14:paraId="6BB4BF34" w14:textId="1304B8EE" w:rsidR="00F94D42" w:rsidRPr="00CA1A43" w:rsidRDefault="00F94D42" w:rsidP="00C642E4">
      <w:pPr>
        <w:pStyle w:val="a7"/>
        <w:numPr>
          <w:ilvl w:val="0"/>
          <w:numId w:val="176"/>
        </w:numPr>
        <w:spacing w:beforeLines="50" w:before="180"/>
        <w:ind w:leftChars="0" w:left="1446" w:hanging="482"/>
        <w:jc w:val="both"/>
        <w:rPr>
          <w:rFonts w:eastAsia="標楷體" w:cstheme="minorHAnsi"/>
        </w:rPr>
      </w:pPr>
      <w:r w:rsidRPr="00CA1A43">
        <w:rPr>
          <w:rFonts w:eastAsia="標楷體" w:cstheme="minorHAnsi"/>
        </w:rPr>
        <w:t>缺口風險：因於標的物價格微小的變動造成選擇權的</w:t>
      </w:r>
      <w:proofErr w:type="spellStart"/>
      <w:r w:rsidRPr="00CA1A43">
        <w:rPr>
          <w:rFonts w:eastAsia="標楷體" w:cstheme="minorHAnsi"/>
        </w:rPr>
        <w:t>vega</w:t>
      </w:r>
      <w:proofErr w:type="spellEnd"/>
      <w:r w:rsidRPr="00CA1A43">
        <w:rPr>
          <w:rFonts w:eastAsia="標楷體" w:cstheme="minorHAnsi"/>
        </w:rPr>
        <w:t>參數有顯著的變化，造成避險偏離。會受到缺口風險的</w:t>
      </w:r>
      <w:r w:rsidR="009653EE" w:rsidRPr="005B5933">
        <w:rPr>
          <w:rFonts w:eastAsia="標楷體" w:cstheme="minorHAnsi"/>
        </w:rPr>
        <w:t>工具</w:t>
      </w:r>
      <w:r w:rsidRPr="005B5933">
        <w:rPr>
          <w:rFonts w:eastAsia="標楷體" w:cstheme="minorHAnsi"/>
        </w:rPr>
        <w:t>包</w:t>
      </w:r>
      <w:r w:rsidRPr="00CA1A43">
        <w:rPr>
          <w:rFonts w:eastAsia="標楷體" w:cstheme="minorHAnsi"/>
        </w:rPr>
        <w:t>括所有路徑相依選擇權，例如：界限選擇權、亞式選擇權和所有數位選擇權。</w:t>
      </w:r>
    </w:p>
    <w:p w14:paraId="10180CC1" w14:textId="35048DFD" w:rsidR="00F94D42" w:rsidRPr="00CA1A43" w:rsidRDefault="00F94D42" w:rsidP="00C642E4">
      <w:pPr>
        <w:pStyle w:val="a7"/>
        <w:numPr>
          <w:ilvl w:val="0"/>
          <w:numId w:val="176"/>
        </w:numPr>
        <w:spacing w:beforeLines="50" w:before="180"/>
        <w:ind w:leftChars="0" w:left="1446" w:hanging="482"/>
        <w:jc w:val="both"/>
        <w:rPr>
          <w:rFonts w:eastAsia="標楷體" w:cstheme="minorHAnsi"/>
        </w:rPr>
      </w:pPr>
      <w:r w:rsidRPr="00CA1A43">
        <w:rPr>
          <w:rFonts w:eastAsia="標楷體" w:cstheme="minorHAnsi"/>
        </w:rPr>
        <w:t>相關性風險：用於決定</w:t>
      </w:r>
      <w:proofErr w:type="gramStart"/>
      <w:r w:rsidRPr="00CA1A43">
        <w:rPr>
          <w:rFonts w:eastAsia="標楷體" w:cstheme="minorHAnsi"/>
        </w:rPr>
        <w:t>一</w:t>
      </w:r>
      <w:proofErr w:type="gramEnd"/>
      <w:r w:rsidRPr="00CA1A43">
        <w:rPr>
          <w:rFonts w:eastAsia="標楷體" w:cstheme="minorHAnsi"/>
        </w:rPr>
        <w:t>擁有多個標的資產商品價值的相關係數變動的風險。會受到相關係數變動風險影響的相關</w:t>
      </w:r>
      <w:r w:rsidR="009653EE" w:rsidRPr="005B5933">
        <w:rPr>
          <w:rFonts w:eastAsia="標楷體" w:cstheme="minorHAnsi"/>
        </w:rPr>
        <w:t>工具</w:t>
      </w:r>
      <w:r w:rsidRPr="00CA1A43">
        <w:rPr>
          <w:rFonts w:eastAsia="標楷體" w:cstheme="minorHAnsi"/>
        </w:rPr>
        <w:t>包括所有的</w:t>
      </w:r>
      <w:proofErr w:type="gramStart"/>
      <w:r w:rsidRPr="00CA1A43">
        <w:rPr>
          <w:rFonts w:eastAsia="標楷體" w:cstheme="minorHAnsi"/>
        </w:rPr>
        <w:t>一</w:t>
      </w:r>
      <w:proofErr w:type="gramEnd"/>
      <w:r w:rsidRPr="00CA1A43">
        <w:rPr>
          <w:rFonts w:eastAsia="標楷體" w:cstheme="minorHAnsi"/>
        </w:rPr>
        <w:t>籃子選擇權、最佳選擇權、價差選擇權、</w:t>
      </w:r>
      <w:proofErr w:type="gramStart"/>
      <w:r w:rsidRPr="00CA1A43">
        <w:rPr>
          <w:rFonts w:eastAsia="標楷體" w:cstheme="minorHAnsi"/>
        </w:rPr>
        <w:t>基差選擇</w:t>
      </w:r>
      <w:proofErr w:type="gramEnd"/>
      <w:r w:rsidRPr="00CA1A43">
        <w:rPr>
          <w:rFonts w:eastAsia="標楷體" w:cstheme="minorHAnsi"/>
        </w:rPr>
        <w:t>權、百慕達選擇權與匯率連動選擇權。</w:t>
      </w:r>
    </w:p>
    <w:p w14:paraId="05ADFA18" w14:textId="77777777" w:rsidR="003F2CCF" w:rsidRPr="00CA1A43" w:rsidRDefault="00F94D42" w:rsidP="00C642E4">
      <w:pPr>
        <w:pStyle w:val="a7"/>
        <w:numPr>
          <w:ilvl w:val="0"/>
          <w:numId w:val="176"/>
        </w:numPr>
        <w:spacing w:beforeLines="50" w:before="180"/>
        <w:ind w:leftChars="0" w:left="1446" w:hanging="482"/>
        <w:jc w:val="both"/>
        <w:rPr>
          <w:rFonts w:eastAsia="標楷體" w:cstheme="minorHAnsi"/>
        </w:rPr>
      </w:pPr>
      <w:r w:rsidRPr="00CA1A43">
        <w:rPr>
          <w:rFonts w:eastAsia="標楷體" w:cstheme="minorHAnsi"/>
        </w:rPr>
        <w:t>行為風險：造成履約</w:t>
      </w:r>
      <w:r w:rsidRPr="00CA1A43">
        <w:rPr>
          <w:rFonts w:eastAsia="標楷體" w:cstheme="minorHAnsi"/>
        </w:rPr>
        <w:t>/</w:t>
      </w:r>
      <w:r w:rsidRPr="00CA1A43">
        <w:rPr>
          <w:rFonts w:eastAsia="標楷體" w:cstheme="minorHAnsi"/>
        </w:rPr>
        <w:t>提前償還結果改變的風險，如固定利率不動產產品的零售顧客，所做的決定</w:t>
      </w:r>
      <w:proofErr w:type="gramStart"/>
      <w:r w:rsidRPr="00CA1A43">
        <w:rPr>
          <w:rFonts w:eastAsia="標楷體" w:cstheme="minorHAnsi"/>
        </w:rPr>
        <w:t>不</w:t>
      </w:r>
      <w:proofErr w:type="gramEnd"/>
      <w:r w:rsidRPr="00CA1A43">
        <w:rPr>
          <w:rFonts w:eastAsia="標楷體" w:cstheme="minorHAnsi"/>
        </w:rPr>
        <w:t>僅只考量單純財務利得。</w:t>
      </w:r>
      <w:r w:rsidRPr="00CA1A43">
        <w:rPr>
          <w:rFonts w:eastAsia="標楷體" w:cstheme="minorHAnsi"/>
        </w:rPr>
        <w:t>(</w:t>
      </w:r>
      <w:r w:rsidRPr="00CA1A43">
        <w:rPr>
          <w:rFonts w:eastAsia="標楷體" w:cstheme="minorHAnsi"/>
        </w:rPr>
        <w:t>例如：人口統計特徵和其他社會因素</w:t>
      </w:r>
      <w:r w:rsidRPr="00CA1A43">
        <w:rPr>
          <w:rFonts w:eastAsia="標楷體" w:cstheme="minorHAnsi"/>
        </w:rPr>
        <w:t>)</w:t>
      </w:r>
      <w:r w:rsidRPr="00CA1A43">
        <w:rPr>
          <w:rFonts w:eastAsia="標楷體" w:cstheme="minorHAnsi"/>
        </w:rPr>
        <w:t>。可贖回債券的贖回權是零售顧客所擁有時，可能被視為存在行為風險。</w:t>
      </w:r>
    </w:p>
    <w:p w14:paraId="7E60241C" w14:textId="7366ACD6" w:rsidR="00F94D42" w:rsidRPr="00CA1A43" w:rsidRDefault="00F94D42" w:rsidP="00C642E4">
      <w:pPr>
        <w:pStyle w:val="a7"/>
        <w:numPr>
          <w:ilvl w:val="0"/>
          <w:numId w:val="174"/>
        </w:numPr>
        <w:spacing w:beforeLines="50" w:before="180"/>
        <w:ind w:leftChars="0" w:left="964" w:hanging="482"/>
        <w:jc w:val="both"/>
        <w:rPr>
          <w:rFonts w:eastAsia="標楷體" w:cstheme="minorHAnsi"/>
        </w:rPr>
      </w:pPr>
      <w:r w:rsidRPr="00CA1A43">
        <w:rPr>
          <w:rFonts w:eastAsia="標楷體" w:cstheme="minorHAnsi"/>
        </w:rPr>
        <w:t>當</w:t>
      </w:r>
      <w:r w:rsidR="009653EE" w:rsidRPr="005B5933">
        <w:rPr>
          <w:rFonts w:eastAsia="標楷體" w:cstheme="minorHAnsi"/>
        </w:rPr>
        <w:t>工具</w:t>
      </w:r>
      <w:r w:rsidRPr="005B5933">
        <w:rPr>
          <w:rFonts w:eastAsia="標楷體" w:cstheme="minorHAnsi"/>
        </w:rPr>
        <w:t>會</w:t>
      </w:r>
      <w:r w:rsidRPr="00CA1A43">
        <w:rPr>
          <w:rFonts w:eastAsia="標楷體" w:cstheme="minorHAnsi"/>
        </w:rPr>
        <w:t>受到以下一個或多個風險類型的影響時，不需計提殘餘風險附加金額：</w:t>
      </w:r>
    </w:p>
    <w:p w14:paraId="49564B9E" w14:textId="77777777" w:rsidR="00F94D42" w:rsidRPr="00CA1A43" w:rsidRDefault="00F94D42" w:rsidP="00C642E4">
      <w:pPr>
        <w:pStyle w:val="a7"/>
        <w:numPr>
          <w:ilvl w:val="0"/>
          <w:numId w:val="177"/>
        </w:numPr>
        <w:spacing w:beforeLines="50" w:before="180"/>
        <w:ind w:leftChars="0" w:left="1446" w:hanging="482"/>
        <w:jc w:val="both"/>
        <w:rPr>
          <w:rFonts w:eastAsia="標楷體" w:cstheme="minorHAnsi"/>
        </w:rPr>
      </w:pPr>
      <w:r w:rsidRPr="00CA1A43">
        <w:rPr>
          <w:rFonts w:eastAsia="標楷體" w:cstheme="minorHAnsi"/>
        </w:rPr>
        <w:t>最廉價交割選擇權的風險。</w:t>
      </w:r>
    </w:p>
    <w:p w14:paraId="0E9FD993" w14:textId="77777777" w:rsidR="00F94D42" w:rsidRPr="00CA1A43" w:rsidRDefault="00F94D42" w:rsidP="00C642E4">
      <w:pPr>
        <w:pStyle w:val="a7"/>
        <w:numPr>
          <w:ilvl w:val="0"/>
          <w:numId w:val="177"/>
        </w:numPr>
        <w:spacing w:beforeLines="50" w:before="180"/>
        <w:ind w:leftChars="0" w:left="1446" w:hanging="482"/>
        <w:jc w:val="both"/>
        <w:rPr>
          <w:rFonts w:eastAsia="標楷體" w:cstheme="minorHAnsi"/>
        </w:rPr>
      </w:pPr>
      <w:r w:rsidRPr="00CA1A43">
        <w:rPr>
          <w:rFonts w:eastAsia="標楷體" w:cstheme="minorHAnsi"/>
        </w:rPr>
        <w:t>Smile</w:t>
      </w:r>
      <w:r w:rsidRPr="00CA1A43">
        <w:rPr>
          <w:rFonts w:eastAsia="標楷體" w:cstheme="minorHAnsi"/>
        </w:rPr>
        <w:t>風險：具選擇權特性之金融商品，標的和到期日相同但價內外程度不同時，隱含波動度</w:t>
      </w:r>
      <w:r w:rsidRPr="00CA1A43">
        <w:rPr>
          <w:rFonts w:eastAsia="標楷體" w:cstheme="minorHAnsi"/>
        </w:rPr>
        <w:t>(</w:t>
      </w:r>
      <w:r w:rsidRPr="00CA1A43">
        <w:rPr>
          <w:rFonts w:eastAsia="標楷體" w:cstheme="minorHAnsi"/>
        </w:rPr>
        <w:t>為決定選擇權價值之關鍵參數</w:t>
      </w:r>
      <w:r w:rsidRPr="00CA1A43">
        <w:rPr>
          <w:rFonts w:eastAsia="標楷體" w:cstheme="minorHAnsi"/>
        </w:rPr>
        <w:t>)</w:t>
      </w:r>
      <w:r w:rsidRPr="00CA1A43">
        <w:rPr>
          <w:rFonts w:eastAsia="標楷體" w:cstheme="minorHAnsi"/>
        </w:rPr>
        <w:t>改變之風險。</w:t>
      </w:r>
    </w:p>
    <w:p w14:paraId="256A8278" w14:textId="77777777" w:rsidR="00F94D42" w:rsidRPr="00CA1A43" w:rsidRDefault="00F94D42" w:rsidP="00C642E4">
      <w:pPr>
        <w:pStyle w:val="a7"/>
        <w:numPr>
          <w:ilvl w:val="0"/>
          <w:numId w:val="177"/>
        </w:numPr>
        <w:spacing w:beforeLines="50" w:before="180"/>
        <w:ind w:leftChars="0" w:left="1446" w:hanging="482"/>
        <w:jc w:val="both"/>
        <w:rPr>
          <w:rFonts w:eastAsia="標楷體" w:cstheme="minorHAnsi"/>
        </w:rPr>
      </w:pPr>
      <w:r w:rsidRPr="00CA1A43">
        <w:rPr>
          <w:rFonts w:eastAsia="標楷體" w:cstheme="minorHAnsi"/>
        </w:rPr>
        <w:t>相關性風險：多個標的物之歐式陽春型、美式陽春型或其線性組合後之選擇權，其標的資產間相關性之風險，這種情況特別適用於相關指數選擇權。</w:t>
      </w:r>
    </w:p>
    <w:p w14:paraId="021BF390" w14:textId="71EF7594" w:rsidR="00F94D42" w:rsidRPr="00CA1A43" w:rsidRDefault="00F94D42" w:rsidP="00C642E4">
      <w:pPr>
        <w:pStyle w:val="a7"/>
        <w:numPr>
          <w:ilvl w:val="0"/>
          <w:numId w:val="177"/>
        </w:numPr>
        <w:spacing w:beforeLines="50" w:before="180"/>
        <w:ind w:leftChars="0" w:left="1446" w:hanging="482"/>
        <w:jc w:val="both"/>
        <w:rPr>
          <w:rFonts w:eastAsia="標楷體" w:cstheme="minorHAnsi"/>
        </w:rPr>
      </w:pPr>
      <w:r w:rsidRPr="00CA1A43">
        <w:rPr>
          <w:rFonts w:eastAsia="標楷體" w:cstheme="minorHAnsi"/>
        </w:rPr>
        <w:t>股利風險：衍生性</w:t>
      </w:r>
      <w:r w:rsidR="009653EE" w:rsidRPr="005B5933">
        <w:rPr>
          <w:rFonts w:eastAsia="標楷體" w:cstheme="minorHAnsi"/>
        </w:rPr>
        <w:t>工具</w:t>
      </w:r>
      <w:r w:rsidRPr="00CA1A43">
        <w:rPr>
          <w:rFonts w:eastAsia="標楷體" w:cstheme="minorHAnsi"/>
        </w:rPr>
        <w:t>之標的物價格僅因股利支付而不一致之風險。</w:t>
      </w:r>
    </w:p>
    <w:p w14:paraId="055B971C" w14:textId="0453013F" w:rsidR="00F94D42" w:rsidRPr="00CA1A43" w:rsidRDefault="00F94D42" w:rsidP="00C642E4">
      <w:pPr>
        <w:pStyle w:val="a7"/>
        <w:numPr>
          <w:ilvl w:val="0"/>
          <w:numId w:val="177"/>
        </w:numPr>
        <w:spacing w:beforeLines="50" w:before="180"/>
        <w:ind w:leftChars="0" w:left="1446" w:hanging="482"/>
        <w:jc w:val="both"/>
        <w:rPr>
          <w:rFonts w:eastAsia="標楷體" w:cstheme="minorHAnsi"/>
        </w:rPr>
      </w:pPr>
      <w:r w:rsidRPr="00CA1A43">
        <w:rPr>
          <w:rFonts w:eastAsia="標楷體" w:cstheme="minorHAnsi"/>
        </w:rPr>
        <w:t>指數型</w:t>
      </w:r>
      <w:r w:rsidR="009653EE" w:rsidRPr="005B5933">
        <w:rPr>
          <w:rFonts w:eastAsia="標楷體" w:cstheme="minorHAnsi"/>
        </w:rPr>
        <w:t>工具</w:t>
      </w:r>
      <w:r w:rsidRPr="00CA1A43">
        <w:rPr>
          <w:rFonts w:eastAsia="標楷體" w:cstheme="minorHAnsi"/>
        </w:rPr>
        <w:t>與多重標的選擇權的</w:t>
      </w:r>
      <w:r w:rsidRPr="00CA1A43">
        <w:rPr>
          <w:rFonts w:eastAsia="標楷體" w:cstheme="minorHAnsi"/>
        </w:rPr>
        <w:t>delta</w:t>
      </w:r>
      <w:r w:rsidRPr="00CA1A43">
        <w:rPr>
          <w:rFonts w:eastAsia="標楷體" w:cstheme="minorHAnsi"/>
        </w:rPr>
        <w:t>、</w:t>
      </w:r>
      <w:proofErr w:type="spellStart"/>
      <w:r w:rsidRPr="00CA1A43">
        <w:rPr>
          <w:rFonts w:eastAsia="標楷體" w:cstheme="minorHAnsi"/>
        </w:rPr>
        <w:t>vega</w:t>
      </w:r>
      <w:proofErr w:type="spellEnd"/>
      <w:r w:rsidRPr="00CA1A43">
        <w:rPr>
          <w:rFonts w:eastAsia="標楷體" w:cstheme="minorHAnsi"/>
        </w:rPr>
        <w:t>或</w:t>
      </w:r>
      <w:r w:rsidRPr="00CA1A43">
        <w:rPr>
          <w:rFonts w:eastAsia="標楷體" w:cstheme="minorHAnsi"/>
        </w:rPr>
        <w:t>curvature</w:t>
      </w:r>
      <w:r w:rsidRPr="00CA1A43">
        <w:rPr>
          <w:rFonts w:eastAsia="標楷體" w:cstheme="minorHAnsi"/>
        </w:rPr>
        <w:t>風險處理可參照</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八</w:t>
      </w:r>
      <w:r w:rsidRPr="00CA1A43">
        <w:rPr>
          <w:rFonts w:eastAsia="標楷體" w:cstheme="minorHAnsi"/>
        </w:rPr>
        <w:t>)</w:t>
      </w:r>
      <w:r w:rsidRPr="00CA1A43">
        <w:rPr>
          <w:rFonts w:eastAsia="標楷體" w:cstheme="minorHAnsi"/>
        </w:rPr>
        <w:t>點第</w:t>
      </w:r>
      <w:r w:rsidRPr="00CA1A43">
        <w:rPr>
          <w:rFonts w:eastAsia="標楷體" w:cstheme="minorHAnsi"/>
        </w:rPr>
        <w:t>1</w:t>
      </w:r>
      <w:r w:rsidRPr="00CA1A43">
        <w:rPr>
          <w:rFonts w:eastAsia="標楷體" w:cstheme="minorHAnsi"/>
        </w:rPr>
        <w:t>項。如符合</w:t>
      </w:r>
      <w:proofErr w:type="gramStart"/>
      <w:r w:rsidRPr="00CA1A43">
        <w:rPr>
          <w:rFonts w:eastAsia="標楷體" w:cstheme="minorHAnsi"/>
        </w:rPr>
        <w:t>第四大點第</w:t>
      </w:r>
      <w:proofErr w:type="gramEnd"/>
      <w:r w:rsidRPr="00CA1A43">
        <w:rPr>
          <w:rFonts w:eastAsia="標楷體" w:cstheme="minorHAnsi"/>
        </w:rPr>
        <w:t>(</w:t>
      </w:r>
      <w:r w:rsidRPr="00CA1A43">
        <w:rPr>
          <w:rFonts w:eastAsia="標楷體" w:cstheme="minorHAnsi"/>
        </w:rPr>
        <w:t>二</w:t>
      </w:r>
      <w:r w:rsidRPr="00CA1A43">
        <w:rPr>
          <w:rFonts w:eastAsia="標楷體" w:cstheme="minorHAnsi"/>
        </w:rPr>
        <w:t>)</w:t>
      </w:r>
      <w:r w:rsidRPr="00CA1A43">
        <w:rPr>
          <w:rFonts w:eastAsia="標楷體" w:cstheme="minorHAnsi"/>
        </w:rPr>
        <w:t>點第</w:t>
      </w:r>
      <w:r w:rsidRPr="00CA1A43">
        <w:rPr>
          <w:rFonts w:eastAsia="標楷體" w:cstheme="minorHAnsi"/>
        </w:rPr>
        <w:t>1</w:t>
      </w:r>
      <w:r w:rsidRPr="00CA1A43">
        <w:rPr>
          <w:rFonts w:eastAsia="標楷體" w:cstheme="minorHAnsi"/>
        </w:rPr>
        <w:t>項至第</w:t>
      </w:r>
      <w:r w:rsidRPr="00CA1A43">
        <w:rPr>
          <w:rFonts w:eastAsia="標楷體" w:cstheme="minorHAnsi"/>
        </w:rPr>
        <w:t>4</w:t>
      </w:r>
      <w:r w:rsidRPr="00CA1A43">
        <w:rPr>
          <w:rFonts w:eastAsia="標楷體" w:cstheme="minorHAnsi"/>
        </w:rPr>
        <w:t>項之定義，仍受殘餘風險附加金額影響。以</w:t>
      </w:r>
      <w:proofErr w:type="gramStart"/>
      <w:r w:rsidRPr="00CA1A43">
        <w:rPr>
          <w:rFonts w:eastAsia="標楷體" w:cstheme="minorHAnsi"/>
        </w:rPr>
        <w:t>第二大點第</w:t>
      </w:r>
      <w:proofErr w:type="gramEnd"/>
      <w:r w:rsidRPr="00CA1A43">
        <w:rPr>
          <w:rFonts w:eastAsia="標楷體" w:cstheme="minorHAnsi"/>
        </w:rPr>
        <w:t>(</w:t>
      </w:r>
      <w:r w:rsidRPr="00CA1A43">
        <w:rPr>
          <w:rFonts w:eastAsia="標楷體" w:cstheme="minorHAnsi"/>
        </w:rPr>
        <w:t>九</w:t>
      </w:r>
      <w:r w:rsidRPr="00CA1A43">
        <w:rPr>
          <w:rFonts w:eastAsia="標楷體" w:cstheme="minorHAnsi"/>
        </w:rPr>
        <w:t>)</w:t>
      </w:r>
      <w:r w:rsidRPr="00CA1A43">
        <w:rPr>
          <w:rFonts w:eastAsia="標楷體" w:cstheme="minorHAnsi"/>
        </w:rPr>
        <w:t>點第</w:t>
      </w:r>
      <w:r w:rsidRPr="00CA1A43">
        <w:rPr>
          <w:rFonts w:eastAsia="標楷體" w:cstheme="minorHAnsi"/>
        </w:rPr>
        <w:t>2.(3)</w:t>
      </w:r>
      <w:r w:rsidRPr="00CA1A43">
        <w:rPr>
          <w:rFonts w:eastAsia="標楷體" w:cstheme="minorHAnsi"/>
        </w:rPr>
        <w:t>項處理之基金</w:t>
      </w:r>
      <w:r w:rsidRPr="00CA1A43">
        <w:rPr>
          <w:rFonts w:eastAsia="標楷體" w:cstheme="minorHAnsi"/>
        </w:rPr>
        <w:t>(</w:t>
      </w:r>
      <w:r w:rsidRPr="00CA1A43">
        <w:rPr>
          <w:rFonts w:eastAsia="標楷體" w:cstheme="minorHAnsi"/>
        </w:rPr>
        <w:t>視為未分級「其他產業」之權益證券</w:t>
      </w:r>
      <w:r w:rsidRPr="00CA1A43">
        <w:rPr>
          <w:rFonts w:eastAsia="標楷體" w:cstheme="minorHAnsi"/>
        </w:rPr>
        <w:t>)</w:t>
      </w:r>
      <w:r w:rsidRPr="00CA1A43">
        <w:rPr>
          <w:rFonts w:eastAsia="標楷體" w:cstheme="minorHAnsi"/>
        </w:rPr>
        <w:t>，銀行應假定基金於授權</w:t>
      </w:r>
      <w:r w:rsidRPr="00CA1A43">
        <w:rPr>
          <w:rFonts w:eastAsia="標楷體" w:cstheme="minorHAnsi"/>
        </w:rPr>
        <w:t>(</w:t>
      </w:r>
      <w:r w:rsidRPr="00CA1A43">
        <w:rPr>
          <w:rFonts w:eastAsia="標楷體" w:cstheme="minorHAnsi"/>
        </w:rPr>
        <w:t>公開說明書</w:t>
      </w:r>
      <w:r w:rsidRPr="00CA1A43">
        <w:rPr>
          <w:rFonts w:eastAsia="標楷體" w:cstheme="minorHAnsi"/>
        </w:rPr>
        <w:t>)</w:t>
      </w:r>
      <w:r w:rsidRPr="00CA1A43">
        <w:rPr>
          <w:rFonts w:eastAsia="標楷體" w:cstheme="minorHAnsi"/>
        </w:rPr>
        <w:t>下之最大</w:t>
      </w:r>
      <w:proofErr w:type="gramStart"/>
      <w:r w:rsidRPr="00CA1A43">
        <w:rPr>
          <w:rFonts w:eastAsia="標楷體" w:cstheme="minorHAnsi"/>
        </w:rPr>
        <w:t>可能暴險來</w:t>
      </w:r>
      <w:proofErr w:type="gramEnd"/>
      <w:r w:rsidRPr="00CA1A43">
        <w:rPr>
          <w:rFonts w:eastAsia="標楷體" w:cstheme="minorHAnsi"/>
        </w:rPr>
        <w:t>計算新奇標的</w:t>
      </w:r>
      <w:proofErr w:type="gramStart"/>
      <w:r w:rsidRPr="00CA1A43">
        <w:rPr>
          <w:rFonts w:eastAsia="標楷體" w:cstheme="minorHAnsi"/>
        </w:rPr>
        <w:t>物暴險</w:t>
      </w:r>
      <w:proofErr w:type="gramEnd"/>
      <w:r w:rsidRPr="00CA1A43">
        <w:rPr>
          <w:rFonts w:eastAsia="標楷體" w:cstheme="minorHAnsi"/>
        </w:rPr>
        <w:t>及殘餘風險。</w:t>
      </w:r>
    </w:p>
    <w:p w14:paraId="25C0BEB4" w14:textId="43102B3C" w:rsidR="00F94D42" w:rsidRPr="00CA1A43" w:rsidRDefault="00F94D42" w:rsidP="00C642E4">
      <w:pPr>
        <w:pStyle w:val="a7"/>
        <w:numPr>
          <w:ilvl w:val="0"/>
          <w:numId w:val="174"/>
        </w:numPr>
        <w:spacing w:beforeLines="50" w:before="180"/>
        <w:ind w:leftChars="0" w:left="964" w:hanging="482"/>
        <w:jc w:val="both"/>
        <w:rPr>
          <w:rFonts w:eastAsia="標楷體" w:cstheme="minorHAnsi"/>
        </w:rPr>
      </w:pPr>
      <w:r w:rsidRPr="00CA1A43">
        <w:rPr>
          <w:rFonts w:eastAsia="標楷體" w:cstheme="minorHAnsi"/>
        </w:rPr>
        <w:t>完全拋補給第三方的交易</w:t>
      </w:r>
      <w:r w:rsidRPr="00CA1A43">
        <w:rPr>
          <w:rFonts w:eastAsia="標楷體" w:cstheme="minorHAnsi"/>
        </w:rPr>
        <w:t>(</w:t>
      </w:r>
      <w:r w:rsidRPr="00CA1A43">
        <w:rPr>
          <w:rFonts w:eastAsia="標楷體" w:cstheme="minorHAnsi"/>
        </w:rPr>
        <w:t>即背對背交易</w:t>
      </w:r>
      <w:r w:rsidRPr="00CA1A43">
        <w:rPr>
          <w:rFonts w:eastAsia="標楷體" w:cstheme="minorHAnsi"/>
        </w:rPr>
        <w:t>)</w:t>
      </w:r>
      <w:r w:rsidRPr="00CA1A43">
        <w:rPr>
          <w:rFonts w:eastAsia="標楷體" w:cstheme="minorHAnsi"/>
        </w:rPr>
        <w:t>，原</w:t>
      </w:r>
      <w:proofErr w:type="gramStart"/>
      <w:r w:rsidRPr="00CA1A43">
        <w:rPr>
          <w:rFonts w:eastAsia="標楷體" w:cstheme="minorHAnsi"/>
        </w:rPr>
        <w:t>交易與拋補</w:t>
      </w:r>
      <w:proofErr w:type="gramEnd"/>
      <w:r w:rsidRPr="00CA1A43">
        <w:rPr>
          <w:rFonts w:eastAsia="標楷體" w:cstheme="minorHAnsi"/>
        </w:rPr>
        <w:t>交易兩端涉及的</w:t>
      </w:r>
      <w:r w:rsidR="009653EE" w:rsidRPr="00A41773">
        <w:rPr>
          <w:rFonts w:eastAsia="標楷體" w:cstheme="minorHAnsi"/>
        </w:rPr>
        <w:t>工具</w:t>
      </w:r>
      <w:r w:rsidRPr="00A41773">
        <w:rPr>
          <w:rFonts w:eastAsia="標楷體" w:cstheme="minorHAnsi"/>
        </w:rPr>
        <w:t>須被排除於殘餘風險附加金額資本要求。</w:t>
      </w:r>
      <w:r w:rsidR="0030653D" w:rsidRPr="0030653D">
        <w:rPr>
          <w:rFonts w:eastAsia="標楷體" w:cstheme="minorHAnsi"/>
          <w:color w:val="FF0000"/>
        </w:rPr>
        <w:t>符合</w:t>
      </w:r>
      <w:r w:rsidR="0030653D" w:rsidRPr="0030653D">
        <w:rPr>
          <w:rFonts w:eastAsia="標楷體" w:cstheme="minorHAnsi" w:hint="eastAsia"/>
          <w:color w:val="FF0000"/>
        </w:rPr>
        <w:t>第</w:t>
      </w:r>
      <w:r w:rsidR="0030653D" w:rsidRPr="0030653D">
        <w:rPr>
          <w:rFonts w:eastAsia="標楷體" w:cstheme="minorHAnsi"/>
          <w:color w:val="FF0000"/>
        </w:rPr>
        <w:t>(</w:t>
      </w:r>
      <w:r w:rsidR="0030653D" w:rsidRPr="0030653D">
        <w:rPr>
          <w:rFonts w:eastAsia="標楷體" w:cstheme="minorHAnsi"/>
          <w:color w:val="FF0000"/>
        </w:rPr>
        <w:t>二</w:t>
      </w:r>
      <w:r w:rsidR="0030653D" w:rsidRPr="0030653D">
        <w:rPr>
          <w:rFonts w:eastAsia="標楷體" w:cstheme="minorHAnsi"/>
          <w:color w:val="FF0000"/>
        </w:rPr>
        <w:t>)</w:t>
      </w:r>
      <w:r w:rsidR="0030653D" w:rsidRPr="0030653D">
        <w:rPr>
          <w:rFonts w:eastAsia="標楷體" w:cstheme="minorHAnsi" w:hint="eastAsia"/>
          <w:color w:val="FF0000"/>
        </w:rPr>
        <w:t>點第</w:t>
      </w:r>
      <w:r w:rsidR="0030653D" w:rsidRPr="0030653D">
        <w:rPr>
          <w:rFonts w:eastAsia="標楷體" w:cstheme="minorHAnsi"/>
          <w:color w:val="FF0000"/>
        </w:rPr>
        <w:t>3</w:t>
      </w:r>
      <w:r w:rsidR="0030653D" w:rsidRPr="0030653D">
        <w:rPr>
          <w:rFonts w:eastAsia="標楷體" w:cstheme="minorHAnsi" w:hint="eastAsia"/>
          <w:color w:val="FF0000"/>
        </w:rPr>
        <w:t>項</w:t>
      </w:r>
      <w:r w:rsidR="0030653D" w:rsidRPr="0030653D">
        <w:rPr>
          <w:rFonts w:eastAsia="標楷體" w:cstheme="minorHAnsi"/>
          <w:color w:val="FF0000"/>
        </w:rPr>
        <w:t>定義的</w:t>
      </w:r>
      <w:r w:rsidRPr="00A41773">
        <w:rPr>
          <w:rFonts w:eastAsia="標楷體" w:cstheme="minorHAnsi"/>
        </w:rPr>
        <w:t>任何掛牌且</w:t>
      </w:r>
      <w:r w:rsidRPr="00A41773">
        <w:rPr>
          <w:rFonts w:eastAsia="標楷體" w:cstheme="minorHAnsi"/>
        </w:rPr>
        <w:t>/</w:t>
      </w:r>
      <w:r w:rsidRPr="00A41773">
        <w:rPr>
          <w:rFonts w:eastAsia="標楷體" w:cstheme="minorHAnsi"/>
        </w:rPr>
        <w:t>或合格的集中清算之</w:t>
      </w:r>
      <w:r w:rsidR="009653EE" w:rsidRPr="00A41773">
        <w:rPr>
          <w:rFonts w:eastAsia="標楷體" w:cstheme="minorHAnsi"/>
        </w:rPr>
        <w:t>工具</w:t>
      </w:r>
      <w:r w:rsidRPr="00CA1A43">
        <w:rPr>
          <w:rFonts w:eastAsia="標楷體" w:cstheme="minorHAnsi"/>
        </w:rPr>
        <w:t>亦須被排除於殘餘風險附加</w:t>
      </w:r>
      <w:r w:rsidRPr="00CA1A43">
        <w:rPr>
          <w:rFonts w:eastAsia="標楷體" w:cstheme="minorHAnsi"/>
        </w:rPr>
        <w:lastRenderedPageBreak/>
        <w:t>金額。</w:t>
      </w:r>
      <w:proofErr w:type="gramStart"/>
      <w:r w:rsidR="00A44B61" w:rsidRPr="00A44B61">
        <w:rPr>
          <w:rFonts w:eastAsia="標楷體" w:cstheme="minorHAnsi" w:hint="eastAsia"/>
          <w:color w:val="FF0000"/>
        </w:rPr>
        <w:t>惟</w:t>
      </w:r>
      <w:proofErr w:type="gramEnd"/>
      <w:r w:rsidR="00A44B61" w:rsidRPr="00A44B61">
        <w:rPr>
          <w:rFonts w:eastAsia="標楷體" w:cstheme="minorHAnsi" w:hint="eastAsia"/>
          <w:color w:val="FF0000"/>
        </w:rPr>
        <w:t>含有新奇標的物</w:t>
      </w:r>
      <w:r w:rsidR="00B4306E" w:rsidRPr="00B4306E">
        <w:rPr>
          <w:rFonts w:eastAsia="標楷體" w:cstheme="minorHAnsi"/>
          <w:color w:val="FF0000"/>
        </w:rPr>
        <w:t>之工具</w:t>
      </w:r>
      <w:r w:rsidR="00B4306E">
        <w:rPr>
          <w:rFonts w:eastAsia="標楷體" w:cstheme="minorHAnsi"/>
          <w:color w:val="FF0000"/>
        </w:rPr>
        <w:t>須被</w:t>
      </w:r>
      <w:r w:rsidR="00B4306E">
        <w:rPr>
          <w:rFonts w:eastAsia="標楷體" w:cstheme="minorHAnsi" w:hint="eastAsia"/>
          <w:color w:val="FF0000"/>
        </w:rPr>
        <w:t>包含</w:t>
      </w:r>
      <w:r w:rsidR="00B4306E" w:rsidRPr="00B4306E">
        <w:rPr>
          <w:rFonts w:eastAsia="標楷體" w:cstheme="minorHAnsi"/>
          <w:color w:val="FF0000"/>
        </w:rPr>
        <w:t>於殘餘風險附加金額</w:t>
      </w:r>
      <w:r w:rsidR="00A44B61">
        <w:rPr>
          <w:rFonts w:eastAsia="標楷體" w:cstheme="minorHAnsi" w:hint="eastAsia"/>
          <w:color w:val="FF0000"/>
        </w:rPr>
        <w:t>之中</w:t>
      </w:r>
      <w:r w:rsidR="00B4306E" w:rsidRPr="00B4306E">
        <w:rPr>
          <w:rFonts w:eastAsia="標楷體" w:cstheme="minorHAnsi"/>
          <w:color w:val="FF0000"/>
        </w:rPr>
        <w:t>。</w:t>
      </w:r>
    </w:p>
    <w:p w14:paraId="6E60CC55" w14:textId="77777777" w:rsidR="00F94D42" w:rsidRPr="00CA1A43" w:rsidRDefault="00F805C0" w:rsidP="00C642E4">
      <w:pPr>
        <w:pStyle w:val="a7"/>
        <w:numPr>
          <w:ilvl w:val="0"/>
          <w:numId w:val="173"/>
        </w:numPr>
        <w:spacing w:beforeLines="50" w:before="180"/>
        <w:ind w:leftChars="0" w:left="737" w:hanging="737"/>
        <w:jc w:val="both"/>
        <w:rPr>
          <w:rFonts w:eastAsia="標楷體" w:cstheme="minorHAnsi"/>
        </w:rPr>
      </w:pPr>
      <w:r w:rsidRPr="00CA1A43">
        <w:rPr>
          <w:rFonts w:eastAsia="標楷體" w:cstheme="minorHAnsi"/>
        </w:rPr>
        <w:t>殘餘風險附加金額計算</w:t>
      </w:r>
    </w:p>
    <w:p w14:paraId="128BB861" w14:textId="77777777" w:rsidR="00F805C0" w:rsidRPr="00CA1A43" w:rsidRDefault="00F805C0" w:rsidP="001E4EDD">
      <w:pPr>
        <w:pStyle w:val="a7"/>
        <w:numPr>
          <w:ilvl w:val="0"/>
          <w:numId w:val="182"/>
        </w:numPr>
        <w:spacing w:beforeLines="50" w:before="180"/>
        <w:ind w:leftChars="0" w:left="964" w:hanging="482"/>
        <w:jc w:val="both"/>
        <w:rPr>
          <w:rFonts w:eastAsia="標楷體" w:cstheme="minorHAnsi"/>
        </w:rPr>
      </w:pPr>
      <w:r w:rsidRPr="00CA1A43">
        <w:rPr>
          <w:rFonts w:eastAsia="標楷體" w:cstheme="minorHAnsi"/>
        </w:rPr>
        <w:t>在標準法架構下，須於其他風險資本要求之外，額外計算殘餘風險附加金額。殘餘風險附加金額計算說明如下。</w:t>
      </w:r>
    </w:p>
    <w:p w14:paraId="152D14DE" w14:textId="25127C75" w:rsidR="00F805C0" w:rsidRPr="00CA1A43" w:rsidRDefault="00F805C0" w:rsidP="00C642E4">
      <w:pPr>
        <w:pStyle w:val="a7"/>
        <w:numPr>
          <w:ilvl w:val="0"/>
          <w:numId w:val="178"/>
        </w:numPr>
        <w:spacing w:beforeLines="50" w:before="180"/>
        <w:ind w:leftChars="0" w:left="1446" w:hanging="482"/>
        <w:jc w:val="both"/>
        <w:rPr>
          <w:rFonts w:eastAsia="標楷體" w:cstheme="minorHAnsi"/>
        </w:rPr>
      </w:pPr>
      <w:r w:rsidRPr="00CA1A43">
        <w:rPr>
          <w:rFonts w:eastAsia="標楷體" w:cstheme="minorHAnsi"/>
        </w:rPr>
        <w:t>受到殘餘風險附加金額影響的</w:t>
      </w:r>
      <w:r w:rsidR="009653EE" w:rsidRPr="00D54620">
        <w:rPr>
          <w:rFonts w:eastAsia="標楷體" w:cstheme="minorHAnsi"/>
        </w:rPr>
        <w:t>工具</w:t>
      </w:r>
      <w:r w:rsidRPr="00D54620">
        <w:rPr>
          <w:rFonts w:eastAsia="標楷體" w:cstheme="minorHAnsi"/>
        </w:rPr>
        <w:t>範</w:t>
      </w:r>
      <w:r w:rsidRPr="00CA1A43">
        <w:rPr>
          <w:rFonts w:eastAsia="標楷體" w:cstheme="minorHAnsi"/>
        </w:rPr>
        <w:t>疇，是不會受到在標準法下</w:t>
      </w:r>
      <w:r w:rsidRPr="00CA1A43">
        <w:rPr>
          <w:rFonts w:eastAsia="標楷體" w:cstheme="minorHAnsi"/>
        </w:rPr>
        <w:t>delta</w:t>
      </w:r>
      <w:r w:rsidRPr="00CA1A43">
        <w:rPr>
          <w:rFonts w:eastAsia="標楷體" w:cstheme="minorHAnsi"/>
        </w:rPr>
        <w:t>、</w:t>
      </w:r>
      <w:proofErr w:type="spellStart"/>
      <w:r w:rsidRPr="00CA1A43">
        <w:rPr>
          <w:rFonts w:eastAsia="標楷體" w:cstheme="minorHAnsi"/>
        </w:rPr>
        <w:t>vega</w:t>
      </w:r>
      <w:proofErr w:type="spellEnd"/>
      <w:r w:rsidRPr="00CA1A43">
        <w:rPr>
          <w:rFonts w:eastAsia="標楷體" w:cstheme="minorHAnsi"/>
        </w:rPr>
        <w:t>、</w:t>
      </w:r>
      <w:r w:rsidRPr="00CA1A43">
        <w:rPr>
          <w:rFonts w:eastAsia="標楷體" w:cstheme="minorHAnsi"/>
        </w:rPr>
        <w:t>curvature</w:t>
      </w:r>
      <w:r w:rsidRPr="00CA1A43">
        <w:rPr>
          <w:rFonts w:eastAsia="標楷體" w:cstheme="minorHAnsi"/>
        </w:rPr>
        <w:t>及違約風險等風險因子的增加或減少而產生衝擊。</w:t>
      </w:r>
    </w:p>
    <w:p w14:paraId="7D8641E4" w14:textId="07AB7CA5" w:rsidR="00F805C0" w:rsidRPr="00CA1A43" w:rsidRDefault="00F805C0" w:rsidP="00C642E4">
      <w:pPr>
        <w:pStyle w:val="a7"/>
        <w:numPr>
          <w:ilvl w:val="0"/>
          <w:numId w:val="178"/>
        </w:numPr>
        <w:spacing w:beforeLines="50" w:before="180"/>
        <w:ind w:leftChars="0" w:left="1446" w:hanging="482"/>
        <w:jc w:val="both"/>
        <w:rPr>
          <w:rFonts w:eastAsia="標楷體" w:cstheme="minorHAnsi"/>
        </w:rPr>
      </w:pPr>
      <w:r w:rsidRPr="00CA1A43">
        <w:rPr>
          <w:rFonts w:eastAsia="標楷體" w:cstheme="minorHAnsi"/>
        </w:rPr>
        <w:t>殘餘風險附加金額是透過</w:t>
      </w:r>
      <w:proofErr w:type="gramStart"/>
      <w:r w:rsidRPr="00CA1A43">
        <w:rPr>
          <w:rFonts w:eastAsia="標楷體" w:cstheme="minorHAnsi"/>
        </w:rPr>
        <w:t>含有殘差風險</w:t>
      </w:r>
      <w:proofErr w:type="gramEnd"/>
      <w:r w:rsidRPr="00CA1A43">
        <w:rPr>
          <w:rFonts w:eastAsia="標楷體" w:cstheme="minorHAnsi"/>
        </w:rPr>
        <w:t>的</w:t>
      </w:r>
      <w:r w:rsidR="009653EE" w:rsidRPr="00D54620">
        <w:rPr>
          <w:rFonts w:eastAsia="標楷體" w:cstheme="minorHAnsi"/>
        </w:rPr>
        <w:t>工具</w:t>
      </w:r>
      <w:r w:rsidRPr="00CA1A43">
        <w:rPr>
          <w:rFonts w:eastAsia="標楷體" w:cstheme="minorHAnsi"/>
        </w:rPr>
        <w:t>總名目本金簡單加總後，再乘以風險權數。</w:t>
      </w:r>
    </w:p>
    <w:p w14:paraId="229ABF57" w14:textId="20EE8E20" w:rsidR="00F805C0" w:rsidRPr="00D54620" w:rsidRDefault="00F805C0" w:rsidP="00C642E4">
      <w:pPr>
        <w:pStyle w:val="a7"/>
        <w:numPr>
          <w:ilvl w:val="0"/>
          <w:numId w:val="179"/>
        </w:numPr>
        <w:spacing w:beforeLines="50" w:before="180"/>
        <w:ind w:leftChars="0"/>
        <w:jc w:val="both"/>
        <w:rPr>
          <w:rFonts w:eastAsia="標楷體" w:cstheme="minorHAnsi"/>
        </w:rPr>
      </w:pPr>
      <w:proofErr w:type="gramStart"/>
      <w:r w:rsidRPr="00CA1A43">
        <w:rPr>
          <w:rFonts w:eastAsia="標楷體" w:cstheme="minorHAnsi"/>
        </w:rPr>
        <w:t>第四大點第</w:t>
      </w:r>
      <w:proofErr w:type="gramEnd"/>
      <w:r w:rsidRPr="00CA1A43">
        <w:rPr>
          <w:rFonts w:eastAsia="標楷體" w:cstheme="minorHAnsi"/>
        </w:rPr>
        <w:t>(</w:t>
      </w:r>
      <w:r w:rsidRPr="00CA1A43">
        <w:rPr>
          <w:rFonts w:eastAsia="標楷體" w:cstheme="minorHAnsi"/>
        </w:rPr>
        <w:t>二</w:t>
      </w:r>
      <w:r w:rsidRPr="00CA1A43">
        <w:rPr>
          <w:rFonts w:eastAsia="標楷體" w:cstheme="minorHAnsi"/>
        </w:rPr>
        <w:t>)</w:t>
      </w:r>
      <w:r w:rsidRPr="00CA1A43">
        <w:rPr>
          <w:rFonts w:eastAsia="標楷體" w:cstheme="minorHAnsi"/>
        </w:rPr>
        <w:t>點第</w:t>
      </w:r>
      <w:r w:rsidRPr="00CA1A43">
        <w:rPr>
          <w:rFonts w:eastAsia="標楷體" w:cstheme="minorHAnsi"/>
        </w:rPr>
        <w:t>2</w:t>
      </w:r>
      <w:r w:rsidRPr="00CA1A43">
        <w:rPr>
          <w:rFonts w:eastAsia="標楷體" w:cstheme="minorHAnsi"/>
        </w:rPr>
        <w:t>項所指，對於含有新奇標的物的</w:t>
      </w:r>
      <w:r w:rsidR="009653EE" w:rsidRPr="00D54620">
        <w:rPr>
          <w:rFonts w:eastAsia="標楷體" w:cstheme="minorHAnsi"/>
        </w:rPr>
        <w:t>工具</w:t>
      </w:r>
      <w:r w:rsidRPr="00D54620">
        <w:rPr>
          <w:rFonts w:eastAsia="標楷體" w:cstheme="minorHAnsi"/>
        </w:rPr>
        <w:t>乘以風險權數</w:t>
      </w:r>
      <w:r w:rsidRPr="00D54620">
        <w:rPr>
          <w:rFonts w:eastAsia="標楷體" w:cstheme="minorHAnsi"/>
        </w:rPr>
        <w:t>1%</w:t>
      </w:r>
      <w:r w:rsidRPr="00D54620">
        <w:rPr>
          <w:rFonts w:eastAsia="標楷體" w:cstheme="minorHAnsi"/>
        </w:rPr>
        <w:t>。</w:t>
      </w:r>
    </w:p>
    <w:p w14:paraId="25AB3BA8" w14:textId="01B71ED9" w:rsidR="00F805C0" w:rsidRPr="00CA1A43" w:rsidRDefault="00F805C0" w:rsidP="00C642E4">
      <w:pPr>
        <w:pStyle w:val="a7"/>
        <w:numPr>
          <w:ilvl w:val="0"/>
          <w:numId w:val="179"/>
        </w:numPr>
        <w:spacing w:beforeLines="50" w:before="180"/>
        <w:ind w:leftChars="0"/>
        <w:jc w:val="both"/>
        <w:rPr>
          <w:rFonts w:eastAsia="標楷體" w:cstheme="minorHAnsi"/>
        </w:rPr>
      </w:pPr>
      <w:proofErr w:type="gramStart"/>
      <w:r w:rsidRPr="00D54620">
        <w:rPr>
          <w:rFonts w:eastAsia="標楷體" w:cstheme="minorHAnsi"/>
        </w:rPr>
        <w:t>第四大點第</w:t>
      </w:r>
      <w:proofErr w:type="gramEnd"/>
      <w:r w:rsidRPr="00D54620">
        <w:rPr>
          <w:rFonts w:eastAsia="標楷體" w:cstheme="minorHAnsi"/>
        </w:rPr>
        <w:t>(</w:t>
      </w:r>
      <w:r w:rsidRPr="00D54620">
        <w:rPr>
          <w:rFonts w:eastAsia="標楷體" w:cstheme="minorHAnsi"/>
        </w:rPr>
        <w:t>二</w:t>
      </w:r>
      <w:r w:rsidRPr="00D54620">
        <w:rPr>
          <w:rFonts w:eastAsia="標楷體" w:cstheme="minorHAnsi"/>
        </w:rPr>
        <w:t>)</w:t>
      </w:r>
      <w:r w:rsidRPr="00D54620">
        <w:rPr>
          <w:rFonts w:eastAsia="標楷體" w:cstheme="minorHAnsi"/>
        </w:rPr>
        <w:t>點第</w:t>
      </w:r>
      <w:r w:rsidRPr="00D54620">
        <w:rPr>
          <w:rFonts w:eastAsia="標楷體" w:cstheme="minorHAnsi"/>
        </w:rPr>
        <w:t>3</w:t>
      </w:r>
      <w:r w:rsidRPr="00D54620">
        <w:rPr>
          <w:rFonts w:eastAsia="標楷體" w:cstheme="minorHAnsi"/>
        </w:rPr>
        <w:t>項所指，對於含有其他殘餘風險的</w:t>
      </w:r>
      <w:r w:rsidR="009653EE" w:rsidRPr="00D54620">
        <w:rPr>
          <w:rFonts w:eastAsia="標楷體" w:cstheme="minorHAnsi"/>
        </w:rPr>
        <w:t>工具</w:t>
      </w:r>
      <w:r w:rsidRPr="00CA1A43">
        <w:rPr>
          <w:rFonts w:eastAsia="標楷體" w:cstheme="minorHAnsi"/>
        </w:rPr>
        <w:t>乘以風險權數</w:t>
      </w:r>
      <w:r w:rsidRPr="00CA1A43">
        <w:rPr>
          <w:rFonts w:eastAsia="標楷體" w:cstheme="minorHAnsi"/>
        </w:rPr>
        <w:t>0.1%</w:t>
      </w:r>
      <w:r w:rsidRPr="00CA1A43">
        <w:rPr>
          <w:rFonts w:eastAsia="標楷體" w:cstheme="minorHAnsi"/>
        </w:rPr>
        <w:t>。</w:t>
      </w:r>
      <w:r w:rsidRPr="00CA1A43">
        <w:rPr>
          <w:rStyle w:val="a5"/>
          <w:rFonts w:eastAsia="標楷體" w:cstheme="minorHAnsi"/>
        </w:rPr>
        <w:footnoteReference w:id="58"/>
      </w:r>
    </w:p>
    <w:p w14:paraId="351C67B6" w14:textId="77777777" w:rsidR="003F2CCF" w:rsidRPr="00CA1A43" w:rsidRDefault="003F2CCF" w:rsidP="001E4EDD">
      <w:pPr>
        <w:spacing w:beforeLines="50" w:before="180"/>
        <w:jc w:val="both"/>
        <w:rPr>
          <w:rFonts w:eastAsia="標楷體" w:cstheme="minorHAnsi"/>
        </w:rPr>
      </w:pPr>
    </w:p>
    <w:p w14:paraId="1DC37621" w14:textId="77777777" w:rsidR="006C57E6" w:rsidRPr="00CA1A43" w:rsidRDefault="006C57E6" w:rsidP="000E11DD">
      <w:pPr>
        <w:spacing w:beforeLines="50" w:before="180"/>
        <w:jc w:val="both"/>
        <w:rPr>
          <w:rFonts w:eastAsia="標楷體" w:cstheme="minorHAnsi"/>
        </w:rPr>
      </w:pPr>
    </w:p>
    <w:p w14:paraId="6E978EA0" w14:textId="77777777" w:rsidR="006C57E6" w:rsidRPr="00CA1A43" w:rsidRDefault="006C57E6" w:rsidP="000E11DD">
      <w:pPr>
        <w:spacing w:beforeLines="50" w:before="180"/>
        <w:jc w:val="both"/>
        <w:rPr>
          <w:rFonts w:eastAsia="標楷體" w:cstheme="minorHAnsi"/>
        </w:rPr>
      </w:pPr>
    </w:p>
    <w:p w14:paraId="47478AA2" w14:textId="77777777" w:rsidR="006C57E6" w:rsidRPr="00CA1A43" w:rsidRDefault="006C57E6" w:rsidP="000E11DD">
      <w:pPr>
        <w:spacing w:beforeLines="50" w:before="180"/>
        <w:jc w:val="both"/>
        <w:rPr>
          <w:rFonts w:eastAsia="標楷體" w:cstheme="minorHAnsi"/>
        </w:rPr>
      </w:pPr>
    </w:p>
    <w:p w14:paraId="1E9E4218" w14:textId="4C3B871C" w:rsidR="006C57E6" w:rsidRDefault="006C57E6" w:rsidP="000E11DD">
      <w:pPr>
        <w:spacing w:beforeLines="50" w:before="180"/>
        <w:jc w:val="both"/>
        <w:rPr>
          <w:rFonts w:eastAsia="標楷體" w:cstheme="minorHAnsi"/>
        </w:rPr>
      </w:pPr>
    </w:p>
    <w:p w14:paraId="22BB2327" w14:textId="235EB4CC" w:rsidR="0087517C" w:rsidRDefault="0087517C" w:rsidP="000E11DD">
      <w:pPr>
        <w:spacing w:beforeLines="50" w:before="180"/>
        <w:jc w:val="both"/>
        <w:rPr>
          <w:rFonts w:eastAsia="標楷體" w:cstheme="minorHAnsi"/>
        </w:rPr>
      </w:pPr>
    </w:p>
    <w:p w14:paraId="034ABB92" w14:textId="3648D2DA" w:rsidR="0087517C" w:rsidRDefault="0087517C" w:rsidP="000E11DD">
      <w:pPr>
        <w:spacing w:beforeLines="50" w:before="180"/>
        <w:jc w:val="both"/>
        <w:rPr>
          <w:rFonts w:eastAsia="標楷體" w:cstheme="minorHAnsi"/>
        </w:rPr>
      </w:pPr>
    </w:p>
    <w:p w14:paraId="22CDCB37" w14:textId="4EADE81C" w:rsidR="0087517C" w:rsidRDefault="0087517C" w:rsidP="000E11DD">
      <w:pPr>
        <w:spacing w:beforeLines="50" w:before="180"/>
        <w:jc w:val="both"/>
        <w:rPr>
          <w:rFonts w:eastAsia="標楷體" w:cstheme="minorHAnsi"/>
        </w:rPr>
      </w:pPr>
    </w:p>
    <w:p w14:paraId="00AE4840" w14:textId="62DA30BE" w:rsidR="0087517C" w:rsidRDefault="0087517C" w:rsidP="000E11DD">
      <w:pPr>
        <w:spacing w:beforeLines="50" w:before="180"/>
        <w:jc w:val="both"/>
        <w:rPr>
          <w:rFonts w:eastAsia="標楷體" w:cstheme="minorHAnsi"/>
        </w:rPr>
      </w:pPr>
    </w:p>
    <w:p w14:paraId="678CC34F" w14:textId="5B62390A" w:rsidR="0087517C" w:rsidRDefault="0087517C" w:rsidP="000E11DD">
      <w:pPr>
        <w:spacing w:beforeLines="50" w:before="180"/>
        <w:jc w:val="both"/>
        <w:rPr>
          <w:rFonts w:eastAsia="標楷體" w:cstheme="minorHAnsi"/>
        </w:rPr>
      </w:pPr>
    </w:p>
    <w:p w14:paraId="59309BCC" w14:textId="74328DCD" w:rsidR="0087517C" w:rsidRDefault="0087517C" w:rsidP="000E11DD">
      <w:pPr>
        <w:spacing w:beforeLines="50" w:before="180"/>
        <w:jc w:val="both"/>
        <w:rPr>
          <w:rFonts w:eastAsia="標楷體" w:cstheme="minorHAnsi"/>
        </w:rPr>
      </w:pPr>
    </w:p>
    <w:p w14:paraId="6B963AE1" w14:textId="2454380F" w:rsidR="00B70E4E" w:rsidRPr="00CA1A43" w:rsidRDefault="00B70E4E" w:rsidP="000E11DD">
      <w:pPr>
        <w:spacing w:beforeLines="50" w:before="180"/>
        <w:jc w:val="both"/>
        <w:rPr>
          <w:rFonts w:eastAsia="標楷體" w:cstheme="minorHAnsi"/>
        </w:rPr>
      </w:pPr>
    </w:p>
    <w:p w14:paraId="385A5302" w14:textId="77777777" w:rsidR="00D10ADE" w:rsidRPr="00CA1A43" w:rsidRDefault="00A75BC4" w:rsidP="00145DCF">
      <w:pPr>
        <w:widowControl/>
        <w:spacing w:beforeLines="50" w:before="180"/>
        <w:jc w:val="both"/>
        <w:rPr>
          <w:rFonts w:eastAsia="標楷體" w:cstheme="minorHAnsi"/>
        </w:rPr>
      </w:pPr>
      <w:r w:rsidRPr="00CA1A43">
        <w:rPr>
          <w:rFonts w:eastAsia="標楷體" w:cstheme="minorHAnsi"/>
        </w:rPr>
        <w:br w:type="page"/>
      </w:r>
    </w:p>
    <w:p w14:paraId="7C2F47B8" w14:textId="77777777" w:rsidR="00DF7C4C" w:rsidRPr="00CA1A43" w:rsidRDefault="00243CF1" w:rsidP="00243CF1">
      <w:pPr>
        <w:pStyle w:val="12"/>
        <w:numPr>
          <w:ilvl w:val="0"/>
          <w:numId w:val="42"/>
        </w:numPr>
        <w:spacing w:beforeLines="50" w:before="180"/>
        <w:jc w:val="both"/>
        <w:outlineLvl w:val="0"/>
        <w:rPr>
          <w:rFonts w:asciiTheme="minorHAnsi" w:hAnsiTheme="minorHAnsi" w:cstheme="minorHAnsi"/>
          <w:b/>
          <w:color w:val="auto"/>
        </w:rPr>
      </w:pPr>
      <w:bookmarkStart w:id="13" w:name="_Toc67992453"/>
      <w:r w:rsidRPr="00CA1A43">
        <w:rPr>
          <w:rFonts w:asciiTheme="minorHAnsi" w:hAnsiTheme="minorHAnsi" w:cstheme="minorHAnsi"/>
          <w:b/>
          <w:color w:val="auto"/>
        </w:rPr>
        <w:lastRenderedPageBreak/>
        <w:t>簡易標準法</w:t>
      </w:r>
      <w:bookmarkEnd w:id="13"/>
    </w:p>
    <w:p w14:paraId="30145AE1" w14:textId="16B6ED42" w:rsidR="00726FCF" w:rsidRDefault="00726FCF" w:rsidP="00C642E4">
      <w:pPr>
        <w:pStyle w:val="a7"/>
        <w:numPr>
          <w:ilvl w:val="0"/>
          <w:numId w:val="180"/>
        </w:numPr>
        <w:spacing w:beforeLines="50" w:before="180"/>
        <w:ind w:leftChars="0" w:left="567" w:hanging="567"/>
        <w:jc w:val="both"/>
        <w:outlineLvl w:val="0"/>
        <w:rPr>
          <w:rFonts w:eastAsia="標楷體" w:cstheme="minorHAnsi"/>
          <w:szCs w:val="24"/>
        </w:rPr>
      </w:pPr>
      <w:bookmarkStart w:id="14" w:name="_Toc67992454"/>
      <w:r w:rsidRPr="00726FCF">
        <w:rPr>
          <w:rFonts w:eastAsia="標楷體" w:cstheme="minorHAnsi" w:hint="eastAsia"/>
          <w:color w:val="FF0000"/>
          <w:szCs w:val="24"/>
        </w:rPr>
        <w:t>簡易</w:t>
      </w:r>
      <w:r w:rsidRPr="00726FCF">
        <w:rPr>
          <w:rFonts w:eastAsia="標楷體" w:cstheme="minorHAnsi"/>
          <w:color w:val="FF0000"/>
          <w:szCs w:val="24"/>
        </w:rPr>
        <w:t>標準法</w:t>
      </w:r>
      <w:r w:rsidRPr="00726FCF">
        <w:rPr>
          <w:rFonts w:eastAsia="標楷體" w:cstheme="minorHAnsi" w:hint="eastAsia"/>
          <w:color w:val="FF0000"/>
          <w:szCs w:val="24"/>
        </w:rPr>
        <w:t>資本要求計算</w:t>
      </w:r>
      <w:bookmarkEnd w:id="14"/>
    </w:p>
    <w:p w14:paraId="3CDF4F70" w14:textId="5F573836" w:rsidR="00243CF1" w:rsidRPr="00CA1A43" w:rsidRDefault="00726FCF" w:rsidP="00726FCF">
      <w:pPr>
        <w:spacing w:beforeLines="50" w:before="180" w:line="260" w:lineRule="exact"/>
        <w:ind w:left="567"/>
        <w:rPr>
          <w:rFonts w:eastAsia="標楷體" w:cstheme="minorHAnsi"/>
          <w:szCs w:val="24"/>
        </w:rPr>
      </w:pPr>
      <w:r w:rsidRPr="00CA1A43">
        <w:rPr>
          <w:rFonts w:eastAsia="標楷體" w:cstheme="minorHAnsi"/>
          <w:szCs w:val="24"/>
          <w:lang w:eastAsia="zh-HK"/>
        </w:rPr>
        <w:t>在</w:t>
      </w:r>
      <w:r w:rsidRPr="00CA1A43">
        <w:rPr>
          <w:rFonts w:eastAsia="標楷體" w:cstheme="minorHAnsi"/>
          <w:szCs w:val="24"/>
        </w:rPr>
        <w:t>簡易標準法下</w:t>
      </w:r>
      <w:r w:rsidRPr="00CA1A43">
        <w:rPr>
          <w:rFonts w:eastAsia="標楷體" w:cstheme="minorHAnsi"/>
          <w:szCs w:val="24"/>
          <w:lang w:eastAsia="zh-HK"/>
        </w:rPr>
        <w:t>，市場風險之加權</w:t>
      </w:r>
      <w:r w:rsidRPr="00CA1A43">
        <w:rPr>
          <w:rFonts w:eastAsia="標楷體" w:cstheme="minorHAnsi"/>
          <w:szCs w:val="24"/>
        </w:rPr>
        <w:t>風險</w:t>
      </w:r>
      <w:r w:rsidRPr="00CA1A43">
        <w:rPr>
          <w:rFonts w:eastAsia="標楷體" w:cstheme="minorHAnsi"/>
          <w:szCs w:val="24"/>
          <w:lang w:eastAsia="zh-HK"/>
        </w:rPr>
        <w:t>性</w:t>
      </w:r>
      <w:r w:rsidRPr="00CA1A43">
        <w:rPr>
          <w:rFonts w:eastAsia="標楷體" w:cstheme="minorHAnsi"/>
          <w:szCs w:val="24"/>
        </w:rPr>
        <w:t>資產為依據簡易</w:t>
      </w:r>
      <w:proofErr w:type="gramStart"/>
      <w:r w:rsidRPr="00CA1A43">
        <w:rPr>
          <w:rFonts w:eastAsia="標楷體" w:cstheme="minorHAnsi"/>
          <w:szCs w:val="24"/>
        </w:rPr>
        <w:t>標準法計提</w:t>
      </w:r>
      <w:proofErr w:type="gramEnd"/>
      <w:r w:rsidRPr="00CA1A43">
        <w:rPr>
          <w:rFonts w:eastAsia="標楷體" w:cstheme="minorHAnsi"/>
          <w:szCs w:val="24"/>
        </w:rPr>
        <w:t>之資本要求乘</w:t>
      </w:r>
      <w:r w:rsidRPr="00CA1A43">
        <w:rPr>
          <w:rFonts w:eastAsia="標楷體" w:cstheme="minorHAnsi"/>
          <w:szCs w:val="24"/>
          <w:lang w:eastAsia="zh-HK"/>
        </w:rPr>
        <w:t>以</w:t>
      </w:r>
      <w:r w:rsidRPr="00CA1A43">
        <w:rPr>
          <w:rFonts w:eastAsia="標楷體" w:cstheme="minorHAnsi"/>
          <w:szCs w:val="24"/>
        </w:rPr>
        <w:t>12.5</w:t>
      </w:r>
      <w:r w:rsidRPr="00CA1A43">
        <w:rPr>
          <w:rFonts w:eastAsia="標楷體" w:cstheme="minorHAnsi"/>
          <w:szCs w:val="24"/>
        </w:rPr>
        <w:t>。</w:t>
      </w:r>
    </w:p>
    <w:p w14:paraId="20649F78" w14:textId="5A372085" w:rsidR="00726FCF" w:rsidRDefault="00726FCF" w:rsidP="00C642E4">
      <w:pPr>
        <w:pStyle w:val="a7"/>
        <w:numPr>
          <w:ilvl w:val="0"/>
          <w:numId w:val="180"/>
        </w:numPr>
        <w:spacing w:beforeLines="50" w:before="180"/>
        <w:ind w:leftChars="0" w:left="567" w:hanging="567"/>
        <w:jc w:val="both"/>
        <w:outlineLvl w:val="0"/>
        <w:rPr>
          <w:rFonts w:eastAsia="標楷體" w:cstheme="minorHAnsi"/>
          <w:szCs w:val="24"/>
        </w:rPr>
      </w:pPr>
      <w:bookmarkStart w:id="15" w:name="_Toc67992455"/>
      <w:r w:rsidRPr="00726FCF">
        <w:rPr>
          <w:rFonts w:eastAsia="標楷體" w:cstheme="minorHAnsi" w:hint="eastAsia"/>
          <w:color w:val="FF0000"/>
          <w:szCs w:val="24"/>
        </w:rPr>
        <w:t>簡易標準法</w:t>
      </w:r>
      <w:bookmarkEnd w:id="15"/>
      <w:r w:rsidR="002C16F8">
        <w:rPr>
          <w:rFonts w:eastAsia="標楷體" w:cstheme="minorHAnsi" w:hint="eastAsia"/>
          <w:color w:val="FF0000"/>
          <w:szCs w:val="24"/>
        </w:rPr>
        <w:t>之架構</w:t>
      </w:r>
    </w:p>
    <w:p w14:paraId="5DF73D40" w14:textId="250A8A33" w:rsidR="00243CF1" w:rsidRPr="00CA1A43" w:rsidRDefault="00243CF1" w:rsidP="00726FCF">
      <w:pPr>
        <w:spacing w:beforeLines="50" w:before="180" w:line="260" w:lineRule="exact"/>
        <w:ind w:left="567"/>
        <w:rPr>
          <w:rFonts w:eastAsia="標楷體" w:cstheme="minorHAnsi"/>
          <w:szCs w:val="24"/>
        </w:rPr>
      </w:pPr>
      <w:r w:rsidRPr="00CA1A43">
        <w:rPr>
          <w:rFonts w:eastAsia="標楷體" w:cstheme="minorHAnsi"/>
          <w:szCs w:val="24"/>
        </w:rPr>
        <w:t>簡易標準法之市場風險資本計提應分為利率風險、權益證券風險、外匯風險及商品風險等四種風險類別，並依下列公式簡單加總：</w:t>
      </w:r>
    </w:p>
    <w:p w14:paraId="70F5979D" w14:textId="77777777" w:rsidR="00243CF1" w:rsidRPr="00CA1A43" w:rsidRDefault="00243CF1" w:rsidP="00243CF1">
      <w:pPr>
        <w:spacing w:beforeLines="50" w:before="180" w:afterLines="25" w:after="90"/>
        <w:rPr>
          <w:rFonts w:eastAsia="標楷體" w:cstheme="minorHAnsi"/>
          <w:sz w:val="21"/>
          <w:szCs w:val="21"/>
        </w:rPr>
      </w:pPr>
      <m:oMathPara>
        <m:oMath>
          <m:r>
            <w:rPr>
              <w:rFonts w:ascii="Cambria Math" w:eastAsia="標楷體" w:hAnsi="Cambria Math" w:cstheme="minorHAnsi"/>
              <w:sz w:val="21"/>
              <w:szCs w:val="21"/>
            </w:rPr>
            <m:t>Capital requirement</m:t>
          </m:r>
          <m:r>
            <m:rPr>
              <m:sty m:val="p"/>
            </m:rPr>
            <w:rPr>
              <w:rFonts w:ascii="Cambria Math" w:eastAsia="標楷體" w:hAnsi="Cambria Math" w:cstheme="minorHAnsi"/>
              <w:sz w:val="21"/>
              <w:szCs w:val="21"/>
            </w:rPr>
            <m:t>=</m:t>
          </m:r>
          <m:sSub>
            <m:sSubPr>
              <m:ctrlPr>
                <w:rPr>
                  <w:rFonts w:ascii="Cambria Math" w:eastAsia="標楷體" w:hAnsi="Cambria Math" w:cstheme="minorHAnsi"/>
                  <w:sz w:val="21"/>
                  <w:szCs w:val="21"/>
                </w:rPr>
              </m:ctrlPr>
            </m:sSubPr>
            <m:e>
              <m:r>
                <w:rPr>
                  <w:rFonts w:ascii="Cambria Math" w:eastAsia="標楷體" w:hAnsi="Cambria Math" w:cstheme="minorHAnsi"/>
                  <w:sz w:val="21"/>
                  <w:szCs w:val="21"/>
                </w:rPr>
                <m:t>CR</m:t>
              </m:r>
            </m:e>
            <m:sub>
              <m:r>
                <w:rPr>
                  <w:rFonts w:ascii="Cambria Math" w:eastAsia="標楷體" w:hAnsi="Cambria Math" w:cstheme="minorHAnsi"/>
                  <w:sz w:val="21"/>
                  <w:szCs w:val="21"/>
                </w:rPr>
                <m:t>IRR</m:t>
              </m:r>
            </m:sub>
          </m:sSub>
          <m:r>
            <w:rPr>
              <w:rFonts w:ascii="Cambria Math" w:eastAsia="標楷體" w:hAnsi="Cambria Math" w:cstheme="minorHAnsi"/>
              <w:sz w:val="21"/>
              <w:szCs w:val="21"/>
            </w:rPr>
            <m:t>*</m:t>
          </m:r>
          <m:sSub>
            <m:sSubPr>
              <m:ctrlPr>
                <w:rPr>
                  <w:rFonts w:ascii="Cambria Math" w:eastAsia="標楷體" w:hAnsi="Cambria Math" w:cstheme="minorHAnsi"/>
                  <w:i/>
                  <w:sz w:val="21"/>
                  <w:szCs w:val="21"/>
                </w:rPr>
              </m:ctrlPr>
            </m:sSubPr>
            <m:e>
              <m:r>
                <w:rPr>
                  <w:rFonts w:ascii="Cambria Math" w:eastAsia="標楷體" w:hAnsi="Cambria Math" w:cstheme="minorHAnsi"/>
                  <w:sz w:val="21"/>
                  <w:szCs w:val="21"/>
                </w:rPr>
                <m:t>SF</m:t>
              </m:r>
            </m:e>
            <m:sub>
              <m:r>
                <w:rPr>
                  <w:rFonts w:ascii="Cambria Math" w:eastAsia="標楷體" w:hAnsi="Cambria Math" w:cstheme="minorHAnsi"/>
                  <w:sz w:val="21"/>
                  <w:szCs w:val="21"/>
                </w:rPr>
                <m:t>IRR</m:t>
              </m:r>
            </m:sub>
          </m:sSub>
          <m:r>
            <w:rPr>
              <w:rFonts w:ascii="Cambria Math" w:eastAsia="標楷體" w:hAnsi="Cambria Math" w:cstheme="minorHAnsi"/>
              <w:sz w:val="21"/>
              <w:szCs w:val="21"/>
            </w:rPr>
            <m:t>+</m:t>
          </m:r>
          <m:sSub>
            <m:sSubPr>
              <m:ctrlPr>
                <w:rPr>
                  <w:rFonts w:ascii="Cambria Math" w:eastAsia="標楷體" w:hAnsi="Cambria Math" w:cstheme="minorHAnsi"/>
                  <w:sz w:val="21"/>
                  <w:szCs w:val="21"/>
                </w:rPr>
              </m:ctrlPr>
            </m:sSubPr>
            <m:e>
              <m:r>
                <w:rPr>
                  <w:rFonts w:ascii="Cambria Math" w:eastAsia="標楷體" w:hAnsi="Cambria Math" w:cstheme="minorHAnsi"/>
                  <w:sz w:val="21"/>
                  <w:szCs w:val="21"/>
                </w:rPr>
                <m:t>CR</m:t>
              </m:r>
            </m:e>
            <m:sub>
              <m:r>
                <w:rPr>
                  <w:rFonts w:ascii="Cambria Math" w:eastAsia="標楷體" w:hAnsi="Cambria Math" w:cstheme="minorHAnsi"/>
                  <w:sz w:val="21"/>
                  <w:szCs w:val="21"/>
                </w:rPr>
                <m:t>EQ</m:t>
              </m:r>
            </m:sub>
          </m:sSub>
          <m:r>
            <w:rPr>
              <w:rFonts w:ascii="Cambria Math" w:eastAsia="標楷體" w:hAnsi="Cambria Math" w:cstheme="minorHAnsi"/>
              <w:sz w:val="21"/>
              <w:szCs w:val="21"/>
            </w:rPr>
            <m:t>*</m:t>
          </m:r>
          <m:sSub>
            <m:sSubPr>
              <m:ctrlPr>
                <w:rPr>
                  <w:rFonts w:ascii="Cambria Math" w:eastAsia="標楷體" w:hAnsi="Cambria Math" w:cstheme="minorHAnsi"/>
                  <w:i/>
                  <w:sz w:val="21"/>
                  <w:szCs w:val="21"/>
                </w:rPr>
              </m:ctrlPr>
            </m:sSubPr>
            <m:e>
              <m:r>
                <w:rPr>
                  <w:rFonts w:ascii="Cambria Math" w:eastAsia="標楷體" w:hAnsi="Cambria Math" w:cstheme="minorHAnsi"/>
                  <w:sz w:val="21"/>
                  <w:szCs w:val="21"/>
                </w:rPr>
                <m:t>SF</m:t>
              </m:r>
            </m:e>
            <m:sub>
              <m:r>
                <w:rPr>
                  <w:rFonts w:ascii="Cambria Math" w:eastAsia="標楷體" w:hAnsi="Cambria Math" w:cstheme="minorHAnsi"/>
                  <w:sz w:val="21"/>
                  <w:szCs w:val="21"/>
                </w:rPr>
                <m:t>EQ</m:t>
              </m:r>
            </m:sub>
          </m:sSub>
          <m:r>
            <w:rPr>
              <w:rFonts w:ascii="Cambria Math" w:eastAsia="標楷體" w:hAnsi="Cambria Math" w:cstheme="minorHAnsi"/>
              <w:sz w:val="21"/>
              <w:szCs w:val="21"/>
            </w:rPr>
            <m:t>+</m:t>
          </m:r>
          <m:sSub>
            <m:sSubPr>
              <m:ctrlPr>
                <w:rPr>
                  <w:rFonts w:ascii="Cambria Math" w:eastAsia="標楷體" w:hAnsi="Cambria Math" w:cstheme="minorHAnsi"/>
                  <w:sz w:val="21"/>
                  <w:szCs w:val="21"/>
                </w:rPr>
              </m:ctrlPr>
            </m:sSubPr>
            <m:e>
              <m:r>
                <w:rPr>
                  <w:rFonts w:ascii="Cambria Math" w:eastAsia="標楷體" w:hAnsi="Cambria Math" w:cstheme="minorHAnsi"/>
                  <w:sz w:val="21"/>
                  <w:szCs w:val="21"/>
                </w:rPr>
                <m:t>CR</m:t>
              </m:r>
            </m:e>
            <m:sub>
              <m:r>
                <w:rPr>
                  <w:rFonts w:ascii="Cambria Math" w:eastAsia="標楷體" w:hAnsi="Cambria Math" w:cstheme="minorHAnsi"/>
                  <w:sz w:val="21"/>
                  <w:szCs w:val="21"/>
                </w:rPr>
                <m:t>FX</m:t>
              </m:r>
            </m:sub>
          </m:sSub>
          <m:r>
            <w:rPr>
              <w:rFonts w:ascii="Cambria Math" w:eastAsia="標楷體" w:hAnsi="Cambria Math" w:cstheme="minorHAnsi"/>
              <w:sz w:val="21"/>
              <w:szCs w:val="21"/>
            </w:rPr>
            <m:t>*</m:t>
          </m:r>
          <m:sSub>
            <m:sSubPr>
              <m:ctrlPr>
                <w:rPr>
                  <w:rFonts w:ascii="Cambria Math" w:eastAsia="標楷體" w:hAnsi="Cambria Math" w:cstheme="minorHAnsi"/>
                  <w:i/>
                  <w:sz w:val="21"/>
                  <w:szCs w:val="21"/>
                </w:rPr>
              </m:ctrlPr>
            </m:sSubPr>
            <m:e>
              <m:r>
                <w:rPr>
                  <w:rFonts w:ascii="Cambria Math" w:eastAsia="標楷體" w:hAnsi="Cambria Math" w:cstheme="minorHAnsi"/>
                  <w:sz w:val="21"/>
                  <w:szCs w:val="21"/>
                </w:rPr>
                <m:t>SF</m:t>
              </m:r>
            </m:e>
            <m:sub>
              <m:r>
                <w:rPr>
                  <w:rFonts w:ascii="Cambria Math" w:eastAsia="標楷體" w:hAnsi="Cambria Math" w:cstheme="minorHAnsi"/>
                  <w:sz w:val="21"/>
                  <w:szCs w:val="21"/>
                </w:rPr>
                <m:t>FX</m:t>
              </m:r>
            </m:sub>
          </m:sSub>
          <m:r>
            <w:rPr>
              <w:rFonts w:ascii="Cambria Math" w:eastAsia="標楷體" w:hAnsi="Cambria Math" w:cstheme="minorHAnsi"/>
              <w:sz w:val="21"/>
              <w:szCs w:val="21"/>
            </w:rPr>
            <m:t>+</m:t>
          </m:r>
          <m:sSub>
            <m:sSubPr>
              <m:ctrlPr>
                <w:rPr>
                  <w:rFonts w:ascii="Cambria Math" w:eastAsia="標楷體" w:hAnsi="Cambria Math" w:cstheme="minorHAnsi"/>
                  <w:sz w:val="21"/>
                  <w:szCs w:val="21"/>
                </w:rPr>
              </m:ctrlPr>
            </m:sSubPr>
            <m:e>
              <m:r>
                <w:rPr>
                  <w:rFonts w:ascii="Cambria Math" w:eastAsia="標楷體" w:hAnsi="Cambria Math" w:cstheme="minorHAnsi"/>
                  <w:sz w:val="21"/>
                  <w:szCs w:val="21"/>
                </w:rPr>
                <m:t>CR</m:t>
              </m:r>
            </m:e>
            <m:sub>
              <m:r>
                <w:rPr>
                  <w:rFonts w:ascii="Cambria Math" w:eastAsia="標楷體" w:hAnsi="Cambria Math" w:cstheme="minorHAnsi"/>
                  <w:sz w:val="21"/>
                  <w:szCs w:val="21"/>
                </w:rPr>
                <m:t>COMM</m:t>
              </m:r>
            </m:sub>
          </m:sSub>
          <m:r>
            <w:rPr>
              <w:rFonts w:ascii="Cambria Math" w:eastAsia="標楷體" w:hAnsi="Cambria Math" w:cstheme="minorHAnsi"/>
              <w:sz w:val="21"/>
              <w:szCs w:val="21"/>
            </w:rPr>
            <m:t>*</m:t>
          </m:r>
          <m:sSub>
            <m:sSubPr>
              <m:ctrlPr>
                <w:rPr>
                  <w:rFonts w:ascii="Cambria Math" w:eastAsia="標楷體" w:hAnsi="Cambria Math" w:cstheme="minorHAnsi"/>
                  <w:i/>
                  <w:sz w:val="21"/>
                  <w:szCs w:val="21"/>
                </w:rPr>
              </m:ctrlPr>
            </m:sSubPr>
            <m:e>
              <m:r>
                <w:rPr>
                  <w:rFonts w:ascii="Cambria Math" w:eastAsia="標楷體" w:hAnsi="Cambria Math" w:cstheme="minorHAnsi"/>
                  <w:sz w:val="21"/>
                  <w:szCs w:val="21"/>
                </w:rPr>
                <m:t>SF</m:t>
              </m:r>
            </m:e>
            <m:sub>
              <m:r>
                <w:rPr>
                  <w:rFonts w:ascii="Cambria Math" w:eastAsia="標楷體" w:hAnsi="Cambria Math" w:cstheme="minorHAnsi"/>
                  <w:sz w:val="21"/>
                  <w:szCs w:val="21"/>
                </w:rPr>
                <m:t>COMM</m:t>
              </m:r>
            </m:sub>
          </m:sSub>
        </m:oMath>
      </m:oMathPara>
    </w:p>
    <w:p w14:paraId="18C65A4C" w14:textId="77777777" w:rsidR="00243CF1" w:rsidRPr="00CA1A43" w:rsidRDefault="00243CF1" w:rsidP="00243CF1">
      <w:pPr>
        <w:spacing w:beforeLines="20" w:before="72" w:line="260" w:lineRule="exact"/>
        <w:ind w:left="567"/>
        <w:rPr>
          <w:rFonts w:eastAsia="標楷體" w:cstheme="minorHAnsi"/>
          <w:kern w:val="0"/>
          <w:szCs w:val="24"/>
        </w:rPr>
      </w:pPr>
      <w:r w:rsidRPr="00CA1A43">
        <w:rPr>
          <w:rFonts w:eastAsia="標楷體" w:cstheme="minorHAnsi"/>
          <w:kern w:val="0"/>
          <w:szCs w:val="24"/>
        </w:rPr>
        <w:t>其中：</w:t>
      </w:r>
    </w:p>
    <w:p w14:paraId="0C82DD9E" w14:textId="48E77F31" w:rsidR="00243CF1" w:rsidRPr="00050EA7" w:rsidRDefault="00AA1117" w:rsidP="00C642E4">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CR</m:t>
            </m:r>
          </m:e>
          <m:sub>
            <m:r>
              <m:rPr>
                <m:sty m:val="p"/>
              </m:rPr>
              <w:rPr>
                <w:rFonts w:ascii="Cambria Math" w:eastAsia="標楷體" w:hAnsi="Cambria Math" w:cstheme="minorHAnsi"/>
              </w:rPr>
              <m:t>IRR</m:t>
            </m:r>
          </m:sub>
        </m:sSub>
      </m:oMath>
      <w:r w:rsidR="00243CF1" w:rsidRPr="00CA1A43">
        <w:rPr>
          <w:rFonts w:eastAsia="標楷體" w:cstheme="minorHAnsi"/>
        </w:rPr>
        <w:t>=</w:t>
      </w:r>
      <w:r w:rsidR="00243CF1" w:rsidRPr="00CA1A43">
        <w:rPr>
          <w:rFonts w:eastAsia="標楷體" w:cstheme="minorHAnsi"/>
        </w:rPr>
        <w:t>利率風險資本計提，加上對債務</w:t>
      </w:r>
      <w:r w:rsidR="009653EE" w:rsidRPr="00050EA7">
        <w:rPr>
          <w:rFonts w:eastAsia="標楷體" w:cstheme="minorHAnsi"/>
        </w:rPr>
        <w:t>工具</w:t>
      </w:r>
      <w:r w:rsidR="00243CF1" w:rsidRPr="00050EA7">
        <w:rPr>
          <w:rFonts w:eastAsia="標楷體" w:cstheme="minorHAnsi"/>
        </w:rPr>
        <w:t>選擇權處理之資本要求；</w:t>
      </w:r>
    </w:p>
    <w:p w14:paraId="137CBF3B" w14:textId="584F88DC" w:rsidR="00243CF1" w:rsidRPr="00050EA7" w:rsidRDefault="00AA1117" w:rsidP="00C642E4">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CR</m:t>
            </m:r>
          </m:e>
          <m:sub>
            <m:r>
              <m:rPr>
                <m:sty m:val="p"/>
              </m:rPr>
              <w:rPr>
                <w:rFonts w:ascii="Cambria Math" w:eastAsia="標楷體" w:hAnsi="Cambria Math" w:cstheme="minorHAnsi"/>
              </w:rPr>
              <m:t>EQ</m:t>
            </m:r>
          </m:sub>
        </m:sSub>
      </m:oMath>
      <w:r w:rsidR="00243CF1" w:rsidRPr="00050EA7">
        <w:rPr>
          <w:rFonts w:eastAsia="標楷體" w:cstheme="minorHAnsi"/>
          <w:szCs w:val="24"/>
        </w:rPr>
        <w:t>=</w:t>
      </w:r>
      <w:r w:rsidR="00243CF1" w:rsidRPr="00050EA7">
        <w:rPr>
          <w:rFonts w:eastAsia="標楷體" w:cstheme="minorHAnsi"/>
          <w:szCs w:val="24"/>
        </w:rPr>
        <w:t>權益</w:t>
      </w:r>
      <w:r w:rsidR="00243CF1" w:rsidRPr="00050EA7">
        <w:rPr>
          <w:rFonts w:eastAsia="標楷體" w:cstheme="minorHAnsi"/>
        </w:rPr>
        <w:t>證券</w:t>
      </w:r>
      <w:r w:rsidR="00243CF1" w:rsidRPr="00050EA7">
        <w:rPr>
          <w:rFonts w:eastAsia="標楷體" w:cstheme="minorHAnsi"/>
          <w:szCs w:val="24"/>
        </w:rPr>
        <w:t>風險資本計提，加上對權益證券</w:t>
      </w:r>
      <w:r w:rsidR="009653EE" w:rsidRPr="00050EA7">
        <w:rPr>
          <w:rFonts w:eastAsia="標楷體" w:cstheme="minorHAnsi"/>
          <w:szCs w:val="24"/>
        </w:rPr>
        <w:t>工具</w:t>
      </w:r>
      <w:r w:rsidR="00243CF1" w:rsidRPr="00050EA7">
        <w:rPr>
          <w:rFonts w:eastAsia="標楷體" w:cstheme="minorHAnsi"/>
          <w:szCs w:val="24"/>
        </w:rPr>
        <w:t>選擇權處理之資本要求；</w:t>
      </w:r>
    </w:p>
    <w:p w14:paraId="33C10331" w14:textId="5185D348" w:rsidR="00243CF1" w:rsidRPr="00050EA7" w:rsidRDefault="00AA1117" w:rsidP="00C642E4">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CR</m:t>
            </m:r>
          </m:e>
          <m:sub>
            <m:r>
              <m:rPr>
                <m:sty m:val="p"/>
              </m:rPr>
              <w:rPr>
                <w:rFonts w:ascii="Cambria Math" w:eastAsia="標楷體" w:hAnsi="Cambria Math" w:cstheme="minorHAnsi"/>
              </w:rPr>
              <m:t>FX</m:t>
            </m:r>
          </m:sub>
        </m:sSub>
      </m:oMath>
      <w:r w:rsidR="00243CF1" w:rsidRPr="00050EA7">
        <w:rPr>
          <w:rFonts w:eastAsia="標楷體" w:cstheme="minorHAnsi"/>
          <w:szCs w:val="24"/>
        </w:rPr>
        <w:t>=</w:t>
      </w:r>
      <w:r w:rsidR="00243CF1" w:rsidRPr="00050EA7">
        <w:rPr>
          <w:rFonts w:eastAsia="標楷體" w:cstheme="minorHAnsi"/>
          <w:szCs w:val="24"/>
        </w:rPr>
        <w:t>外匯風險</w:t>
      </w:r>
      <w:r w:rsidR="00243CF1" w:rsidRPr="00050EA7">
        <w:rPr>
          <w:rFonts w:eastAsia="標楷體" w:cstheme="minorHAnsi"/>
        </w:rPr>
        <w:t>資本</w:t>
      </w:r>
      <w:r w:rsidR="00243CF1" w:rsidRPr="00050EA7">
        <w:rPr>
          <w:rFonts w:eastAsia="標楷體" w:cstheme="minorHAnsi"/>
          <w:szCs w:val="24"/>
        </w:rPr>
        <w:t>計提，加上對外匯</w:t>
      </w:r>
      <w:r w:rsidR="009653EE" w:rsidRPr="00050EA7">
        <w:rPr>
          <w:rFonts w:eastAsia="標楷體" w:cstheme="minorHAnsi"/>
          <w:szCs w:val="24"/>
        </w:rPr>
        <w:t>工具</w:t>
      </w:r>
      <w:r w:rsidR="00243CF1" w:rsidRPr="00050EA7">
        <w:rPr>
          <w:rFonts w:eastAsia="標楷體" w:cstheme="minorHAnsi"/>
          <w:szCs w:val="24"/>
        </w:rPr>
        <w:t>選擇權處理之資本要求；</w:t>
      </w:r>
    </w:p>
    <w:p w14:paraId="0EA43097" w14:textId="3244D9C2" w:rsidR="00243CF1" w:rsidRPr="00CA1A43" w:rsidRDefault="00AA1117" w:rsidP="00C642E4">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CR</m:t>
            </m:r>
          </m:e>
          <m:sub>
            <m:r>
              <m:rPr>
                <m:sty m:val="p"/>
              </m:rPr>
              <w:rPr>
                <w:rFonts w:ascii="Cambria Math" w:eastAsia="標楷體" w:hAnsi="Cambria Math" w:cstheme="minorHAnsi"/>
              </w:rPr>
              <m:t>COMM</m:t>
            </m:r>
          </m:sub>
        </m:sSub>
      </m:oMath>
      <w:r w:rsidR="00243CF1" w:rsidRPr="00050EA7">
        <w:rPr>
          <w:rFonts w:eastAsia="標楷體" w:cstheme="minorHAnsi"/>
          <w:szCs w:val="24"/>
        </w:rPr>
        <w:t>=</w:t>
      </w:r>
      <w:r w:rsidR="00243CF1" w:rsidRPr="00050EA7">
        <w:rPr>
          <w:rFonts w:eastAsia="標楷體" w:cstheme="minorHAnsi"/>
          <w:szCs w:val="24"/>
        </w:rPr>
        <w:t>商品風險資本計提，加上對商品</w:t>
      </w:r>
      <w:r w:rsidR="009653EE" w:rsidRPr="00050EA7">
        <w:rPr>
          <w:rFonts w:eastAsia="標楷體" w:cstheme="minorHAnsi"/>
          <w:szCs w:val="24"/>
        </w:rPr>
        <w:t>工具</w:t>
      </w:r>
      <w:r w:rsidR="00243CF1" w:rsidRPr="00050EA7">
        <w:rPr>
          <w:rFonts w:eastAsia="標楷體" w:cstheme="minorHAnsi"/>
          <w:szCs w:val="24"/>
        </w:rPr>
        <w:t>選擇</w:t>
      </w:r>
      <w:r w:rsidR="00243CF1" w:rsidRPr="00CA1A43">
        <w:rPr>
          <w:rFonts w:eastAsia="標楷體" w:cstheme="minorHAnsi"/>
          <w:szCs w:val="24"/>
        </w:rPr>
        <w:t>權處理之資本要求；</w:t>
      </w:r>
    </w:p>
    <w:p w14:paraId="4BE8D6C3" w14:textId="77777777" w:rsidR="00243CF1" w:rsidRPr="00CA1A43" w:rsidRDefault="00AA1117" w:rsidP="00C642E4">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SF</m:t>
            </m:r>
          </m:e>
          <m:sub>
            <m:r>
              <m:rPr>
                <m:sty m:val="p"/>
              </m:rPr>
              <w:rPr>
                <w:rFonts w:ascii="Cambria Math" w:eastAsia="標楷體" w:hAnsi="Cambria Math" w:cstheme="minorHAnsi"/>
              </w:rPr>
              <m:t>IRR</m:t>
            </m:r>
          </m:sub>
        </m:sSub>
      </m:oMath>
      <w:r w:rsidR="00243CF1" w:rsidRPr="00CA1A43">
        <w:rPr>
          <w:rFonts w:eastAsia="標楷體" w:cstheme="minorHAnsi"/>
        </w:rPr>
        <w:t>=</w:t>
      </w:r>
      <w:r w:rsidR="00243CF1" w:rsidRPr="00CA1A43">
        <w:rPr>
          <w:rFonts w:eastAsia="標楷體" w:cstheme="minorHAnsi"/>
        </w:rPr>
        <w:t>乘數</w:t>
      </w:r>
      <w:r w:rsidR="00243CF1" w:rsidRPr="00CA1A43">
        <w:rPr>
          <w:rFonts w:eastAsia="標楷體" w:cstheme="minorHAnsi"/>
          <w:szCs w:val="24"/>
        </w:rPr>
        <w:t>因子</w:t>
      </w:r>
      <w:r w:rsidR="00243CF1" w:rsidRPr="00CA1A43">
        <w:rPr>
          <w:rFonts w:eastAsia="標楷體" w:cstheme="minorHAnsi"/>
        </w:rPr>
        <w:t>1.30</w:t>
      </w:r>
      <w:r w:rsidR="00243CF1" w:rsidRPr="00CA1A43">
        <w:rPr>
          <w:rFonts w:eastAsia="標楷體" w:cstheme="minorHAnsi"/>
        </w:rPr>
        <w:t>；</w:t>
      </w:r>
    </w:p>
    <w:p w14:paraId="3E83E2BD" w14:textId="77777777" w:rsidR="00243CF1" w:rsidRPr="00CA1A43" w:rsidRDefault="00AA1117" w:rsidP="00C642E4">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SF</m:t>
            </m:r>
          </m:e>
          <m:sub>
            <m:r>
              <m:rPr>
                <m:sty m:val="p"/>
              </m:rPr>
              <w:rPr>
                <w:rFonts w:ascii="Cambria Math" w:eastAsia="標楷體" w:hAnsi="Cambria Math" w:cstheme="minorHAnsi"/>
              </w:rPr>
              <m:t>EQ</m:t>
            </m:r>
          </m:sub>
        </m:sSub>
      </m:oMath>
      <w:r w:rsidR="00243CF1" w:rsidRPr="00CA1A43">
        <w:rPr>
          <w:rFonts w:eastAsia="標楷體" w:cstheme="minorHAnsi"/>
        </w:rPr>
        <w:t>=</w:t>
      </w:r>
      <w:r w:rsidR="00243CF1" w:rsidRPr="00CA1A43">
        <w:rPr>
          <w:rFonts w:eastAsia="標楷體" w:cstheme="minorHAnsi"/>
        </w:rPr>
        <w:t>乘數因子</w:t>
      </w:r>
      <w:r w:rsidR="00243CF1" w:rsidRPr="00CA1A43">
        <w:rPr>
          <w:rFonts w:eastAsia="標楷體" w:cstheme="minorHAnsi"/>
        </w:rPr>
        <w:t>3.50</w:t>
      </w:r>
      <w:r w:rsidR="00243CF1" w:rsidRPr="00CA1A43">
        <w:rPr>
          <w:rFonts w:eastAsia="標楷體" w:cstheme="minorHAnsi"/>
        </w:rPr>
        <w:t>；</w:t>
      </w:r>
    </w:p>
    <w:p w14:paraId="649E35B7" w14:textId="77777777" w:rsidR="00243CF1" w:rsidRPr="00CA1A43" w:rsidRDefault="00AA1117" w:rsidP="00C642E4">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SF</m:t>
            </m:r>
          </m:e>
          <m:sub>
            <m:r>
              <w:rPr>
                <w:rFonts w:ascii="Cambria Math" w:eastAsia="標楷體" w:hAnsi="Cambria Math" w:cstheme="minorHAnsi"/>
              </w:rPr>
              <m:t>COMM</m:t>
            </m:r>
          </m:sub>
        </m:sSub>
      </m:oMath>
      <w:r w:rsidR="00243CF1" w:rsidRPr="00CA1A43">
        <w:rPr>
          <w:rFonts w:eastAsia="標楷體" w:cstheme="minorHAnsi"/>
        </w:rPr>
        <w:t>=</w:t>
      </w:r>
      <w:r w:rsidR="00243CF1" w:rsidRPr="00CA1A43">
        <w:rPr>
          <w:rFonts w:eastAsia="標楷體" w:cstheme="minorHAnsi"/>
        </w:rPr>
        <w:t>乘數因子</w:t>
      </w:r>
      <w:r w:rsidR="00243CF1" w:rsidRPr="00CA1A43">
        <w:rPr>
          <w:rFonts w:eastAsia="標楷體" w:cstheme="minorHAnsi"/>
        </w:rPr>
        <w:t>1.90</w:t>
      </w:r>
      <w:r w:rsidR="00243CF1" w:rsidRPr="00CA1A43">
        <w:rPr>
          <w:rFonts w:eastAsia="標楷體" w:cstheme="minorHAnsi"/>
        </w:rPr>
        <w:t>；</w:t>
      </w:r>
    </w:p>
    <w:p w14:paraId="247F8B25" w14:textId="77777777" w:rsidR="004B25AC" w:rsidRPr="00CA1A43" w:rsidRDefault="00AA1117" w:rsidP="007D07B2">
      <w:pPr>
        <w:pStyle w:val="a7"/>
        <w:numPr>
          <w:ilvl w:val="0"/>
          <w:numId w:val="181"/>
        </w:numPr>
        <w:spacing w:beforeLines="50" w:before="180"/>
        <w:ind w:leftChars="0" w:left="737" w:hanging="737"/>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SF</m:t>
            </m:r>
          </m:e>
          <m:sub>
            <m:r>
              <w:rPr>
                <w:rFonts w:ascii="Cambria Math" w:eastAsia="標楷體" w:hAnsi="Cambria Math" w:cstheme="minorHAnsi"/>
              </w:rPr>
              <m:t>FX</m:t>
            </m:r>
          </m:sub>
        </m:sSub>
      </m:oMath>
      <w:r w:rsidR="00243CF1" w:rsidRPr="00CA1A43">
        <w:rPr>
          <w:rFonts w:eastAsia="標楷體" w:cstheme="minorHAnsi"/>
        </w:rPr>
        <w:t>=</w:t>
      </w:r>
      <w:r w:rsidR="00243CF1" w:rsidRPr="00CA1A43">
        <w:rPr>
          <w:rFonts w:eastAsia="標楷體" w:cstheme="minorHAnsi"/>
        </w:rPr>
        <w:t>乘數因子</w:t>
      </w:r>
      <w:r w:rsidR="00243CF1" w:rsidRPr="00CA1A43">
        <w:rPr>
          <w:rFonts w:eastAsia="標楷體" w:cstheme="minorHAnsi"/>
        </w:rPr>
        <w:t>1.20</w:t>
      </w:r>
      <w:r w:rsidR="00243CF1" w:rsidRPr="00CA1A43">
        <w:rPr>
          <w:rFonts w:eastAsia="標楷體" w:cstheme="minorHAnsi"/>
        </w:rPr>
        <w:t>。</w:t>
      </w:r>
    </w:p>
    <w:p w14:paraId="4C09BFDD" w14:textId="77777777" w:rsidR="001E4EDD" w:rsidRPr="00CA1A43" w:rsidRDefault="001E4EDD" w:rsidP="001E4EDD">
      <w:pPr>
        <w:pStyle w:val="a7"/>
        <w:numPr>
          <w:ilvl w:val="0"/>
          <w:numId w:val="180"/>
        </w:numPr>
        <w:spacing w:beforeLines="50" w:before="180"/>
        <w:ind w:leftChars="0" w:left="567" w:hanging="567"/>
        <w:jc w:val="both"/>
        <w:outlineLvl w:val="0"/>
        <w:rPr>
          <w:rFonts w:eastAsia="標楷體" w:cstheme="minorHAnsi"/>
          <w:szCs w:val="24"/>
        </w:rPr>
      </w:pPr>
      <w:bookmarkStart w:id="16" w:name="_Toc67992456"/>
      <w:r w:rsidRPr="00CA1A43">
        <w:rPr>
          <w:rFonts w:eastAsia="標楷體" w:cstheme="minorHAnsi"/>
          <w:szCs w:val="24"/>
        </w:rPr>
        <w:t>利率風險</w:t>
      </w:r>
      <w:bookmarkEnd w:id="16"/>
    </w:p>
    <w:p w14:paraId="2D126EAF" w14:textId="77777777" w:rsidR="001E4EDD" w:rsidRPr="00CA1A43" w:rsidRDefault="001E4EDD" w:rsidP="000F504D">
      <w:pPr>
        <w:pStyle w:val="a7"/>
        <w:numPr>
          <w:ilvl w:val="0"/>
          <w:numId w:val="183"/>
        </w:numPr>
        <w:spacing w:beforeLines="50" w:before="180"/>
        <w:ind w:leftChars="0" w:left="737" w:hanging="737"/>
        <w:jc w:val="both"/>
        <w:rPr>
          <w:rFonts w:eastAsia="標楷體" w:cstheme="minorHAnsi"/>
          <w:szCs w:val="24"/>
        </w:rPr>
      </w:pPr>
      <w:r w:rsidRPr="00CA1A43">
        <w:rPr>
          <w:rFonts w:eastAsia="標楷體" w:cstheme="minorHAnsi"/>
          <w:szCs w:val="24"/>
        </w:rPr>
        <w:t>利率風險</w:t>
      </w:r>
      <w:r w:rsidRPr="00CA1A43">
        <w:rPr>
          <w:rFonts w:eastAsia="標楷體" w:cstheme="minorHAnsi"/>
        </w:rPr>
        <w:t>範圍</w:t>
      </w:r>
    </w:p>
    <w:p w14:paraId="372CEA8B" w14:textId="08A31B1B" w:rsidR="001E4EDD" w:rsidRPr="00CA1A43" w:rsidRDefault="001E4EDD" w:rsidP="000F504D">
      <w:pPr>
        <w:pStyle w:val="a7"/>
        <w:numPr>
          <w:ilvl w:val="0"/>
          <w:numId w:val="184"/>
        </w:numPr>
        <w:spacing w:beforeLines="50" w:before="180"/>
        <w:ind w:leftChars="0" w:left="964" w:hanging="482"/>
        <w:jc w:val="both"/>
        <w:rPr>
          <w:rFonts w:eastAsia="標楷體" w:cstheme="minorHAnsi"/>
          <w:szCs w:val="24"/>
        </w:rPr>
      </w:pPr>
      <w:r w:rsidRPr="00CA1A43">
        <w:rPr>
          <w:rFonts w:eastAsia="標楷體" w:cstheme="minorHAnsi"/>
          <w:szCs w:val="24"/>
        </w:rPr>
        <w:t>本計算說明交易</w:t>
      </w:r>
      <w:proofErr w:type="gramStart"/>
      <w:r w:rsidRPr="00CA1A43">
        <w:rPr>
          <w:rFonts w:eastAsia="標楷體" w:cstheme="minorHAnsi"/>
          <w:szCs w:val="24"/>
        </w:rPr>
        <w:t>簿</w:t>
      </w:r>
      <w:proofErr w:type="gramEnd"/>
      <w:r w:rsidRPr="00CA1A43">
        <w:rPr>
          <w:rFonts w:eastAsia="標楷體" w:cstheme="minorHAnsi"/>
          <w:szCs w:val="24"/>
        </w:rPr>
        <w:t>範疇，包括但不限於：債券</w:t>
      </w:r>
      <w:r w:rsidRPr="00CA1A43">
        <w:rPr>
          <w:rFonts w:eastAsia="標楷體" w:cstheme="minorHAnsi"/>
          <w:szCs w:val="24"/>
        </w:rPr>
        <w:t>(</w:t>
      </w:r>
      <w:r w:rsidRPr="00CA1A43">
        <w:rPr>
          <w:rFonts w:eastAsia="標楷體" w:cstheme="minorHAnsi"/>
          <w:szCs w:val="24"/>
        </w:rPr>
        <w:t>含</w:t>
      </w:r>
      <w:r w:rsidRPr="00CA1A43">
        <w:rPr>
          <w:rFonts w:eastAsia="標楷體" w:cstheme="minorHAnsi"/>
          <w:szCs w:val="24"/>
        </w:rPr>
        <w:t>TLAC</w:t>
      </w:r>
      <w:r w:rsidRPr="00CA1A43">
        <w:rPr>
          <w:rFonts w:eastAsia="標楷體" w:cstheme="minorHAnsi"/>
          <w:szCs w:val="24"/>
        </w:rPr>
        <w:t>債務</w:t>
      </w:r>
      <w:r w:rsidR="009653EE" w:rsidRPr="00050EA7">
        <w:rPr>
          <w:rFonts w:eastAsia="標楷體" w:cstheme="minorHAnsi"/>
          <w:szCs w:val="24"/>
        </w:rPr>
        <w:t>工具</w:t>
      </w:r>
      <w:r w:rsidRPr="00050EA7">
        <w:rPr>
          <w:rFonts w:eastAsia="標楷體" w:cstheme="minorHAnsi"/>
          <w:szCs w:val="24"/>
        </w:rPr>
        <w:t>)</w:t>
      </w:r>
      <w:r w:rsidRPr="00050EA7">
        <w:rPr>
          <w:rFonts w:eastAsia="標楷體" w:cstheme="minorHAnsi"/>
          <w:szCs w:val="24"/>
        </w:rPr>
        <w:t>、信用衍生性金融商品及其他利率有關之交易，例如固定、浮動利率債券、總收益交換契約、信用違約交換契約、信用連結債券、債券期貨、不可轉換的特別股</w:t>
      </w:r>
      <w:r w:rsidR="007D07B2" w:rsidRPr="00050EA7">
        <w:rPr>
          <w:rStyle w:val="a5"/>
          <w:rFonts w:eastAsia="標楷體" w:cstheme="minorHAnsi"/>
        </w:rPr>
        <w:footnoteReference w:id="59"/>
      </w:r>
      <w:r w:rsidRPr="00050EA7">
        <w:rPr>
          <w:rFonts w:eastAsia="標楷體" w:cstheme="minorHAnsi"/>
          <w:szCs w:val="24"/>
        </w:rPr>
        <w:t>、可轉換債券</w:t>
      </w:r>
      <w:r w:rsidR="007D07B2" w:rsidRPr="00050EA7">
        <w:rPr>
          <w:rStyle w:val="a5"/>
          <w:rFonts w:eastAsia="標楷體" w:cstheme="minorHAnsi"/>
        </w:rPr>
        <w:footnoteReference w:id="60"/>
      </w:r>
      <w:r w:rsidRPr="00050EA7">
        <w:rPr>
          <w:rFonts w:eastAsia="標楷體" w:cstheme="minorHAnsi"/>
          <w:szCs w:val="24"/>
        </w:rPr>
        <w:t>等類似</w:t>
      </w:r>
      <w:r w:rsidR="009653EE" w:rsidRPr="00050EA7">
        <w:rPr>
          <w:rFonts w:eastAsia="標楷體" w:cstheme="minorHAnsi"/>
          <w:szCs w:val="24"/>
        </w:rPr>
        <w:t>工具</w:t>
      </w:r>
      <w:r w:rsidRPr="00050EA7">
        <w:rPr>
          <w:rFonts w:eastAsia="標楷體" w:cstheme="minorHAnsi"/>
          <w:szCs w:val="24"/>
        </w:rPr>
        <w:t>，以及集中</w:t>
      </w:r>
      <w:r w:rsidRPr="00CA1A43">
        <w:rPr>
          <w:rFonts w:eastAsia="標楷體" w:cstheme="minorHAnsi"/>
          <w:szCs w:val="24"/>
        </w:rPr>
        <w:t>交易利率期貨契約、店頭市場遠期契約、遠期利率協定、交換及遠期外匯交易、集中交易利</w:t>
      </w:r>
      <w:r w:rsidRPr="00CA1A43">
        <w:rPr>
          <w:rFonts w:eastAsia="標楷體" w:cstheme="minorHAnsi"/>
          <w:szCs w:val="24"/>
        </w:rPr>
        <w:lastRenderedPageBreak/>
        <w:t>率選擇權契約等利率衍生性金融商品。</w:t>
      </w:r>
    </w:p>
    <w:p w14:paraId="512EAE76" w14:textId="41470CBB" w:rsidR="000F504D" w:rsidRPr="00CA1A43" w:rsidRDefault="000F504D" w:rsidP="000F504D">
      <w:pPr>
        <w:pStyle w:val="a7"/>
        <w:numPr>
          <w:ilvl w:val="0"/>
          <w:numId w:val="184"/>
        </w:numPr>
        <w:spacing w:beforeLines="50" w:before="180"/>
        <w:ind w:leftChars="0" w:left="964" w:hanging="482"/>
        <w:jc w:val="both"/>
        <w:rPr>
          <w:rFonts w:eastAsia="標楷體" w:cstheme="minorHAnsi"/>
          <w:szCs w:val="24"/>
        </w:rPr>
      </w:pPr>
      <w:r w:rsidRPr="00CA1A43">
        <w:rPr>
          <w:rFonts w:eastAsia="標楷體" w:cstheme="minorHAnsi"/>
          <w:szCs w:val="24"/>
        </w:rPr>
        <w:t>利率風險區分為有價證券之長部位或短部位的「個別風險」和資產組合內之利率風險</w:t>
      </w:r>
      <w:r w:rsidRPr="00CA1A43">
        <w:rPr>
          <w:rFonts w:eastAsia="標楷體" w:cstheme="minorHAnsi"/>
          <w:szCs w:val="24"/>
        </w:rPr>
        <w:t>(</w:t>
      </w:r>
      <w:r w:rsidRPr="00CA1A43">
        <w:rPr>
          <w:rFonts w:eastAsia="標楷體" w:cstheme="minorHAnsi"/>
          <w:szCs w:val="24"/>
        </w:rPr>
        <w:t>稱為「一般市場風險」</w:t>
      </w:r>
      <w:r w:rsidRPr="00CA1A43">
        <w:rPr>
          <w:rFonts w:eastAsia="標楷體" w:cstheme="minorHAnsi"/>
          <w:szCs w:val="24"/>
        </w:rPr>
        <w:t>)</w:t>
      </w:r>
      <w:r w:rsidRPr="00CA1A43">
        <w:rPr>
          <w:rFonts w:eastAsia="標楷體" w:cstheme="minorHAnsi"/>
          <w:szCs w:val="24"/>
        </w:rPr>
        <w:t>，資產組合內不同之有價證券或</w:t>
      </w:r>
      <w:r w:rsidR="009653EE" w:rsidRPr="00050EA7">
        <w:rPr>
          <w:rFonts w:eastAsia="標楷體" w:cstheme="minorHAnsi"/>
          <w:szCs w:val="24"/>
        </w:rPr>
        <w:t>工具</w:t>
      </w:r>
      <w:r w:rsidRPr="00CA1A43">
        <w:rPr>
          <w:rFonts w:eastAsia="標楷體" w:cstheme="minorHAnsi"/>
          <w:szCs w:val="24"/>
        </w:rPr>
        <w:t>的長短部位可互抵。</w:t>
      </w:r>
    </w:p>
    <w:p w14:paraId="06E7C827" w14:textId="77777777" w:rsidR="000F504D" w:rsidRPr="00CA1A43" w:rsidRDefault="000F504D" w:rsidP="000F504D">
      <w:pPr>
        <w:pStyle w:val="a7"/>
        <w:numPr>
          <w:ilvl w:val="0"/>
          <w:numId w:val="183"/>
        </w:numPr>
        <w:spacing w:beforeLines="50" w:before="180"/>
        <w:ind w:leftChars="0" w:left="737" w:hanging="737"/>
        <w:jc w:val="both"/>
        <w:rPr>
          <w:rFonts w:eastAsia="標楷體" w:cstheme="minorHAnsi"/>
          <w:szCs w:val="24"/>
        </w:rPr>
      </w:pPr>
      <w:r w:rsidRPr="00CA1A43">
        <w:rPr>
          <w:rFonts w:eastAsia="標楷體" w:cstheme="minorHAnsi"/>
          <w:szCs w:val="24"/>
        </w:rPr>
        <w:t>個別風險</w:t>
      </w:r>
    </w:p>
    <w:p w14:paraId="04F62722" w14:textId="77777777" w:rsidR="000F504D" w:rsidRPr="00CA1A43" w:rsidRDefault="000F504D" w:rsidP="000F504D">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定義：個別風險係緣於發行人之因素，導致持有之有價證券價格受到不利變動影響。</w:t>
      </w:r>
    </w:p>
    <w:p w14:paraId="72480835" w14:textId="7150980A" w:rsidR="000F504D" w:rsidRPr="00CA1A43" w:rsidRDefault="000F504D" w:rsidP="000F504D">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計提之方法：應將每種債務</w:t>
      </w:r>
      <w:r w:rsidR="009653EE" w:rsidRPr="00050EA7">
        <w:rPr>
          <w:rFonts w:eastAsia="標楷體" w:cstheme="minorHAnsi"/>
          <w:szCs w:val="24"/>
        </w:rPr>
        <w:t>工具</w:t>
      </w:r>
      <w:r w:rsidRPr="00CA1A43">
        <w:rPr>
          <w:rFonts w:eastAsia="標楷體" w:cstheme="minorHAnsi"/>
          <w:szCs w:val="24"/>
        </w:rPr>
        <w:t>之長部位與短部位</w:t>
      </w:r>
      <w:r w:rsidRPr="00CA1A43">
        <w:rPr>
          <w:rFonts w:eastAsia="標楷體" w:cstheme="minorHAnsi"/>
          <w:szCs w:val="24"/>
        </w:rPr>
        <w:t>(</w:t>
      </w:r>
      <w:proofErr w:type="gramStart"/>
      <w:r w:rsidRPr="00CA1A43">
        <w:rPr>
          <w:rFonts w:eastAsia="標楷體" w:cstheme="minorHAnsi"/>
          <w:szCs w:val="24"/>
        </w:rPr>
        <w:t>即依毛部位</w:t>
      </w:r>
      <w:proofErr w:type="gramEnd"/>
      <w:r w:rsidRPr="00CA1A43">
        <w:rPr>
          <w:rFonts w:eastAsia="標楷體" w:cstheme="minorHAnsi"/>
          <w:szCs w:val="24"/>
        </w:rPr>
        <w:t>計提</w:t>
      </w:r>
      <w:r w:rsidRPr="00CA1A43">
        <w:rPr>
          <w:rFonts w:eastAsia="標楷體" w:cstheme="minorHAnsi"/>
          <w:szCs w:val="24"/>
        </w:rPr>
        <w:t>)</w:t>
      </w:r>
      <w:r w:rsidRPr="00CA1A43">
        <w:rPr>
          <w:rFonts w:eastAsia="標楷體" w:cstheme="minorHAnsi"/>
          <w:szCs w:val="24"/>
        </w:rPr>
        <w:t>按市價依其發行人、外部信用評等及期限不同，適用不同資本計提率，詳如表</w:t>
      </w:r>
      <w:r w:rsidRPr="00CA1A43">
        <w:rPr>
          <w:rFonts w:eastAsia="標楷體" w:cstheme="minorHAnsi"/>
          <w:szCs w:val="24"/>
        </w:rPr>
        <w:t>1</w:t>
      </w:r>
      <w:r w:rsidR="002376F9">
        <w:rPr>
          <w:rFonts w:eastAsia="標楷體" w:cstheme="minorHAnsi" w:hint="eastAsia"/>
          <w:szCs w:val="24"/>
        </w:rPr>
        <w:t>6</w:t>
      </w:r>
      <w:r w:rsidRPr="00CA1A43">
        <w:rPr>
          <w:rFonts w:eastAsia="標楷體" w:cstheme="minorHAnsi"/>
          <w:szCs w:val="24"/>
        </w:rPr>
        <w:t>。</w:t>
      </w:r>
    </w:p>
    <w:p w14:paraId="506FD6AF" w14:textId="72804FE4" w:rsidR="000F504D" w:rsidRPr="00CA1A43" w:rsidRDefault="000F504D" w:rsidP="000F504D">
      <w:pPr>
        <w:pStyle w:val="a7"/>
        <w:spacing w:beforeLines="50" w:before="180"/>
        <w:ind w:leftChars="0" w:left="964"/>
        <w:jc w:val="both"/>
        <w:rPr>
          <w:rFonts w:eastAsia="標楷體" w:cstheme="minorHAnsi"/>
          <w:szCs w:val="24"/>
        </w:rPr>
      </w:pPr>
      <w:r w:rsidRPr="00CA1A43">
        <w:rPr>
          <w:rFonts w:eastAsia="標楷體" w:cstheme="minorHAnsi"/>
          <w:szCs w:val="24"/>
        </w:rPr>
        <w:t>銀行持有自行保證之債務</w:t>
      </w:r>
      <w:r w:rsidR="009653EE" w:rsidRPr="00050EA7">
        <w:rPr>
          <w:rFonts w:eastAsia="標楷體" w:cstheme="minorHAnsi"/>
          <w:szCs w:val="24"/>
        </w:rPr>
        <w:t>工具</w:t>
      </w:r>
      <w:r w:rsidRPr="00CA1A43">
        <w:rPr>
          <w:rFonts w:eastAsia="標楷體" w:cstheme="minorHAnsi"/>
          <w:szCs w:val="24"/>
        </w:rPr>
        <w:t>帳列</w:t>
      </w:r>
      <w:proofErr w:type="gramStart"/>
      <w:r w:rsidRPr="00CA1A43">
        <w:rPr>
          <w:rFonts w:eastAsia="標楷體" w:cstheme="minorHAnsi"/>
          <w:szCs w:val="24"/>
        </w:rPr>
        <w:t>交易簿者</w:t>
      </w:r>
      <w:proofErr w:type="gramEnd"/>
      <w:r w:rsidRPr="00CA1A43">
        <w:rPr>
          <w:rFonts w:eastAsia="標楷體" w:cstheme="minorHAnsi"/>
          <w:szCs w:val="24"/>
        </w:rPr>
        <w:t>，應依該投資部位於個別風險所適用之資本計提率，轉換為加權風險性資產，並與該投資部位所辦理之保證之加權風險性資產相比較，如投資部位之加權風險性資產高於保證業務之加權風險性資產，則須就差額部分計入市場風險之個別風險；如投資部位之加權風險性資產低於保證業務之加權風險性資產，則無須再計提市場風險之個別風險。</w:t>
      </w:r>
    </w:p>
    <w:p w14:paraId="6D8BD41C" w14:textId="77777777" w:rsidR="001E4EDD" w:rsidRPr="00CA1A43" w:rsidRDefault="001E4EDD" w:rsidP="000F504D">
      <w:pPr>
        <w:widowControl/>
        <w:spacing w:beforeLines="50" w:before="180"/>
        <w:jc w:val="both"/>
        <w:rPr>
          <w:rFonts w:eastAsia="標楷體" w:cstheme="minorHAnsi"/>
          <w:szCs w:val="24"/>
        </w:rPr>
      </w:pPr>
    </w:p>
    <w:tbl>
      <w:tblPr>
        <w:tblStyle w:val="TableNormal"/>
        <w:tblW w:w="8222" w:type="dxa"/>
        <w:tblInd w:w="137" w:type="dxa"/>
        <w:tblBorders>
          <w:top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6"/>
        <w:gridCol w:w="4111"/>
        <w:gridCol w:w="1417"/>
        <w:gridCol w:w="1418"/>
      </w:tblGrid>
      <w:tr w:rsidR="00C051EB" w:rsidRPr="00CA1A43" w14:paraId="3EA229B6" w14:textId="77777777" w:rsidTr="0083655E">
        <w:trPr>
          <w:trHeight w:val="359"/>
        </w:trPr>
        <w:tc>
          <w:tcPr>
            <w:tcW w:w="6804" w:type="dxa"/>
            <w:gridSpan w:val="3"/>
            <w:tcBorders>
              <w:right w:val="nil"/>
            </w:tcBorders>
            <w:vAlign w:val="center"/>
          </w:tcPr>
          <w:p w14:paraId="28551C87" w14:textId="77777777" w:rsidR="00C051EB" w:rsidRPr="00CA1A43" w:rsidRDefault="00C051EB" w:rsidP="00C051EB">
            <w:pPr>
              <w:pStyle w:val="TableParagraph"/>
              <w:tabs>
                <w:tab w:val="left" w:pos="1093"/>
              </w:tabs>
              <w:spacing w:before="12" w:line="328" w:lineRule="exact"/>
              <w:ind w:left="12"/>
              <w:rPr>
                <w:rFonts w:asciiTheme="minorHAnsi" w:eastAsia="標楷體" w:hAnsiTheme="minorHAnsi" w:cstheme="minorHAnsi"/>
                <w:sz w:val="24"/>
                <w:lang w:eastAsia="zh-TW"/>
              </w:rPr>
            </w:pPr>
            <w:r w:rsidRPr="00CA1A43">
              <w:rPr>
                <w:rFonts w:asciiTheme="minorHAnsi" w:eastAsia="標楷體" w:hAnsiTheme="minorHAnsi" w:cstheme="minorHAnsi"/>
                <w:sz w:val="24"/>
                <w:lang w:eastAsia="zh-TW"/>
              </w:rPr>
              <w:t>利率風險中個別風險之資本計提率</w:t>
            </w:r>
          </w:p>
        </w:tc>
        <w:tc>
          <w:tcPr>
            <w:tcW w:w="1418" w:type="dxa"/>
            <w:tcBorders>
              <w:left w:val="nil"/>
            </w:tcBorders>
            <w:vAlign w:val="center"/>
          </w:tcPr>
          <w:p w14:paraId="64341F50" w14:textId="77777777" w:rsidR="00C051EB" w:rsidRPr="00CA1A43" w:rsidRDefault="00C051EB" w:rsidP="004708E6">
            <w:pPr>
              <w:pStyle w:val="TableParagraph"/>
              <w:spacing w:before="12" w:line="328" w:lineRule="exact"/>
              <w:ind w:right="194"/>
              <w:jc w:val="right"/>
              <w:rPr>
                <w:rFonts w:asciiTheme="minorHAnsi" w:eastAsia="標楷體" w:hAnsiTheme="minorHAnsi" w:cstheme="minorHAnsi"/>
                <w:sz w:val="24"/>
                <w:szCs w:val="24"/>
              </w:rPr>
            </w:pPr>
            <w:r w:rsidRPr="00CA1A43">
              <w:rPr>
                <w:rFonts w:asciiTheme="minorHAnsi" w:eastAsia="標楷體" w:hAnsiTheme="minorHAnsi" w:cstheme="minorHAnsi"/>
                <w:sz w:val="24"/>
                <w:szCs w:val="24"/>
              </w:rPr>
              <w:t>表</w:t>
            </w:r>
            <w:r w:rsidRPr="00CA1A43">
              <w:rPr>
                <w:rFonts w:asciiTheme="minorHAnsi" w:eastAsia="標楷體" w:hAnsiTheme="minorHAnsi" w:cstheme="minorHAnsi"/>
                <w:sz w:val="24"/>
                <w:szCs w:val="24"/>
              </w:rPr>
              <w:t>1</w:t>
            </w:r>
            <w:r w:rsidR="002376F9">
              <w:rPr>
                <w:rFonts w:asciiTheme="minorHAnsi" w:eastAsia="標楷體" w:hAnsiTheme="minorHAnsi" w:cstheme="minorHAnsi" w:hint="eastAsia"/>
                <w:sz w:val="24"/>
                <w:szCs w:val="24"/>
                <w:lang w:eastAsia="zh-TW"/>
              </w:rPr>
              <w:t>6</w:t>
            </w:r>
          </w:p>
        </w:tc>
      </w:tr>
      <w:tr w:rsidR="00C051EB" w:rsidRPr="00CA1A43" w14:paraId="52BEB91E" w14:textId="77777777" w:rsidTr="0083655E">
        <w:trPr>
          <w:trHeight w:val="359"/>
        </w:trPr>
        <w:tc>
          <w:tcPr>
            <w:tcW w:w="1276" w:type="dxa"/>
            <w:vAlign w:val="center"/>
          </w:tcPr>
          <w:p w14:paraId="6E27094D" w14:textId="77777777" w:rsidR="00C051EB" w:rsidRPr="00CA1A43" w:rsidRDefault="00C051EB" w:rsidP="00C051EB">
            <w:pPr>
              <w:pStyle w:val="TableParagraph"/>
              <w:spacing w:before="12" w:line="328" w:lineRule="exact"/>
              <w:ind w:left="511"/>
              <w:rPr>
                <w:rFonts w:asciiTheme="minorHAnsi" w:eastAsia="標楷體" w:hAnsiTheme="minorHAnsi" w:cstheme="minorHAnsi"/>
                <w:sz w:val="24"/>
              </w:rPr>
            </w:pPr>
            <w:proofErr w:type="spellStart"/>
            <w:r w:rsidRPr="00CA1A43">
              <w:rPr>
                <w:rFonts w:asciiTheme="minorHAnsi" w:eastAsia="標楷體" w:hAnsiTheme="minorHAnsi" w:cstheme="minorHAnsi"/>
                <w:sz w:val="24"/>
              </w:rPr>
              <w:t>種類</w:t>
            </w:r>
            <w:proofErr w:type="spellEnd"/>
          </w:p>
        </w:tc>
        <w:tc>
          <w:tcPr>
            <w:tcW w:w="4111" w:type="dxa"/>
            <w:vAlign w:val="center"/>
          </w:tcPr>
          <w:p w14:paraId="6A9CB52C" w14:textId="77777777" w:rsidR="00C051EB" w:rsidRPr="00CA1A43" w:rsidRDefault="00C051EB" w:rsidP="00C051EB">
            <w:pPr>
              <w:pStyle w:val="TableParagraph"/>
              <w:tabs>
                <w:tab w:val="left" w:pos="728"/>
              </w:tabs>
              <w:spacing w:before="12" w:line="328" w:lineRule="exact"/>
              <w:ind w:left="9"/>
              <w:jc w:val="center"/>
              <w:rPr>
                <w:rFonts w:asciiTheme="minorHAnsi" w:eastAsia="標楷體" w:hAnsiTheme="minorHAnsi" w:cstheme="minorHAnsi"/>
                <w:sz w:val="24"/>
              </w:rPr>
            </w:pPr>
            <w:proofErr w:type="spellStart"/>
            <w:r w:rsidRPr="00CA1A43">
              <w:rPr>
                <w:rFonts w:asciiTheme="minorHAnsi" w:eastAsia="標楷體" w:hAnsiTheme="minorHAnsi" w:cstheme="minorHAnsi"/>
                <w:sz w:val="24"/>
              </w:rPr>
              <w:t>條件</w:t>
            </w:r>
            <w:proofErr w:type="spellEnd"/>
          </w:p>
        </w:tc>
        <w:tc>
          <w:tcPr>
            <w:tcW w:w="1417" w:type="dxa"/>
            <w:vAlign w:val="center"/>
          </w:tcPr>
          <w:p w14:paraId="18DF4FE6" w14:textId="77777777" w:rsidR="00C051EB" w:rsidRPr="00CA1A43" w:rsidRDefault="00C051EB" w:rsidP="00C051EB">
            <w:pPr>
              <w:pStyle w:val="TableParagraph"/>
              <w:tabs>
                <w:tab w:val="left" w:pos="1093"/>
              </w:tabs>
              <w:spacing w:before="12" w:line="328" w:lineRule="exact"/>
              <w:ind w:left="12"/>
              <w:jc w:val="center"/>
              <w:rPr>
                <w:rFonts w:asciiTheme="minorHAnsi" w:eastAsia="標楷體" w:hAnsiTheme="minorHAnsi" w:cstheme="minorHAnsi"/>
                <w:sz w:val="24"/>
              </w:rPr>
            </w:pPr>
            <w:proofErr w:type="spellStart"/>
            <w:r w:rsidRPr="00CA1A43">
              <w:rPr>
                <w:rFonts w:asciiTheme="minorHAnsi" w:eastAsia="標楷體" w:hAnsiTheme="minorHAnsi" w:cstheme="minorHAnsi"/>
                <w:sz w:val="24"/>
              </w:rPr>
              <w:t>期限</w:t>
            </w:r>
            <w:proofErr w:type="spellEnd"/>
          </w:p>
        </w:tc>
        <w:tc>
          <w:tcPr>
            <w:tcW w:w="1418" w:type="dxa"/>
            <w:vAlign w:val="center"/>
          </w:tcPr>
          <w:p w14:paraId="4A08E825" w14:textId="77777777" w:rsidR="00C051EB" w:rsidRPr="00CA1A43" w:rsidRDefault="00C051EB" w:rsidP="00C051EB">
            <w:pPr>
              <w:pStyle w:val="TableParagraph"/>
              <w:spacing w:before="12" w:line="328" w:lineRule="exact"/>
              <w:ind w:right="194"/>
              <w:jc w:val="right"/>
              <w:rPr>
                <w:rFonts w:asciiTheme="minorHAnsi" w:eastAsia="標楷體" w:hAnsiTheme="minorHAnsi" w:cstheme="minorHAnsi"/>
                <w:sz w:val="24"/>
              </w:rPr>
            </w:pPr>
            <w:proofErr w:type="spellStart"/>
            <w:r w:rsidRPr="00CA1A43">
              <w:rPr>
                <w:rFonts w:asciiTheme="minorHAnsi" w:eastAsia="標楷體" w:hAnsiTheme="minorHAnsi" w:cstheme="minorHAnsi"/>
                <w:sz w:val="24"/>
              </w:rPr>
              <w:t>資本計提率</w:t>
            </w:r>
            <w:proofErr w:type="spellEnd"/>
          </w:p>
        </w:tc>
      </w:tr>
      <w:tr w:rsidR="00C051EB" w:rsidRPr="00CA1A43" w14:paraId="2B76F5C5" w14:textId="77777777" w:rsidTr="0083655E">
        <w:trPr>
          <w:trHeight w:val="713"/>
        </w:trPr>
        <w:tc>
          <w:tcPr>
            <w:tcW w:w="1276" w:type="dxa"/>
            <w:vAlign w:val="center"/>
          </w:tcPr>
          <w:p w14:paraId="79D0A064" w14:textId="0911BF38" w:rsidR="00C051EB" w:rsidRPr="00050EA7" w:rsidRDefault="00C051EB" w:rsidP="00C051EB">
            <w:pPr>
              <w:pStyle w:val="TableParagraph"/>
              <w:jc w:val="center"/>
              <w:rPr>
                <w:rFonts w:asciiTheme="minorHAnsi" w:eastAsia="標楷體" w:hAnsiTheme="minorHAnsi" w:cstheme="minorHAnsi"/>
                <w:sz w:val="24"/>
                <w:lang w:eastAsia="zh-TW"/>
              </w:rPr>
            </w:pPr>
            <w:r w:rsidRPr="00050EA7">
              <w:rPr>
                <w:rFonts w:asciiTheme="minorHAnsi" w:eastAsia="標楷體" w:hAnsiTheme="minorHAnsi" w:cstheme="minorHAnsi"/>
                <w:sz w:val="24"/>
                <w:lang w:eastAsia="zh-TW"/>
              </w:rPr>
              <w:t>零風險權數之政府債務</w:t>
            </w:r>
            <w:r w:rsidR="009653EE" w:rsidRPr="00050EA7">
              <w:rPr>
                <w:rFonts w:asciiTheme="minorHAnsi" w:eastAsia="標楷體" w:hAnsiTheme="minorHAnsi" w:cstheme="minorHAnsi"/>
                <w:sz w:val="24"/>
                <w:lang w:eastAsia="zh-TW"/>
              </w:rPr>
              <w:t>工具</w:t>
            </w:r>
          </w:p>
        </w:tc>
        <w:tc>
          <w:tcPr>
            <w:tcW w:w="4111" w:type="dxa"/>
          </w:tcPr>
          <w:p w14:paraId="53A61D21" w14:textId="4B854F3B" w:rsidR="00C051EB" w:rsidRPr="00050EA7" w:rsidRDefault="00C051EB" w:rsidP="00C051EB">
            <w:pPr>
              <w:pStyle w:val="TableParagraph"/>
              <w:spacing w:before="14" w:line="256" w:lineRule="auto"/>
              <w:ind w:left="28" w:right="14"/>
              <w:rPr>
                <w:rFonts w:asciiTheme="minorHAnsi" w:eastAsia="標楷體" w:hAnsiTheme="minorHAnsi" w:cstheme="minorHAnsi"/>
                <w:sz w:val="24"/>
                <w:lang w:eastAsia="zh-TW"/>
              </w:rPr>
            </w:pPr>
            <w:r w:rsidRPr="00050EA7">
              <w:rPr>
                <w:rFonts w:asciiTheme="minorHAnsi" w:eastAsia="標楷體" w:hAnsiTheme="minorHAnsi" w:cstheme="minorHAnsi"/>
                <w:spacing w:val="-11"/>
                <w:sz w:val="24"/>
                <w:lang w:eastAsia="zh-TW"/>
              </w:rPr>
              <w:t>各國中央政府、中央銀行發行、保證或擔保債務</w:t>
            </w:r>
            <w:r w:rsidR="009653EE" w:rsidRPr="00050EA7">
              <w:rPr>
                <w:rFonts w:asciiTheme="minorHAnsi" w:eastAsia="標楷體" w:hAnsiTheme="minorHAnsi" w:cstheme="minorHAnsi"/>
                <w:spacing w:val="-11"/>
                <w:sz w:val="24"/>
                <w:lang w:eastAsia="zh-TW"/>
              </w:rPr>
              <w:t>工具</w:t>
            </w:r>
            <w:r w:rsidRPr="00050EA7">
              <w:rPr>
                <w:rFonts w:asciiTheme="minorHAnsi" w:eastAsia="標楷體" w:hAnsiTheme="minorHAnsi" w:cstheme="minorHAnsi"/>
                <w:spacing w:val="-11"/>
                <w:sz w:val="24"/>
                <w:lang w:eastAsia="zh-TW"/>
              </w:rPr>
              <w:t>，其外部信用評等依信用風險標準</w:t>
            </w:r>
            <w:r w:rsidRPr="00050EA7">
              <w:rPr>
                <w:rFonts w:asciiTheme="minorHAnsi" w:eastAsia="標楷體" w:hAnsiTheme="minorHAnsi" w:cstheme="minorHAnsi"/>
                <w:sz w:val="24"/>
                <w:lang w:eastAsia="zh-TW"/>
              </w:rPr>
              <w:t>法規定適用</w:t>
            </w:r>
            <w:r w:rsidRPr="00050EA7">
              <w:rPr>
                <w:rFonts w:asciiTheme="minorHAnsi" w:eastAsia="標楷體" w:hAnsiTheme="minorHAnsi" w:cstheme="minorHAnsi"/>
                <w:sz w:val="24"/>
                <w:lang w:eastAsia="zh-TW"/>
              </w:rPr>
              <w:t xml:space="preserve"> 0%</w:t>
            </w:r>
            <w:r w:rsidRPr="00050EA7">
              <w:rPr>
                <w:rFonts w:asciiTheme="minorHAnsi" w:eastAsia="標楷體" w:hAnsiTheme="minorHAnsi" w:cstheme="minorHAnsi"/>
                <w:sz w:val="24"/>
                <w:lang w:eastAsia="zh-TW"/>
              </w:rPr>
              <w:t>風險權數者。</w:t>
            </w:r>
            <w:r w:rsidRPr="00050EA7">
              <w:rPr>
                <w:rFonts w:asciiTheme="minorHAnsi" w:eastAsia="標楷體" w:hAnsiTheme="minorHAnsi" w:cstheme="minorHAnsi"/>
                <w:sz w:val="24"/>
                <w:lang w:eastAsia="zh-TW"/>
              </w:rPr>
              <w:t>(AAA</w:t>
            </w:r>
            <w:r w:rsidRPr="00050EA7">
              <w:rPr>
                <w:rFonts w:asciiTheme="minorHAnsi" w:eastAsia="標楷體" w:hAnsiTheme="minorHAnsi" w:cstheme="minorHAnsi"/>
                <w:sz w:val="24"/>
                <w:lang w:eastAsia="zh-TW"/>
              </w:rPr>
              <w:t>至</w:t>
            </w:r>
            <w:r w:rsidRPr="00050EA7">
              <w:rPr>
                <w:rFonts w:asciiTheme="minorHAnsi" w:eastAsia="標楷體" w:hAnsiTheme="minorHAnsi" w:cstheme="minorHAnsi"/>
                <w:sz w:val="24"/>
                <w:lang w:eastAsia="zh-TW"/>
              </w:rPr>
              <w:t>AA-)</w:t>
            </w:r>
          </w:p>
        </w:tc>
        <w:tc>
          <w:tcPr>
            <w:tcW w:w="1417" w:type="dxa"/>
            <w:vAlign w:val="center"/>
          </w:tcPr>
          <w:p w14:paraId="26B85E1F" w14:textId="77777777" w:rsidR="00C051EB" w:rsidRPr="00CA1A43" w:rsidRDefault="00C051EB" w:rsidP="00C051EB">
            <w:pPr>
              <w:pStyle w:val="TableParagraph"/>
              <w:tabs>
                <w:tab w:val="left" w:pos="491"/>
              </w:tabs>
              <w:ind w:left="12"/>
              <w:jc w:val="center"/>
              <w:rPr>
                <w:rFonts w:asciiTheme="minorHAnsi" w:eastAsia="標楷體" w:hAnsiTheme="minorHAnsi" w:cstheme="minorHAnsi"/>
                <w:sz w:val="24"/>
              </w:rPr>
            </w:pPr>
            <w:r w:rsidRPr="00CA1A43">
              <w:rPr>
                <w:rFonts w:asciiTheme="minorHAnsi" w:eastAsia="標楷體" w:hAnsiTheme="minorHAnsi" w:cstheme="minorHAnsi"/>
                <w:sz w:val="24"/>
              </w:rPr>
              <w:t>全</w:t>
            </w:r>
            <w:r w:rsidRPr="00CA1A43">
              <w:rPr>
                <w:rFonts w:asciiTheme="minorHAnsi" w:eastAsia="標楷體" w:hAnsiTheme="minorHAnsi" w:cstheme="minorHAnsi"/>
                <w:sz w:val="24"/>
              </w:rPr>
              <w:tab/>
            </w:r>
            <w:r w:rsidRPr="00CA1A43">
              <w:rPr>
                <w:rFonts w:asciiTheme="minorHAnsi" w:eastAsia="標楷體" w:hAnsiTheme="minorHAnsi" w:cstheme="minorHAnsi"/>
                <w:sz w:val="24"/>
              </w:rPr>
              <w:t>部</w:t>
            </w:r>
          </w:p>
        </w:tc>
        <w:tc>
          <w:tcPr>
            <w:tcW w:w="1418" w:type="dxa"/>
            <w:vAlign w:val="center"/>
          </w:tcPr>
          <w:p w14:paraId="09FF8AA8"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0%</w:t>
            </w:r>
          </w:p>
        </w:tc>
      </w:tr>
      <w:tr w:rsidR="00C051EB" w:rsidRPr="00CA1A43" w14:paraId="20A150BC" w14:textId="77777777" w:rsidTr="0083655E">
        <w:trPr>
          <w:trHeight w:val="781"/>
        </w:trPr>
        <w:tc>
          <w:tcPr>
            <w:tcW w:w="1276" w:type="dxa"/>
            <w:vMerge w:val="restart"/>
            <w:vAlign w:val="center"/>
          </w:tcPr>
          <w:p w14:paraId="0DBF5CE3" w14:textId="5234037D" w:rsidR="00C051EB" w:rsidRPr="00050EA7" w:rsidRDefault="00C051EB" w:rsidP="00C051EB">
            <w:pPr>
              <w:pStyle w:val="TableParagraph"/>
              <w:ind w:left="270"/>
              <w:rPr>
                <w:rFonts w:asciiTheme="minorHAnsi" w:eastAsia="標楷體" w:hAnsiTheme="minorHAnsi" w:cstheme="minorHAnsi"/>
                <w:sz w:val="24"/>
              </w:rPr>
            </w:pPr>
            <w:proofErr w:type="spellStart"/>
            <w:r w:rsidRPr="00050EA7">
              <w:rPr>
                <w:rFonts w:asciiTheme="minorHAnsi" w:eastAsia="標楷體" w:hAnsiTheme="minorHAnsi" w:cstheme="minorHAnsi"/>
                <w:sz w:val="24"/>
              </w:rPr>
              <w:t>合格債務</w:t>
            </w:r>
            <w:r w:rsidR="009653EE" w:rsidRPr="00050EA7">
              <w:rPr>
                <w:rFonts w:asciiTheme="minorHAnsi" w:eastAsia="標楷體" w:hAnsiTheme="minorHAnsi" w:cstheme="minorHAnsi"/>
                <w:sz w:val="24"/>
              </w:rPr>
              <w:t>工具</w:t>
            </w:r>
            <w:proofErr w:type="spellEnd"/>
          </w:p>
        </w:tc>
        <w:tc>
          <w:tcPr>
            <w:tcW w:w="4111" w:type="dxa"/>
            <w:vMerge w:val="restart"/>
          </w:tcPr>
          <w:p w14:paraId="015B2D89" w14:textId="5583F05C" w:rsidR="00C051EB" w:rsidRPr="00050EA7" w:rsidRDefault="00C051EB" w:rsidP="00C051EB">
            <w:pPr>
              <w:pStyle w:val="TableParagraph"/>
              <w:numPr>
                <w:ilvl w:val="0"/>
                <w:numId w:val="186"/>
              </w:numPr>
              <w:tabs>
                <w:tab w:val="left" w:pos="210"/>
              </w:tabs>
              <w:spacing w:before="12" w:line="256" w:lineRule="auto"/>
              <w:ind w:left="268" w:right="15" w:hanging="240"/>
              <w:jc w:val="both"/>
              <w:rPr>
                <w:rFonts w:asciiTheme="minorHAnsi" w:eastAsia="標楷體" w:hAnsiTheme="minorHAnsi" w:cstheme="minorHAnsi"/>
                <w:sz w:val="24"/>
                <w:lang w:eastAsia="zh-TW"/>
              </w:rPr>
            </w:pPr>
            <w:r w:rsidRPr="00050EA7">
              <w:rPr>
                <w:rFonts w:asciiTheme="minorHAnsi" w:eastAsia="標楷體" w:hAnsiTheme="minorHAnsi" w:cstheme="minorHAnsi"/>
                <w:spacing w:val="-6"/>
                <w:sz w:val="24"/>
                <w:lang w:eastAsia="zh-TW"/>
              </w:rPr>
              <w:t>各國中央政府、中央銀行發行、保證或擔</w:t>
            </w:r>
            <w:r w:rsidRPr="00050EA7">
              <w:rPr>
                <w:rFonts w:asciiTheme="minorHAnsi" w:eastAsia="標楷體" w:hAnsiTheme="minorHAnsi" w:cstheme="minorHAnsi"/>
                <w:spacing w:val="-12"/>
                <w:sz w:val="24"/>
                <w:lang w:eastAsia="zh-TW"/>
              </w:rPr>
              <w:t>保之債務</w:t>
            </w:r>
            <w:r w:rsidR="009653EE" w:rsidRPr="00050EA7">
              <w:rPr>
                <w:rFonts w:asciiTheme="minorHAnsi" w:eastAsia="標楷體" w:hAnsiTheme="minorHAnsi" w:cstheme="minorHAnsi"/>
                <w:spacing w:val="-12"/>
                <w:sz w:val="24"/>
                <w:lang w:eastAsia="zh-TW"/>
              </w:rPr>
              <w:t>工具</w:t>
            </w:r>
            <w:r w:rsidRPr="00050EA7">
              <w:rPr>
                <w:rFonts w:asciiTheme="minorHAnsi" w:eastAsia="標楷體" w:hAnsiTheme="minorHAnsi" w:cstheme="minorHAnsi"/>
                <w:spacing w:val="-12"/>
                <w:sz w:val="24"/>
                <w:lang w:eastAsia="zh-TW"/>
              </w:rPr>
              <w:t>，其外部信用評等依信用風</w:t>
            </w:r>
            <w:r w:rsidRPr="00050EA7">
              <w:rPr>
                <w:rFonts w:asciiTheme="minorHAnsi" w:eastAsia="標楷體" w:hAnsiTheme="minorHAnsi" w:cstheme="minorHAnsi"/>
                <w:spacing w:val="2"/>
                <w:sz w:val="24"/>
                <w:lang w:eastAsia="zh-TW"/>
              </w:rPr>
              <w:t>險標準法規定得適用</w:t>
            </w:r>
            <w:r w:rsidRPr="00050EA7">
              <w:rPr>
                <w:rFonts w:asciiTheme="minorHAnsi" w:eastAsia="標楷體" w:hAnsiTheme="minorHAnsi" w:cstheme="minorHAnsi"/>
                <w:spacing w:val="2"/>
                <w:sz w:val="24"/>
                <w:lang w:eastAsia="zh-TW"/>
              </w:rPr>
              <w:t xml:space="preserve"> </w:t>
            </w:r>
            <w:r w:rsidRPr="00050EA7">
              <w:rPr>
                <w:rFonts w:asciiTheme="minorHAnsi" w:eastAsia="標楷體" w:hAnsiTheme="minorHAnsi" w:cstheme="minorHAnsi"/>
                <w:sz w:val="24"/>
                <w:lang w:eastAsia="zh-TW"/>
              </w:rPr>
              <w:t>20%-50%</w:t>
            </w:r>
            <w:r w:rsidRPr="00050EA7">
              <w:rPr>
                <w:rFonts w:asciiTheme="minorHAnsi" w:eastAsia="標楷體" w:hAnsiTheme="minorHAnsi" w:cstheme="minorHAnsi"/>
                <w:spacing w:val="-3"/>
                <w:sz w:val="24"/>
                <w:lang w:eastAsia="zh-TW"/>
              </w:rPr>
              <w:t>風險權數</w:t>
            </w:r>
            <w:r w:rsidRPr="00050EA7">
              <w:rPr>
                <w:rFonts w:asciiTheme="minorHAnsi" w:eastAsia="標楷體" w:hAnsiTheme="minorHAnsi" w:cstheme="minorHAnsi"/>
                <w:sz w:val="24"/>
                <w:lang w:eastAsia="zh-TW"/>
              </w:rPr>
              <w:t>者。</w:t>
            </w:r>
          </w:p>
          <w:p w14:paraId="21EE95AC" w14:textId="04366918" w:rsidR="00C051EB" w:rsidRPr="00050EA7" w:rsidRDefault="00C051EB" w:rsidP="00C051EB">
            <w:pPr>
              <w:pStyle w:val="TableParagraph"/>
              <w:numPr>
                <w:ilvl w:val="0"/>
                <w:numId w:val="186"/>
              </w:numPr>
              <w:tabs>
                <w:tab w:val="left" w:pos="260"/>
              </w:tabs>
              <w:spacing w:before="4" w:line="256" w:lineRule="auto"/>
              <w:ind w:left="268" w:right="16" w:hanging="240"/>
              <w:jc w:val="both"/>
              <w:rPr>
                <w:rFonts w:asciiTheme="minorHAnsi" w:eastAsia="標楷體" w:hAnsiTheme="minorHAnsi" w:cstheme="minorHAnsi"/>
                <w:sz w:val="24"/>
              </w:rPr>
            </w:pPr>
            <w:proofErr w:type="spellStart"/>
            <w:proofErr w:type="gramStart"/>
            <w:r w:rsidRPr="00050EA7">
              <w:rPr>
                <w:rFonts w:asciiTheme="minorHAnsi" w:eastAsia="標楷體" w:hAnsiTheme="minorHAnsi" w:cstheme="minorHAnsi"/>
                <w:spacing w:val="48"/>
                <w:sz w:val="24"/>
              </w:rPr>
              <w:t>非中央政府公共部門</w:t>
            </w:r>
            <w:proofErr w:type="spellEnd"/>
            <w:r w:rsidRPr="00050EA7">
              <w:rPr>
                <w:rFonts w:asciiTheme="minorHAnsi" w:eastAsia="標楷體" w:hAnsiTheme="minorHAnsi" w:cstheme="minorHAnsi"/>
                <w:sz w:val="24"/>
                <w:lang w:eastAsia="zh-TW"/>
              </w:rPr>
              <w:t>(</w:t>
            </w:r>
            <w:r w:rsidRPr="00050EA7">
              <w:rPr>
                <w:rFonts w:asciiTheme="minorHAnsi" w:eastAsia="標楷體" w:hAnsiTheme="minorHAnsi" w:cstheme="minorHAnsi"/>
                <w:spacing w:val="-67"/>
                <w:sz w:val="24"/>
              </w:rPr>
              <w:t xml:space="preserve"> </w:t>
            </w:r>
            <w:r w:rsidRPr="00050EA7">
              <w:rPr>
                <w:rFonts w:asciiTheme="minorHAnsi" w:eastAsia="標楷體" w:hAnsiTheme="minorHAnsi" w:cstheme="minorHAnsi"/>
                <w:sz w:val="24"/>
              </w:rPr>
              <w:t>public</w:t>
            </w:r>
            <w:proofErr w:type="gramEnd"/>
            <w:r w:rsidRPr="00050EA7">
              <w:rPr>
                <w:rFonts w:asciiTheme="minorHAnsi" w:eastAsia="標楷體" w:hAnsiTheme="minorHAnsi" w:cstheme="minorHAnsi"/>
                <w:spacing w:val="52"/>
                <w:sz w:val="24"/>
              </w:rPr>
              <w:t xml:space="preserve"> </w:t>
            </w:r>
            <w:r w:rsidRPr="00050EA7">
              <w:rPr>
                <w:rFonts w:asciiTheme="minorHAnsi" w:eastAsia="標楷體" w:hAnsiTheme="minorHAnsi" w:cstheme="minorHAnsi"/>
                <w:spacing w:val="-3"/>
                <w:sz w:val="24"/>
              </w:rPr>
              <w:t xml:space="preserve">sector </w:t>
            </w:r>
            <w:r w:rsidRPr="00050EA7">
              <w:rPr>
                <w:rFonts w:asciiTheme="minorHAnsi" w:eastAsia="標楷體" w:hAnsiTheme="minorHAnsi" w:cstheme="minorHAnsi"/>
                <w:spacing w:val="-1"/>
                <w:sz w:val="24"/>
              </w:rPr>
              <w:t>e</w:t>
            </w:r>
            <w:r w:rsidRPr="00050EA7">
              <w:rPr>
                <w:rFonts w:asciiTheme="minorHAnsi" w:eastAsia="標楷體" w:hAnsiTheme="minorHAnsi" w:cstheme="minorHAnsi"/>
                <w:sz w:val="24"/>
              </w:rPr>
              <w:t>ntiti</w:t>
            </w:r>
            <w:r w:rsidRPr="00050EA7">
              <w:rPr>
                <w:rFonts w:asciiTheme="minorHAnsi" w:eastAsia="標楷體" w:hAnsiTheme="minorHAnsi" w:cstheme="minorHAnsi"/>
                <w:spacing w:val="-1"/>
                <w:sz w:val="24"/>
              </w:rPr>
              <w:t>e</w:t>
            </w:r>
            <w:r w:rsidRPr="00050EA7">
              <w:rPr>
                <w:rFonts w:asciiTheme="minorHAnsi" w:eastAsia="標楷體" w:hAnsiTheme="minorHAnsi" w:cstheme="minorHAnsi"/>
                <w:spacing w:val="6"/>
                <w:w w:val="99"/>
                <w:sz w:val="24"/>
              </w:rPr>
              <w:t>s</w:t>
            </w:r>
            <w:r w:rsidRPr="00050EA7">
              <w:rPr>
                <w:rFonts w:asciiTheme="minorHAnsi" w:eastAsia="標楷體" w:hAnsiTheme="minorHAnsi" w:cstheme="minorHAnsi"/>
                <w:sz w:val="24"/>
                <w:lang w:eastAsia="zh-TW"/>
              </w:rPr>
              <w:t>)</w:t>
            </w:r>
            <w:r w:rsidRPr="00050EA7">
              <w:rPr>
                <w:rFonts w:asciiTheme="minorHAnsi" w:eastAsia="標楷體" w:hAnsiTheme="minorHAnsi" w:cstheme="minorHAnsi"/>
                <w:spacing w:val="1"/>
                <w:sz w:val="24"/>
              </w:rPr>
              <w:t>、</w:t>
            </w:r>
            <w:proofErr w:type="spellStart"/>
            <w:r w:rsidRPr="00050EA7">
              <w:rPr>
                <w:rFonts w:asciiTheme="minorHAnsi" w:eastAsia="標楷體" w:hAnsiTheme="minorHAnsi" w:cstheme="minorHAnsi"/>
                <w:spacing w:val="1"/>
                <w:sz w:val="24"/>
              </w:rPr>
              <w:t>國際復興開發銀行等多邊開發銀行發行、保證或擔保之債務</w:t>
            </w:r>
            <w:r w:rsidR="009653EE" w:rsidRPr="00050EA7">
              <w:rPr>
                <w:rFonts w:asciiTheme="minorHAnsi" w:eastAsia="標楷體" w:hAnsiTheme="minorHAnsi" w:cstheme="minorHAnsi"/>
                <w:spacing w:val="1"/>
                <w:sz w:val="24"/>
              </w:rPr>
              <w:t>工具</w:t>
            </w:r>
            <w:proofErr w:type="spellEnd"/>
            <w:r w:rsidRPr="00050EA7">
              <w:rPr>
                <w:rFonts w:asciiTheme="minorHAnsi" w:eastAsia="標楷體" w:hAnsiTheme="minorHAnsi" w:cstheme="minorHAnsi"/>
                <w:spacing w:val="1"/>
                <w:sz w:val="24"/>
              </w:rPr>
              <w:t>。</w:t>
            </w:r>
          </w:p>
          <w:p w14:paraId="58F0A41A" w14:textId="7190756D" w:rsidR="00C051EB" w:rsidRPr="00050EA7" w:rsidRDefault="00C051EB" w:rsidP="00C051EB">
            <w:pPr>
              <w:pStyle w:val="TableParagraph"/>
              <w:numPr>
                <w:ilvl w:val="0"/>
                <w:numId w:val="186"/>
              </w:numPr>
              <w:tabs>
                <w:tab w:val="left" w:pos="210"/>
              </w:tabs>
              <w:spacing w:before="2" w:line="256" w:lineRule="auto"/>
              <w:ind w:right="16"/>
              <w:rPr>
                <w:rFonts w:asciiTheme="minorHAnsi" w:eastAsia="標楷體" w:hAnsiTheme="minorHAnsi" w:cstheme="minorHAnsi"/>
                <w:sz w:val="24"/>
                <w:lang w:eastAsia="zh-TW"/>
              </w:rPr>
            </w:pPr>
            <w:proofErr w:type="gramStart"/>
            <w:r w:rsidRPr="00050EA7">
              <w:rPr>
                <w:rFonts w:asciiTheme="minorHAnsi" w:eastAsia="標楷體" w:hAnsiTheme="minorHAnsi" w:cstheme="minorHAnsi"/>
                <w:spacing w:val="-5"/>
                <w:sz w:val="24"/>
                <w:lang w:eastAsia="zh-TW"/>
              </w:rPr>
              <w:t>金控公司</w:t>
            </w:r>
            <w:proofErr w:type="gramEnd"/>
            <w:r w:rsidRPr="00050EA7">
              <w:rPr>
                <w:rFonts w:asciiTheme="minorHAnsi" w:eastAsia="標楷體" w:hAnsiTheme="minorHAnsi" w:cstheme="minorHAnsi"/>
                <w:spacing w:val="-5"/>
                <w:sz w:val="24"/>
                <w:lang w:eastAsia="zh-TW"/>
              </w:rPr>
              <w:t>、銀行及票</w:t>
            </w:r>
            <w:proofErr w:type="gramStart"/>
            <w:r w:rsidRPr="00050EA7">
              <w:rPr>
                <w:rFonts w:asciiTheme="minorHAnsi" w:eastAsia="標楷體" w:hAnsiTheme="minorHAnsi" w:cstheme="minorHAnsi"/>
                <w:spacing w:val="-5"/>
                <w:sz w:val="24"/>
                <w:lang w:eastAsia="zh-TW"/>
              </w:rPr>
              <w:t>券</w:t>
            </w:r>
            <w:proofErr w:type="gramEnd"/>
            <w:r w:rsidRPr="00050EA7">
              <w:rPr>
                <w:rFonts w:asciiTheme="minorHAnsi" w:eastAsia="標楷體" w:hAnsiTheme="minorHAnsi" w:cstheme="minorHAnsi"/>
                <w:spacing w:val="-5"/>
                <w:sz w:val="24"/>
                <w:lang w:eastAsia="zh-TW"/>
              </w:rPr>
              <w:t>公司發行</w:t>
            </w:r>
            <w:r w:rsidRPr="00050EA7">
              <w:rPr>
                <w:rFonts w:asciiTheme="minorHAnsi" w:eastAsia="標楷體" w:hAnsiTheme="minorHAnsi" w:cstheme="minorHAnsi"/>
                <w:spacing w:val="-5"/>
                <w:sz w:val="24"/>
                <w:lang w:eastAsia="zh-TW"/>
              </w:rPr>
              <w:t>(</w:t>
            </w:r>
            <w:r w:rsidRPr="00050EA7">
              <w:rPr>
                <w:rFonts w:asciiTheme="minorHAnsi" w:eastAsia="標楷體" w:hAnsiTheme="minorHAnsi" w:cstheme="minorHAnsi"/>
                <w:spacing w:val="-5"/>
                <w:sz w:val="24"/>
                <w:lang w:eastAsia="zh-TW"/>
              </w:rPr>
              <w:t>包括</w:t>
            </w:r>
            <w:r w:rsidRPr="00050EA7">
              <w:rPr>
                <w:rFonts w:asciiTheme="minorHAnsi" w:eastAsia="標楷體" w:hAnsiTheme="minorHAnsi" w:cstheme="minorHAnsi"/>
                <w:spacing w:val="-5"/>
                <w:sz w:val="24"/>
                <w:lang w:eastAsia="zh-TW"/>
              </w:rPr>
              <w:t>TLAC</w:t>
            </w:r>
            <w:r w:rsidRPr="00050EA7">
              <w:rPr>
                <w:rFonts w:asciiTheme="minorHAnsi" w:eastAsia="標楷體" w:hAnsiTheme="minorHAnsi" w:cstheme="minorHAnsi"/>
                <w:spacing w:val="-5"/>
                <w:sz w:val="24"/>
                <w:lang w:eastAsia="zh-TW"/>
              </w:rPr>
              <w:t>債務</w:t>
            </w:r>
            <w:r w:rsidR="009653EE" w:rsidRPr="00050EA7">
              <w:rPr>
                <w:rFonts w:asciiTheme="minorHAnsi" w:eastAsia="標楷體" w:hAnsiTheme="minorHAnsi" w:cstheme="minorHAnsi"/>
                <w:spacing w:val="-5"/>
                <w:sz w:val="24"/>
                <w:lang w:eastAsia="zh-TW"/>
              </w:rPr>
              <w:t>工具</w:t>
            </w:r>
            <w:r w:rsidRPr="00050EA7">
              <w:rPr>
                <w:rFonts w:asciiTheme="minorHAnsi" w:eastAsia="標楷體" w:hAnsiTheme="minorHAnsi" w:cstheme="minorHAnsi"/>
                <w:spacing w:val="-5"/>
                <w:sz w:val="24"/>
                <w:lang w:eastAsia="zh-TW"/>
              </w:rPr>
              <w:t>，</w:t>
            </w:r>
            <w:r w:rsidRPr="00050EA7">
              <w:rPr>
                <w:rFonts w:asciiTheme="minorHAnsi" w:eastAsia="標楷體" w:hAnsiTheme="minorHAnsi" w:cstheme="minorHAnsi"/>
                <w:spacing w:val="-5"/>
                <w:sz w:val="24"/>
                <w:lang w:eastAsia="zh-TW"/>
              </w:rPr>
              <w:t>110</w:t>
            </w:r>
            <w:r w:rsidRPr="00050EA7">
              <w:rPr>
                <w:rFonts w:asciiTheme="minorHAnsi" w:eastAsia="標楷體" w:hAnsiTheme="minorHAnsi" w:cstheme="minorHAnsi"/>
                <w:spacing w:val="-5"/>
                <w:sz w:val="24"/>
                <w:lang w:eastAsia="zh-TW"/>
              </w:rPr>
              <w:t>年</w:t>
            </w:r>
            <w:r w:rsidRPr="00050EA7">
              <w:rPr>
                <w:rFonts w:asciiTheme="minorHAnsi" w:eastAsia="標楷體" w:hAnsiTheme="minorHAnsi" w:cstheme="minorHAnsi"/>
                <w:spacing w:val="-5"/>
                <w:sz w:val="24"/>
                <w:lang w:eastAsia="zh-TW"/>
              </w:rPr>
              <w:t>12</w:t>
            </w:r>
            <w:r w:rsidRPr="00050EA7">
              <w:rPr>
                <w:rFonts w:asciiTheme="minorHAnsi" w:eastAsia="標楷體" w:hAnsiTheme="minorHAnsi" w:cstheme="minorHAnsi"/>
                <w:spacing w:val="-5"/>
                <w:sz w:val="24"/>
                <w:lang w:eastAsia="zh-TW"/>
              </w:rPr>
              <w:t>月</w:t>
            </w:r>
            <w:r w:rsidRPr="00050EA7">
              <w:rPr>
                <w:rFonts w:asciiTheme="minorHAnsi" w:eastAsia="標楷體" w:hAnsiTheme="minorHAnsi" w:cstheme="minorHAnsi"/>
                <w:spacing w:val="-5"/>
                <w:sz w:val="24"/>
                <w:lang w:eastAsia="zh-TW"/>
              </w:rPr>
              <w:t>31</w:t>
            </w:r>
            <w:r w:rsidRPr="00050EA7">
              <w:rPr>
                <w:rFonts w:asciiTheme="minorHAnsi" w:eastAsia="標楷體" w:hAnsiTheme="minorHAnsi" w:cstheme="minorHAnsi"/>
                <w:spacing w:val="-5"/>
                <w:sz w:val="24"/>
                <w:lang w:eastAsia="zh-TW"/>
              </w:rPr>
              <w:t>日以前</w:t>
            </w:r>
            <w:r w:rsidRPr="00050EA7">
              <w:rPr>
                <w:rFonts w:asciiTheme="minorHAnsi" w:eastAsia="標楷體" w:hAnsiTheme="minorHAnsi" w:cstheme="minorHAnsi"/>
                <w:spacing w:val="-5"/>
                <w:sz w:val="24"/>
                <w:lang w:eastAsia="zh-TW"/>
              </w:rPr>
              <w:t>)</w:t>
            </w:r>
            <w:r w:rsidRPr="00050EA7">
              <w:rPr>
                <w:rFonts w:asciiTheme="minorHAnsi" w:eastAsia="標楷體" w:hAnsiTheme="minorHAnsi" w:cstheme="minorHAnsi"/>
                <w:spacing w:val="-5"/>
                <w:sz w:val="24"/>
                <w:lang w:eastAsia="zh-TW"/>
              </w:rPr>
              <w:t>、保證或擔保之債務</w:t>
            </w:r>
            <w:r w:rsidR="009653EE" w:rsidRPr="00050EA7">
              <w:rPr>
                <w:rFonts w:asciiTheme="minorHAnsi" w:eastAsia="標楷體" w:hAnsiTheme="minorHAnsi" w:cstheme="minorHAnsi"/>
                <w:sz w:val="24"/>
                <w:lang w:eastAsia="zh-TW"/>
              </w:rPr>
              <w:t>工具</w:t>
            </w:r>
            <w:r w:rsidRPr="00050EA7">
              <w:rPr>
                <w:rFonts w:asciiTheme="minorHAnsi" w:eastAsia="標楷體" w:hAnsiTheme="minorHAnsi" w:cstheme="minorHAnsi"/>
                <w:sz w:val="24"/>
                <w:lang w:eastAsia="zh-TW"/>
              </w:rPr>
              <w:t>，其外部</w:t>
            </w:r>
            <w:r w:rsidRPr="00050EA7">
              <w:rPr>
                <w:rFonts w:asciiTheme="minorHAnsi" w:eastAsia="標楷體" w:hAnsiTheme="minorHAnsi" w:cstheme="minorHAnsi"/>
                <w:sz w:val="24"/>
                <w:lang w:eastAsia="zh-TW"/>
              </w:rPr>
              <w:lastRenderedPageBreak/>
              <w:t>評等為投資等級以上者。</w:t>
            </w:r>
          </w:p>
          <w:p w14:paraId="22D45CC4" w14:textId="6A9A6FAA" w:rsidR="00C051EB" w:rsidRPr="00050EA7" w:rsidRDefault="00C051EB" w:rsidP="00C051EB">
            <w:pPr>
              <w:pStyle w:val="TableParagraph"/>
              <w:numPr>
                <w:ilvl w:val="0"/>
                <w:numId w:val="186"/>
              </w:numPr>
              <w:tabs>
                <w:tab w:val="left" w:pos="221"/>
              </w:tabs>
              <w:spacing w:before="2" w:line="256" w:lineRule="auto"/>
              <w:ind w:left="268" w:right="3" w:hanging="240"/>
              <w:rPr>
                <w:rFonts w:asciiTheme="minorHAnsi" w:eastAsia="標楷體" w:hAnsiTheme="minorHAnsi" w:cstheme="minorHAnsi"/>
                <w:sz w:val="24"/>
                <w:lang w:eastAsia="zh-TW"/>
              </w:rPr>
            </w:pPr>
            <w:r w:rsidRPr="00050EA7">
              <w:rPr>
                <w:rFonts w:asciiTheme="minorHAnsi" w:eastAsia="標楷體" w:hAnsiTheme="minorHAnsi" w:cstheme="minorHAnsi"/>
                <w:spacing w:val="11"/>
                <w:sz w:val="24"/>
                <w:lang w:eastAsia="zh-TW"/>
              </w:rPr>
              <w:t>經評定為投資等級以上者或經本會核准</w:t>
            </w:r>
            <w:r w:rsidRPr="00050EA7">
              <w:rPr>
                <w:rFonts w:asciiTheme="minorHAnsi" w:eastAsia="標楷體" w:hAnsiTheme="minorHAnsi" w:cstheme="minorHAnsi"/>
                <w:sz w:val="24"/>
                <w:lang w:eastAsia="zh-TW"/>
              </w:rPr>
              <w:t>之債務</w:t>
            </w:r>
            <w:r w:rsidR="009653EE" w:rsidRPr="00050EA7">
              <w:rPr>
                <w:rFonts w:asciiTheme="minorHAnsi" w:eastAsia="標楷體" w:hAnsiTheme="minorHAnsi" w:cstheme="minorHAnsi"/>
                <w:sz w:val="24"/>
                <w:lang w:eastAsia="zh-TW"/>
              </w:rPr>
              <w:t>工具</w:t>
            </w:r>
          </w:p>
        </w:tc>
        <w:tc>
          <w:tcPr>
            <w:tcW w:w="1417" w:type="dxa"/>
            <w:vAlign w:val="center"/>
          </w:tcPr>
          <w:p w14:paraId="47F788CB" w14:textId="77777777" w:rsidR="00C051EB" w:rsidRPr="00CA1A43" w:rsidRDefault="00C051EB" w:rsidP="00C051EB">
            <w:pPr>
              <w:pStyle w:val="TableParagraph"/>
              <w:jc w:val="center"/>
              <w:rPr>
                <w:rFonts w:asciiTheme="minorHAnsi" w:eastAsia="標楷體" w:hAnsiTheme="minorHAnsi" w:cstheme="minorHAnsi"/>
                <w:sz w:val="24"/>
              </w:rPr>
            </w:pPr>
            <w:r w:rsidRPr="00CA1A43">
              <w:rPr>
                <w:rFonts w:asciiTheme="minorHAnsi" w:eastAsia="標楷體" w:hAnsiTheme="minorHAnsi" w:cstheme="minorHAnsi"/>
                <w:sz w:val="24"/>
                <w:lang w:eastAsia="zh-TW"/>
              </w:rPr>
              <w:lastRenderedPageBreak/>
              <w:t>殘存期限</w:t>
            </w:r>
            <w:r w:rsidRPr="00CA1A43">
              <w:rPr>
                <w:rFonts w:asciiTheme="minorHAnsi" w:eastAsia="標楷體" w:hAnsiTheme="minorHAnsi" w:cstheme="minorHAnsi"/>
                <w:sz w:val="24"/>
                <w:lang w:eastAsia="zh-TW"/>
              </w:rPr>
              <w:t xml:space="preserve"> 6 </w:t>
            </w:r>
            <w:proofErr w:type="gramStart"/>
            <w:r w:rsidRPr="00CA1A43">
              <w:rPr>
                <w:rFonts w:asciiTheme="minorHAnsi" w:eastAsia="標楷體" w:hAnsiTheme="minorHAnsi" w:cstheme="minorHAnsi"/>
                <w:sz w:val="24"/>
                <w:lang w:eastAsia="zh-TW"/>
              </w:rPr>
              <w:t>個</w:t>
            </w:r>
            <w:proofErr w:type="gramEnd"/>
            <w:r w:rsidRPr="00CA1A43">
              <w:rPr>
                <w:rFonts w:asciiTheme="minorHAnsi" w:eastAsia="標楷體" w:hAnsiTheme="minorHAnsi" w:cstheme="minorHAnsi"/>
                <w:sz w:val="24"/>
                <w:lang w:eastAsia="zh-TW"/>
              </w:rPr>
              <w:t>月</w:t>
            </w:r>
            <w:r w:rsidRPr="00CA1A43">
              <w:rPr>
                <w:rFonts w:asciiTheme="minorHAnsi" w:eastAsia="標楷體" w:hAnsiTheme="minorHAnsi" w:cstheme="minorHAnsi"/>
                <w:sz w:val="24"/>
                <w:lang w:eastAsia="zh-TW"/>
              </w:rPr>
              <w:t>(</w:t>
            </w:r>
            <w:r w:rsidRPr="00CA1A43">
              <w:rPr>
                <w:rFonts w:asciiTheme="minorHAnsi" w:eastAsia="標楷體" w:hAnsiTheme="minorHAnsi" w:cstheme="minorHAnsi"/>
                <w:sz w:val="24"/>
                <w:lang w:eastAsia="zh-TW"/>
              </w:rPr>
              <w:t>含</w:t>
            </w:r>
            <w:r w:rsidRPr="00CA1A43">
              <w:rPr>
                <w:rFonts w:asciiTheme="minorHAnsi" w:eastAsia="標楷體" w:hAnsiTheme="minorHAnsi" w:cstheme="minorHAnsi"/>
                <w:sz w:val="24"/>
                <w:lang w:eastAsia="zh-TW"/>
              </w:rPr>
              <w:t xml:space="preserve">) </w:t>
            </w:r>
            <w:r w:rsidRPr="00CA1A43">
              <w:rPr>
                <w:rFonts w:asciiTheme="minorHAnsi" w:eastAsia="標楷體" w:hAnsiTheme="minorHAnsi" w:cstheme="minorHAnsi"/>
                <w:sz w:val="24"/>
                <w:lang w:eastAsia="zh-TW"/>
              </w:rPr>
              <w:t>以內</w:t>
            </w:r>
          </w:p>
        </w:tc>
        <w:tc>
          <w:tcPr>
            <w:tcW w:w="1418" w:type="dxa"/>
            <w:vAlign w:val="center"/>
          </w:tcPr>
          <w:p w14:paraId="7E47B96C"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0.25%</w:t>
            </w:r>
          </w:p>
        </w:tc>
      </w:tr>
      <w:tr w:rsidR="00C051EB" w:rsidRPr="00CA1A43" w14:paraId="6B9C542B" w14:textId="77777777" w:rsidTr="0083655E">
        <w:trPr>
          <w:trHeight w:val="977"/>
        </w:trPr>
        <w:tc>
          <w:tcPr>
            <w:tcW w:w="1276" w:type="dxa"/>
            <w:vMerge/>
            <w:vAlign w:val="center"/>
          </w:tcPr>
          <w:p w14:paraId="67A2F05F" w14:textId="77777777" w:rsidR="00C051EB" w:rsidRPr="00CA1A43" w:rsidRDefault="00C051EB" w:rsidP="00C051EB">
            <w:pPr>
              <w:jc w:val="center"/>
              <w:rPr>
                <w:rFonts w:eastAsia="標楷體" w:cstheme="minorHAnsi"/>
                <w:sz w:val="2"/>
                <w:szCs w:val="2"/>
              </w:rPr>
            </w:pPr>
          </w:p>
        </w:tc>
        <w:tc>
          <w:tcPr>
            <w:tcW w:w="4111" w:type="dxa"/>
            <w:vMerge/>
          </w:tcPr>
          <w:p w14:paraId="70EC4F90" w14:textId="77777777" w:rsidR="00C051EB" w:rsidRPr="00CA1A43" w:rsidRDefault="00C051EB" w:rsidP="00C051EB">
            <w:pPr>
              <w:rPr>
                <w:rFonts w:eastAsia="標楷體" w:cstheme="minorHAnsi"/>
                <w:sz w:val="2"/>
                <w:szCs w:val="2"/>
              </w:rPr>
            </w:pPr>
          </w:p>
        </w:tc>
        <w:tc>
          <w:tcPr>
            <w:tcW w:w="1417" w:type="dxa"/>
            <w:vAlign w:val="center"/>
          </w:tcPr>
          <w:p w14:paraId="34B54C76" w14:textId="77777777" w:rsidR="00C051EB" w:rsidRPr="00CA1A43" w:rsidRDefault="00C051EB" w:rsidP="00C051EB">
            <w:pPr>
              <w:pStyle w:val="TableParagraph"/>
              <w:jc w:val="center"/>
              <w:rPr>
                <w:rFonts w:asciiTheme="minorHAnsi" w:eastAsia="標楷體" w:hAnsiTheme="minorHAnsi" w:cstheme="minorHAnsi"/>
                <w:sz w:val="24"/>
                <w:lang w:eastAsia="zh-TW"/>
              </w:rPr>
            </w:pPr>
            <w:r w:rsidRPr="00CA1A43">
              <w:rPr>
                <w:rFonts w:asciiTheme="minorHAnsi" w:eastAsia="標楷體" w:hAnsiTheme="minorHAnsi" w:cstheme="minorHAnsi"/>
                <w:sz w:val="24"/>
                <w:lang w:eastAsia="zh-TW"/>
              </w:rPr>
              <w:t>殘存期限</w:t>
            </w:r>
            <w:r w:rsidRPr="00CA1A43">
              <w:rPr>
                <w:rFonts w:asciiTheme="minorHAnsi" w:eastAsia="標楷體" w:hAnsiTheme="minorHAnsi" w:cstheme="minorHAnsi"/>
                <w:sz w:val="24"/>
                <w:lang w:eastAsia="zh-TW"/>
              </w:rPr>
              <w:t xml:space="preserve"> 6 </w:t>
            </w:r>
            <w:proofErr w:type="gramStart"/>
            <w:r w:rsidRPr="00CA1A43">
              <w:rPr>
                <w:rFonts w:asciiTheme="minorHAnsi" w:eastAsia="標楷體" w:hAnsiTheme="minorHAnsi" w:cstheme="minorHAnsi"/>
                <w:sz w:val="24"/>
                <w:lang w:eastAsia="zh-TW"/>
              </w:rPr>
              <w:t>個</w:t>
            </w:r>
            <w:proofErr w:type="gramEnd"/>
            <w:r w:rsidRPr="00CA1A43">
              <w:rPr>
                <w:rFonts w:asciiTheme="minorHAnsi" w:eastAsia="標楷體" w:hAnsiTheme="minorHAnsi" w:cstheme="minorHAnsi"/>
                <w:sz w:val="24"/>
                <w:lang w:eastAsia="zh-TW"/>
              </w:rPr>
              <w:t>月至</w:t>
            </w:r>
            <w:r w:rsidRPr="00CA1A43">
              <w:rPr>
                <w:rFonts w:asciiTheme="minorHAnsi" w:eastAsia="標楷體" w:hAnsiTheme="minorHAnsi" w:cstheme="minorHAnsi"/>
                <w:sz w:val="24"/>
                <w:lang w:eastAsia="zh-TW"/>
              </w:rPr>
              <w:t xml:space="preserve"> 24 </w:t>
            </w:r>
            <w:proofErr w:type="gramStart"/>
            <w:r w:rsidRPr="00CA1A43">
              <w:rPr>
                <w:rFonts w:asciiTheme="minorHAnsi" w:eastAsia="標楷體" w:hAnsiTheme="minorHAnsi" w:cstheme="minorHAnsi"/>
                <w:sz w:val="24"/>
                <w:lang w:eastAsia="zh-TW"/>
              </w:rPr>
              <w:t>個</w:t>
            </w:r>
            <w:proofErr w:type="gramEnd"/>
            <w:r w:rsidRPr="00CA1A43">
              <w:rPr>
                <w:rFonts w:asciiTheme="minorHAnsi" w:eastAsia="標楷體" w:hAnsiTheme="minorHAnsi" w:cstheme="minorHAnsi"/>
                <w:sz w:val="24"/>
                <w:lang w:eastAsia="zh-TW"/>
              </w:rPr>
              <w:t>月</w:t>
            </w:r>
            <w:r w:rsidRPr="00CA1A43">
              <w:rPr>
                <w:rFonts w:asciiTheme="minorHAnsi" w:eastAsia="標楷體" w:hAnsiTheme="minorHAnsi" w:cstheme="minorHAnsi"/>
                <w:sz w:val="24"/>
                <w:lang w:eastAsia="zh-TW"/>
              </w:rPr>
              <w:t>(</w:t>
            </w:r>
            <w:r w:rsidRPr="00CA1A43">
              <w:rPr>
                <w:rFonts w:asciiTheme="minorHAnsi" w:eastAsia="標楷體" w:hAnsiTheme="minorHAnsi" w:cstheme="minorHAnsi"/>
                <w:sz w:val="24"/>
                <w:lang w:eastAsia="zh-TW"/>
              </w:rPr>
              <w:t>含</w:t>
            </w:r>
            <w:r w:rsidRPr="00CA1A43">
              <w:rPr>
                <w:rFonts w:asciiTheme="minorHAnsi" w:eastAsia="標楷體" w:hAnsiTheme="minorHAnsi" w:cstheme="minorHAnsi"/>
                <w:sz w:val="24"/>
                <w:lang w:eastAsia="zh-TW"/>
              </w:rPr>
              <w:t>)</w:t>
            </w:r>
          </w:p>
        </w:tc>
        <w:tc>
          <w:tcPr>
            <w:tcW w:w="1418" w:type="dxa"/>
            <w:vAlign w:val="center"/>
          </w:tcPr>
          <w:p w14:paraId="2A431C2B"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1.00%</w:t>
            </w:r>
          </w:p>
        </w:tc>
      </w:tr>
      <w:tr w:rsidR="00C051EB" w:rsidRPr="00CA1A43" w14:paraId="5C4C6C84" w14:textId="77777777" w:rsidTr="0083655E">
        <w:trPr>
          <w:trHeight w:val="70"/>
        </w:trPr>
        <w:tc>
          <w:tcPr>
            <w:tcW w:w="1276" w:type="dxa"/>
            <w:vMerge/>
            <w:vAlign w:val="center"/>
          </w:tcPr>
          <w:p w14:paraId="6755D873" w14:textId="77777777" w:rsidR="00C051EB" w:rsidRPr="00CA1A43" w:rsidRDefault="00C051EB" w:rsidP="00C051EB">
            <w:pPr>
              <w:jc w:val="center"/>
              <w:rPr>
                <w:rFonts w:eastAsia="標楷體" w:cstheme="minorHAnsi"/>
                <w:sz w:val="2"/>
                <w:szCs w:val="2"/>
              </w:rPr>
            </w:pPr>
          </w:p>
        </w:tc>
        <w:tc>
          <w:tcPr>
            <w:tcW w:w="4111" w:type="dxa"/>
            <w:vMerge/>
          </w:tcPr>
          <w:p w14:paraId="635DA418" w14:textId="77777777" w:rsidR="00C051EB" w:rsidRPr="00CA1A43" w:rsidRDefault="00C051EB" w:rsidP="00C051EB">
            <w:pPr>
              <w:rPr>
                <w:rFonts w:eastAsia="標楷體" w:cstheme="minorHAnsi"/>
                <w:sz w:val="2"/>
                <w:szCs w:val="2"/>
              </w:rPr>
            </w:pPr>
          </w:p>
        </w:tc>
        <w:tc>
          <w:tcPr>
            <w:tcW w:w="1417" w:type="dxa"/>
            <w:vAlign w:val="center"/>
          </w:tcPr>
          <w:p w14:paraId="1A6D1146" w14:textId="77777777" w:rsidR="00C051EB" w:rsidRPr="00CA1A43" w:rsidRDefault="00C051EB" w:rsidP="00C051EB">
            <w:pPr>
              <w:pStyle w:val="TableParagraph"/>
              <w:spacing w:before="12"/>
              <w:jc w:val="center"/>
              <w:rPr>
                <w:rFonts w:asciiTheme="minorHAnsi" w:eastAsia="標楷體" w:hAnsiTheme="minorHAnsi" w:cstheme="minorHAnsi"/>
                <w:sz w:val="24"/>
              </w:rPr>
            </w:pPr>
            <w:proofErr w:type="spellStart"/>
            <w:r w:rsidRPr="00CA1A43">
              <w:rPr>
                <w:rFonts w:asciiTheme="minorHAnsi" w:eastAsia="標楷體" w:hAnsiTheme="minorHAnsi" w:cstheme="minorHAnsi"/>
                <w:sz w:val="24"/>
              </w:rPr>
              <w:t>殘存期限超過</w:t>
            </w:r>
            <w:proofErr w:type="spellEnd"/>
            <w:r w:rsidRPr="00CA1A43">
              <w:rPr>
                <w:rFonts w:asciiTheme="minorHAnsi" w:eastAsia="標楷體" w:hAnsiTheme="minorHAnsi" w:cstheme="minorHAnsi"/>
                <w:sz w:val="24"/>
              </w:rPr>
              <w:t xml:space="preserve"> 24 </w:t>
            </w:r>
            <w:proofErr w:type="spellStart"/>
            <w:r w:rsidRPr="00CA1A43">
              <w:rPr>
                <w:rFonts w:asciiTheme="minorHAnsi" w:eastAsia="標楷體" w:hAnsiTheme="minorHAnsi" w:cstheme="minorHAnsi"/>
                <w:sz w:val="24"/>
              </w:rPr>
              <w:t>個月</w:t>
            </w:r>
            <w:proofErr w:type="spellEnd"/>
          </w:p>
        </w:tc>
        <w:tc>
          <w:tcPr>
            <w:tcW w:w="1418" w:type="dxa"/>
            <w:vAlign w:val="center"/>
          </w:tcPr>
          <w:p w14:paraId="653C7B20"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1.60%</w:t>
            </w:r>
          </w:p>
        </w:tc>
      </w:tr>
      <w:tr w:rsidR="00C051EB" w:rsidRPr="00CA1A43" w14:paraId="7AF86FF9" w14:textId="77777777" w:rsidTr="0083655E">
        <w:trPr>
          <w:trHeight w:val="1915"/>
        </w:trPr>
        <w:tc>
          <w:tcPr>
            <w:tcW w:w="1276" w:type="dxa"/>
            <w:vAlign w:val="center"/>
          </w:tcPr>
          <w:p w14:paraId="7AEBE163" w14:textId="33508DD4" w:rsidR="00C051EB" w:rsidRPr="00050EA7" w:rsidRDefault="00C051EB" w:rsidP="00C051EB">
            <w:pPr>
              <w:pStyle w:val="TableParagraph"/>
              <w:jc w:val="center"/>
              <w:rPr>
                <w:rFonts w:asciiTheme="minorHAnsi" w:eastAsia="標楷體" w:hAnsiTheme="minorHAnsi" w:cstheme="minorHAnsi"/>
                <w:sz w:val="24"/>
                <w:lang w:eastAsia="zh-TW"/>
              </w:rPr>
            </w:pPr>
            <w:r w:rsidRPr="00050EA7">
              <w:rPr>
                <w:rFonts w:asciiTheme="minorHAnsi" w:eastAsia="標楷體" w:hAnsiTheme="minorHAnsi" w:cstheme="minorHAnsi"/>
                <w:sz w:val="24"/>
                <w:lang w:eastAsia="zh-TW"/>
              </w:rPr>
              <w:lastRenderedPageBreak/>
              <w:t>交易</w:t>
            </w:r>
            <w:proofErr w:type="gramStart"/>
            <w:r w:rsidRPr="00050EA7">
              <w:rPr>
                <w:rFonts w:asciiTheme="minorHAnsi" w:eastAsia="標楷體" w:hAnsiTheme="minorHAnsi" w:cstheme="minorHAnsi"/>
                <w:sz w:val="24"/>
                <w:lang w:eastAsia="zh-TW"/>
              </w:rPr>
              <w:t>簿</w:t>
            </w:r>
            <w:proofErr w:type="gramEnd"/>
            <w:r w:rsidRPr="00050EA7">
              <w:rPr>
                <w:rFonts w:asciiTheme="minorHAnsi" w:eastAsia="標楷體" w:hAnsiTheme="minorHAnsi" w:cstheme="minorHAnsi"/>
                <w:sz w:val="24"/>
                <w:lang w:eastAsia="zh-TW"/>
              </w:rPr>
              <w:t>證券化債務</w:t>
            </w:r>
            <w:r w:rsidR="009653EE" w:rsidRPr="00050EA7">
              <w:rPr>
                <w:rFonts w:asciiTheme="minorHAnsi" w:eastAsia="標楷體" w:hAnsiTheme="minorHAnsi" w:cstheme="minorHAnsi"/>
                <w:sz w:val="24"/>
                <w:lang w:eastAsia="zh-TW"/>
              </w:rPr>
              <w:t>工具</w:t>
            </w:r>
          </w:p>
        </w:tc>
        <w:tc>
          <w:tcPr>
            <w:tcW w:w="4111" w:type="dxa"/>
            <w:vAlign w:val="center"/>
          </w:tcPr>
          <w:p w14:paraId="46328036" w14:textId="77777777" w:rsidR="00C051EB" w:rsidRPr="00CA1A43" w:rsidRDefault="00C051EB" w:rsidP="00C051EB">
            <w:pPr>
              <w:pStyle w:val="TableParagraph"/>
              <w:spacing w:line="213" w:lineRule="auto"/>
              <w:ind w:left="28" w:right="16"/>
              <w:jc w:val="both"/>
              <w:rPr>
                <w:rFonts w:asciiTheme="minorHAnsi" w:eastAsia="標楷體" w:hAnsiTheme="minorHAnsi" w:cstheme="minorHAnsi"/>
                <w:sz w:val="24"/>
                <w:lang w:eastAsia="zh-TW"/>
              </w:rPr>
            </w:pPr>
            <w:r w:rsidRPr="00CA1A43">
              <w:rPr>
                <w:rFonts w:asciiTheme="minorHAnsi" w:eastAsia="標楷體" w:hAnsiTheme="minorHAnsi" w:cstheme="minorHAnsi"/>
                <w:spacing w:val="-11"/>
                <w:sz w:val="24"/>
                <w:lang w:eastAsia="zh-TW"/>
              </w:rPr>
              <w:t>依</w:t>
            </w:r>
            <w:r w:rsidR="007E41F9" w:rsidRPr="00CA1A43">
              <w:rPr>
                <w:rFonts w:asciiTheme="minorHAnsi" w:eastAsia="標楷體" w:hAnsiTheme="minorHAnsi" w:cstheme="minorHAnsi"/>
                <w:spacing w:val="-11"/>
                <w:sz w:val="24"/>
                <w:lang w:eastAsia="zh-TW"/>
              </w:rPr>
              <w:t>「證券化計算方法」</w:t>
            </w:r>
            <w:r w:rsidRPr="00CA1A43">
              <w:rPr>
                <w:rFonts w:asciiTheme="minorHAnsi" w:eastAsia="標楷體" w:hAnsiTheme="minorHAnsi" w:cstheme="minorHAnsi"/>
                <w:spacing w:val="-11"/>
                <w:sz w:val="24"/>
                <w:lang w:eastAsia="zh-TW"/>
              </w:rPr>
              <w:t>規定之風險權</w:t>
            </w:r>
            <w:r w:rsidRPr="00CA1A43">
              <w:rPr>
                <w:rFonts w:asciiTheme="minorHAnsi" w:eastAsia="標楷體" w:hAnsiTheme="minorHAnsi" w:cstheme="minorHAnsi"/>
                <w:sz w:val="24"/>
                <w:lang w:eastAsia="zh-TW"/>
              </w:rPr>
              <w:t>數，計提個別風險所需資本。</w:t>
            </w:r>
          </w:p>
        </w:tc>
        <w:tc>
          <w:tcPr>
            <w:tcW w:w="1417" w:type="dxa"/>
            <w:vAlign w:val="center"/>
          </w:tcPr>
          <w:p w14:paraId="1A6D6B2A" w14:textId="77777777" w:rsidR="00C051EB" w:rsidRPr="00CA1A43" w:rsidRDefault="00C051EB" w:rsidP="00C051EB">
            <w:pPr>
              <w:pStyle w:val="TableParagraph"/>
              <w:tabs>
                <w:tab w:val="left" w:pos="491"/>
              </w:tabs>
              <w:ind w:left="12"/>
              <w:jc w:val="center"/>
              <w:rPr>
                <w:rFonts w:asciiTheme="minorHAnsi" w:eastAsia="標楷體" w:hAnsiTheme="minorHAnsi" w:cstheme="minorHAnsi"/>
                <w:sz w:val="24"/>
              </w:rPr>
            </w:pPr>
            <w:r w:rsidRPr="00CA1A43">
              <w:rPr>
                <w:rFonts w:asciiTheme="minorHAnsi" w:eastAsia="標楷體" w:hAnsiTheme="minorHAnsi" w:cstheme="minorHAnsi"/>
                <w:sz w:val="24"/>
              </w:rPr>
              <w:t>全</w:t>
            </w:r>
            <w:r w:rsidRPr="00CA1A43">
              <w:rPr>
                <w:rFonts w:asciiTheme="minorHAnsi" w:eastAsia="標楷體" w:hAnsiTheme="minorHAnsi" w:cstheme="minorHAnsi"/>
                <w:sz w:val="24"/>
              </w:rPr>
              <w:tab/>
            </w:r>
            <w:r w:rsidRPr="00CA1A43">
              <w:rPr>
                <w:rFonts w:asciiTheme="minorHAnsi" w:eastAsia="標楷體" w:hAnsiTheme="minorHAnsi" w:cstheme="minorHAnsi"/>
                <w:sz w:val="24"/>
              </w:rPr>
              <w:t>部</w:t>
            </w:r>
          </w:p>
        </w:tc>
        <w:tc>
          <w:tcPr>
            <w:tcW w:w="1418" w:type="dxa"/>
            <w:vAlign w:val="center"/>
          </w:tcPr>
          <w:p w14:paraId="72B4F209"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1.60%</w:t>
            </w:r>
          </w:p>
          <w:p w14:paraId="22B643EC" w14:textId="77777777" w:rsidR="00C051EB" w:rsidRPr="00CA1A43" w:rsidRDefault="00C051EB" w:rsidP="00C051EB">
            <w:pPr>
              <w:pStyle w:val="TableParagraph"/>
              <w:spacing w:before="24"/>
              <w:ind w:right="164"/>
              <w:jc w:val="right"/>
              <w:rPr>
                <w:rFonts w:asciiTheme="minorHAnsi" w:eastAsia="標楷體" w:hAnsiTheme="minorHAnsi" w:cstheme="minorHAnsi"/>
                <w:sz w:val="24"/>
              </w:rPr>
            </w:pPr>
            <w:r w:rsidRPr="00CA1A43">
              <w:rPr>
                <w:rFonts w:asciiTheme="minorHAnsi" w:eastAsia="標楷體" w:hAnsiTheme="minorHAnsi" w:cstheme="minorHAnsi"/>
                <w:sz w:val="24"/>
              </w:rPr>
              <w:t>4%</w:t>
            </w:r>
          </w:p>
          <w:p w14:paraId="455889EE" w14:textId="77777777" w:rsidR="00C051EB" w:rsidRPr="00CA1A43" w:rsidRDefault="00C051EB" w:rsidP="00C051EB">
            <w:pPr>
              <w:pStyle w:val="TableParagraph"/>
              <w:spacing w:before="24"/>
              <w:ind w:right="164"/>
              <w:jc w:val="right"/>
              <w:rPr>
                <w:rFonts w:asciiTheme="minorHAnsi" w:eastAsia="標楷體" w:hAnsiTheme="minorHAnsi" w:cstheme="minorHAnsi"/>
                <w:sz w:val="24"/>
              </w:rPr>
            </w:pPr>
            <w:r w:rsidRPr="00CA1A43">
              <w:rPr>
                <w:rFonts w:asciiTheme="minorHAnsi" w:eastAsia="標楷體" w:hAnsiTheme="minorHAnsi" w:cstheme="minorHAnsi"/>
                <w:sz w:val="24"/>
              </w:rPr>
              <w:t>8%</w:t>
            </w:r>
          </w:p>
          <w:p w14:paraId="70B03717" w14:textId="77777777" w:rsidR="00C051EB" w:rsidRPr="00CA1A43" w:rsidRDefault="00C051EB" w:rsidP="00C051EB">
            <w:pPr>
              <w:pStyle w:val="TableParagraph"/>
              <w:spacing w:before="24"/>
              <w:ind w:right="164"/>
              <w:jc w:val="right"/>
              <w:rPr>
                <w:rFonts w:asciiTheme="minorHAnsi" w:eastAsia="標楷體" w:hAnsiTheme="minorHAnsi" w:cstheme="minorHAnsi"/>
                <w:sz w:val="24"/>
              </w:rPr>
            </w:pPr>
            <w:r w:rsidRPr="00CA1A43">
              <w:rPr>
                <w:rFonts w:asciiTheme="minorHAnsi" w:eastAsia="標楷體" w:hAnsiTheme="minorHAnsi" w:cstheme="minorHAnsi"/>
                <w:sz w:val="24"/>
              </w:rPr>
              <w:t>28%</w:t>
            </w:r>
          </w:p>
          <w:p w14:paraId="333E6012" w14:textId="77777777" w:rsidR="00C051EB" w:rsidRPr="00CA1A43" w:rsidRDefault="00C051EB" w:rsidP="00C051EB">
            <w:pPr>
              <w:pStyle w:val="TableParagraph"/>
              <w:spacing w:before="24"/>
              <w:ind w:right="164"/>
              <w:jc w:val="right"/>
              <w:rPr>
                <w:rFonts w:asciiTheme="minorHAnsi" w:eastAsia="標楷體" w:hAnsiTheme="minorHAnsi" w:cstheme="minorHAnsi"/>
                <w:sz w:val="24"/>
              </w:rPr>
            </w:pPr>
            <w:r w:rsidRPr="00CA1A43">
              <w:rPr>
                <w:rFonts w:asciiTheme="minorHAnsi" w:eastAsia="標楷體" w:hAnsiTheme="minorHAnsi" w:cstheme="minorHAnsi"/>
                <w:sz w:val="24"/>
              </w:rPr>
              <w:t>100%</w:t>
            </w:r>
          </w:p>
        </w:tc>
      </w:tr>
      <w:tr w:rsidR="00C051EB" w:rsidRPr="00CA1A43" w14:paraId="130588C8" w14:textId="77777777" w:rsidTr="0083655E">
        <w:trPr>
          <w:trHeight w:val="1499"/>
        </w:trPr>
        <w:tc>
          <w:tcPr>
            <w:tcW w:w="1276" w:type="dxa"/>
            <w:vAlign w:val="center"/>
          </w:tcPr>
          <w:p w14:paraId="27EC90B4" w14:textId="0E8525DD" w:rsidR="00C051EB" w:rsidRPr="00050EA7" w:rsidRDefault="00C051EB" w:rsidP="00C051EB">
            <w:pPr>
              <w:pStyle w:val="TableParagraph"/>
              <w:jc w:val="center"/>
              <w:rPr>
                <w:rFonts w:asciiTheme="minorHAnsi" w:eastAsia="標楷體" w:hAnsiTheme="minorHAnsi" w:cstheme="minorHAnsi"/>
                <w:sz w:val="24"/>
                <w:lang w:eastAsia="zh-TW"/>
              </w:rPr>
            </w:pPr>
            <w:proofErr w:type="gramStart"/>
            <w:r w:rsidRPr="00050EA7">
              <w:rPr>
                <w:rFonts w:asciiTheme="minorHAnsi" w:eastAsia="標楷體" w:hAnsiTheme="minorHAnsi" w:cstheme="minorHAnsi"/>
                <w:sz w:val="24"/>
                <w:lang w:eastAsia="zh-TW"/>
              </w:rPr>
              <w:t>交易簿再證券化</w:t>
            </w:r>
            <w:proofErr w:type="gramEnd"/>
            <w:r w:rsidRPr="00050EA7">
              <w:rPr>
                <w:rFonts w:asciiTheme="minorHAnsi" w:eastAsia="標楷體" w:hAnsiTheme="minorHAnsi" w:cstheme="minorHAnsi"/>
                <w:sz w:val="24"/>
                <w:lang w:eastAsia="zh-TW"/>
              </w:rPr>
              <w:t>債務</w:t>
            </w:r>
            <w:r w:rsidR="009653EE" w:rsidRPr="00050EA7">
              <w:rPr>
                <w:rFonts w:asciiTheme="minorHAnsi" w:eastAsia="標楷體" w:hAnsiTheme="minorHAnsi" w:cstheme="minorHAnsi"/>
                <w:sz w:val="24"/>
                <w:lang w:eastAsia="zh-TW"/>
              </w:rPr>
              <w:t>工具</w:t>
            </w:r>
          </w:p>
        </w:tc>
        <w:tc>
          <w:tcPr>
            <w:tcW w:w="4111" w:type="dxa"/>
            <w:vAlign w:val="center"/>
          </w:tcPr>
          <w:p w14:paraId="39781CF0" w14:textId="77777777" w:rsidR="00C051EB" w:rsidRPr="00CA1A43" w:rsidRDefault="00C051EB" w:rsidP="00C051EB">
            <w:pPr>
              <w:pStyle w:val="TableParagraph"/>
              <w:spacing w:line="213" w:lineRule="auto"/>
              <w:ind w:right="16"/>
              <w:jc w:val="both"/>
              <w:rPr>
                <w:rFonts w:asciiTheme="minorHAnsi" w:eastAsia="標楷體" w:hAnsiTheme="minorHAnsi" w:cstheme="minorHAnsi"/>
                <w:sz w:val="24"/>
                <w:lang w:eastAsia="zh-TW"/>
              </w:rPr>
            </w:pPr>
            <w:r w:rsidRPr="00CA1A43">
              <w:rPr>
                <w:rFonts w:asciiTheme="minorHAnsi" w:eastAsia="標楷體" w:hAnsiTheme="minorHAnsi" w:cstheme="minorHAnsi"/>
                <w:spacing w:val="-11"/>
                <w:sz w:val="24"/>
                <w:lang w:eastAsia="zh-TW"/>
              </w:rPr>
              <w:t>依</w:t>
            </w:r>
            <w:r w:rsidR="007E41F9" w:rsidRPr="00CA1A43">
              <w:rPr>
                <w:rFonts w:asciiTheme="minorHAnsi" w:eastAsia="標楷體" w:hAnsiTheme="minorHAnsi" w:cstheme="minorHAnsi"/>
                <w:spacing w:val="-11"/>
                <w:sz w:val="24"/>
                <w:lang w:eastAsia="zh-TW"/>
              </w:rPr>
              <w:t>「證券化計算方法」</w:t>
            </w:r>
            <w:r w:rsidRPr="00CA1A43">
              <w:rPr>
                <w:rFonts w:asciiTheme="minorHAnsi" w:eastAsia="標楷體" w:hAnsiTheme="minorHAnsi" w:cstheme="minorHAnsi"/>
                <w:spacing w:val="-11"/>
                <w:sz w:val="24"/>
                <w:lang w:eastAsia="zh-TW"/>
              </w:rPr>
              <w:t>規定之風險權</w:t>
            </w:r>
            <w:r w:rsidRPr="00CA1A43">
              <w:rPr>
                <w:rFonts w:asciiTheme="minorHAnsi" w:eastAsia="標楷體" w:hAnsiTheme="minorHAnsi" w:cstheme="minorHAnsi"/>
                <w:sz w:val="24"/>
                <w:lang w:eastAsia="zh-TW"/>
              </w:rPr>
              <w:t>數，計提個別風險所需資本。</w:t>
            </w:r>
          </w:p>
        </w:tc>
        <w:tc>
          <w:tcPr>
            <w:tcW w:w="1417" w:type="dxa"/>
            <w:vAlign w:val="center"/>
          </w:tcPr>
          <w:p w14:paraId="4FFAEAF8" w14:textId="77777777" w:rsidR="00C051EB" w:rsidRPr="00CA1A43" w:rsidRDefault="00C051EB" w:rsidP="00C051EB">
            <w:pPr>
              <w:pStyle w:val="TableParagraph"/>
              <w:tabs>
                <w:tab w:val="left" w:pos="491"/>
              </w:tabs>
              <w:ind w:left="12"/>
              <w:jc w:val="center"/>
              <w:rPr>
                <w:rFonts w:asciiTheme="minorHAnsi" w:eastAsia="標楷體" w:hAnsiTheme="minorHAnsi" w:cstheme="minorHAnsi"/>
                <w:sz w:val="24"/>
              </w:rPr>
            </w:pPr>
            <w:r w:rsidRPr="00CA1A43">
              <w:rPr>
                <w:rFonts w:asciiTheme="minorHAnsi" w:eastAsia="標楷體" w:hAnsiTheme="minorHAnsi" w:cstheme="minorHAnsi"/>
                <w:sz w:val="24"/>
              </w:rPr>
              <w:t>全</w:t>
            </w:r>
            <w:r w:rsidRPr="00CA1A43">
              <w:rPr>
                <w:rFonts w:asciiTheme="minorHAnsi" w:eastAsia="標楷體" w:hAnsiTheme="minorHAnsi" w:cstheme="minorHAnsi"/>
                <w:sz w:val="24"/>
              </w:rPr>
              <w:tab/>
            </w:r>
            <w:r w:rsidRPr="00CA1A43">
              <w:rPr>
                <w:rFonts w:asciiTheme="minorHAnsi" w:eastAsia="標楷體" w:hAnsiTheme="minorHAnsi" w:cstheme="minorHAnsi"/>
                <w:sz w:val="24"/>
              </w:rPr>
              <w:t>部</w:t>
            </w:r>
          </w:p>
        </w:tc>
        <w:tc>
          <w:tcPr>
            <w:tcW w:w="1418" w:type="dxa"/>
            <w:vAlign w:val="center"/>
          </w:tcPr>
          <w:p w14:paraId="68150661" w14:textId="77777777" w:rsidR="00C051EB" w:rsidRPr="00CA1A43" w:rsidRDefault="00C051EB" w:rsidP="00C051EB">
            <w:pPr>
              <w:pStyle w:val="TableParagraph"/>
              <w:spacing w:before="15"/>
              <w:ind w:right="164"/>
              <w:jc w:val="right"/>
              <w:rPr>
                <w:rFonts w:asciiTheme="minorHAnsi" w:eastAsia="標楷體" w:hAnsiTheme="minorHAnsi" w:cstheme="minorHAnsi"/>
                <w:sz w:val="24"/>
              </w:rPr>
            </w:pPr>
            <w:r w:rsidRPr="00CA1A43">
              <w:rPr>
                <w:rFonts w:asciiTheme="minorHAnsi" w:eastAsia="標楷體" w:hAnsiTheme="minorHAnsi" w:cstheme="minorHAnsi"/>
                <w:sz w:val="24"/>
              </w:rPr>
              <w:t>3.20%</w:t>
            </w:r>
          </w:p>
          <w:p w14:paraId="09A2B2B9" w14:textId="77777777" w:rsidR="00C051EB" w:rsidRPr="00CA1A43" w:rsidRDefault="00C051EB" w:rsidP="00C051EB">
            <w:pPr>
              <w:pStyle w:val="TableParagraph"/>
              <w:spacing w:before="24"/>
              <w:ind w:right="164"/>
              <w:jc w:val="right"/>
              <w:rPr>
                <w:rFonts w:asciiTheme="minorHAnsi" w:eastAsia="標楷體" w:hAnsiTheme="minorHAnsi" w:cstheme="minorHAnsi"/>
                <w:sz w:val="24"/>
              </w:rPr>
            </w:pPr>
            <w:r w:rsidRPr="00CA1A43">
              <w:rPr>
                <w:rFonts w:asciiTheme="minorHAnsi" w:eastAsia="標楷體" w:hAnsiTheme="minorHAnsi" w:cstheme="minorHAnsi"/>
                <w:sz w:val="24"/>
              </w:rPr>
              <w:t>8%</w:t>
            </w:r>
          </w:p>
          <w:p w14:paraId="41AF23DF" w14:textId="77777777" w:rsidR="00C051EB" w:rsidRPr="00CA1A43" w:rsidRDefault="00C051EB" w:rsidP="00C051EB">
            <w:pPr>
              <w:pStyle w:val="TableParagraph"/>
              <w:spacing w:before="24"/>
              <w:ind w:right="164"/>
              <w:jc w:val="right"/>
              <w:rPr>
                <w:rFonts w:asciiTheme="minorHAnsi" w:eastAsia="標楷體" w:hAnsiTheme="minorHAnsi" w:cstheme="minorHAnsi"/>
                <w:sz w:val="24"/>
              </w:rPr>
            </w:pPr>
            <w:r w:rsidRPr="00CA1A43">
              <w:rPr>
                <w:rFonts w:asciiTheme="minorHAnsi" w:eastAsia="標楷體" w:hAnsiTheme="minorHAnsi" w:cstheme="minorHAnsi"/>
                <w:sz w:val="24"/>
              </w:rPr>
              <w:t>18%</w:t>
            </w:r>
          </w:p>
          <w:p w14:paraId="76FFF27B" w14:textId="77777777" w:rsidR="00C051EB" w:rsidRPr="00CA1A43" w:rsidRDefault="00C051EB" w:rsidP="00C051EB">
            <w:pPr>
              <w:pStyle w:val="TableParagraph"/>
              <w:spacing w:before="25"/>
              <w:ind w:right="164"/>
              <w:jc w:val="right"/>
              <w:rPr>
                <w:rFonts w:asciiTheme="minorHAnsi" w:eastAsia="標楷體" w:hAnsiTheme="minorHAnsi" w:cstheme="minorHAnsi"/>
                <w:sz w:val="24"/>
              </w:rPr>
            </w:pPr>
            <w:r w:rsidRPr="00CA1A43">
              <w:rPr>
                <w:rFonts w:asciiTheme="minorHAnsi" w:eastAsia="標楷體" w:hAnsiTheme="minorHAnsi" w:cstheme="minorHAnsi"/>
                <w:sz w:val="24"/>
              </w:rPr>
              <w:t>52%</w:t>
            </w:r>
          </w:p>
          <w:p w14:paraId="54065C08" w14:textId="77777777" w:rsidR="00C051EB" w:rsidRPr="00CA1A43" w:rsidRDefault="00C051EB" w:rsidP="00C051EB">
            <w:pPr>
              <w:pStyle w:val="TableParagraph"/>
              <w:spacing w:before="24" w:line="264" w:lineRule="exact"/>
              <w:ind w:right="164"/>
              <w:jc w:val="right"/>
              <w:rPr>
                <w:rFonts w:asciiTheme="minorHAnsi" w:eastAsia="標楷體" w:hAnsiTheme="minorHAnsi" w:cstheme="minorHAnsi"/>
                <w:sz w:val="24"/>
              </w:rPr>
            </w:pPr>
            <w:r w:rsidRPr="00CA1A43">
              <w:rPr>
                <w:rFonts w:asciiTheme="minorHAnsi" w:eastAsia="標楷體" w:hAnsiTheme="minorHAnsi" w:cstheme="minorHAnsi"/>
                <w:sz w:val="24"/>
              </w:rPr>
              <w:t>100%</w:t>
            </w:r>
          </w:p>
        </w:tc>
      </w:tr>
      <w:tr w:rsidR="00C051EB" w:rsidRPr="00CA1A43" w14:paraId="1466EFCF" w14:textId="77777777" w:rsidTr="0083655E">
        <w:trPr>
          <w:trHeight w:val="1480"/>
        </w:trPr>
        <w:tc>
          <w:tcPr>
            <w:tcW w:w="1276" w:type="dxa"/>
            <w:vAlign w:val="center"/>
          </w:tcPr>
          <w:p w14:paraId="565D2D62" w14:textId="17900EEB" w:rsidR="00C051EB" w:rsidRPr="00050EA7" w:rsidRDefault="00C051EB" w:rsidP="00C051EB">
            <w:pPr>
              <w:pStyle w:val="TableParagraph"/>
              <w:jc w:val="center"/>
              <w:rPr>
                <w:rFonts w:asciiTheme="minorHAnsi" w:eastAsia="標楷體" w:hAnsiTheme="minorHAnsi" w:cstheme="minorHAnsi"/>
                <w:sz w:val="24"/>
                <w:lang w:eastAsia="zh-TW"/>
              </w:rPr>
            </w:pPr>
            <w:r w:rsidRPr="00050EA7">
              <w:rPr>
                <w:rFonts w:asciiTheme="minorHAnsi" w:eastAsia="標楷體" w:hAnsiTheme="minorHAnsi" w:cstheme="minorHAnsi"/>
                <w:sz w:val="24"/>
                <w:lang w:eastAsia="zh-TW"/>
              </w:rPr>
              <w:t>交易</w:t>
            </w:r>
            <w:proofErr w:type="gramStart"/>
            <w:r w:rsidRPr="00050EA7">
              <w:rPr>
                <w:rFonts w:asciiTheme="minorHAnsi" w:eastAsia="標楷體" w:hAnsiTheme="minorHAnsi" w:cstheme="minorHAnsi"/>
                <w:sz w:val="24"/>
                <w:lang w:eastAsia="zh-TW"/>
              </w:rPr>
              <w:t>簿</w:t>
            </w:r>
            <w:proofErr w:type="gramEnd"/>
            <w:r w:rsidRPr="00050EA7">
              <w:rPr>
                <w:rFonts w:asciiTheme="minorHAnsi" w:eastAsia="標楷體" w:hAnsiTheme="minorHAnsi" w:cstheme="minorHAnsi"/>
                <w:sz w:val="24"/>
                <w:lang w:eastAsia="zh-TW"/>
              </w:rPr>
              <w:t>持有金融業資本</w:t>
            </w:r>
            <w:r w:rsidR="009653EE" w:rsidRPr="00050EA7">
              <w:rPr>
                <w:rFonts w:asciiTheme="minorHAnsi" w:eastAsia="標楷體" w:hAnsiTheme="minorHAnsi" w:cstheme="minorHAnsi"/>
                <w:sz w:val="24"/>
                <w:lang w:eastAsia="zh-TW"/>
              </w:rPr>
              <w:t>工具</w:t>
            </w:r>
          </w:p>
        </w:tc>
        <w:tc>
          <w:tcPr>
            <w:tcW w:w="4111" w:type="dxa"/>
          </w:tcPr>
          <w:p w14:paraId="4FA2E271" w14:textId="4F229CE8" w:rsidR="00C051EB" w:rsidRPr="00050EA7" w:rsidRDefault="00C051EB" w:rsidP="00C051EB">
            <w:pPr>
              <w:pStyle w:val="TableParagraph"/>
              <w:spacing w:before="86" w:line="213" w:lineRule="auto"/>
              <w:ind w:left="28" w:right="63"/>
              <w:rPr>
                <w:rFonts w:asciiTheme="minorHAnsi" w:eastAsia="標楷體" w:hAnsiTheme="minorHAnsi" w:cstheme="minorHAnsi"/>
                <w:sz w:val="24"/>
                <w:lang w:eastAsia="zh-TW"/>
              </w:rPr>
            </w:pPr>
            <w:r w:rsidRPr="00050EA7">
              <w:rPr>
                <w:rFonts w:asciiTheme="minorHAnsi" w:eastAsia="標楷體" w:hAnsiTheme="minorHAnsi" w:cstheme="minorHAnsi"/>
                <w:sz w:val="24"/>
                <w:lang w:eastAsia="zh-TW"/>
              </w:rPr>
              <w:t>持有銀行、證券、保險、票</w:t>
            </w:r>
            <w:proofErr w:type="gramStart"/>
            <w:r w:rsidRPr="00050EA7">
              <w:rPr>
                <w:rFonts w:asciiTheme="minorHAnsi" w:eastAsia="標楷體" w:hAnsiTheme="minorHAnsi" w:cstheme="minorHAnsi"/>
                <w:sz w:val="24"/>
                <w:lang w:eastAsia="zh-TW"/>
              </w:rPr>
              <w:t>券</w:t>
            </w:r>
            <w:proofErr w:type="gramEnd"/>
            <w:r w:rsidRPr="00050EA7">
              <w:rPr>
                <w:rFonts w:asciiTheme="minorHAnsi" w:eastAsia="標楷體" w:hAnsiTheme="minorHAnsi" w:cstheme="minorHAnsi"/>
                <w:sz w:val="24"/>
                <w:lang w:eastAsia="zh-TW"/>
              </w:rPr>
              <w:t>、金融控股公司及其他金融相關事業所發行之資本</w:t>
            </w:r>
            <w:r w:rsidR="009653EE" w:rsidRPr="00050EA7">
              <w:rPr>
                <w:rFonts w:asciiTheme="minorHAnsi" w:eastAsia="標楷體" w:hAnsiTheme="minorHAnsi" w:cstheme="minorHAnsi"/>
                <w:sz w:val="24"/>
                <w:lang w:eastAsia="zh-TW"/>
              </w:rPr>
              <w:t>工具</w:t>
            </w:r>
            <w:r w:rsidRPr="00050EA7">
              <w:rPr>
                <w:rFonts w:asciiTheme="minorHAnsi" w:eastAsia="標楷體" w:hAnsiTheme="minorHAnsi" w:cstheme="minorHAnsi"/>
                <w:sz w:val="24"/>
                <w:lang w:eastAsia="zh-TW"/>
              </w:rPr>
              <w:t>(</w:t>
            </w:r>
            <w:r w:rsidRPr="00050EA7">
              <w:rPr>
                <w:rFonts w:asciiTheme="minorHAnsi" w:eastAsia="標楷體" w:hAnsiTheme="minorHAnsi" w:cstheme="minorHAnsi"/>
                <w:sz w:val="24"/>
                <w:lang w:eastAsia="zh-TW"/>
              </w:rPr>
              <w:t>如次順位債券、可轉換債券等債務</w:t>
            </w:r>
            <w:r w:rsidR="009653EE" w:rsidRPr="00050EA7">
              <w:rPr>
                <w:rFonts w:asciiTheme="minorHAnsi" w:eastAsia="標楷體" w:hAnsiTheme="minorHAnsi" w:cstheme="minorHAnsi"/>
                <w:sz w:val="24"/>
                <w:lang w:eastAsia="zh-TW"/>
              </w:rPr>
              <w:t>工具</w:t>
            </w:r>
            <w:r w:rsidRPr="00050EA7">
              <w:rPr>
                <w:rFonts w:asciiTheme="minorHAnsi" w:eastAsia="標楷體" w:hAnsiTheme="minorHAnsi" w:cstheme="minorHAnsi"/>
                <w:sz w:val="24"/>
                <w:lang w:eastAsia="zh-TW"/>
              </w:rPr>
              <w:t>)</w:t>
            </w:r>
            <w:r w:rsidRPr="00050EA7">
              <w:rPr>
                <w:rFonts w:asciiTheme="minorHAnsi" w:eastAsia="標楷體" w:hAnsiTheme="minorHAnsi" w:cstheme="minorHAnsi"/>
                <w:sz w:val="24"/>
                <w:lang w:eastAsia="zh-TW"/>
              </w:rPr>
              <w:t>，應適用</w:t>
            </w:r>
            <w:r w:rsidRPr="00050EA7">
              <w:rPr>
                <w:rFonts w:asciiTheme="minorHAnsi" w:eastAsia="標楷體" w:hAnsiTheme="minorHAnsi" w:cstheme="minorHAnsi"/>
                <w:sz w:val="24"/>
                <w:lang w:eastAsia="zh-TW"/>
              </w:rPr>
              <w:t>8%</w:t>
            </w:r>
            <w:r w:rsidRPr="00050EA7">
              <w:rPr>
                <w:rFonts w:asciiTheme="minorHAnsi" w:eastAsia="標楷體" w:hAnsiTheme="minorHAnsi" w:cstheme="minorHAnsi"/>
                <w:sz w:val="24"/>
                <w:lang w:eastAsia="zh-TW"/>
              </w:rPr>
              <w:t>之資本計提率。</w:t>
            </w:r>
          </w:p>
        </w:tc>
        <w:tc>
          <w:tcPr>
            <w:tcW w:w="1417" w:type="dxa"/>
            <w:vAlign w:val="center"/>
          </w:tcPr>
          <w:p w14:paraId="36D5DAB9" w14:textId="77777777" w:rsidR="00C051EB" w:rsidRPr="00CA1A43" w:rsidRDefault="00C051EB" w:rsidP="00C051EB">
            <w:pPr>
              <w:pStyle w:val="TableParagraph"/>
              <w:tabs>
                <w:tab w:val="left" w:pos="491"/>
              </w:tabs>
              <w:ind w:left="12"/>
              <w:jc w:val="center"/>
              <w:rPr>
                <w:rFonts w:asciiTheme="minorHAnsi" w:eastAsia="標楷體" w:hAnsiTheme="minorHAnsi" w:cstheme="minorHAnsi"/>
                <w:sz w:val="24"/>
                <w:lang w:eastAsia="zh-TW"/>
              </w:rPr>
            </w:pPr>
            <w:r w:rsidRPr="00CA1A43">
              <w:rPr>
                <w:rFonts w:asciiTheme="minorHAnsi" w:eastAsia="標楷體" w:hAnsiTheme="minorHAnsi" w:cstheme="minorHAnsi"/>
                <w:sz w:val="24"/>
                <w:lang w:eastAsia="zh-TW"/>
              </w:rPr>
              <w:t>全</w:t>
            </w:r>
            <w:r w:rsidRPr="00CA1A43">
              <w:rPr>
                <w:rFonts w:asciiTheme="minorHAnsi" w:eastAsia="標楷體" w:hAnsiTheme="minorHAnsi" w:cstheme="minorHAnsi"/>
                <w:sz w:val="24"/>
                <w:lang w:eastAsia="zh-TW"/>
              </w:rPr>
              <w:t xml:space="preserve">  </w:t>
            </w:r>
            <w:r w:rsidRPr="00CA1A43">
              <w:rPr>
                <w:rFonts w:asciiTheme="minorHAnsi" w:eastAsia="標楷體" w:hAnsiTheme="minorHAnsi" w:cstheme="minorHAnsi"/>
                <w:sz w:val="24"/>
                <w:lang w:eastAsia="zh-TW"/>
              </w:rPr>
              <w:t>部</w:t>
            </w:r>
          </w:p>
        </w:tc>
        <w:tc>
          <w:tcPr>
            <w:tcW w:w="1418" w:type="dxa"/>
            <w:vAlign w:val="center"/>
          </w:tcPr>
          <w:p w14:paraId="4534C499"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8%</w:t>
            </w:r>
          </w:p>
        </w:tc>
      </w:tr>
      <w:tr w:rsidR="00C051EB" w:rsidRPr="00CA1A43" w14:paraId="5AD3857D" w14:textId="77777777" w:rsidTr="0083655E">
        <w:trPr>
          <w:trHeight w:val="719"/>
        </w:trPr>
        <w:tc>
          <w:tcPr>
            <w:tcW w:w="1276" w:type="dxa"/>
            <w:vMerge w:val="restart"/>
            <w:vAlign w:val="center"/>
          </w:tcPr>
          <w:p w14:paraId="4C0AA3F4" w14:textId="221BA290" w:rsidR="00C051EB" w:rsidRPr="00050EA7" w:rsidRDefault="00C051EB" w:rsidP="00C051EB">
            <w:pPr>
              <w:pStyle w:val="TableParagraph"/>
              <w:jc w:val="center"/>
              <w:rPr>
                <w:rFonts w:asciiTheme="minorHAnsi" w:eastAsia="標楷體" w:hAnsiTheme="minorHAnsi" w:cstheme="minorHAnsi"/>
                <w:sz w:val="24"/>
                <w:lang w:eastAsia="zh-TW"/>
              </w:rPr>
            </w:pPr>
            <w:r w:rsidRPr="00050EA7">
              <w:rPr>
                <w:rFonts w:asciiTheme="minorHAnsi" w:eastAsia="標楷體" w:hAnsiTheme="minorHAnsi" w:cstheme="minorHAnsi"/>
                <w:sz w:val="24"/>
                <w:lang w:eastAsia="zh-TW"/>
              </w:rPr>
              <w:t>其他非合格債務</w:t>
            </w:r>
            <w:r w:rsidR="009653EE" w:rsidRPr="00050EA7">
              <w:rPr>
                <w:rFonts w:asciiTheme="minorHAnsi" w:eastAsia="標楷體" w:hAnsiTheme="minorHAnsi" w:cstheme="minorHAnsi"/>
                <w:sz w:val="24"/>
                <w:lang w:eastAsia="zh-TW"/>
              </w:rPr>
              <w:t>工具</w:t>
            </w:r>
          </w:p>
        </w:tc>
        <w:tc>
          <w:tcPr>
            <w:tcW w:w="4111" w:type="dxa"/>
          </w:tcPr>
          <w:p w14:paraId="4F40939E" w14:textId="2E2ADEB9" w:rsidR="00C051EB" w:rsidRPr="00050EA7" w:rsidRDefault="00C051EB" w:rsidP="00C051EB">
            <w:pPr>
              <w:pStyle w:val="TableParagraph"/>
              <w:spacing w:before="86" w:line="213" w:lineRule="auto"/>
              <w:ind w:left="28" w:right="63"/>
              <w:rPr>
                <w:rFonts w:asciiTheme="minorHAnsi" w:eastAsia="標楷體" w:hAnsiTheme="minorHAnsi" w:cstheme="minorHAnsi"/>
                <w:sz w:val="24"/>
                <w:lang w:eastAsia="zh-TW"/>
              </w:rPr>
            </w:pPr>
            <w:r w:rsidRPr="00050EA7">
              <w:rPr>
                <w:rFonts w:asciiTheme="minorHAnsi" w:eastAsia="標楷體" w:hAnsiTheme="minorHAnsi" w:cstheme="minorHAnsi"/>
                <w:sz w:val="24"/>
                <w:lang w:eastAsia="zh-TW"/>
              </w:rPr>
              <w:t>外部信用評等在</w:t>
            </w:r>
            <w:r w:rsidRPr="00050EA7">
              <w:rPr>
                <w:rFonts w:asciiTheme="minorHAnsi" w:eastAsia="標楷體" w:hAnsiTheme="minorHAnsi" w:cstheme="minorHAnsi"/>
                <w:sz w:val="24"/>
                <w:lang w:eastAsia="zh-TW"/>
              </w:rPr>
              <w:t xml:space="preserve"> B-(</w:t>
            </w:r>
            <w:r w:rsidRPr="00050EA7">
              <w:rPr>
                <w:rFonts w:asciiTheme="minorHAnsi" w:eastAsia="標楷體" w:hAnsiTheme="minorHAnsi" w:cstheme="minorHAnsi"/>
                <w:sz w:val="24"/>
                <w:lang w:eastAsia="zh-TW"/>
              </w:rPr>
              <w:t>含</w:t>
            </w:r>
            <w:r w:rsidRPr="00050EA7">
              <w:rPr>
                <w:rFonts w:asciiTheme="minorHAnsi" w:eastAsia="標楷體" w:hAnsiTheme="minorHAnsi" w:cstheme="minorHAnsi"/>
                <w:sz w:val="24"/>
                <w:lang w:eastAsia="zh-TW"/>
              </w:rPr>
              <w:t>)</w:t>
            </w:r>
            <w:r w:rsidRPr="00050EA7">
              <w:rPr>
                <w:rFonts w:asciiTheme="minorHAnsi" w:eastAsia="標楷體" w:hAnsiTheme="minorHAnsi" w:cstheme="minorHAnsi"/>
                <w:sz w:val="24"/>
                <w:lang w:eastAsia="zh-TW"/>
              </w:rPr>
              <w:t>級以下之政府債務</w:t>
            </w:r>
            <w:r w:rsidR="009653EE" w:rsidRPr="00050EA7">
              <w:rPr>
                <w:rFonts w:asciiTheme="minorHAnsi" w:eastAsia="標楷體" w:hAnsiTheme="minorHAnsi" w:cstheme="minorHAnsi"/>
                <w:sz w:val="24"/>
                <w:lang w:eastAsia="zh-TW"/>
              </w:rPr>
              <w:t>工具</w:t>
            </w:r>
            <w:r w:rsidRPr="00050EA7">
              <w:rPr>
                <w:rFonts w:asciiTheme="minorHAnsi" w:eastAsia="標楷體" w:hAnsiTheme="minorHAnsi" w:cstheme="minorHAnsi"/>
                <w:sz w:val="24"/>
                <w:lang w:eastAsia="zh-TW"/>
              </w:rPr>
              <w:t>，以及外部信用評等在</w:t>
            </w:r>
            <w:r w:rsidRPr="00050EA7">
              <w:rPr>
                <w:rFonts w:asciiTheme="minorHAnsi" w:eastAsia="標楷體" w:hAnsiTheme="minorHAnsi" w:cstheme="minorHAnsi"/>
                <w:sz w:val="24"/>
                <w:lang w:eastAsia="zh-TW"/>
              </w:rPr>
              <w:t xml:space="preserve"> BB-(</w:t>
            </w:r>
            <w:r w:rsidRPr="00050EA7">
              <w:rPr>
                <w:rFonts w:asciiTheme="minorHAnsi" w:eastAsia="標楷體" w:hAnsiTheme="minorHAnsi" w:cstheme="minorHAnsi"/>
                <w:sz w:val="24"/>
                <w:lang w:eastAsia="zh-TW"/>
              </w:rPr>
              <w:t>含</w:t>
            </w:r>
            <w:r w:rsidRPr="00050EA7">
              <w:rPr>
                <w:rFonts w:asciiTheme="minorHAnsi" w:eastAsia="標楷體" w:hAnsiTheme="minorHAnsi" w:cstheme="minorHAnsi"/>
                <w:sz w:val="24"/>
                <w:lang w:eastAsia="zh-TW"/>
              </w:rPr>
              <w:t>)</w:t>
            </w:r>
            <w:r w:rsidRPr="00050EA7">
              <w:rPr>
                <w:rFonts w:asciiTheme="minorHAnsi" w:eastAsia="標楷體" w:hAnsiTheme="minorHAnsi" w:cstheme="minorHAnsi"/>
                <w:sz w:val="24"/>
                <w:lang w:eastAsia="zh-TW"/>
              </w:rPr>
              <w:t>級以下或已有債信不良情形者。</w:t>
            </w:r>
            <w:r w:rsidRPr="00050EA7">
              <w:rPr>
                <w:rFonts w:asciiTheme="minorHAnsi" w:eastAsia="標楷體" w:hAnsiTheme="minorHAnsi" w:cstheme="minorHAnsi"/>
                <w:sz w:val="24"/>
                <w:lang w:eastAsia="zh-TW"/>
              </w:rPr>
              <w:t>(</w:t>
            </w:r>
            <w:r w:rsidRPr="00050EA7">
              <w:rPr>
                <w:rFonts w:asciiTheme="minorHAnsi" w:eastAsia="標楷體" w:hAnsiTheme="minorHAnsi" w:cstheme="minorHAnsi"/>
                <w:sz w:val="24"/>
                <w:lang w:eastAsia="zh-TW"/>
              </w:rPr>
              <w:t>包含</w:t>
            </w:r>
            <w:r w:rsidRPr="00050EA7">
              <w:rPr>
                <w:rFonts w:asciiTheme="minorHAnsi" w:eastAsia="標楷體" w:hAnsiTheme="minorHAnsi" w:cstheme="minorHAnsi"/>
                <w:sz w:val="24"/>
                <w:lang w:eastAsia="zh-TW"/>
              </w:rPr>
              <w:t>TLAC</w:t>
            </w:r>
            <w:r w:rsidRPr="00050EA7">
              <w:rPr>
                <w:rFonts w:asciiTheme="minorHAnsi" w:eastAsia="標楷體" w:hAnsiTheme="minorHAnsi" w:cstheme="minorHAnsi"/>
                <w:sz w:val="24"/>
                <w:lang w:eastAsia="zh-TW"/>
              </w:rPr>
              <w:t>債務</w:t>
            </w:r>
            <w:r w:rsidR="009653EE" w:rsidRPr="00050EA7">
              <w:rPr>
                <w:rFonts w:asciiTheme="minorHAnsi" w:eastAsia="標楷體" w:hAnsiTheme="minorHAnsi" w:cstheme="minorHAnsi"/>
                <w:sz w:val="24"/>
                <w:lang w:eastAsia="zh-TW"/>
              </w:rPr>
              <w:t>工具</w:t>
            </w:r>
            <w:r w:rsidRPr="00050EA7">
              <w:rPr>
                <w:rFonts w:asciiTheme="minorHAnsi" w:eastAsia="標楷體" w:hAnsiTheme="minorHAnsi" w:cstheme="minorHAnsi"/>
                <w:sz w:val="24"/>
                <w:lang w:eastAsia="zh-TW"/>
              </w:rPr>
              <w:t>，自</w:t>
            </w:r>
            <w:r w:rsidRPr="00050EA7">
              <w:rPr>
                <w:rFonts w:asciiTheme="minorHAnsi" w:eastAsia="標楷體" w:hAnsiTheme="minorHAnsi" w:cstheme="minorHAnsi"/>
                <w:sz w:val="24"/>
                <w:lang w:eastAsia="zh-TW"/>
              </w:rPr>
              <w:t>111</w:t>
            </w:r>
            <w:r w:rsidRPr="00050EA7">
              <w:rPr>
                <w:rFonts w:asciiTheme="minorHAnsi" w:eastAsia="標楷體" w:hAnsiTheme="minorHAnsi" w:cstheme="minorHAnsi"/>
                <w:sz w:val="24"/>
                <w:lang w:eastAsia="zh-TW"/>
              </w:rPr>
              <w:t>年</w:t>
            </w:r>
            <w:r w:rsidRPr="00050EA7">
              <w:rPr>
                <w:rFonts w:asciiTheme="minorHAnsi" w:eastAsia="標楷體" w:hAnsiTheme="minorHAnsi" w:cstheme="minorHAnsi"/>
                <w:sz w:val="24"/>
                <w:lang w:eastAsia="zh-TW"/>
              </w:rPr>
              <w:t>1</w:t>
            </w:r>
            <w:r w:rsidRPr="00050EA7">
              <w:rPr>
                <w:rFonts w:asciiTheme="minorHAnsi" w:eastAsia="標楷體" w:hAnsiTheme="minorHAnsi" w:cstheme="minorHAnsi"/>
                <w:sz w:val="24"/>
                <w:lang w:eastAsia="zh-TW"/>
              </w:rPr>
              <w:t>月</w:t>
            </w:r>
            <w:r w:rsidRPr="00050EA7">
              <w:rPr>
                <w:rFonts w:asciiTheme="minorHAnsi" w:eastAsia="標楷體" w:hAnsiTheme="minorHAnsi" w:cstheme="minorHAnsi"/>
                <w:sz w:val="24"/>
                <w:lang w:eastAsia="zh-TW"/>
              </w:rPr>
              <w:t>1</w:t>
            </w:r>
            <w:r w:rsidRPr="00050EA7">
              <w:rPr>
                <w:rFonts w:asciiTheme="minorHAnsi" w:eastAsia="標楷體" w:hAnsiTheme="minorHAnsi" w:cstheme="minorHAnsi"/>
                <w:sz w:val="24"/>
                <w:lang w:eastAsia="zh-TW"/>
              </w:rPr>
              <w:t>日起</w:t>
            </w:r>
            <w:r w:rsidRPr="00050EA7">
              <w:rPr>
                <w:rFonts w:asciiTheme="minorHAnsi" w:eastAsia="標楷體" w:hAnsiTheme="minorHAnsi" w:cstheme="minorHAnsi"/>
                <w:sz w:val="24"/>
                <w:lang w:eastAsia="zh-TW"/>
              </w:rPr>
              <w:t>)</w:t>
            </w:r>
          </w:p>
        </w:tc>
        <w:tc>
          <w:tcPr>
            <w:tcW w:w="1417" w:type="dxa"/>
            <w:vMerge w:val="restart"/>
            <w:vAlign w:val="center"/>
          </w:tcPr>
          <w:p w14:paraId="7B6BF547" w14:textId="77777777" w:rsidR="00C051EB" w:rsidRPr="00CA1A43" w:rsidRDefault="00C051EB" w:rsidP="00C051EB">
            <w:pPr>
              <w:pStyle w:val="TableParagraph"/>
              <w:ind w:left="12"/>
              <w:jc w:val="center"/>
              <w:rPr>
                <w:rFonts w:asciiTheme="minorHAnsi" w:eastAsia="標楷體" w:hAnsiTheme="minorHAnsi" w:cstheme="minorHAnsi"/>
                <w:sz w:val="24"/>
              </w:rPr>
            </w:pPr>
            <w:r w:rsidRPr="00CA1A43">
              <w:rPr>
                <w:rFonts w:asciiTheme="minorHAnsi" w:eastAsia="標楷體" w:hAnsiTheme="minorHAnsi" w:cstheme="minorHAnsi"/>
                <w:sz w:val="24"/>
              </w:rPr>
              <w:t>全</w:t>
            </w:r>
            <w:r w:rsidRPr="00CA1A43">
              <w:rPr>
                <w:rFonts w:asciiTheme="minorHAnsi" w:eastAsia="標楷體" w:hAnsiTheme="minorHAnsi" w:cstheme="minorHAnsi"/>
                <w:sz w:val="24"/>
                <w:lang w:eastAsia="zh-TW"/>
              </w:rPr>
              <w:t xml:space="preserve">  </w:t>
            </w:r>
            <w:r w:rsidRPr="00CA1A43">
              <w:rPr>
                <w:rFonts w:asciiTheme="minorHAnsi" w:eastAsia="標楷體" w:hAnsiTheme="minorHAnsi" w:cstheme="minorHAnsi"/>
                <w:sz w:val="24"/>
              </w:rPr>
              <w:t>部</w:t>
            </w:r>
          </w:p>
        </w:tc>
        <w:tc>
          <w:tcPr>
            <w:tcW w:w="1418" w:type="dxa"/>
            <w:vAlign w:val="center"/>
          </w:tcPr>
          <w:p w14:paraId="77AD9FAC"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12.00%</w:t>
            </w:r>
          </w:p>
        </w:tc>
      </w:tr>
      <w:tr w:rsidR="00C051EB" w:rsidRPr="00CA1A43" w14:paraId="1EBEB556" w14:textId="77777777" w:rsidTr="0083655E">
        <w:trPr>
          <w:trHeight w:val="577"/>
        </w:trPr>
        <w:tc>
          <w:tcPr>
            <w:tcW w:w="1276" w:type="dxa"/>
            <w:vMerge/>
            <w:vAlign w:val="center"/>
          </w:tcPr>
          <w:p w14:paraId="7FB4FDEC" w14:textId="77777777" w:rsidR="00C051EB" w:rsidRPr="00050EA7" w:rsidRDefault="00C051EB" w:rsidP="00C051EB">
            <w:pPr>
              <w:jc w:val="center"/>
              <w:rPr>
                <w:rFonts w:eastAsia="標楷體" w:cstheme="minorHAnsi"/>
                <w:sz w:val="2"/>
                <w:szCs w:val="2"/>
              </w:rPr>
            </w:pPr>
          </w:p>
        </w:tc>
        <w:tc>
          <w:tcPr>
            <w:tcW w:w="4111" w:type="dxa"/>
          </w:tcPr>
          <w:p w14:paraId="5D7E4E0E" w14:textId="0385F18E" w:rsidR="00C051EB" w:rsidRPr="00050EA7" w:rsidRDefault="00C051EB" w:rsidP="00C051EB">
            <w:pPr>
              <w:pStyle w:val="TableParagraph"/>
              <w:spacing w:before="119"/>
              <w:ind w:left="28"/>
              <w:rPr>
                <w:rFonts w:asciiTheme="minorHAnsi" w:eastAsia="標楷體" w:hAnsiTheme="minorHAnsi" w:cstheme="minorHAnsi"/>
                <w:sz w:val="24"/>
                <w:lang w:eastAsia="zh-TW"/>
              </w:rPr>
            </w:pPr>
            <w:r w:rsidRPr="00050EA7">
              <w:rPr>
                <w:rFonts w:asciiTheme="minorHAnsi" w:eastAsia="標楷體" w:hAnsiTheme="minorHAnsi" w:cstheme="minorHAnsi"/>
                <w:sz w:val="24"/>
                <w:lang w:eastAsia="zh-TW"/>
              </w:rPr>
              <w:t>所有其他類型之債務</w:t>
            </w:r>
            <w:r w:rsidR="009653EE" w:rsidRPr="00050EA7">
              <w:rPr>
                <w:rFonts w:asciiTheme="minorHAnsi" w:eastAsia="標楷體" w:hAnsiTheme="minorHAnsi" w:cstheme="minorHAnsi"/>
                <w:sz w:val="24"/>
                <w:lang w:eastAsia="zh-TW"/>
              </w:rPr>
              <w:t>工具</w:t>
            </w:r>
            <w:r w:rsidRPr="00050EA7">
              <w:rPr>
                <w:rFonts w:asciiTheme="minorHAnsi" w:eastAsia="標楷體" w:hAnsiTheme="minorHAnsi" w:cstheme="minorHAnsi"/>
                <w:sz w:val="24"/>
                <w:lang w:eastAsia="zh-TW"/>
              </w:rPr>
              <w:t>。</w:t>
            </w:r>
            <w:r w:rsidRPr="00050EA7">
              <w:rPr>
                <w:rFonts w:asciiTheme="minorHAnsi" w:eastAsia="標楷體" w:hAnsiTheme="minorHAnsi" w:cstheme="minorHAnsi"/>
                <w:sz w:val="24"/>
                <w:lang w:eastAsia="zh-TW"/>
              </w:rPr>
              <w:t>(</w:t>
            </w:r>
            <w:proofErr w:type="gramStart"/>
            <w:r w:rsidRPr="00050EA7">
              <w:rPr>
                <w:rFonts w:asciiTheme="minorHAnsi" w:eastAsia="標楷體" w:hAnsiTheme="minorHAnsi" w:cstheme="minorHAnsi"/>
                <w:sz w:val="24"/>
                <w:lang w:eastAsia="zh-TW"/>
              </w:rPr>
              <w:t>包含未評等</w:t>
            </w:r>
            <w:proofErr w:type="gramEnd"/>
            <w:r w:rsidRPr="00050EA7">
              <w:rPr>
                <w:rFonts w:asciiTheme="minorHAnsi" w:eastAsia="標楷體" w:hAnsiTheme="minorHAnsi" w:cstheme="minorHAnsi"/>
                <w:sz w:val="24"/>
                <w:lang w:eastAsia="zh-TW"/>
              </w:rPr>
              <w:t>)</w:t>
            </w:r>
          </w:p>
        </w:tc>
        <w:tc>
          <w:tcPr>
            <w:tcW w:w="1417" w:type="dxa"/>
            <w:vMerge/>
          </w:tcPr>
          <w:p w14:paraId="51854AB9" w14:textId="77777777" w:rsidR="00C051EB" w:rsidRPr="00CA1A43" w:rsidRDefault="00C051EB" w:rsidP="00C051EB">
            <w:pPr>
              <w:rPr>
                <w:rFonts w:eastAsia="標楷體" w:cstheme="minorHAnsi"/>
                <w:sz w:val="2"/>
                <w:szCs w:val="2"/>
                <w:lang w:eastAsia="zh-TW"/>
              </w:rPr>
            </w:pPr>
          </w:p>
        </w:tc>
        <w:tc>
          <w:tcPr>
            <w:tcW w:w="1418" w:type="dxa"/>
            <w:vAlign w:val="center"/>
          </w:tcPr>
          <w:p w14:paraId="01907AAB" w14:textId="77777777" w:rsidR="00C051EB" w:rsidRPr="00CA1A43" w:rsidRDefault="00C051EB" w:rsidP="00C051EB">
            <w:pPr>
              <w:pStyle w:val="TableParagraph"/>
              <w:ind w:right="164"/>
              <w:jc w:val="right"/>
              <w:rPr>
                <w:rFonts w:asciiTheme="minorHAnsi" w:eastAsia="標楷體" w:hAnsiTheme="minorHAnsi" w:cstheme="minorHAnsi"/>
                <w:sz w:val="24"/>
              </w:rPr>
            </w:pPr>
            <w:r w:rsidRPr="00CA1A43">
              <w:rPr>
                <w:rFonts w:asciiTheme="minorHAnsi" w:eastAsia="標楷體" w:hAnsiTheme="minorHAnsi" w:cstheme="minorHAnsi"/>
                <w:sz w:val="24"/>
              </w:rPr>
              <w:t>8.00%</w:t>
            </w:r>
          </w:p>
        </w:tc>
      </w:tr>
    </w:tbl>
    <w:p w14:paraId="153F5519" w14:textId="77777777" w:rsidR="001E4EDD" w:rsidRPr="00CA1A43" w:rsidRDefault="00DF57DC" w:rsidP="00DF57DC">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除本計算說明另有規定外，個別風險之淨抵銷部位計算，須將侷限於完全相同的</w:t>
      </w:r>
      <w:r w:rsidRPr="00CA1A43">
        <w:rPr>
          <w:rFonts w:eastAsia="標楷體" w:cstheme="minorHAnsi"/>
          <w:szCs w:val="24"/>
          <w:lang w:eastAsia="zh-HK"/>
        </w:rPr>
        <w:t>發行條件</w:t>
      </w:r>
      <w:r w:rsidRPr="00CA1A43">
        <w:rPr>
          <w:rFonts w:eastAsia="標楷體" w:cstheme="minorHAnsi"/>
          <w:szCs w:val="24"/>
        </w:rPr>
        <w:t>才能作抵銷</w:t>
      </w:r>
      <w:r w:rsidRPr="00CA1A43">
        <w:rPr>
          <w:rFonts w:eastAsia="標楷體" w:cstheme="minorHAnsi"/>
          <w:szCs w:val="24"/>
        </w:rPr>
        <w:t>(</w:t>
      </w:r>
      <w:r w:rsidRPr="00CA1A43">
        <w:rPr>
          <w:rFonts w:eastAsia="標楷體" w:cstheme="minorHAnsi"/>
          <w:szCs w:val="24"/>
        </w:rPr>
        <w:t>含衍生性金融商品部位</w:t>
      </w:r>
      <w:r w:rsidRPr="00CA1A43">
        <w:rPr>
          <w:rFonts w:eastAsia="標楷體" w:cstheme="minorHAnsi"/>
          <w:szCs w:val="24"/>
        </w:rPr>
        <w:t>)</w:t>
      </w:r>
      <w:r w:rsidRPr="00CA1A43">
        <w:rPr>
          <w:rFonts w:eastAsia="標楷體" w:cstheme="minorHAnsi"/>
          <w:sz w:val="23"/>
          <w:szCs w:val="23"/>
        </w:rPr>
        <w:t>。</w:t>
      </w:r>
      <w:r w:rsidRPr="00CA1A43">
        <w:rPr>
          <w:rFonts w:eastAsia="標楷體" w:cstheme="minorHAnsi"/>
          <w:szCs w:val="24"/>
        </w:rPr>
        <w:t>即便發行</w:t>
      </w:r>
      <w:r w:rsidRPr="00CA1A43">
        <w:rPr>
          <w:rFonts w:eastAsia="標楷體" w:cstheme="minorHAnsi"/>
          <w:szCs w:val="24"/>
          <w:lang w:eastAsia="zh-HK"/>
        </w:rPr>
        <w:t>人</w:t>
      </w:r>
      <w:r w:rsidRPr="00CA1A43">
        <w:rPr>
          <w:rFonts w:eastAsia="標楷體" w:cstheme="minorHAnsi"/>
          <w:szCs w:val="24"/>
        </w:rPr>
        <w:t>相同，不同的有價證券也不能作抵銷。</w:t>
      </w:r>
    </w:p>
    <w:p w14:paraId="39B06F8B" w14:textId="3A5AE745" w:rsidR="00DF57DC" w:rsidRPr="00050EA7" w:rsidRDefault="00DF57DC" w:rsidP="00DF57DC">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類別為政府機關者，包含政府機關</w:t>
      </w:r>
      <w:r w:rsidRPr="00CA1A43">
        <w:rPr>
          <w:rStyle w:val="a5"/>
          <w:rFonts w:eastAsia="標楷體" w:cstheme="minorHAnsi"/>
        </w:rPr>
        <w:footnoteReference w:id="61"/>
      </w:r>
      <w:r w:rsidRPr="00CA1A43">
        <w:rPr>
          <w:rFonts w:eastAsia="標楷體" w:cstheme="minorHAnsi"/>
          <w:szCs w:val="24"/>
        </w:rPr>
        <w:t>發行所有</w:t>
      </w:r>
      <w:r w:rsidRPr="00CA1A43">
        <w:rPr>
          <w:rFonts w:eastAsia="標楷體" w:cstheme="minorHAnsi"/>
          <w:szCs w:val="24"/>
          <w:lang w:eastAsia="zh-HK"/>
        </w:rPr>
        <w:t>形式</w:t>
      </w:r>
      <w:r w:rsidRPr="00050EA7">
        <w:rPr>
          <w:rFonts w:eastAsia="標楷體" w:cstheme="minorHAnsi"/>
          <w:szCs w:val="24"/>
        </w:rPr>
        <w:t>之</w:t>
      </w:r>
      <w:r w:rsidRPr="00050EA7">
        <w:rPr>
          <w:rFonts w:eastAsia="標楷體" w:cstheme="minorHAnsi"/>
          <w:szCs w:val="24"/>
          <w:lang w:eastAsia="zh-HK"/>
        </w:rPr>
        <w:t>債務</w:t>
      </w:r>
      <w:r w:rsidR="009653EE" w:rsidRPr="00050EA7">
        <w:rPr>
          <w:rFonts w:eastAsia="標楷體" w:cstheme="minorHAnsi"/>
          <w:szCs w:val="24"/>
          <w:lang w:eastAsia="zh-HK"/>
        </w:rPr>
        <w:t>工具</w:t>
      </w:r>
      <w:r w:rsidRPr="00050EA7">
        <w:rPr>
          <w:rFonts w:eastAsia="標楷體" w:cstheme="minorHAnsi"/>
          <w:szCs w:val="24"/>
          <w:lang w:eastAsia="zh-HK"/>
        </w:rPr>
        <w:t>，如</w:t>
      </w:r>
      <w:r w:rsidRPr="00050EA7">
        <w:rPr>
          <w:rFonts w:eastAsia="標楷體" w:cstheme="minorHAnsi"/>
          <w:szCs w:val="24"/>
        </w:rPr>
        <w:t>債券，國庫券及其他短期</w:t>
      </w:r>
      <w:r w:rsidR="009653EE" w:rsidRPr="00050EA7">
        <w:rPr>
          <w:rFonts w:eastAsia="標楷體" w:cstheme="minorHAnsi"/>
          <w:szCs w:val="24"/>
        </w:rPr>
        <w:t>工具</w:t>
      </w:r>
      <w:r w:rsidRPr="00050EA7">
        <w:rPr>
          <w:rFonts w:eastAsia="標楷體" w:cstheme="minorHAnsi"/>
          <w:szCs w:val="24"/>
        </w:rPr>
        <w:t>，但本會保有適用特定外國政府所發行證券的個別風險資</w:t>
      </w:r>
      <w:r w:rsidRPr="00050EA7">
        <w:rPr>
          <w:rFonts w:eastAsia="標楷體" w:cstheme="minorHAnsi"/>
          <w:szCs w:val="24"/>
          <w:lang w:eastAsia="zh-HK"/>
        </w:rPr>
        <w:t>本要求</w:t>
      </w:r>
      <w:r w:rsidRPr="00050EA7">
        <w:rPr>
          <w:rFonts w:eastAsia="標楷體" w:cstheme="minorHAnsi"/>
          <w:szCs w:val="24"/>
        </w:rPr>
        <w:t>之權利，特別是針對有價證券發行之計價幣別與發行國家當地貨幣不同者。</w:t>
      </w:r>
    </w:p>
    <w:p w14:paraId="40B40651" w14:textId="29BD8F6E" w:rsidR="001E4EDD" w:rsidRPr="00CA1A43" w:rsidRDefault="00DF57DC" w:rsidP="00DF57DC">
      <w:pPr>
        <w:pStyle w:val="a7"/>
        <w:numPr>
          <w:ilvl w:val="0"/>
          <w:numId w:val="185"/>
        </w:numPr>
        <w:spacing w:beforeLines="50" w:before="180"/>
        <w:ind w:leftChars="0" w:left="964" w:hanging="482"/>
        <w:jc w:val="both"/>
        <w:rPr>
          <w:rFonts w:eastAsia="標楷體" w:cstheme="minorHAnsi"/>
          <w:szCs w:val="24"/>
        </w:rPr>
      </w:pPr>
      <w:r w:rsidRPr="00050EA7">
        <w:rPr>
          <w:rFonts w:eastAsia="標楷體" w:cstheme="minorHAnsi"/>
          <w:szCs w:val="24"/>
        </w:rPr>
        <w:t>政</w:t>
      </w:r>
      <w:r w:rsidRPr="00050EA7">
        <w:rPr>
          <w:rFonts w:eastAsia="標楷體" w:cstheme="minorHAnsi"/>
          <w:szCs w:val="24"/>
          <w:lang w:eastAsia="zh-HK"/>
        </w:rPr>
        <w:t>府</w:t>
      </w:r>
      <w:r w:rsidRPr="00050EA7">
        <w:rPr>
          <w:rFonts w:eastAsia="標楷體" w:cstheme="minorHAnsi"/>
          <w:szCs w:val="24"/>
        </w:rPr>
        <w:t>債務</w:t>
      </w:r>
      <w:r w:rsidR="009653EE" w:rsidRPr="00050EA7">
        <w:rPr>
          <w:rFonts w:eastAsia="標楷體" w:cstheme="minorHAnsi"/>
          <w:szCs w:val="24"/>
        </w:rPr>
        <w:t>工具</w:t>
      </w:r>
      <w:r w:rsidRPr="00050EA7">
        <w:rPr>
          <w:rFonts w:eastAsia="標楷體" w:cstheme="minorHAnsi"/>
          <w:szCs w:val="24"/>
        </w:rPr>
        <w:t>以本國貨幣計價且銀行以相同的貨</w:t>
      </w:r>
      <w:r w:rsidRPr="00CA1A43">
        <w:rPr>
          <w:rFonts w:eastAsia="標楷體" w:cstheme="minorHAnsi"/>
          <w:szCs w:val="24"/>
        </w:rPr>
        <w:t>幣支應資金，本</w:t>
      </w:r>
      <w:proofErr w:type="gramStart"/>
      <w:r w:rsidRPr="00CA1A43">
        <w:rPr>
          <w:rFonts w:eastAsia="標楷體" w:cstheme="minorHAnsi"/>
          <w:szCs w:val="24"/>
        </w:rPr>
        <w:t>會可裁</w:t>
      </w:r>
      <w:r w:rsidRPr="00CA1A43">
        <w:rPr>
          <w:rFonts w:eastAsia="標楷體" w:cstheme="minorHAnsi"/>
          <w:szCs w:val="24"/>
        </w:rPr>
        <w:lastRenderedPageBreak/>
        <w:t>量</w:t>
      </w:r>
      <w:proofErr w:type="gramEnd"/>
      <w:r w:rsidRPr="00CA1A43">
        <w:rPr>
          <w:rFonts w:eastAsia="標楷體" w:cstheme="minorHAnsi"/>
          <w:szCs w:val="24"/>
        </w:rPr>
        <w:t>適用較低之個別風險資本</w:t>
      </w:r>
      <w:r w:rsidRPr="00CA1A43">
        <w:rPr>
          <w:rFonts w:eastAsia="標楷體" w:cstheme="minorHAnsi"/>
          <w:szCs w:val="24"/>
          <w:lang w:eastAsia="zh-HK"/>
        </w:rPr>
        <w:t>要求</w:t>
      </w:r>
      <w:r w:rsidRPr="00CA1A43">
        <w:rPr>
          <w:rFonts w:eastAsia="標楷體" w:cstheme="minorHAnsi"/>
          <w:szCs w:val="24"/>
        </w:rPr>
        <w:t>。</w:t>
      </w:r>
    </w:p>
    <w:p w14:paraId="55633947" w14:textId="77777777" w:rsidR="005D5AED" w:rsidRPr="00CA1A43" w:rsidRDefault="005D5AED" w:rsidP="005D5AED">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「合格」的類別包含非中央政府公共部門及多邊開發銀行所發行之有價證券，並包含其他有價證券如</w:t>
      </w:r>
      <w:r w:rsidRPr="00CA1A43">
        <w:rPr>
          <w:rFonts w:eastAsia="標楷體" w:cstheme="minorHAnsi"/>
          <w:szCs w:val="24"/>
          <w:lang w:eastAsia="zh-HK"/>
        </w:rPr>
        <w:t>下</w:t>
      </w:r>
      <w:r w:rsidRPr="00CA1A43">
        <w:rPr>
          <w:rFonts w:eastAsia="標楷體" w:cstheme="minorHAnsi"/>
          <w:szCs w:val="24"/>
        </w:rPr>
        <w:t>：</w:t>
      </w:r>
    </w:p>
    <w:p w14:paraId="5A992931" w14:textId="77777777" w:rsidR="005D5AED" w:rsidRPr="00CA1A43" w:rsidRDefault="005D5AED" w:rsidP="0018781A">
      <w:pPr>
        <w:pStyle w:val="a7"/>
        <w:numPr>
          <w:ilvl w:val="0"/>
          <w:numId w:val="187"/>
        </w:numPr>
        <w:spacing w:beforeLines="50" w:before="180"/>
        <w:ind w:leftChars="0" w:left="1446" w:hanging="482"/>
        <w:jc w:val="both"/>
        <w:rPr>
          <w:rFonts w:eastAsia="標楷體" w:cstheme="minorHAnsi"/>
        </w:rPr>
      </w:pPr>
      <w:r w:rsidRPr="00CA1A43">
        <w:rPr>
          <w:rFonts w:eastAsia="標楷體" w:cstheme="minorHAnsi"/>
        </w:rPr>
        <w:t>經合格外部信用評等機構至少兩家評定為投資等級以上</w:t>
      </w:r>
      <w:r w:rsidRPr="00CA1A43">
        <w:rPr>
          <w:rFonts w:eastAsia="標楷體" w:cstheme="minorHAnsi"/>
        </w:rPr>
        <w:t>(</w:t>
      </w:r>
      <w:r w:rsidRPr="00CA1A43">
        <w:rPr>
          <w:rFonts w:eastAsia="標楷體" w:cstheme="minorHAnsi"/>
        </w:rPr>
        <w:t>例如</w:t>
      </w:r>
      <w:r w:rsidRPr="00CA1A43">
        <w:rPr>
          <w:rFonts w:eastAsia="標楷體" w:cstheme="minorHAnsi"/>
        </w:rPr>
        <w:t>:Moody</w:t>
      </w:r>
      <w:proofErr w:type="gramStart"/>
      <w:r w:rsidRPr="00CA1A43">
        <w:rPr>
          <w:rFonts w:eastAsia="標楷體" w:cstheme="minorHAnsi"/>
        </w:rPr>
        <w:t>’</w:t>
      </w:r>
      <w:proofErr w:type="gramEnd"/>
      <w:r w:rsidRPr="00CA1A43">
        <w:rPr>
          <w:rFonts w:eastAsia="標楷體" w:cstheme="minorHAnsi"/>
        </w:rPr>
        <w:t>s Baa</w:t>
      </w:r>
      <w:r w:rsidRPr="00CA1A43">
        <w:rPr>
          <w:rFonts w:eastAsia="標楷體" w:cstheme="minorHAnsi"/>
        </w:rPr>
        <w:t>或以上及</w:t>
      </w:r>
      <w:r w:rsidRPr="00CA1A43">
        <w:rPr>
          <w:rFonts w:eastAsia="標楷體" w:cstheme="minorHAnsi"/>
        </w:rPr>
        <w:t>S&amp;P BBB</w:t>
      </w:r>
      <w:r w:rsidRPr="00CA1A43">
        <w:rPr>
          <w:rFonts w:eastAsia="標楷體" w:cstheme="minorHAnsi"/>
        </w:rPr>
        <w:t>或以上者</w:t>
      </w:r>
      <w:r w:rsidRPr="00CA1A43">
        <w:rPr>
          <w:rFonts w:eastAsia="標楷體" w:cstheme="minorHAnsi"/>
        </w:rPr>
        <w:t>)</w:t>
      </w:r>
      <w:r w:rsidRPr="00CA1A43">
        <w:rPr>
          <w:rFonts w:eastAsia="標楷體" w:cstheme="minorHAnsi"/>
        </w:rPr>
        <w:t>之有價證券；或</w:t>
      </w:r>
    </w:p>
    <w:p w14:paraId="40CE12D2" w14:textId="77777777" w:rsidR="005D5AED" w:rsidRPr="00CA1A43" w:rsidRDefault="005D5AED" w:rsidP="0018781A">
      <w:pPr>
        <w:pStyle w:val="a7"/>
        <w:numPr>
          <w:ilvl w:val="0"/>
          <w:numId w:val="187"/>
        </w:numPr>
        <w:spacing w:beforeLines="50" w:before="180"/>
        <w:ind w:leftChars="0" w:left="1446" w:hanging="482"/>
        <w:jc w:val="both"/>
        <w:rPr>
          <w:rFonts w:eastAsia="標楷體" w:cstheme="minorHAnsi"/>
          <w:szCs w:val="24"/>
        </w:rPr>
      </w:pPr>
      <w:r w:rsidRPr="00CA1A43">
        <w:rPr>
          <w:rFonts w:eastAsia="標楷體" w:cstheme="minorHAnsi"/>
        </w:rPr>
        <w:t>經一個合格外部信用評等機構評定不低於投資等級，加上經其他非合格外部信用評等機構評定投資等級以上者</w:t>
      </w:r>
      <w:r w:rsidRPr="00CA1A43">
        <w:rPr>
          <w:rFonts w:eastAsia="標楷體" w:cstheme="minorHAnsi"/>
          <w:szCs w:val="24"/>
        </w:rPr>
        <w:t>；或</w:t>
      </w:r>
    </w:p>
    <w:p w14:paraId="3CB4C9D9" w14:textId="77777777" w:rsidR="005D5AED" w:rsidRPr="00CA1A43" w:rsidRDefault="005D5AED" w:rsidP="0018781A">
      <w:pPr>
        <w:pStyle w:val="a7"/>
        <w:numPr>
          <w:ilvl w:val="0"/>
          <w:numId w:val="187"/>
        </w:numPr>
        <w:spacing w:beforeLines="50" w:before="180"/>
        <w:ind w:leftChars="0" w:left="1446" w:hanging="482"/>
        <w:jc w:val="both"/>
        <w:rPr>
          <w:rFonts w:eastAsia="標楷體" w:cstheme="minorHAnsi"/>
          <w:szCs w:val="24"/>
        </w:rPr>
      </w:pPr>
      <w:r w:rsidRPr="00CA1A43">
        <w:rPr>
          <w:rFonts w:eastAsia="標楷體" w:cstheme="minorHAnsi"/>
        </w:rPr>
        <w:t>經本會核准，且銀行能說明該債券等同投資等級、同時發行人之股票在認可之證券交易所正常交易者</w:t>
      </w:r>
      <w:r w:rsidRPr="00CA1A43">
        <w:rPr>
          <w:rFonts w:eastAsia="標楷體" w:cstheme="minorHAnsi"/>
          <w:szCs w:val="24"/>
        </w:rPr>
        <w:t>。</w:t>
      </w:r>
    </w:p>
    <w:p w14:paraId="7EB04F36" w14:textId="3710A6B5" w:rsidR="001E4EDD" w:rsidRPr="00CA1A43" w:rsidRDefault="005D5AED" w:rsidP="005D5AED">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本會</w:t>
      </w:r>
      <w:r w:rsidRPr="00CA1A43">
        <w:rPr>
          <w:rFonts w:eastAsia="標楷體" w:cstheme="minorHAnsi"/>
          <w:szCs w:val="24"/>
          <w:lang w:eastAsia="zh-HK"/>
        </w:rPr>
        <w:t>有</w:t>
      </w:r>
      <w:r w:rsidRPr="00CA1A43">
        <w:rPr>
          <w:rFonts w:eastAsia="標楷體" w:cstheme="minorHAnsi"/>
          <w:szCs w:val="24"/>
        </w:rPr>
        <w:t>裁量權</w:t>
      </w:r>
      <w:r w:rsidRPr="00CA1A43">
        <w:rPr>
          <w:rFonts w:eastAsia="標楷體" w:cstheme="minorHAnsi"/>
          <w:szCs w:val="24"/>
          <w:lang w:eastAsia="zh-HK"/>
        </w:rPr>
        <w:t>將</w:t>
      </w:r>
      <w:r w:rsidRPr="00CA1A43">
        <w:rPr>
          <w:rFonts w:eastAsia="標楷體" w:cstheme="minorHAnsi"/>
          <w:szCs w:val="24"/>
        </w:rPr>
        <w:t>該國銀行或證券公司所發行之</w:t>
      </w:r>
      <w:r w:rsidRPr="00050EA7">
        <w:rPr>
          <w:rFonts w:eastAsia="標楷體" w:cstheme="minorHAnsi"/>
          <w:szCs w:val="20"/>
        </w:rPr>
        <w:t>債務</w:t>
      </w:r>
      <w:r w:rsidR="009653EE" w:rsidRPr="00050EA7">
        <w:rPr>
          <w:rFonts w:eastAsia="標楷體" w:cstheme="minorHAnsi"/>
          <w:szCs w:val="20"/>
        </w:rPr>
        <w:t>工具</w:t>
      </w:r>
      <w:r w:rsidRPr="00050EA7">
        <w:rPr>
          <w:rFonts w:eastAsia="標楷體" w:cstheme="minorHAnsi"/>
          <w:szCs w:val="24"/>
        </w:rPr>
        <w:t>納</w:t>
      </w:r>
      <w:r w:rsidRPr="00CA1A43">
        <w:rPr>
          <w:rFonts w:eastAsia="標楷體" w:cstheme="minorHAnsi"/>
          <w:szCs w:val="24"/>
        </w:rPr>
        <w:t>入合格的類別。亦可包含相當於投資等級且遵循本會及與本規範所述相當之法規的機構所發行之有價證券。</w:t>
      </w:r>
    </w:p>
    <w:p w14:paraId="4CDBD276" w14:textId="77777777" w:rsidR="005D5AED" w:rsidRPr="00CA1A43" w:rsidRDefault="005D5AED" w:rsidP="005D5AED">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對採用簡易標準法的銀行，若有價證券未經評等但銀行認為其相當於投資等級，且發行人的股票在認可的證券交易所正常交易，得經本會核准將</w:t>
      </w:r>
      <w:proofErr w:type="gramStart"/>
      <w:r w:rsidRPr="00CA1A43">
        <w:rPr>
          <w:rFonts w:eastAsia="標楷體" w:cstheme="minorHAnsi"/>
          <w:szCs w:val="24"/>
        </w:rPr>
        <w:t>該未評等</w:t>
      </w:r>
      <w:proofErr w:type="gramEnd"/>
      <w:r w:rsidRPr="00CA1A43">
        <w:rPr>
          <w:rFonts w:eastAsia="標楷體" w:cstheme="minorHAnsi"/>
          <w:szCs w:val="24"/>
        </w:rPr>
        <w:t>有價證券列入「合格」類別。使用內部評等法</w:t>
      </w:r>
      <w:r w:rsidRPr="00CA1A43">
        <w:rPr>
          <w:rFonts w:eastAsia="標楷體" w:cstheme="minorHAnsi"/>
          <w:szCs w:val="24"/>
        </w:rPr>
        <w:t>(IRB)</w:t>
      </w:r>
      <w:r w:rsidRPr="00CA1A43">
        <w:rPr>
          <w:rFonts w:eastAsia="標楷體" w:cstheme="minorHAnsi"/>
          <w:szCs w:val="24"/>
        </w:rPr>
        <w:t>衡量信用風險的銀行，要</w:t>
      </w:r>
      <w:proofErr w:type="gramStart"/>
      <w:r w:rsidRPr="00CA1A43">
        <w:rPr>
          <w:rFonts w:eastAsia="標楷體" w:cstheme="minorHAnsi"/>
          <w:szCs w:val="24"/>
        </w:rPr>
        <w:t>將未評等</w:t>
      </w:r>
      <w:proofErr w:type="gramEnd"/>
      <w:r w:rsidRPr="00CA1A43">
        <w:rPr>
          <w:rFonts w:eastAsia="標楷體" w:cstheme="minorHAnsi"/>
          <w:szCs w:val="24"/>
        </w:rPr>
        <w:t>有價證券列入「合格」類別，必須同時符合以下條件：</w:t>
      </w:r>
      <w:r w:rsidRPr="00CA1A43">
        <w:rPr>
          <w:rFonts w:eastAsia="標楷體" w:cstheme="minorHAnsi"/>
          <w:szCs w:val="24"/>
        </w:rPr>
        <w:t xml:space="preserve"> </w:t>
      </w:r>
    </w:p>
    <w:p w14:paraId="2825DED9" w14:textId="77777777" w:rsidR="005D5AED" w:rsidRPr="00CA1A43" w:rsidRDefault="005D5AED" w:rsidP="0018781A">
      <w:pPr>
        <w:pStyle w:val="a7"/>
        <w:numPr>
          <w:ilvl w:val="0"/>
          <w:numId w:val="188"/>
        </w:numPr>
        <w:spacing w:beforeLines="50" w:before="180"/>
        <w:ind w:leftChars="0" w:left="1446" w:hanging="482"/>
        <w:jc w:val="both"/>
        <w:rPr>
          <w:rFonts w:eastAsia="標楷體" w:cstheme="minorHAnsi"/>
          <w:szCs w:val="24"/>
        </w:rPr>
      </w:pPr>
      <w:r w:rsidRPr="00CA1A43">
        <w:rPr>
          <w:rFonts w:eastAsia="標楷體" w:cstheme="minorHAnsi"/>
          <w:szCs w:val="24"/>
        </w:rPr>
        <w:t>根據經本會認可符合</w:t>
      </w:r>
      <w:r w:rsidRPr="00CA1A43">
        <w:rPr>
          <w:rFonts w:eastAsia="標楷體" w:cstheme="minorHAnsi"/>
          <w:szCs w:val="24"/>
        </w:rPr>
        <w:t>IRB</w:t>
      </w:r>
      <w:r w:rsidRPr="00CA1A43">
        <w:rPr>
          <w:rFonts w:eastAsia="標楷體" w:cstheme="minorHAnsi"/>
          <w:szCs w:val="24"/>
        </w:rPr>
        <w:t>法要求的內部評等系統，評等此類有價證券相當於投資等級</w:t>
      </w:r>
      <w:r w:rsidRPr="00CA1A43">
        <w:rPr>
          <w:rFonts w:eastAsia="標楷體" w:cstheme="minorHAnsi"/>
          <w:szCs w:val="24"/>
        </w:rPr>
        <w:t>(</w:t>
      </w:r>
      <w:r w:rsidRPr="00CA1A43">
        <w:rPr>
          <w:rFonts w:eastAsia="標楷體" w:cstheme="minorHAnsi"/>
          <w:szCs w:val="24"/>
        </w:rPr>
        <w:t>債券</w:t>
      </w:r>
      <w:proofErr w:type="gramStart"/>
      <w:r w:rsidRPr="00CA1A43">
        <w:rPr>
          <w:rFonts w:eastAsia="標楷體" w:cstheme="minorHAnsi"/>
          <w:szCs w:val="24"/>
        </w:rPr>
        <w:t>一</w:t>
      </w:r>
      <w:proofErr w:type="gramEnd"/>
      <w:r w:rsidRPr="00CA1A43">
        <w:rPr>
          <w:rFonts w:eastAsia="標楷體" w:cstheme="minorHAnsi"/>
          <w:szCs w:val="24"/>
        </w:rPr>
        <w:t>年內違約機率小於或等於合格評等機構評等為投資等級以上之有價證券長期平均一年違約機率</w:t>
      </w:r>
      <w:r w:rsidRPr="00CA1A43">
        <w:rPr>
          <w:rFonts w:eastAsia="標楷體" w:cstheme="minorHAnsi"/>
          <w:szCs w:val="24"/>
        </w:rPr>
        <w:t>)</w:t>
      </w:r>
      <w:r w:rsidRPr="00CA1A43">
        <w:rPr>
          <w:rFonts w:eastAsia="標楷體" w:cstheme="minorHAnsi"/>
          <w:szCs w:val="24"/>
        </w:rPr>
        <w:t>；</w:t>
      </w:r>
    </w:p>
    <w:p w14:paraId="4FE2E679" w14:textId="77777777" w:rsidR="005D5AED" w:rsidRPr="00CA1A43" w:rsidRDefault="005D5AED" w:rsidP="0018781A">
      <w:pPr>
        <w:pStyle w:val="a7"/>
        <w:numPr>
          <w:ilvl w:val="0"/>
          <w:numId w:val="188"/>
        </w:numPr>
        <w:spacing w:beforeLines="50" w:before="180"/>
        <w:ind w:leftChars="0" w:left="1446" w:hanging="482"/>
        <w:jc w:val="both"/>
        <w:rPr>
          <w:rFonts w:eastAsia="標楷體" w:cstheme="minorHAnsi"/>
          <w:szCs w:val="24"/>
        </w:rPr>
      </w:pPr>
      <w:r w:rsidRPr="00CA1A43">
        <w:rPr>
          <w:rFonts w:eastAsia="標楷體" w:cstheme="minorHAnsi"/>
          <w:szCs w:val="24"/>
        </w:rPr>
        <w:t>有價證券發行人的股票在經認可之證券交易所正常交易。</w:t>
      </w:r>
    </w:p>
    <w:p w14:paraId="4EB0A046" w14:textId="48A3FF5D" w:rsidR="005D5AED" w:rsidRPr="00CA1A43" w:rsidRDefault="005D5AED" w:rsidP="005D5AED">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在某些特定情況下，較政府債務</w:t>
      </w:r>
      <w:r w:rsidRPr="00CA1A43">
        <w:rPr>
          <w:rFonts w:eastAsia="標楷體" w:cstheme="minorHAnsi"/>
        </w:rPr>
        <w:t>有價證券</w:t>
      </w:r>
      <w:r w:rsidRPr="00CA1A43">
        <w:rPr>
          <w:rFonts w:eastAsia="標楷體" w:cstheme="minorHAnsi"/>
          <w:szCs w:val="24"/>
        </w:rPr>
        <w:t>贖回收益率更高的債</w:t>
      </w:r>
      <w:r w:rsidRPr="00050EA7">
        <w:rPr>
          <w:rFonts w:eastAsia="標楷體" w:cstheme="minorHAnsi"/>
          <w:szCs w:val="24"/>
        </w:rPr>
        <w:t>務</w:t>
      </w:r>
      <w:r w:rsidR="009653EE" w:rsidRPr="00050EA7">
        <w:rPr>
          <w:rFonts w:eastAsia="標楷體" w:cstheme="minorHAnsi"/>
          <w:szCs w:val="24"/>
        </w:rPr>
        <w:t>工具</w:t>
      </w:r>
      <w:r w:rsidRPr="00CA1A43">
        <w:rPr>
          <w:rFonts w:eastAsia="標楷體" w:cstheme="minorHAnsi"/>
          <w:szCs w:val="24"/>
        </w:rPr>
        <w:t>，其個別風險可能被明顯低估，本會必須裁量：</w:t>
      </w:r>
    </w:p>
    <w:p w14:paraId="690181FB" w14:textId="28382C0A" w:rsidR="005D5AED" w:rsidRPr="00050EA7" w:rsidRDefault="005D5AED" w:rsidP="0018781A">
      <w:pPr>
        <w:pStyle w:val="a7"/>
        <w:numPr>
          <w:ilvl w:val="0"/>
          <w:numId w:val="189"/>
        </w:numPr>
        <w:spacing w:beforeLines="50" w:before="180"/>
        <w:ind w:leftChars="0" w:left="1446" w:hanging="482"/>
        <w:jc w:val="both"/>
        <w:rPr>
          <w:rFonts w:eastAsia="標楷體" w:cstheme="minorHAnsi"/>
          <w:szCs w:val="24"/>
        </w:rPr>
      </w:pPr>
      <w:r w:rsidRPr="00CA1A43">
        <w:rPr>
          <w:rFonts w:eastAsia="標楷體" w:cstheme="minorHAnsi"/>
          <w:szCs w:val="24"/>
        </w:rPr>
        <w:t>對此</w:t>
      </w:r>
      <w:r w:rsidRPr="00050EA7">
        <w:rPr>
          <w:rFonts w:eastAsia="標楷體" w:cstheme="minorHAnsi"/>
          <w:szCs w:val="24"/>
        </w:rPr>
        <w:t>類</w:t>
      </w:r>
      <w:r w:rsidR="009653EE" w:rsidRPr="00050EA7">
        <w:rPr>
          <w:rFonts w:eastAsia="標楷體" w:cstheme="minorHAnsi"/>
          <w:szCs w:val="24"/>
        </w:rPr>
        <w:t>工具</w:t>
      </w:r>
      <w:r w:rsidRPr="00050EA7">
        <w:rPr>
          <w:rFonts w:eastAsia="標楷體" w:cstheme="minorHAnsi"/>
          <w:szCs w:val="24"/>
        </w:rPr>
        <w:t>，適用更高的個別風險計提；及</w:t>
      </w:r>
      <w:r w:rsidRPr="00050EA7">
        <w:rPr>
          <w:rFonts w:eastAsia="標楷體" w:cstheme="minorHAnsi"/>
          <w:szCs w:val="24"/>
        </w:rPr>
        <w:t>/</w:t>
      </w:r>
      <w:r w:rsidRPr="00050EA7">
        <w:rPr>
          <w:rFonts w:eastAsia="標楷體" w:cstheme="minorHAnsi"/>
          <w:szCs w:val="24"/>
        </w:rPr>
        <w:t>或</w:t>
      </w:r>
    </w:p>
    <w:p w14:paraId="79E4713E" w14:textId="24D2C179" w:rsidR="00111C84" w:rsidRPr="00CA1A43" w:rsidRDefault="005D5AED" w:rsidP="0018781A">
      <w:pPr>
        <w:pStyle w:val="a7"/>
        <w:numPr>
          <w:ilvl w:val="0"/>
          <w:numId w:val="189"/>
        </w:numPr>
        <w:spacing w:beforeLines="50" w:before="180"/>
        <w:ind w:leftChars="0" w:left="1446" w:hanging="482"/>
        <w:jc w:val="both"/>
        <w:rPr>
          <w:rFonts w:eastAsia="標楷體" w:cstheme="minorHAnsi"/>
          <w:szCs w:val="24"/>
        </w:rPr>
      </w:pPr>
      <w:r w:rsidRPr="00050EA7">
        <w:rPr>
          <w:rFonts w:eastAsia="標楷體" w:cstheme="minorHAnsi"/>
          <w:szCs w:val="24"/>
        </w:rPr>
        <w:t>為定義一般市場風險程度之目的，不允許此類</w:t>
      </w:r>
      <w:r w:rsidR="009653EE" w:rsidRPr="00050EA7">
        <w:rPr>
          <w:rFonts w:eastAsia="標楷體" w:cstheme="minorHAnsi"/>
          <w:szCs w:val="24"/>
        </w:rPr>
        <w:t>工具</w:t>
      </w:r>
      <w:r w:rsidRPr="00050EA7">
        <w:rPr>
          <w:rFonts w:eastAsia="標楷體" w:cstheme="minorHAnsi"/>
          <w:szCs w:val="24"/>
        </w:rPr>
        <w:t>和其他債務</w:t>
      </w:r>
      <w:r w:rsidR="009653EE" w:rsidRPr="00050EA7">
        <w:rPr>
          <w:rFonts w:eastAsia="標楷體" w:cstheme="minorHAnsi"/>
          <w:szCs w:val="24"/>
        </w:rPr>
        <w:t>工具</w:t>
      </w:r>
      <w:r w:rsidRPr="00050EA7">
        <w:rPr>
          <w:rFonts w:eastAsia="標楷體" w:cstheme="minorHAnsi"/>
          <w:szCs w:val="24"/>
        </w:rPr>
        <w:t>之間進行相互抵銷</w:t>
      </w:r>
      <w:r w:rsidRPr="00CA1A43">
        <w:rPr>
          <w:rFonts w:eastAsia="標楷體" w:cstheme="minorHAnsi"/>
          <w:szCs w:val="24"/>
        </w:rPr>
        <w:t>。</w:t>
      </w:r>
    </w:p>
    <w:p w14:paraId="4BD9496A" w14:textId="77777777" w:rsidR="00111C84" w:rsidRPr="00CA1A43" w:rsidRDefault="0087570C" w:rsidP="0087570C">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rPr>
        <w:t>證券化架構下部位之個別風險處理規定：</w:t>
      </w:r>
      <w:r w:rsidRPr="00CA1A43">
        <w:rPr>
          <w:rFonts w:eastAsia="標楷體" w:cstheme="minorHAnsi"/>
        </w:rPr>
        <w:br/>
      </w:r>
      <w:r w:rsidRPr="00CA1A43">
        <w:rPr>
          <w:rFonts w:eastAsia="標楷體" w:cstheme="minorHAnsi"/>
          <w:szCs w:val="24"/>
        </w:rPr>
        <w:t>交易簿之證券化部位需比照銀行簿之方法計算。</w:t>
      </w:r>
      <w:r w:rsidRPr="00CA1A43">
        <w:rPr>
          <w:rFonts w:eastAsia="標楷體" w:cstheme="minorHAnsi"/>
          <w:szCs w:val="24"/>
          <w:lang w:eastAsia="zh-HK"/>
        </w:rPr>
        <w:t>銀行計算</w:t>
      </w:r>
      <w:r w:rsidRPr="00CA1A43">
        <w:rPr>
          <w:rFonts w:eastAsia="標楷體" w:cstheme="minorHAnsi"/>
          <w:szCs w:val="24"/>
        </w:rPr>
        <w:t>每</w:t>
      </w:r>
      <w:proofErr w:type="gramStart"/>
      <w:r w:rsidRPr="00CA1A43">
        <w:rPr>
          <w:rFonts w:eastAsia="標楷體" w:cstheme="minorHAnsi"/>
          <w:szCs w:val="24"/>
        </w:rPr>
        <w:t>個</w:t>
      </w:r>
      <w:r w:rsidRPr="00CA1A43">
        <w:rPr>
          <w:rFonts w:eastAsia="標楷體" w:cstheme="minorHAnsi"/>
          <w:szCs w:val="24"/>
          <w:lang w:eastAsia="zh-HK"/>
        </w:rPr>
        <w:t>證券化淨</w:t>
      </w:r>
      <w:proofErr w:type="gramEnd"/>
      <w:r w:rsidRPr="00CA1A43">
        <w:rPr>
          <w:rFonts w:eastAsia="標楷體" w:cstheme="minorHAnsi"/>
          <w:szCs w:val="24"/>
          <w:lang w:eastAsia="zh-HK"/>
        </w:rPr>
        <w:t>部位</w:t>
      </w:r>
      <w:r w:rsidRPr="00CA1A43">
        <w:rPr>
          <w:rFonts w:eastAsia="標楷體" w:cstheme="minorHAnsi"/>
          <w:szCs w:val="24"/>
        </w:rPr>
        <w:t>的</w:t>
      </w:r>
      <w:r w:rsidRPr="00CA1A43">
        <w:rPr>
          <w:rFonts w:eastAsia="標楷體" w:cstheme="minorHAnsi"/>
          <w:szCs w:val="24"/>
          <w:lang w:eastAsia="zh-HK"/>
        </w:rPr>
        <w:t>個別風險資本要求，</w:t>
      </w:r>
      <w:r w:rsidRPr="00CA1A43">
        <w:rPr>
          <w:rFonts w:eastAsia="標楷體" w:cstheme="minorHAnsi"/>
          <w:szCs w:val="24"/>
        </w:rPr>
        <w:t>資本計提率</w:t>
      </w:r>
      <w:r w:rsidRPr="00CA1A43">
        <w:rPr>
          <w:rFonts w:eastAsia="標楷體" w:cstheme="minorHAnsi"/>
          <w:szCs w:val="24"/>
          <w:lang w:eastAsia="zh-HK"/>
        </w:rPr>
        <w:t>適用於銀行</w:t>
      </w:r>
      <w:proofErr w:type="gramStart"/>
      <w:r w:rsidRPr="00CA1A43">
        <w:rPr>
          <w:rFonts w:eastAsia="標楷體" w:cstheme="minorHAnsi"/>
          <w:szCs w:val="24"/>
          <w:lang w:eastAsia="zh-HK"/>
        </w:rPr>
        <w:t>簿</w:t>
      </w:r>
      <w:proofErr w:type="gramEnd"/>
      <w:r w:rsidRPr="00CA1A43">
        <w:rPr>
          <w:rFonts w:eastAsia="標楷體" w:cstheme="minorHAnsi"/>
          <w:szCs w:val="24"/>
          <w:lang w:eastAsia="zh-HK"/>
        </w:rPr>
        <w:t>證券化之風險權數除以</w:t>
      </w:r>
      <w:r w:rsidRPr="00CA1A43">
        <w:rPr>
          <w:rFonts w:eastAsia="標楷體" w:cstheme="minorHAnsi"/>
          <w:szCs w:val="24"/>
          <w:lang w:eastAsia="zh-HK"/>
        </w:rPr>
        <w:t>12.5</w:t>
      </w:r>
      <w:r w:rsidRPr="00CA1A43">
        <w:rPr>
          <w:rFonts w:eastAsia="標楷體" w:cstheme="minorHAnsi"/>
          <w:szCs w:val="24"/>
        </w:rPr>
        <w:t>。</w:t>
      </w:r>
    </w:p>
    <w:p w14:paraId="69E244F1" w14:textId="78E5AD73" w:rsidR="0087570C" w:rsidRPr="00CA1A43" w:rsidRDefault="0087570C" w:rsidP="0087570C">
      <w:pPr>
        <w:pStyle w:val="a7"/>
        <w:numPr>
          <w:ilvl w:val="0"/>
          <w:numId w:val="185"/>
        </w:numPr>
        <w:spacing w:beforeLines="50" w:before="180"/>
        <w:ind w:leftChars="0" w:left="964" w:hanging="482"/>
        <w:jc w:val="both"/>
        <w:rPr>
          <w:rFonts w:eastAsia="標楷體" w:cstheme="minorHAnsi"/>
          <w:b/>
          <w:kern w:val="0"/>
          <w:szCs w:val="24"/>
        </w:rPr>
      </w:pPr>
      <w:r w:rsidRPr="00CA1A43">
        <w:rPr>
          <w:rFonts w:eastAsia="標楷體" w:cstheme="minorHAnsi"/>
          <w:szCs w:val="24"/>
        </w:rPr>
        <w:t>銀行計算信用衍生性</w:t>
      </w:r>
      <w:r w:rsidRPr="00CA1A43">
        <w:rPr>
          <w:rFonts w:eastAsia="標楷體" w:cstheme="minorHAnsi"/>
        </w:rPr>
        <w:t>金融商品</w:t>
      </w:r>
      <w:r w:rsidRPr="00CA1A43">
        <w:rPr>
          <w:rFonts w:eastAsia="標楷體" w:cstheme="minorHAnsi"/>
          <w:szCs w:val="24"/>
        </w:rPr>
        <w:t>或證券化</w:t>
      </w:r>
      <w:r w:rsidR="009653EE" w:rsidRPr="00050EA7">
        <w:rPr>
          <w:rFonts w:eastAsia="標楷體" w:cstheme="minorHAnsi"/>
          <w:szCs w:val="24"/>
        </w:rPr>
        <w:t>工具</w:t>
      </w:r>
      <w:r w:rsidRPr="00050EA7">
        <w:rPr>
          <w:rFonts w:eastAsia="標楷體" w:cstheme="minorHAnsi"/>
          <w:szCs w:val="24"/>
        </w:rPr>
        <w:t>之</w:t>
      </w:r>
      <w:r w:rsidRPr="00CA1A43">
        <w:rPr>
          <w:rFonts w:eastAsia="標楷體" w:cstheme="minorHAnsi"/>
          <w:szCs w:val="24"/>
        </w:rPr>
        <w:t>個別部位的資本要求，可限制在最大可能損失內。</w:t>
      </w:r>
      <w:r w:rsidRPr="00CA1A43">
        <w:rPr>
          <w:rFonts w:eastAsia="標楷體" w:cstheme="minorHAnsi"/>
          <w:szCs w:val="24"/>
        </w:rPr>
        <w:br/>
      </w:r>
      <w:r w:rsidRPr="00CA1A43">
        <w:rPr>
          <w:rFonts w:eastAsia="標楷體" w:cstheme="minorHAnsi"/>
          <w:szCs w:val="24"/>
        </w:rPr>
        <w:lastRenderedPageBreak/>
        <w:t>對持有風險為短部位者，該限制的計算可假設標的公司即刻視為無違約風險，而造成之價值的變動。</w:t>
      </w:r>
      <w:r w:rsidRPr="00CA1A43">
        <w:rPr>
          <w:rFonts w:eastAsia="標楷體" w:cstheme="minorHAnsi"/>
          <w:szCs w:val="24"/>
        </w:rPr>
        <w:br/>
      </w:r>
      <w:r w:rsidRPr="00CA1A43">
        <w:rPr>
          <w:rFonts w:eastAsia="標楷體" w:cstheme="minorHAnsi"/>
          <w:szCs w:val="24"/>
        </w:rPr>
        <w:t>對持有風險為長部位者，最大損失的計算可依發生事件造成所有標的公司皆違約且回收率是</w:t>
      </w:r>
      <w:r w:rsidRPr="00CA1A43">
        <w:rPr>
          <w:rFonts w:eastAsia="標楷體" w:cstheme="minorHAnsi"/>
          <w:szCs w:val="24"/>
        </w:rPr>
        <w:t>0</w:t>
      </w:r>
      <w:r w:rsidRPr="00CA1A43">
        <w:rPr>
          <w:rFonts w:eastAsia="標楷體" w:cstheme="minorHAnsi"/>
          <w:szCs w:val="24"/>
        </w:rPr>
        <w:t>，而造成之價值的變動。</w:t>
      </w:r>
      <w:r w:rsidRPr="00CA1A43">
        <w:rPr>
          <w:rFonts w:eastAsia="標楷體" w:cstheme="minorHAnsi"/>
          <w:szCs w:val="24"/>
          <w:lang w:eastAsia="zh-HK"/>
        </w:rPr>
        <w:t>銀行必須計算個別部位的最大</w:t>
      </w:r>
      <w:r w:rsidRPr="00CA1A43">
        <w:rPr>
          <w:rFonts w:eastAsia="標楷體" w:cstheme="minorHAnsi"/>
          <w:szCs w:val="24"/>
        </w:rPr>
        <w:t>可能</w:t>
      </w:r>
      <w:r w:rsidRPr="00CA1A43">
        <w:rPr>
          <w:rFonts w:eastAsia="標楷體" w:cstheme="minorHAnsi"/>
          <w:szCs w:val="24"/>
          <w:lang w:eastAsia="zh-HK"/>
        </w:rPr>
        <w:t>損失。</w:t>
      </w:r>
    </w:p>
    <w:p w14:paraId="287BBECC" w14:textId="77777777" w:rsidR="00111C84" w:rsidRPr="00CA1A43" w:rsidRDefault="0087570C" w:rsidP="0087570C">
      <w:pPr>
        <w:pStyle w:val="a7"/>
        <w:spacing w:beforeLines="50" w:before="180"/>
        <w:ind w:leftChars="0" w:left="964"/>
        <w:jc w:val="both"/>
        <w:rPr>
          <w:rFonts w:eastAsia="標楷體" w:cstheme="minorHAnsi"/>
          <w:szCs w:val="24"/>
        </w:rPr>
      </w:pPr>
      <w:r w:rsidRPr="00CA1A43">
        <w:rPr>
          <w:rFonts w:eastAsia="標楷體" w:cstheme="minorHAnsi"/>
          <w:szCs w:val="24"/>
        </w:rPr>
        <w:t>當銀行為一檔資產抵押擔保證券</w:t>
      </w:r>
      <w:r w:rsidRPr="00CA1A43">
        <w:rPr>
          <w:rFonts w:eastAsia="標楷體" w:cstheme="minorHAnsi"/>
          <w:szCs w:val="24"/>
        </w:rPr>
        <w:t>(ABS)</w:t>
      </w:r>
      <w:r w:rsidRPr="00CA1A43">
        <w:rPr>
          <w:rFonts w:eastAsia="標楷體" w:cstheme="minorHAnsi"/>
          <w:szCs w:val="24"/>
        </w:rPr>
        <w:t>分</w:t>
      </w:r>
      <w:proofErr w:type="gramStart"/>
      <w:r w:rsidRPr="00CA1A43">
        <w:rPr>
          <w:rFonts w:eastAsia="標楷體" w:cstheme="minorHAnsi"/>
          <w:szCs w:val="24"/>
        </w:rPr>
        <w:t>券</w:t>
      </w:r>
      <w:proofErr w:type="gramEnd"/>
      <w:r w:rsidRPr="00CA1A43">
        <w:rPr>
          <w:rFonts w:eastAsia="標楷體" w:cstheme="minorHAnsi"/>
          <w:szCs w:val="24"/>
        </w:rPr>
        <w:t>購買信用保護且</w:t>
      </w:r>
      <w:r w:rsidRPr="00CA1A43">
        <w:rPr>
          <w:rFonts w:eastAsia="標楷體" w:cstheme="minorHAnsi"/>
          <w:szCs w:val="24"/>
        </w:rPr>
        <w:t>(</w:t>
      </w:r>
      <w:r w:rsidRPr="00CA1A43">
        <w:rPr>
          <w:rFonts w:eastAsia="標楷體" w:cstheme="minorHAnsi"/>
          <w:szCs w:val="24"/>
        </w:rPr>
        <w:t>由於互抵規則</w:t>
      </w:r>
      <w:r w:rsidRPr="00CA1A43">
        <w:rPr>
          <w:rFonts w:eastAsia="標楷體" w:cstheme="minorHAnsi"/>
          <w:szCs w:val="24"/>
        </w:rPr>
        <w:t>)</w:t>
      </w:r>
      <w:r w:rsidRPr="00CA1A43">
        <w:rPr>
          <w:rFonts w:eastAsia="標楷體" w:cstheme="minorHAnsi"/>
          <w:szCs w:val="24"/>
        </w:rPr>
        <w:t>銀行被視為</w:t>
      </w:r>
      <w:proofErr w:type="gramStart"/>
      <w:r w:rsidRPr="00CA1A43">
        <w:rPr>
          <w:rFonts w:eastAsia="標楷體" w:cstheme="minorHAnsi"/>
          <w:szCs w:val="24"/>
        </w:rPr>
        <w:t>持有淨短部位</w:t>
      </w:r>
      <w:proofErr w:type="gramEnd"/>
      <w:r w:rsidRPr="00CA1A43">
        <w:rPr>
          <w:rFonts w:eastAsia="標楷體" w:cstheme="minorHAnsi"/>
          <w:szCs w:val="24"/>
        </w:rPr>
        <w:t>時，</w:t>
      </w:r>
      <w:proofErr w:type="gramStart"/>
      <w:r w:rsidRPr="00CA1A43">
        <w:rPr>
          <w:rFonts w:eastAsia="標楷體" w:cstheme="minorHAnsi"/>
          <w:szCs w:val="24"/>
        </w:rPr>
        <w:t>此淨短</w:t>
      </w:r>
      <w:proofErr w:type="gramEnd"/>
      <w:r w:rsidRPr="00CA1A43">
        <w:rPr>
          <w:rFonts w:eastAsia="標楷體" w:cstheme="minorHAnsi"/>
          <w:szCs w:val="24"/>
        </w:rPr>
        <w:t>部位在簡易標準法下的資本要求時常由最大潛在損失所決定。</w:t>
      </w:r>
      <w:proofErr w:type="gramStart"/>
      <w:r w:rsidRPr="00CA1A43">
        <w:rPr>
          <w:rFonts w:eastAsia="標楷體" w:cstheme="minorHAnsi"/>
          <w:szCs w:val="24"/>
        </w:rPr>
        <w:t>當標的</w:t>
      </w:r>
      <w:proofErr w:type="gramEnd"/>
      <w:r w:rsidRPr="00CA1A43">
        <w:rPr>
          <w:rFonts w:eastAsia="標楷體" w:cstheme="minorHAnsi"/>
          <w:szCs w:val="24"/>
        </w:rPr>
        <w:t>ABS</w:t>
      </w:r>
      <w:r w:rsidRPr="00CA1A43">
        <w:rPr>
          <w:rFonts w:eastAsia="標楷體" w:cstheme="minorHAnsi"/>
          <w:szCs w:val="24"/>
        </w:rPr>
        <w:t>分</w:t>
      </w:r>
      <w:proofErr w:type="gramStart"/>
      <w:r w:rsidRPr="00CA1A43">
        <w:rPr>
          <w:rFonts w:eastAsia="標楷體" w:cstheme="minorHAnsi"/>
          <w:szCs w:val="24"/>
        </w:rPr>
        <w:t>券</w:t>
      </w:r>
      <w:proofErr w:type="gramEnd"/>
      <w:r w:rsidRPr="00CA1A43">
        <w:rPr>
          <w:rFonts w:eastAsia="標楷體" w:cstheme="minorHAnsi"/>
          <w:szCs w:val="24"/>
        </w:rPr>
        <w:t>被嚴重降評及價值減損時更是如此。銀行尤其要</w:t>
      </w:r>
      <w:proofErr w:type="gramStart"/>
      <w:r w:rsidRPr="00CA1A43">
        <w:rPr>
          <w:rFonts w:eastAsia="標楷體" w:cstheme="minorHAnsi"/>
          <w:szCs w:val="24"/>
        </w:rPr>
        <w:t>注意若標的</w:t>
      </w:r>
      <w:proofErr w:type="gramEnd"/>
      <w:r w:rsidRPr="00CA1A43">
        <w:rPr>
          <w:rFonts w:eastAsia="標楷體" w:cstheme="minorHAnsi"/>
          <w:szCs w:val="24"/>
        </w:rPr>
        <w:t>ABS</w:t>
      </w:r>
      <w:r w:rsidRPr="00CA1A43">
        <w:rPr>
          <w:rFonts w:eastAsia="標楷體" w:cstheme="minorHAnsi"/>
          <w:szCs w:val="24"/>
        </w:rPr>
        <w:t>持續惡化，整體資本要求將會逐步增加且主要</w:t>
      </w:r>
      <w:proofErr w:type="gramStart"/>
      <w:r w:rsidRPr="00CA1A43">
        <w:rPr>
          <w:rFonts w:eastAsia="標楷體" w:cstheme="minorHAnsi"/>
          <w:szCs w:val="24"/>
        </w:rPr>
        <w:t>來自於避險</w:t>
      </w:r>
      <w:proofErr w:type="gramEnd"/>
      <w:r w:rsidRPr="00CA1A43">
        <w:rPr>
          <w:rFonts w:eastAsia="標楷體" w:cstheme="minorHAnsi"/>
          <w:szCs w:val="24"/>
        </w:rPr>
        <w:t>部位之短部位。</w:t>
      </w:r>
      <w:r w:rsidRPr="00CA1A43">
        <w:rPr>
          <w:rFonts w:eastAsia="標楷體" w:cstheme="minorHAnsi"/>
          <w:szCs w:val="24"/>
        </w:rPr>
        <w:br/>
      </w:r>
      <w:r w:rsidRPr="00CA1A43">
        <w:rPr>
          <w:rFonts w:eastAsia="標楷體" w:cstheme="minorHAnsi"/>
          <w:szCs w:val="24"/>
        </w:rPr>
        <w:t>下列的範例</w:t>
      </w:r>
      <w:r w:rsidRPr="00CA1A43">
        <w:rPr>
          <w:rFonts w:eastAsia="標楷體" w:cstheme="minorHAnsi"/>
          <w:szCs w:val="24"/>
        </w:rPr>
        <w:t>(</w:t>
      </w:r>
      <w:r w:rsidRPr="00CA1A43">
        <w:rPr>
          <w:rFonts w:eastAsia="標楷體" w:cstheme="minorHAnsi"/>
          <w:szCs w:val="24"/>
        </w:rPr>
        <w:t>無</w:t>
      </w:r>
      <w:proofErr w:type="gramStart"/>
      <w:r w:rsidRPr="00CA1A43">
        <w:rPr>
          <w:rFonts w:eastAsia="標楷體" w:cstheme="minorHAnsi"/>
          <w:szCs w:val="24"/>
        </w:rPr>
        <w:t>互抵及有</w:t>
      </w:r>
      <w:proofErr w:type="gramEnd"/>
      <w:r w:rsidRPr="00CA1A43">
        <w:rPr>
          <w:rFonts w:eastAsia="標楷體" w:cstheme="minorHAnsi"/>
          <w:szCs w:val="24"/>
        </w:rPr>
        <w:t>互抵</w:t>
      </w:r>
      <w:r w:rsidRPr="00CA1A43">
        <w:rPr>
          <w:rFonts w:eastAsia="標楷體" w:cstheme="minorHAnsi"/>
          <w:szCs w:val="24"/>
        </w:rPr>
        <w:t>)</w:t>
      </w:r>
      <w:r w:rsidRPr="00CA1A43">
        <w:rPr>
          <w:rFonts w:eastAsia="標楷體" w:cstheme="minorHAnsi"/>
          <w:szCs w:val="24"/>
        </w:rPr>
        <w:t>說明最大損失原則如何應用。</w:t>
      </w:r>
      <w:r w:rsidRPr="00CA1A43">
        <w:rPr>
          <w:rFonts w:eastAsia="標楷體" w:cstheme="minorHAnsi"/>
          <w:szCs w:val="24"/>
        </w:rPr>
        <w:br/>
      </w:r>
      <w:r w:rsidRPr="00CA1A43">
        <w:rPr>
          <w:rFonts w:eastAsia="標楷體" w:cstheme="minorHAnsi"/>
          <w:szCs w:val="24"/>
        </w:rPr>
        <w:t>無互抵的最大損失：</w:t>
      </w:r>
      <w:r w:rsidRPr="00CA1A43">
        <w:rPr>
          <w:rFonts w:eastAsia="標楷體" w:cstheme="minorHAnsi"/>
          <w:szCs w:val="24"/>
        </w:rPr>
        <w:br/>
      </w:r>
      <w:r w:rsidRPr="00CA1A43">
        <w:rPr>
          <w:rFonts w:eastAsia="標楷體" w:cstheme="minorHAnsi"/>
          <w:szCs w:val="24"/>
        </w:rPr>
        <w:t>假設銀行持有類似但不同標的資產之</w:t>
      </w:r>
      <w:proofErr w:type="gramStart"/>
      <w:r w:rsidRPr="00CA1A43">
        <w:rPr>
          <w:rFonts w:eastAsia="標楷體" w:cstheme="minorHAnsi"/>
          <w:szCs w:val="24"/>
        </w:rPr>
        <w:t>淨長與淨短</w:t>
      </w:r>
      <w:proofErr w:type="gramEnd"/>
      <w:r w:rsidRPr="00CA1A43">
        <w:rPr>
          <w:rFonts w:eastAsia="標楷體" w:cstheme="minorHAnsi"/>
          <w:szCs w:val="24"/>
        </w:rPr>
        <w:t>部位。換句話說，銀行對一檔</w:t>
      </w:r>
      <w:r w:rsidRPr="00CA1A43">
        <w:rPr>
          <w:rFonts w:eastAsia="標楷體" w:cstheme="minorHAnsi"/>
          <w:szCs w:val="24"/>
        </w:rPr>
        <w:t xml:space="preserve"> A</w:t>
      </w:r>
      <w:r w:rsidRPr="00CA1A43">
        <w:rPr>
          <w:rFonts w:eastAsia="標楷體" w:cstheme="minorHAnsi"/>
          <w:szCs w:val="24"/>
        </w:rPr>
        <w:t>評等</w:t>
      </w:r>
      <w:r w:rsidRPr="00CA1A43">
        <w:rPr>
          <w:rFonts w:eastAsia="標楷體" w:cstheme="minorHAnsi"/>
        </w:rPr>
        <w:t>中間順位</w:t>
      </w:r>
      <w:r w:rsidRPr="00CA1A43">
        <w:rPr>
          <w:rFonts w:eastAsia="標楷體" w:cstheme="minorHAnsi"/>
          <w:szCs w:val="24"/>
        </w:rPr>
        <w:t>住宅抵押擔保證券</w:t>
      </w:r>
      <w:r w:rsidRPr="00CA1A43">
        <w:rPr>
          <w:rFonts w:eastAsia="標楷體" w:cstheme="minorHAnsi"/>
          <w:szCs w:val="24"/>
        </w:rPr>
        <w:t>(RMBS)</w:t>
      </w:r>
      <w:r w:rsidRPr="00CA1A43">
        <w:rPr>
          <w:rFonts w:eastAsia="標楷體" w:cstheme="minorHAnsi"/>
          <w:szCs w:val="24"/>
        </w:rPr>
        <w:t>分</w:t>
      </w:r>
      <w:proofErr w:type="gramStart"/>
      <w:r w:rsidRPr="00CA1A43">
        <w:rPr>
          <w:rFonts w:eastAsia="標楷體" w:cstheme="minorHAnsi"/>
          <w:szCs w:val="24"/>
        </w:rPr>
        <w:t>券</w:t>
      </w:r>
      <w:proofErr w:type="gramEnd"/>
      <w:r w:rsidRPr="00CA1A43">
        <w:rPr>
          <w:rFonts w:eastAsia="標楷體" w:cstheme="minorHAnsi"/>
          <w:szCs w:val="24"/>
        </w:rPr>
        <w:t>(</w:t>
      </w:r>
      <w:r w:rsidRPr="00CA1A43">
        <w:rPr>
          <w:rFonts w:eastAsia="標楷體" w:cstheme="minorHAnsi"/>
          <w:szCs w:val="24"/>
        </w:rPr>
        <w:t>名目本金</w:t>
      </w:r>
      <w:r w:rsidRPr="00CA1A43">
        <w:rPr>
          <w:rFonts w:eastAsia="標楷體" w:cstheme="minorHAnsi"/>
          <w:szCs w:val="24"/>
        </w:rPr>
        <w:t>=USD 100)</w:t>
      </w:r>
      <w:r w:rsidRPr="00CA1A43">
        <w:rPr>
          <w:rFonts w:eastAsia="標楷體" w:cstheme="minorHAnsi"/>
          <w:szCs w:val="24"/>
        </w:rPr>
        <w:t>，以一檔類似但非同一檔</w:t>
      </w:r>
      <w:r w:rsidRPr="00CA1A43">
        <w:rPr>
          <w:rFonts w:eastAsia="標楷體" w:cstheme="minorHAnsi"/>
          <w:szCs w:val="24"/>
        </w:rPr>
        <w:t>A</w:t>
      </w:r>
      <w:r w:rsidRPr="00CA1A43">
        <w:rPr>
          <w:rFonts w:eastAsia="標楷體" w:cstheme="minorHAnsi"/>
          <w:szCs w:val="24"/>
        </w:rPr>
        <w:t>評等</w:t>
      </w:r>
      <w:r w:rsidRPr="00CA1A43">
        <w:rPr>
          <w:rFonts w:eastAsia="標楷體" w:cstheme="minorHAnsi"/>
        </w:rPr>
        <w:t>中間順位</w:t>
      </w:r>
      <w:r w:rsidRPr="00CA1A43">
        <w:rPr>
          <w:rFonts w:eastAsia="標楷體" w:cstheme="minorHAnsi"/>
          <w:szCs w:val="24"/>
        </w:rPr>
        <w:t>RMBS(</w:t>
      </w:r>
      <w:r w:rsidRPr="00CA1A43">
        <w:rPr>
          <w:rFonts w:eastAsia="標楷體" w:cstheme="minorHAnsi"/>
          <w:szCs w:val="24"/>
        </w:rPr>
        <w:t>名目本金亦為</w:t>
      </w:r>
      <w:r w:rsidRPr="00CA1A43">
        <w:rPr>
          <w:rFonts w:eastAsia="標楷體" w:cstheme="minorHAnsi"/>
          <w:szCs w:val="24"/>
        </w:rPr>
        <w:t>USD 100)</w:t>
      </w:r>
      <w:r w:rsidRPr="00CA1A43">
        <w:rPr>
          <w:rFonts w:eastAsia="標楷體" w:cstheme="minorHAnsi"/>
          <w:szCs w:val="24"/>
        </w:rPr>
        <w:t>標的之信用違約交換</w:t>
      </w:r>
      <w:r w:rsidRPr="00CA1A43">
        <w:rPr>
          <w:rFonts w:eastAsia="標楷體" w:cstheme="minorHAnsi"/>
          <w:szCs w:val="24"/>
        </w:rPr>
        <w:t>(CDS)</w:t>
      </w:r>
      <w:r w:rsidRPr="00CA1A43">
        <w:rPr>
          <w:rFonts w:eastAsia="標楷體" w:cstheme="minorHAnsi"/>
          <w:szCs w:val="24"/>
        </w:rPr>
        <w:t>進行避險。</w:t>
      </w:r>
      <w:r w:rsidRPr="00CA1A43">
        <w:rPr>
          <w:rFonts w:eastAsia="標楷體" w:cstheme="minorHAnsi"/>
          <w:szCs w:val="24"/>
        </w:rPr>
        <w:br/>
      </w:r>
      <w:r w:rsidRPr="00CA1A43">
        <w:rPr>
          <w:rFonts w:eastAsia="標楷體" w:cstheme="minorHAnsi"/>
          <w:szCs w:val="24"/>
        </w:rPr>
        <w:t>假設銀行持有此檔</w:t>
      </w:r>
      <w:r w:rsidRPr="00CA1A43">
        <w:rPr>
          <w:rFonts w:eastAsia="標楷體" w:cstheme="minorHAnsi"/>
          <w:szCs w:val="24"/>
        </w:rPr>
        <w:t>RMBS</w:t>
      </w:r>
      <w:r w:rsidRPr="00CA1A43">
        <w:rPr>
          <w:rFonts w:eastAsia="標楷體" w:cstheme="minorHAnsi"/>
          <w:szCs w:val="24"/>
        </w:rPr>
        <w:t>分</w:t>
      </w:r>
      <w:proofErr w:type="gramStart"/>
      <w:r w:rsidRPr="00CA1A43">
        <w:rPr>
          <w:rFonts w:eastAsia="標楷體" w:cstheme="minorHAnsi"/>
          <w:szCs w:val="24"/>
        </w:rPr>
        <w:t>券</w:t>
      </w:r>
      <w:proofErr w:type="gramEnd"/>
      <w:r w:rsidRPr="00CA1A43">
        <w:rPr>
          <w:rFonts w:eastAsia="標楷體" w:cstheme="minorHAnsi"/>
          <w:szCs w:val="24"/>
        </w:rPr>
        <w:t>現在被評等為</w:t>
      </w:r>
      <w:r w:rsidRPr="00CA1A43">
        <w:rPr>
          <w:rFonts w:eastAsia="標楷體" w:cstheme="minorHAnsi"/>
          <w:szCs w:val="24"/>
        </w:rPr>
        <w:t>C</w:t>
      </w:r>
      <w:r w:rsidRPr="00CA1A43">
        <w:rPr>
          <w:rFonts w:eastAsia="標楷體" w:cstheme="minorHAnsi"/>
          <w:szCs w:val="24"/>
        </w:rPr>
        <w:t>且價值</w:t>
      </w:r>
      <w:r w:rsidRPr="00CA1A43">
        <w:rPr>
          <w:rFonts w:eastAsia="標楷體" w:cstheme="minorHAnsi"/>
          <w:szCs w:val="24"/>
        </w:rPr>
        <w:t>USD15</w:t>
      </w:r>
      <w:r w:rsidRPr="00CA1A43">
        <w:rPr>
          <w:rFonts w:eastAsia="標楷體" w:cstheme="minorHAnsi"/>
          <w:szCs w:val="24"/>
        </w:rPr>
        <w:t>。同時假設標的為不同</w:t>
      </w:r>
      <w:r w:rsidRPr="00CA1A43">
        <w:rPr>
          <w:rFonts w:eastAsia="標楷體" w:cstheme="minorHAnsi"/>
          <w:szCs w:val="24"/>
        </w:rPr>
        <w:t>RMBS</w:t>
      </w:r>
      <w:r w:rsidRPr="00CA1A43">
        <w:rPr>
          <w:rFonts w:eastAsia="標楷體" w:cstheme="minorHAnsi"/>
          <w:szCs w:val="24"/>
        </w:rPr>
        <w:t>之</w:t>
      </w:r>
      <w:r w:rsidRPr="00CA1A43">
        <w:rPr>
          <w:rFonts w:eastAsia="標楷體" w:cstheme="minorHAnsi"/>
          <w:szCs w:val="24"/>
        </w:rPr>
        <w:t>CDS</w:t>
      </w:r>
      <w:r w:rsidRPr="00CA1A43">
        <w:rPr>
          <w:rFonts w:eastAsia="標楷體" w:cstheme="minorHAnsi"/>
          <w:szCs w:val="24"/>
        </w:rPr>
        <w:t>的目前價格為</w:t>
      </w:r>
      <w:r w:rsidRPr="00CA1A43">
        <w:rPr>
          <w:rFonts w:eastAsia="標楷體" w:cstheme="minorHAnsi"/>
          <w:szCs w:val="24"/>
        </w:rPr>
        <w:t>USD 80</w:t>
      </w:r>
      <w:r w:rsidRPr="00CA1A43">
        <w:rPr>
          <w:rFonts w:eastAsia="標楷體" w:cstheme="minorHAnsi"/>
          <w:szCs w:val="24"/>
        </w:rPr>
        <w:t>。再進一步假設此</w:t>
      </w:r>
      <w:r w:rsidRPr="00CA1A43">
        <w:rPr>
          <w:rFonts w:eastAsia="標楷體" w:cstheme="minorHAnsi"/>
          <w:szCs w:val="24"/>
        </w:rPr>
        <w:t>CDS</w:t>
      </w:r>
      <w:r w:rsidRPr="00CA1A43">
        <w:rPr>
          <w:rFonts w:eastAsia="標楷體" w:cstheme="minorHAnsi"/>
          <w:szCs w:val="24"/>
        </w:rPr>
        <w:t>之標的</w:t>
      </w:r>
      <w:r w:rsidRPr="00CA1A43">
        <w:rPr>
          <w:rFonts w:eastAsia="標楷體" w:cstheme="minorHAnsi"/>
          <w:szCs w:val="24"/>
        </w:rPr>
        <w:t>RMBS</w:t>
      </w:r>
      <w:r w:rsidRPr="00CA1A43">
        <w:rPr>
          <w:rFonts w:eastAsia="標楷體" w:cstheme="minorHAnsi"/>
          <w:szCs w:val="24"/>
        </w:rPr>
        <w:t>目前價格為</w:t>
      </w:r>
      <w:r w:rsidRPr="00CA1A43">
        <w:rPr>
          <w:rFonts w:eastAsia="標楷體" w:cstheme="minorHAnsi"/>
          <w:szCs w:val="24"/>
        </w:rPr>
        <w:t>USD20</w:t>
      </w:r>
      <w:proofErr w:type="gramStart"/>
      <w:r w:rsidRPr="00CA1A43">
        <w:rPr>
          <w:rFonts w:eastAsia="標楷體" w:cstheme="minorHAnsi"/>
          <w:szCs w:val="24"/>
        </w:rPr>
        <w:t>且評等</w:t>
      </w:r>
      <w:proofErr w:type="gramEnd"/>
      <w:r w:rsidRPr="00CA1A43">
        <w:rPr>
          <w:rFonts w:eastAsia="標楷體" w:cstheme="minorHAnsi"/>
          <w:szCs w:val="24"/>
        </w:rPr>
        <w:t>也為</w:t>
      </w:r>
      <w:r w:rsidRPr="00CA1A43">
        <w:rPr>
          <w:rFonts w:eastAsia="標楷體" w:cstheme="minorHAnsi"/>
          <w:szCs w:val="24"/>
        </w:rPr>
        <w:t>C</w:t>
      </w:r>
      <w:r w:rsidRPr="00CA1A43">
        <w:rPr>
          <w:rFonts w:eastAsia="標楷體" w:cstheme="minorHAnsi"/>
          <w:szCs w:val="24"/>
        </w:rPr>
        <w:t>。最後，</w:t>
      </w:r>
      <w:proofErr w:type="gramStart"/>
      <w:r w:rsidRPr="00CA1A43">
        <w:rPr>
          <w:rFonts w:eastAsia="標楷體" w:cstheme="minorHAnsi"/>
          <w:szCs w:val="24"/>
        </w:rPr>
        <w:t>假設若標的</w:t>
      </w:r>
      <w:proofErr w:type="gramEnd"/>
      <w:r w:rsidRPr="00CA1A43">
        <w:rPr>
          <w:rFonts w:eastAsia="標楷體" w:cstheme="minorHAnsi"/>
          <w:szCs w:val="24"/>
        </w:rPr>
        <w:t>RMBS</w:t>
      </w:r>
      <w:r w:rsidRPr="00CA1A43">
        <w:rPr>
          <w:rFonts w:eastAsia="標楷體" w:cstheme="minorHAnsi"/>
          <w:szCs w:val="24"/>
        </w:rPr>
        <w:t>分</w:t>
      </w:r>
      <w:proofErr w:type="gramStart"/>
      <w:r w:rsidRPr="00CA1A43">
        <w:rPr>
          <w:rFonts w:eastAsia="標楷體" w:cstheme="minorHAnsi"/>
          <w:szCs w:val="24"/>
        </w:rPr>
        <w:t>券</w:t>
      </w:r>
      <w:proofErr w:type="gramEnd"/>
      <w:r w:rsidRPr="00CA1A43">
        <w:rPr>
          <w:rFonts w:eastAsia="標楷體" w:cstheme="minorHAnsi"/>
          <w:szCs w:val="24"/>
        </w:rPr>
        <w:t>意外償還且變為無風險的情況下，</w:t>
      </w:r>
      <w:r w:rsidRPr="00CA1A43">
        <w:rPr>
          <w:rFonts w:eastAsia="標楷體" w:cstheme="minorHAnsi"/>
          <w:szCs w:val="24"/>
        </w:rPr>
        <w:t>CDS</w:t>
      </w:r>
      <w:r w:rsidRPr="00CA1A43">
        <w:rPr>
          <w:rFonts w:eastAsia="標楷體" w:cstheme="minorHAnsi"/>
          <w:szCs w:val="24"/>
        </w:rPr>
        <w:t>將價值</w:t>
      </w:r>
      <w:r w:rsidRPr="00CA1A43">
        <w:rPr>
          <w:rFonts w:eastAsia="標楷體" w:cstheme="minorHAnsi"/>
          <w:szCs w:val="24"/>
        </w:rPr>
        <w:t>USD -2</w:t>
      </w:r>
      <w:r w:rsidRPr="00CA1A43">
        <w:rPr>
          <w:rFonts w:eastAsia="標楷體" w:cstheme="minorHAnsi"/>
          <w:szCs w:val="24"/>
        </w:rPr>
        <w:t>。</w:t>
      </w:r>
      <w:r w:rsidRPr="00CA1A43">
        <w:rPr>
          <w:rFonts w:eastAsia="標楷體" w:cstheme="minorHAnsi"/>
          <w:szCs w:val="24"/>
        </w:rPr>
        <w:br/>
      </w:r>
      <w:r w:rsidRPr="00CA1A43">
        <w:rPr>
          <w:rFonts w:eastAsia="標楷體" w:cstheme="minorHAnsi"/>
          <w:szCs w:val="24"/>
        </w:rPr>
        <w:t>正確的處理方式如下：</w:t>
      </w:r>
      <w:r w:rsidRPr="00CA1A43">
        <w:rPr>
          <w:rFonts w:eastAsia="標楷體" w:cstheme="minorHAnsi"/>
          <w:szCs w:val="24"/>
        </w:rPr>
        <w:t>min(USD15, USD15)(</w:t>
      </w:r>
      <w:r w:rsidRPr="00CA1A43">
        <w:rPr>
          <w:rFonts w:eastAsia="標楷體" w:cstheme="minorHAnsi"/>
          <w:szCs w:val="24"/>
        </w:rPr>
        <w:t>長部位端</w:t>
      </w:r>
      <w:r w:rsidRPr="00CA1A43">
        <w:rPr>
          <w:rFonts w:eastAsia="標楷體" w:cstheme="minorHAnsi"/>
          <w:szCs w:val="24"/>
        </w:rPr>
        <w:t>) +min(USD 20, USD82)(</w:t>
      </w:r>
      <w:r w:rsidRPr="00CA1A43">
        <w:rPr>
          <w:rFonts w:eastAsia="標楷體" w:cstheme="minorHAnsi"/>
          <w:szCs w:val="24"/>
        </w:rPr>
        <w:t>短部位端</w:t>
      </w:r>
      <w:r w:rsidRPr="00CA1A43">
        <w:rPr>
          <w:rFonts w:eastAsia="標楷體" w:cstheme="minorHAnsi"/>
          <w:szCs w:val="24"/>
        </w:rPr>
        <w:t>)=USD 35</w:t>
      </w:r>
      <w:r w:rsidRPr="00CA1A43">
        <w:rPr>
          <w:rFonts w:eastAsia="標楷體" w:cstheme="minorHAnsi"/>
          <w:szCs w:val="24"/>
        </w:rPr>
        <w:t>。</w:t>
      </w:r>
      <w:r w:rsidRPr="00CA1A43">
        <w:rPr>
          <w:rFonts w:eastAsia="標楷體" w:cstheme="minorHAnsi"/>
          <w:szCs w:val="24"/>
        </w:rPr>
        <w:br/>
      </w:r>
      <w:r w:rsidRPr="00CA1A43">
        <w:rPr>
          <w:rFonts w:eastAsia="標楷體" w:cstheme="minorHAnsi"/>
          <w:szCs w:val="24"/>
        </w:rPr>
        <w:t>因為並未對相同標的資產進行避險，故在此例中</w:t>
      </w:r>
      <w:proofErr w:type="gramStart"/>
      <w:r w:rsidRPr="00CA1A43">
        <w:rPr>
          <w:rFonts w:eastAsia="標楷體" w:cstheme="minorHAnsi"/>
          <w:szCs w:val="24"/>
        </w:rPr>
        <w:t>互抵是不</w:t>
      </w:r>
      <w:proofErr w:type="gramEnd"/>
      <w:r w:rsidRPr="00CA1A43">
        <w:rPr>
          <w:rFonts w:eastAsia="標楷體" w:cstheme="minorHAnsi"/>
          <w:szCs w:val="24"/>
        </w:rPr>
        <w:t>被允許的。因此資本要求之計算是加總對長部位端與對短部位端的資本要求。最大損失原則將應用在各個別部位上。</w:t>
      </w:r>
      <w:r w:rsidRPr="00CA1A43">
        <w:rPr>
          <w:rFonts w:eastAsia="標楷體" w:cstheme="minorHAnsi"/>
          <w:szCs w:val="24"/>
        </w:rPr>
        <w:br/>
      </w:r>
      <w:r w:rsidRPr="00CA1A43">
        <w:rPr>
          <w:rFonts w:eastAsia="標楷體" w:cstheme="minorHAnsi"/>
          <w:szCs w:val="24"/>
        </w:rPr>
        <w:t>請注意標的資產之市值已被用來決定</w:t>
      </w:r>
      <w:r w:rsidRPr="00CA1A43">
        <w:rPr>
          <w:rFonts w:eastAsia="標楷體" w:cstheme="minorHAnsi"/>
          <w:szCs w:val="24"/>
        </w:rPr>
        <w:t>CDS</w:t>
      </w:r>
      <w:proofErr w:type="gramStart"/>
      <w:r w:rsidRPr="00CA1A43">
        <w:rPr>
          <w:rFonts w:eastAsia="標楷體" w:cstheme="minorHAnsi"/>
          <w:szCs w:val="24"/>
        </w:rPr>
        <w:t>的暴險價值</w:t>
      </w:r>
      <w:proofErr w:type="gramEnd"/>
      <w:r w:rsidRPr="00CA1A43">
        <w:rPr>
          <w:rFonts w:eastAsia="標楷體" w:cstheme="minorHAnsi"/>
          <w:szCs w:val="24"/>
        </w:rPr>
        <w:t>。</w:t>
      </w:r>
      <w:r w:rsidRPr="00CA1A43">
        <w:rPr>
          <w:rFonts w:eastAsia="標楷體" w:cstheme="minorHAnsi"/>
          <w:szCs w:val="24"/>
        </w:rPr>
        <w:br/>
      </w:r>
      <w:proofErr w:type="gramStart"/>
      <w:r w:rsidRPr="00CA1A43">
        <w:rPr>
          <w:rFonts w:eastAsia="標楷體" w:cstheme="minorHAnsi"/>
          <w:szCs w:val="24"/>
        </w:rPr>
        <w:t>互抵下的</w:t>
      </w:r>
      <w:proofErr w:type="gramEnd"/>
      <w:r w:rsidRPr="00CA1A43">
        <w:rPr>
          <w:rFonts w:eastAsia="標楷體" w:cstheme="minorHAnsi"/>
          <w:szCs w:val="24"/>
        </w:rPr>
        <w:t>最大損失：</w:t>
      </w:r>
      <w:r w:rsidRPr="00CA1A43">
        <w:rPr>
          <w:rFonts w:eastAsia="標楷體" w:cstheme="minorHAnsi"/>
          <w:szCs w:val="24"/>
        </w:rPr>
        <w:br/>
      </w:r>
      <w:r w:rsidRPr="00CA1A43">
        <w:rPr>
          <w:rFonts w:eastAsia="標楷體" w:cstheme="minorHAnsi"/>
        </w:rPr>
        <w:t>假設銀行對一檔</w:t>
      </w:r>
      <w:r w:rsidRPr="00CA1A43">
        <w:rPr>
          <w:rFonts w:eastAsia="標楷體" w:cstheme="minorHAnsi"/>
        </w:rPr>
        <w:t>A</w:t>
      </w:r>
      <w:r w:rsidRPr="00CA1A43">
        <w:rPr>
          <w:rFonts w:eastAsia="標楷體" w:cstheme="minorHAnsi"/>
        </w:rPr>
        <w:t>評等中間順位</w:t>
      </w:r>
      <w:r w:rsidRPr="00CA1A43">
        <w:rPr>
          <w:rFonts w:eastAsia="標楷體" w:cstheme="minorHAnsi"/>
        </w:rPr>
        <w:t>RMBS</w:t>
      </w:r>
      <w:r w:rsidRPr="00CA1A43">
        <w:rPr>
          <w:rFonts w:eastAsia="標楷體" w:cstheme="minorHAnsi"/>
        </w:rPr>
        <w:t>分</w:t>
      </w:r>
      <w:proofErr w:type="gramStart"/>
      <w:r w:rsidRPr="00CA1A43">
        <w:rPr>
          <w:rFonts w:eastAsia="標楷體" w:cstheme="minorHAnsi"/>
        </w:rPr>
        <w:t>券</w:t>
      </w:r>
      <w:proofErr w:type="gramEnd"/>
      <w:r w:rsidRPr="00CA1A43">
        <w:rPr>
          <w:rFonts w:eastAsia="標楷體" w:cstheme="minorHAnsi"/>
        </w:rPr>
        <w:t>，以參考同一檔且名目本金</w:t>
      </w:r>
      <w:r w:rsidRPr="00CA1A43">
        <w:rPr>
          <w:rFonts w:eastAsia="標楷體" w:cstheme="minorHAnsi"/>
        </w:rPr>
        <w:t>USD100</w:t>
      </w:r>
      <w:r w:rsidRPr="00CA1A43">
        <w:rPr>
          <w:rFonts w:eastAsia="標楷體" w:cstheme="minorHAnsi"/>
        </w:rPr>
        <w:t>的</w:t>
      </w:r>
      <w:r w:rsidRPr="00CA1A43">
        <w:rPr>
          <w:rFonts w:eastAsia="標楷體" w:cstheme="minorHAnsi"/>
        </w:rPr>
        <w:t>RMBS</w:t>
      </w:r>
      <w:r w:rsidRPr="00CA1A43">
        <w:rPr>
          <w:rFonts w:eastAsia="標楷體" w:cstheme="minorHAnsi"/>
        </w:rPr>
        <w:t>標的之</w:t>
      </w:r>
      <w:r w:rsidRPr="00CA1A43">
        <w:rPr>
          <w:rFonts w:eastAsia="標楷體" w:cstheme="minorHAnsi"/>
        </w:rPr>
        <w:t>CDS</w:t>
      </w:r>
      <w:r w:rsidRPr="00CA1A43">
        <w:rPr>
          <w:rFonts w:eastAsia="標楷體" w:cstheme="minorHAnsi"/>
        </w:rPr>
        <w:t>進行避險。</w:t>
      </w:r>
      <w:r w:rsidRPr="00CA1A43">
        <w:rPr>
          <w:rFonts w:eastAsia="標楷體" w:cstheme="minorHAnsi"/>
        </w:rPr>
        <w:br/>
      </w:r>
      <w:r w:rsidRPr="00CA1A43">
        <w:rPr>
          <w:rFonts w:eastAsia="標楷體" w:cstheme="minorHAnsi"/>
          <w:szCs w:val="24"/>
        </w:rPr>
        <w:t>假設</w:t>
      </w:r>
      <w:r w:rsidRPr="00CA1A43">
        <w:rPr>
          <w:rFonts w:eastAsia="標楷體" w:cstheme="minorHAnsi"/>
          <w:szCs w:val="24"/>
        </w:rPr>
        <w:t>RMBS</w:t>
      </w:r>
      <w:r w:rsidRPr="00CA1A43">
        <w:rPr>
          <w:rFonts w:eastAsia="標楷體" w:cstheme="minorHAnsi"/>
          <w:szCs w:val="24"/>
        </w:rPr>
        <w:t>分</w:t>
      </w:r>
      <w:proofErr w:type="gramStart"/>
      <w:r w:rsidRPr="00CA1A43">
        <w:rPr>
          <w:rFonts w:eastAsia="標楷體" w:cstheme="minorHAnsi"/>
          <w:szCs w:val="24"/>
        </w:rPr>
        <w:t>券</w:t>
      </w:r>
      <w:proofErr w:type="gramEnd"/>
      <w:r w:rsidRPr="00CA1A43">
        <w:rPr>
          <w:rFonts w:eastAsia="標楷體" w:cstheme="minorHAnsi"/>
          <w:szCs w:val="24"/>
        </w:rPr>
        <w:t>目前評等為</w:t>
      </w:r>
      <w:r w:rsidRPr="00CA1A43">
        <w:rPr>
          <w:rFonts w:eastAsia="標楷體" w:cstheme="minorHAnsi"/>
          <w:szCs w:val="24"/>
        </w:rPr>
        <w:t>C</w:t>
      </w:r>
      <w:r w:rsidRPr="00CA1A43">
        <w:rPr>
          <w:rFonts w:eastAsia="標楷體" w:cstheme="minorHAnsi"/>
          <w:szCs w:val="24"/>
        </w:rPr>
        <w:t>且其價值</w:t>
      </w:r>
      <w:r w:rsidRPr="00CA1A43">
        <w:rPr>
          <w:rFonts w:eastAsia="標楷體" w:cstheme="minorHAnsi"/>
          <w:szCs w:val="24"/>
        </w:rPr>
        <w:t>USD15</w:t>
      </w:r>
      <w:r w:rsidRPr="00CA1A43">
        <w:rPr>
          <w:rFonts w:eastAsia="標楷體" w:cstheme="minorHAnsi"/>
          <w:szCs w:val="24"/>
        </w:rPr>
        <w:t>，同時</w:t>
      </w:r>
      <w:r w:rsidRPr="00CA1A43">
        <w:rPr>
          <w:rFonts w:eastAsia="標楷體" w:cstheme="minorHAnsi"/>
          <w:szCs w:val="24"/>
        </w:rPr>
        <w:t>CDS</w:t>
      </w:r>
      <w:r w:rsidRPr="00CA1A43">
        <w:rPr>
          <w:rFonts w:eastAsia="標楷體" w:cstheme="minorHAnsi"/>
          <w:szCs w:val="24"/>
        </w:rPr>
        <w:t>目前的價值為</w:t>
      </w:r>
      <w:r w:rsidRPr="00CA1A43">
        <w:rPr>
          <w:rFonts w:eastAsia="標楷體" w:cstheme="minorHAnsi"/>
          <w:szCs w:val="24"/>
        </w:rPr>
        <w:t>USD85</w:t>
      </w:r>
      <w:r w:rsidRPr="00CA1A43">
        <w:rPr>
          <w:rFonts w:eastAsia="標楷體" w:cstheme="minorHAnsi"/>
          <w:szCs w:val="24"/>
        </w:rPr>
        <w:t>。假設若</w:t>
      </w:r>
      <w:r w:rsidRPr="00CA1A43">
        <w:rPr>
          <w:rFonts w:eastAsia="標楷體" w:cstheme="minorHAnsi"/>
          <w:szCs w:val="24"/>
        </w:rPr>
        <w:t>RMBS</w:t>
      </w:r>
      <w:r w:rsidRPr="00CA1A43">
        <w:rPr>
          <w:rFonts w:eastAsia="標楷體" w:cstheme="minorHAnsi"/>
          <w:szCs w:val="24"/>
        </w:rPr>
        <w:t>分</w:t>
      </w:r>
      <w:proofErr w:type="gramStart"/>
      <w:r w:rsidRPr="00CA1A43">
        <w:rPr>
          <w:rFonts w:eastAsia="標楷體" w:cstheme="minorHAnsi"/>
          <w:szCs w:val="24"/>
        </w:rPr>
        <w:t>券</w:t>
      </w:r>
      <w:proofErr w:type="gramEnd"/>
      <w:r w:rsidRPr="00CA1A43">
        <w:rPr>
          <w:rFonts w:eastAsia="標楷體" w:cstheme="minorHAnsi"/>
          <w:szCs w:val="24"/>
        </w:rPr>
        <w:t>意外復原且變為無風險的情況下，</w:t>
      </w:r>
      <w:r w:rsidRPr="00CA1A43">
        <w:rPr>
          <w:rFonts w:eastAsia="標楷體" w:cstheme="minorHAnsi"/>
          <w:szCs w:val="24"/>
        </w:rPr>
        <w:t>CDS</w:t>
      </w:r>
      <w:r w:rsidRPr="00CA1A43">
        <w:rPr>
          <w:rFonts w:eastAsia="標楷體" w:cstheme="minorHAnsi"/>
          <w:szCs w:val="24"/>
        </w:rPr>
        <w:t>將價值</w:t>
      </w:r>
      <w:r w:rsidRPr="00CA1A43">
        <w:rPr>
          <w:rFonts w:eastAsia="標楷體" w:cstheme="minorHAnsi"/>
          <w:szCs w:val="24"/>
        </w:rPr>
        <w:t>USD -2</w:t>
      </w:r>
      <w:r w:rsidRPr="00CA1A43">
        <w:rPr>
          <w:rFonts w:eastAsia="標楷體" w:cstheme="minorHAnsi"/>
          <w:szCs w:val="24"/>
        </w:rPr>
        <w:t>。</w:t>
      </w:r>
      <w:r w:rsidRPr="00CA1A43">
        <w:rPr>
          <w:rFonts w:eastAsia="標楷體" w:cstheme="minorHAnsi"/>
          <w:szCs w:val="24"/>
        </w:rPr>
        <w:br/>
      </w:r>
      <w:r w:rsidRPr="00CA1A43">
        <w:rPr>
          <w:rFonts w:eastAsia="標楷體" w:cstheme="minorHAnsi"/>
          <w:szCs w:val="24"/>
        </w:rPr>
        <w:t>在此例中，若</w:t>
      </w:r>
      <w:r w:rsidRPr="00CA1A43">
        <w:rPr>
          <w:rFonts w:eastAsia="標楷體" w:cstheme="minorHAnsi"/>
          <w:szCs w:val="24"/>
        </w:rPr>
        <w:t>CDS</w:t>
      </w:r>
      <w:r w:rsidRPr="00CA1A43">
        <w:rPr>
          <w:rFonts w:eastAsia="標楷體" w:cstheme="minorHAnsi"/>
          <w:szCs w:val="24"/>
        </w:rPr>
        <w:t>天期與</w:t>
      </w:r>
      <w:r w:rsidRPr="00CA1A43">
        <w:rPr>
          <w:rFonts w:eastAsia="標楷體" w:cstheme="minorHAnsi"/>
          <w:szCs w:val="24"/>
        </w:rPr>
        <w:t>RMBS</w:t>
      </w:r>
      <w:r w:rsidRPr="00CA1A43">
        <w:rPr>
          <w:rFonts w:eastAsia="標楷體" w:cstheme="minorHAnsi"/>
          <w:szCs w:val="24"/>
        </w:rPr>
        <w:t>完全匹配，則</w:t>
      </w:r>
      <w:proofErr w:type="gramStart"/>
      <w:r w:rsidRPr="00CA1A43">
        <w:rPr>
          <w:rFonts w:eastAsia="標楷體" w:cstheme="minorHAnsi"/>
          <w:szCs w:val="24"/>
        </w:rPr>
        <w:t>互抵可被</w:t>
      </w:r>
      <w:proofErr w:type="gramEnd"/>
      <w:r w:rsidRPr="00CA1A43">
        <w:rPr>
          <w:rFonts w:eastAsia="標楷體" w:cstheme="minorHAnsi"/>
          <w:szCs w:val="24"/>
        </w:rPr>
        <w:t>適用。</w:t>
      </w:r>
      <w:r w:rsidRPr="00CA1A43">
        <w:rPr>
          <w:rFonts w:eastAsia="標楷體" w:cstheme="minorHAnsi"/>
          <w:szCs w:val="24"/>
        </w:rPr>
        <w:br/>
      </w:r>
      <w:r w:rsidRPr="00CA1A43">
        <w:rPr>
          <w:rFonts w:eastAsia="標楷體" w:cstheme="minorHAnsi"/>
          <w:szCs w:val="24"/>
        </w:rPr>
        <w:t>若天期不匹配</w:t>
      </w:r>
      <w:r w:rsidRPr="00CA1A43">
        <w:rPr>
          <w:rFonts w:eastAsia="標楷體" w:cstheme="minorHAnsi"/>
          <w:szCs w:val="24"/>
        </w:rPr>
        <w:t>(</w:t>
      </w:r>
      <w:r w:rsidRPr="00CA1A43">
        <w:rPr>
          <w:rFonts w:eastAsia="標楷體" w:cstheme="minorHAnsi"/>
          <w:szCs w:val="24"/>
        </w:rPr>
        <w:t>即</w:t>
      </w:r>
      <w:proofErr w:type="gramStart"/>
      <w:r w:rsidRPr="00CA1A43">
        <w:rPr>
          <w:rFonts w:eastAsia="標楷體" w:cstheme="minorHAnsi"/>
          <w:szCs w:val="24"/>
        </w:rPr>
        <w:t>期間錯配</w:t>
      </w:r>
      <w:proofErr w:type="gramEnd"/>
      <w:r w:rsidRPr="00CA1A43">
        <w:rPr>
          <w:rFonts w:eastAsia="標楷體" w:cstheme="minorHAnsi"/>
          <w:szCs w:val="24"/>
        </w:rPr>
        <w:t>)</w:t>
      </w:r>
      <w:r w:rsidRPr="00CA1A43">
        <w:rPr>
          <w:rFonts w:eastAsia="標楷體" w:cstheme="minorHAnsi"/>
          <w:szCs w:val="24"/>
        </w:rPr>
        <w:t>，資本要求應等於</w:t>
      </w:r>
      <w:r w:rsidRPr="00CA1A43">
        <w:rPr>
          <w:rFonts w:eastAsia="標楷體" w:cstheme="minorHAnsi"/>
          <w:szCs w:val="24"/>
        </w:rPr>
        <w:t xml:space="preserve"> max{min(USD 15, USD 15), min(USD 15, USD 87)} = USD 15</w:t>
      </w:r>
      <w:r w:rsidRPr="00CA1A43">
        <w:rPr>
          <w:rFonts w:eastAsia="標楷體" w:cstheme="minorHAnsi"/>
          <w:szCs w:val="24"/>
        </w:rPr>
        <w:t>。</w:t>
      </w:r>
      <w:r w:rsidRPr="00CA1A43">
        <w:rPr>
          <w:rFonts w:eastAsia="標楷體" w:cstheme="minorHAnsi"/>
          <w:szCs w:val="24"/>
        </w:rPr>
        <w:br/>
      </w:r>
      <w:r w:rsidRPr="00CA1A43">
        <w:rPr>
          <w:rFonts w:eastAsia="標楷體" w:cstheme="minorHAnsi"/>
          <w:szCs w:val="24"/>
        </w:rPr>
        <w:t>另最大損失原則無法適用在投資組合為基礎之計算。</w:t>
      </w:r>
    </w:p>
    <w:p w14:paraId="2E536B82" w14:textId="77777777" w:rsidR="00A07D6B" w:rsidRPr="00CA1A43" w:rsidRDefault="00A07D6B" w:rsidP="00A07D6B">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避險部位之個別風險資本計提規定</w:t>
      </w:r>
    </w:p>
    <w:p w14:paraId="51501412" w14:textId="77777777" w:rsidR="00A07D6B" w:rsidRPr="00CA1A43" w:rsidRDefault="00A07D6B" w:rsidP="0018781A">
      <w:pPr>
        <w:pStyle w:val="a7"/>
        <w:numPr>
          <w:ilvl w:val="0"/>
          <w:numId w:val="190"/>
        </w:numPr>
        <w:spacing w:beforeLines="50" w:before="180"/>
        <w:ind w:leftChars="0" w:left="1446" w:hanging="482"/>
        <w:jc w:val="both"/>
        <w:rPr>
          <w:rFonts w:eastAsia="標楷體" w:cstheme="minorHAnsi"/>
          <w:szCs w:val="24"/>
        </w:rPr>
      </w:pPr>
      <w:r w:rsidRPr="00CA1A43">
        <w:rPr>
          <w:rFonts w:eastAsia="標楷體" w:cstheme="minorHAnsi"/>
          <w:szCs w:val="24"/>
        </w:rPr>
        <w:lastRenderedPageBreak/>
        <w:t>如果兩筆交易</w:t>
      </w:r>
      <w:r w:rsidRPr="00CA1A43">
        <w:rPr>
          <w:rFonts w:eastAsia="標楷體" w:cstheme="minorHAnsi"/>
          <w:szCs w:val="24"/>
        </w:rPr>
        <w:t>(</w:t>
      </w:r>
      <w:r w:rsidRPr="00CA1A43">
        <w:rPr>
          <w:rFonts w:eastAsia="標楷體" w:cstheme="minorHAnsi"/>
          <w:szCs w:val="24"/>
        </w:rPr>
        <w:t>長</w:t>
      </w:r>
      <w:proofErr w:type="gramStart"/>
      <w:r w:rsidRPr="00CA1A43">
        <w:rPr>
          <w:rFonts w:eastAsia="標楷體" w:cstheme="minorHAnsi"/>
          <w:szCs w:val="24"/>
        </w:rPr>
        <w:t>部位和短部位</w:t>
      </w:r>
      <w:proofErr w:type="gramEnd"/>
      <w:r w:rsidRPr="00CA1A43">
        <w:rPr>
          <w:rFonts w:eastAsia="標楷體" w:cstheme="minorHAnsi"/>
          <w:szCs w:val="24"/>
        </w:rPr>
        <w:t>)</w:t>
      </w:r>
      <w:r w:rsidRPr="00CA1A43">
        <w:rPr>
          <w:rFonts w:eastAsia="標楷體" w:cstheme="minorHAnsi"/>
          <w:szCs w:val="24"/>
        </w:rPr>
        <w:t>的價值變化方向相反，且部位內容相等，若符合以下情況，長</w:t>
      </w:r>
      <w:r w:rsidRPr="00CA1A43">
        <w:rPr>
          <w:rFonts w:eastAsia="標楷體" w:cstheme="minorHAnsi"/>
          <w:szCs w:val="24"/>
        </w:rPr>
        <w:t>/</w:t>
      </w:r>
      <w:r w:rsidRPr="00CA1A43">
        <w:rPr>
          <w:rFonts w:eastAsia="標楷體" w:cstheme="minorHAnsi"/>
          <w:szCs w:val="24"/>
        </w:rPr>
        <w:t>短</w:t>
      </w:r>
      <w:proofErr w:type="gramStart"/>
      <w:r w:rsidRPr="00CA1A43">
        <w:rPr>
          <w:rFonts w:eastAsia="標楷體" w:cstheme="minorHAnsi"/>
          <w:szCs w:val="24"/>
        </w:rPr>
        <w:t>部位均不需</w:t>
      </w:r>
      <w:proofErr w:type="gramEnd"/>
      <w:r w:rsidRPr="00CA1A43">
        <w:rPr>
          <w:rFonts w:eastAsia="標楷體" w:cstheme="minorHAnsi"/>
          <w:szCs w:val="24"/>
        </w:rPr>
        <w:t>計提個別風險資本：</w:t>
      </w:r>
    </w:p>
    <w:p w14:paraId="081ED913" w14:textId="6D7F5D50" w:rsidR="00A07D6B" w:rsidRPr="00CA1A43" w:rsidRDefault="00A07D6B" w:rsidP="0018781A">
      <w:pPr>
        <w:pStyle w:val="a7"/>
        <w:numPr>
          <w:ilvl w:val="0"/>
          <w:numId w:val="191"/>
        </w:numPr>
        <w:spacing w:beforeLines="50" w:before="180"/>
        <w:ind w:leftChars="0"/>
        <w:jc w:val="both"/>
        <w:rPr>
          <w:rFonts w:eastAsia="標楷體" w:cstheme="minorHAnsi"/>
          <w:szCs w:val="24"/>
        </w:rPr>
      </w:pPr>
      <w:r w:rsidRPr="00CA1A43">
        <w:rPr>
          <w:rFonts w:eastAsia="標楷體" w:cstheme="minorHAnsi"/>
          <w:szCs w:val="24"/>
        </w:rPr>
        <w:t>兩筆交易</w:t>
      </w:r>
      <w:r w:rsidRPr="00CA1A43">
        <w:rPr>
          <w:rFonts w:eastAsia="標楷體" w:cstheme="minorHAnsi"/>
          <w:szCs w:val="24"/>
        </w:rPr>
        <w:t>(</w:t>
      </w:r>
      <w:r w:rsidRPr="00CA1A43">
        <w:rPr>
          <w:rFonts w:eastAsia="標楷體" w:cstheme="minorHAnsi"/>
          <w:szCs w:val="24"/>
        </w:rPr>
        <w:t>長</w:t>
      </w:r>
      <w:proofErr w:type="gramStart"/>
      <w:r w:rsidRPr="00CA1A43">
        <w:rPr>
          <w:rFonts w:eastAsia="標楷體" w:cstheme="minorHAnsi"/>
          <w:szCs w:val="24"/>
        </w:rPr>
        <w:t>部位和短部位</w:t>
      </w:r>
      <w:proofErr w:type="gramEnd"/>
      <w:r w:rsidRPr="00CA1A43">
        <w:rPr>
          <w:rFonts w:eastAsia="標楷體" w:cstheme="minorHAnsi"/>
          <w:szCs w:val="24"/>
        </w:rPr>
        <w:t>)</w:t>
      </w:r>
      <w:r w:rsidRPr="00CA1A43">
        <w:rPr>
          <w:rFonts w:eastAsia="標楷體" w:cstheme="minorHAnsi"/>
          <w:szCs w:val="24"/>
        </w:rPr>
        <w:t>是完全一樣的</w:t>
      </w:r>
      <w:r w:rsidR="009653EE" w:rsidRPr="00050EA7">
        <w:rPr>
          <w:rFonts w:eastAsia="標楷體" w:cstheme="minorHAnsi"/>
          <w:szCs w:val="24"/>
        </w:rPr>
        <w:t>工具</w:t>
      </w:r>
      <w:r w:rsidRPr="00CA1A43">
        <w:rPr>
          <w:rFonts w:eastAsia="標楷體" w:cstheme="minorHAnsi"/>
          <w:szCs w:val="24"/>
        </w:rPr>
        <w:t>；或</w:t>
      </w:r>
    </w:p>
    <w:p w14:paraId="227A5BE9" w14:textId="77777777" w:rsidR="00A07D6B" w:rsidRPr="00CA1A43" w:rsidRDefault="00A07D6B" w:rsidP="0018781A">
      <w:pPr>
        <w:pStyle w:val="a7"/>
        <w:numPr>
          <w:ilvl w:val="0"/>
          <w:numId w:val="191"/>
        </w:numPr>
        <w:spacing w:beforeLines="50" w:before="180"/>
        <w:ind w:leftChars="0"/>
        <w:jc w:val="both"/>
        <w:rPr>
          <w:rFonts w:eastAsia="標楷體" w:cstheme="minorHAnsi"/>
          <w:szCs w:val="24"/>
        </w:rPr>
      </w:pPr>
      <w:r w:rsidRPr="00CA1A43">
        <w:rPr>
          <w:rFonts w:eastAsia="標楷體" w:cstheme="minorHAnsi"/>
          <w:szCs w:val="24"/>
        </w:rPr>
        <w:t>一個現貨長部位</w:t>
      </w:r>
      <w:r w:rsidRPr="00CA1A43">
        <w:rPr>
          <w:rFonts w:eastAsia="標楷體" w:cstheme="minorHAnsi"/>
          <w:szCs w:val="24"/>
        </w:rPr>
        <w:t>(</w:t>
      </w:r>
      <w:r w:rsidRPr="00CA1A43">
        <w:rPr>
          <w:rFonts w:eastAsia="標楷體" w:cstheme="minorHAnsi"/>
          <w:szCs w:val="24"/>
        </w:rPr>
        <w:t>或信用衍生性金融商品</w:t>
      </w:r>
      <w:r w:rsidRPr="00CA1A43">
        <w:rPr>
          <w:rFonts w:eastAsia="標楷體" w:cstheme="minorHAnsi"/>
          <w:szCs w:val="24"/>
        </w:rPr>
        <w:t>)</w:t>
      </w:r>
      <w:r w:rsidRPr="00CA1A43">
        <w:rPr>
          <w:rFonts w:eastAsia="標楷體" w:cstheme="minorHAnsi"/>
          <w:szCs w:val="24"/>
        </w:rPr>
        <w:t>以總報酬交換協議避險</w:t>
      </w:r>
      <w:r w:rsidRPr="00CA1A43">
        <w:rPr>
          <w:rFonts w:eastAsia="標楷體" w:cstheme="minorHAnsi"/>
          <w:szCs w:val="24"/>
        </w:rPr>
        <w:t>(</w:t>
      </w:r>
      <w:r w:rsidRPr="00CA1A43">
        <w:rPr>
          <w:rFonts w:eastAsia="標楷體" w:cstheme="minorHAnsi"/>
          <w:szCs w:val="24"/>
        </w:rPr>
        <w:t>反之亦然</w:t>
      </w:r>
      <w:r w:rsidRPr="00CA1A43">
        <w:rPr>
          <w:rFonts w:eastAsia="標楷體" w:cstheme="minorHAnsi"/>
          <w:szCs w:val="24"/>
        </w:rPr>
        <w:t>)</w:t>
      </w:r>
      <w:r w:rsidRPr="00CA1A43">
        <w:rPr>
          <w:rFonts w:eastAsia="標楷體" w:cstheme="minorHAnsi"/>
          <w:szCs w:val="24"/>
        </w:rPr>
        <w:t>，且現貨部位與合約信用標的完全相同。</w:t>
      </w:r>
      <w:r w:rsidR="00BE609F" w:rsidRPr="00CA1A43">
        <w:rPr>
          <w:rStyle w:val="a5"/>
          <w:rFonts w:eastAsia="標楷體" w:cstheme="minorHAnsi"/>
        </w:rPr>
        <w:footnoteReference w:id="62"/>
      </w:r>
    </w:p>
    <w:p w14:paraId="4B24C15A" w14:textId="77777777" w:rsidR="00111C84" w:rsidRPr="00CA1A43" w:rsidRDefault="00BE609F" w:rsidP="0018781A">
      <w:pPr>
        <w:pStyle w:val="a7"/>
        <w:numPr>
          <w:ilvl w:val="0"/>
          <w:numId w:val="190"/>
        </w:numPr>
        <w:spacing w:beforeLines="50" w:before="180"/>
        <w:ind w:leftChars="0" w:left="1446" w:hanging="482"/>
        <w:jc w:val="both"/>
        <w:rPr>
          <w:rFonts w:eastAsia="標楷體" w:cstheme="minorHAnsi"/>
          <w:szCs w:val="24"/>
        </w:rPr>
      </w:pPr>
      <w:r w:rsidRPr="00CA1A43">
        <w:rPr>
          <w:rFonts w:eastAsia="標楷體" w:cstheme="minorHAnsi"/>
          <w:szCs w:val="24"/>
        </w:rPr>
        <w:t>當兩筆交易</w:t>
      </w:r>
      <w:r w:rsidRPr="00CA1A43">
        <w:rPr>
          <w:rFonts w:eastAsia="標楷體" w:cstheme="minorHAnsi"/>
          <w:szCs w:val="24"/>
        </w:rPr>
        <w:t>(</w:t>
      </w:r>
      <w:r w:rsidRPr="00CA1A43">
        <w:rPr>
          <w:rFonts w:eastAsia="標楷體" w:cstheme="minorHAnsi"/>
          <w:szCs w:val="24"/>
        </w:rPr>
        <w:t>長</w:t>
      </w:r>
      <w:proofErr w:type="gramStart"/>
      <w:r w:rsidRPr="00CA1A43">
        <w:rPr>
          <w:rFonts w:eastAsia="標楷體" w:cstheme="minorHAnsi"/>
          <w:szCs w:val="24"/>
        </w:rPr>
        <w:t>部位和短部位</w:t>
      </w:r>
      <w:proofErr w:type="gramEnd"/>
      <w:r w:rsidRPr="00CA1A43">
        <w:rPr>
          <w:rFonts w:eastAsia="標楷體" w:cstheme="minorHAnsi"/>
          <w:szCs w:val="24"/>
        </w:rPr>
        <w:t>)</w:t>
      </w:r>
      <w:r w:rsidRPr="00CA1A43">
        <w:rPr>
          <w:rFonts w:eastAsia="標楷體" w:cstheme="minorHAnsi"/>
          <w:szCs w:val="24"/>
        </w:rPr>
        <w:t>的價值變化方向相反，但部位內容並非完全相等時，銀行可抵銷</w:t>
      </w:r>
      <w:r w:rsidRPr="00CA1A43">
        <w:rPr>
          <w:rFonts w:eastAsia="標楷體" w:cstheme="minorHAnsi"/>
          <w:szCs w:val="24"/>
        </w:rPr>
        <w:t>80%</w:t>
      </w:r>
      <w:r w:rsidRPr="00CA1A43">
        <w:rPr>
          <w:rFonts w:eastAsia="標楷體" w:cstheme="minorHAnsi"/>
          <w:szCs w:val="24"/>
        </w:rPr>
        <w:t>的個別風險資本計提，即對兩筆交易中資本要求較高的一筆得抵消</w:t>
      </w:r>
      <w:r w:rsidRPr="00CA1A43">
        <w:rPr>
          <w:rFonts w:eastAsia="標楷體" w:cstheme="minorHAnsi"/>
          <w:szCs w:val="24"/>
        </w:rPr>
        <w:t>80%</w:t>
      </w:r>
      <w:r w:rsidRPr="00CA1A43">
        <w:rPr>
          <w:rFonts w:eastAsia="標楷體" w:cstheme="minorHAnsi"/>
          <w:szCs w:val="24"/>
        </w:rPr>
        <w:t>的個別風險資本需求，而對另一筆的個別風險資本需求得爲零。例如對現貨長部位</w:t>
      </w:r>
      <w:r w:rsidRPr="00CA1A43">
        <w:rPr>
          <w:rFonts w:eastAsia="標楷體" w:cstheme="minorHAnsi"/>
          <w:szCs w:val="24"/>
        </w:rPr>
        <w:t>(</w:t>
      </w:r>
      <w:r w:rsidRPr="00CA1A43">
        <w:rPr>
          <w:rFonts w:eastAsia="標楷體" w:cstheme="minorHAnsi"/>
          <w:szCs w:val="24"/>
        </w:rPr>
        <w:t>或信用衍生性金融商品</w:t>
      </w:r>
      <w:r w:rsidRPr="00CA1A43">
        <w:rPr>
          <w:rFonts w:eastAsia="標楷體" w:cstheme="minorHAnsi"/>
          <w:szCs w:val="24"/>
        </w:rPr>
        <w:t>)</w:t>
      </w:r>
      <w:r w:rsidRPr="00CA1A43">
        <w:rPr>
          <w:rFonts w:eastAsia="標楷體" w:cstheme="minorHAnsi"/>
          <w:szCs w:val="24"/>
        </w:rPr>
        <w:t>採用信用違約交換協議</w:t>
      </w:r>
      <w:r w:rsidRPr="00CA1A43">
        <w:rPr>
          <w:rFonts w:eastAsia="標楷體" w:cstheme="minorHAnsi"/>
          <w:szCs w:val="24"/>
        </w:rPr>
        <w:t>(credit default swap)</w:t>
      </w:r>
      <w:r w:rsidRPr="00CA1A43">
        <w:rPr>
          <w:rFonts w:eastAsia="標楷體" w:cstheme="minorHAnsi"/>
          <w:szCs w:val="24"/>
        </w:rPr>
        <w:t>或信用連結債券</w:t>
      </w:r>
      <w:r w:rsidRPr="00CA1A43">
        <w:rPr>
          <w:rFonts w:eastAsia="標楷體" w:cstheme="minorHAnsi"/>
          <w:szCs w:val="24"/>
        </w:rPr>
        <w:t>(credit linked note)</w:t>
      </w:r>
      <w:r w:rsidRPr="00CA1A43">
        <w:rPr>
          <w:rFonts w:eastAsia="標楷體" w:cstheme="minorHAnsi"/>
          <w:szCs w:val="24"/>
        </w:rPr>
        <w:t>避險的情況</w:t>
      </w:r>
      <w:r w:rsidRPr="00CA1A43">
        <w:rPr>
          <w:rFonts w:eastAsia="標楷體" w:cstheme="minorHAnsi"/>
          <w:szCs w:val="24"/>
        </w:rPr>
        <w:t>(</w:t>
      </w:r>
      <w:r w:rsidRPr="00CA1A43">
        <w:rPr>
          <w:rFonts w:eastAsia="標楷體" w:cstheme="minorHAnsi"/>
          <w:szCs w:val="24"/>
        </w:rPr>
        <w:t>反之亦然</w:t>
      </w:r>
      <w:r w:rsidRPr="00CA1A43">
        <w:rPr>
          <w:rFonts w:eastAsia="標楷體" w:cstheme="minorHAnsi"/>
          <w:szCs w:val="24"/>
        </w:rPr>
        <w:t>)</w:t>
      </w:r>
      <w:r w:rsidRPr="00CA1A43">
        <w:rPr>
          <w:rFonts w:eastAsia="標楷體" w:cstheme="minorHAnsi"/>
          <w:szCs w:val="24"/>
        </w:rPr>
        <w:t>，而其合約參考標的、信用衍生性金融商品及合約參考標的之到期日、標的</w:t>
      </w:r>
      <w:proofErr w:type="gramStart"/>
      <w:r w:rsidRPr="00CA1A43">
        <w:rPr>
          <w:rFonts w:eastAsia="標楷體" w:cstheme="minorHAnsi"/>
          <w:szCs w:val="24"/>
        </w:rPr>
        <w:t>暴險之幣別皆</w:t>
      </w:r>
      <w:proofErr w:type="gramEnd"/>
      <w:r w:rsidRPr="00CA1A43">
        <w:rPr>
          <w:rFonts w:eastAsia="標楷體" w:cstheme="minorHAnsi"/>
          <w:szCs w:val="24"/>
        </w:rPr>
        <w:t>完全配合，且信用衍生性金融商品合約之關鍵條款</w:t>
      </w:r>
      <w:r w:rsidRPr="00CA1A43">
        <w:rPr>
          <w:rFonts w:eastAsia="標楷體" w:cstheme="minorHAnsi"/>
          <w:szCs w:val="24"/>
        </w:rPr>
        <w:t>(</w:t>
      </w:r>
      <w:r w:rsidRPr="00CA1A43">
        <w:rPr>
          <w:rFonts w:eastAsia="標楷體" w:cstheme="minorHAnsi"/>
          <w:szCs w:val="24"/>
        </w:rPr>
        <w:t>如信用事件的定義、結算機制</w:t>
      </w:r>
      <w:r w:rsidRPr="00CA1A43">
        <w:rPr>
          <w:rFonts w:eastAsia="標楷體" w:cstheme="minorHAnsi"/>
          <w:szCs w:val="24"/>
        </w:rPr>
        <w:t>)</w:t>
      </w:r>
      <w:r w:rsidRPr="00CA1A43">
        <w:rPr>
          <w:rFonts w:eastAsia="標楷體" w:cstheme="minorHAnsi"/>
          <w:szCs w:val="24"/>
        </w:rPr>
        <w:t>不致引起信用衍生性金融商品價格變動與現貨部位的價值變動有重大差異</w:t>
      </w:r>
      <w:r w:rsidRPr="00CA1A43">
        <w:rPr>
          <w:rFonts w:eastAsia="標楷體" w:cstheme="minorHAnsi"/>
          <w:szCs w:val="24"/>
        </w:rPr>
        <w:t>(</w:t>
      </w:r>
      <w:r w:rsidRPr="00CA1A43">
        <w:rPr>
          <w:rFonts w:eastAsia="標楷體" w:cstheme="minorHAnsi"/>
          <w:szCs w:val="24"/>
        </w:rPr>
        <w:t>即並無影響風險移轉之限制支付條款，如僅支付固定金額或重大性門檻等限制</w:t>
      </w:r>
      <w:r w:rsidRPr="00CA1A43">
        <w:rPr>
          <w:rFonts w:eastAsia="標楷體" w:cstheme="minorHAnsi"/>
          <w:szCs w:val="24"/>
        </w:rPr>
        <w:t>)</w:t>
      </w:r>
      <w:r w:rsidRPr="00CA1A43">
        <w:rPr>
          <w:rFonts w:eastAsia="標楷體" w:cstheme="minorHAnsi"/>
          <w:szCs w:val="24"/>
        </w:rPr>
        <w:t>。</w:t>
      </w:r>
    </w:p>
    <w:p w14:paraId="5C1A6D04" w14:textId="77777777" w:rsidR="00BE609F" w:rsidRPr="00CA1A43" w:rsidRDefault="00BE609F" w:rsidP="0018781A">
      <w:pPr>
        <w:pStyle w:val="a7"/>
        <w:numPr>
          <w:ilvl w:val="0"/>
          <w:numId w:val="190"/>
        </w:numPr>
        <w:spacing w:beforeLines="50" w:before="180"/>
        <w:ind w:leftChars="0" w:left="1446" w:hanging="482"/>
        <w:jc w:val="both"/>
        <w:rPr>
          <w:rFonts w:eastAsia="標楷體" w:cstheme="minorHAnsi"/>
          <w:szCs w:val="24"/>
        </w:rPr>
      </w:pPr>
      <w:r w:rsidRPr="00CA1A43">
        <w:rPr>
          <w:rFonts w:eastAsia="標楷體" w:cstheme="minorHAnsi"/>
        </w:rPr>
        <w:t>如果兩筆</w:t>
      </w:r>
      <w:r w:rsidRPr="00CA1A43">
        <w:rPr>
          <w:rFonts w:eastAsia="標楷體" w:cstheme="minorHAnsi"/>
          <w:szCs w:val="24"/>
        </w:rPr>
        <w:t>交易</w:t>
      </w:r>
      <w:r w:rsidRPr="00CA1A43">
        <w:rPr>
          <w:rFonts w:eastAsia="標楷體" w:cstheme="minorHAnsi"/>
          <w:szCs w:val="24"/>
        </w:rPr>
        <w:t>(</w:t>
      </w:r>
      <w:r w:rsidRPr="00CA1A43">
        <w:rPr>
          <w:rFonts w:eastAsia="標楷體" w:cstheme="minorHAnsi"/>
        </w:rPr>
        <w:t>長</w:t>
      </w:r>
      <w:proofErr w:type="gramStart"/>
      <w:r w:rsidRPr="00CA1A43">
        <w:rPr>
          <w:rFonts w:eastAsia="標楷體" w:cstheme="minorHAnsi"/>
        </w:rPr>
        <w:t>部位和短部位</w:t>
      </w:r>
      <w:proofErr w:type="gramEnd"/>
      <w:r w:rsidRPr="00CA1A43">
        <w:rPr>
          <w:rFonts w:eastAsia="標楷體" w:cstheme="minorHAnsi"/>
          <w:szCs w:val="24"/>
        </w:rPr>
        <w:t>)</w:t>
      </w:r>
      <w:r w:rsidRPr="00CA1A43">
        <w:rPr>
          <w:rFonts w:eastAsia="標楷體" w:cstheme="minorHAnsi"/>
        </w:rPr>
        <w:t>的價值變化方向相反，</w:t>
      </w:r>
      <w:proofErr w:type="gramStart"/>
      <w:r w:rsidRPr="00CA1A43">
        <w:rPr>
          <w:rFonts w:eastAsia="標楷體" w:cstheme="minorHAnsi"/>
        </w:rPr>
        <w:t>但有幣別</w:t>
      </w:r>
      <w:proofErr w:type="gramEnd"/>
      <w:r w:rsidRPr="00CA1A43">
        <w:rPr>
          <w:rFonts w:eastAsia="標楷體" w:cstheme="minorHAnsi"/>
        </w:rPr>
        <w:t>不對</w:t>
      </w:r>
      <w:proofErr w:type="gramStart"/>
      <w:r w:rsidRPr="00CA1A43">
        <w:rPr>
          <w:rFonts w:eastAsia="標楷體" w:cstheme="minorHAnsi"/>
        </w:rPr>
        <w:t>稱</w:t>
      </w:r>
      <w:proofErr w:type="gramEnd"/>
      <w:r w:rsidRPr="00CA1A43">
        <w:rPr>
          <w:rStyle w:val="a5"/>
          <w:rFonts w:eastAsia="標楷體" w:cstheme="minorHAnsi"/>
        </w:rPr>
        <w:footnoteReference w:id="63"/>
      </w:r>
      <w:r w:rsidRPr="00CA1A43">
        <w:rPr>
          <w:rFonts w:eastAsia="標楷體" w:cstheme="minorHAnsi"/>
        </w:rPr>
        <w:t>、期間不對稱或資産不對稱情形</w:t>
      </w:r>
      <w:r w:rsidRPr="00CA1A43">
        <w:rPr>
          <w:rFonts w:eastAsia="標楷體" w:cstheme="minorHAnsi"/>
          <w:szCs w:val="24"/>
        </w:rPr>
        <w:t>(</w:t>
      </w:r>
      <w:r w:rsidRPr="00CA1A43">
        <w:rPr>
          <w:rFonts w:eastAsia="標楷體" w:cstheme="minorHAnsi"/>
        </w:rPr>
        <w:t>其中資産錯配須符合信用風險標準法信用衍生性金融商品資産不對稱之規定</w:t>
      </w:r>
      <w:r w:rsidRPr="00CA1A43">
        <w:rPr>
          <w:rFonts w:eastAsia="標楷體" w:cstheme="minorHAnsi"/>
          <w:szCs w:val="24"/>
        </w:rPr>
        <w:t>)</w:t>
      </w:r>
      <w:r w:rsidRPr="00CA1A43">
        <w:rPr>
          <w:rFonts w:eastAsia="標楷體" w:cstheme="minorHAnsi"/>
        </w:rPr>
        <w:t>，則銀行可部分抵銷個別風險之資本需求，即只須計算資本計提較高一方之個別風險所需資本，並非將長部位和短部位兩筆交易個別風險資本計提相加。</w:t>
      </w:r>
    </w:p>
    <w:p w14:paraId="7CD50BB0" w14:textId="77777777" w:rsidR="00BE609F" w:rsidRPr="00CA1A43" w:rsidRDefault="00BE609F" w:rsidP="0018781A">
      <w:pPr>
        <w:pStyle w:val="a7"/>
        <w:numPr>
          <w:ilvl w:val="0"/>
          <w:numId w:val="190"/>
        </w:numPr>
        <w:spacing w:beforeLines="50" w:before="180"/>
        <w:ind w:leftChars="0" w:left="1446" w:hanging="482"/>
        <w:jc w:val="both"/>
        <w:rPr>
          <w:rFonts w:eastAsia="標楷體" w:cstheme="minorHAnsi"/>
          <w:szCs w:val="24"/>
        </w:rPr>
      </w:pPr>
      <w:r w:rsidRPr="00CA1A43">
        <w:rPr>
          <w:rFonts w:eastAsia="標楷體" w:cstheme="minorHAnsi"/>
          <w:szCs w:val="24"/>
        </w:rPr>
        <w:t>未符合</w:t>
      </w:r>
      <w:r w:rsidRPr="00CA1A43">
        <w:rPr>
          <w:rFonts w:eastAsia="標楷體" w:cstheme="minorHAnsi"/>
        </w:rPr>
        <w:t>上述</w:t>
      </w:r>
      <w:r w:rsidRPr="00CA1A43">
        <w:rPr>
          <w:rFonts w:eastAsia="標楷體" w:cstheme="minorHAnsi"/>
          <w:szCs w:val="24"/>
        </w:rPr>
        <w:t>規定者，應對兩筆部位都計算個別風險所需資本。</w:t>
      </w:r>
    </w:p>
    <w:p w14:paraId="142E6BF5" w14:textId="77777777" w:rsidR="00BE609F" w:rsidRPr="00CA1A43" w:rsidRDefault="00BE609F" w:rsidP="00BE609F">
      <w:pPr>
        <w:pStyle w:val="a7"/>
        <w:numPr>
          <w:ilvl w:val="0"/>
          <w:numId w:val="185"/>
        </w:numPr>
        <w:spacing w:beforeLines="50" w:before="180"/>
        <w:ind w:leftChars="0" w:left="964" w:hanging="482"/>
        <w:jc w:val="both"/>
        <w:rPr>
          <w:rFonts w:eastAsia="標楷體" w:cstheme="minorHAnsi"/>
          <w:b/>
          <w:kern w:val="0"/>
          <w:szCs w:val="24"/>
        </w:rPr>
      </w:pPr>
      <w:r w:rsidRPr="00CA1A43">
        <w:rPr>
          <w:rFonts w:eastAsia="標楷體" w:cstheme="minorHAnsi"/>
          <w:szCs w:val="24"/>
        </w:rPr>
        <w:t>第</w:t>
      </w:r>
      <w:r w:rsidRPr="00CA1A43">
        <w:rPr>
          <w:rFonts w:eastAsia="標楷體" w:cstheme="minorHAnsi"/>
          <w:szCs w:val="24"/>
        </w:rPr>
        <w:t>n</w:t>
      </w:r>
      <w:r w:rsidRPr="00CA1A43">
        <w:rPr>
          <w:rFonts w:eastAsia="標楷體" w:cstheme="minorHAnsi"/>
          <w:szCs w:val="24"/>
        </w:rPr>
        <w:t>次違約信用衍生性金融商品之個別風險資本要求</w:t>
      </w:r>
    </w:p>
    <w:p w14:paraId="53F043C9" w14:textId="2AB1BDAC" w:rsidR="00BE609F" w:rsidRPr="00CA1A43" w:rsidRDefault="00BE609F" w:rsidP="0018781A">
      <w:pPr>
        <w:pStyle w:val="a7"/>
        <w:numPr>
          <w:ilvl w:val="0"/>
          <w:numId w:val="192"/>
        </w:numPr>
        <w:spacing w:beforeLines="50" w:before="180"/>
        <w:ind w:leftChars="0" w:left="1446" w:hanging="482"/>
        <w:jc w:val="both"/>
        <w:rPr>
          <w:rFonts w:eastAsia="標楷體" w:cstheme="minorHAnsi"/>
          <w:szCs w:val="24"/>
        </w:rPr>
      </w:pPr>
      <w:r w:rsidRPr="00CA1A43">
        <w:rPr>
          <w:rFonts w:eastAsia="標楷體" w:cstheme="minorHAnsi"/>
          <w:szCs w:val="24"/>
        </w:rPr>
        <w:t>第</w:t>
      </w:r>
      <w:r w:rsidRPr="00CA1A43">
        <w:rPr>
          <w:rFonts w:eastAsia="標楷體" w:cstheme="minorHAnsi"/>
          <w:szCs w:val="24"/>
        </w:rPr>
        <w:t>n</w:t>
      </w:r>
      <w:r w:rsidRPr="00CA1A43">
        <w:rPr>
          <w:rFonts w:eastAsia="標楷體" w:cstheme="minorHAnsi"/>
          <w:szCs w:val="24"/>
        </w:rPr>
        <w:t>次違約信用衍生性金融商品為一種合約，其報酬係視</w:t>
      </w:r>
      <w:proofErr w:type="gramStart"/>
      <w:r w:rsidRPr="00CA1A43">
        <w:rPr>
          <w:rFonts w:eastAsia="標楷體" w:cstheme="minorHAnsi"/>
          <w:szCs w:val="24"/>
        </w:rPr>
        <w:t>一</w:t>
      </w:r>
      <w:proofErr w:type="gramEnd"/>
      <w:r w:rsidRPr="00CA1A43">
        <w:rPr>
          <w:rFonts w:eastAsia="標楷體" w:cstheme="minorHAnsi"/>
          <w:szCs w:val="24"/>
        </w:rPr>
        <w:t>籃子標的參考</w:t>
      </w:r>
      <w:r w:rsidR="009653EE" w:rsidRPr="00050EA7">
        <w:rPr>
          <w:rFonts w:eastAsia="標楷體" w:cstheme="minorHAnsi"/>
          <w:szCs w:val="24"/>
        </w:rPr>
        <w:t>工具</w:t>
      </w:r>
      <w:r w:rsidRPr="00050EA7">
        <w:rPr>
          <w:rFonts w:eastAsia="標楷體" w:cstheme="minorHAnsi"/>
          <w:szCs w:val="24"/>
        </w:rPr>
        <w:t>中</w:t>
      </w:r>
      <w:r w:rsidRPr="00CA1A43">
        <w:rPr>
          <w:rFonts w:eastAsia="標楷體" w:cstheme="minorHAnsi"/>
          <w:szCs w:val="24"/>
        </w:rPr>
        <w:t>，第</w:t>
      </w:r>
      <w:r w:rsidRPr="00CA1A43">
        <w:rPr>
          <w:rFonts w:eastAsia="標楷體" w:cstheme="minorHAnsi"/>
          <w:szCs w:val="24"/>
        </w:rPr>
        <w:t>n</w:t>
      </w:r>
      <w:proofErr w:type="gramStart"/>
      <w:r w:rsidRPr="00CA1A43">
        <w:rPr>
          <w:rFonts w:eastAsia="標楷體" w:cstheme="minorHAnsi"/>
          <w:szCs w:val="24"/>
        </w:rPr>
        <w:t>個</w:t>
      </w:r>
      <w:proofErr w:type="gramEnd"/>
      <w:r w:rsidRPr="00CA1A43">
        <w:rPr>
          <w:rFonts w:eastAsia="標楷體" w:cstheme="minorHAnsi"/>
          <w:szCs w:val="24"/>
        </w:rPr>
        <w:t>資產違約而定。當第</w:t>
      </w:r>
      <w:r w:rsidRPr="00CA1A43">
        <w:rPr>
          <w:rFonts w:eastAsia="標楷體" w:cstheme="minorHAnsi"/>
          <w:szCs w:val="24"/>
        </w:rPr>
        <w:t>n</w:t>
      </w:r>
      <w:proofErr w:type="gramStart"/>
      <w:r w:rsidRPr="00CA1A43">
        <w:rPr>
          <w:rFonts w:eastAsia="標楷體" w:cstheme="minorHAnsi"/>
          <w:szCs w:val="24"/>
        </w:rPr>
        <w:t>個</w:t>
      </w:r>
      <w:proofErr w:type="gramEnd"/>
      <w:r w:rsidRPr="00CA1A43">
        <w:rPr>
          <w:rFonts w:eastAsia="標楷體" w:cstheme="minorHAnsi"/>
          <w:szCs w:val="24"/>
        </w:rPr>
        <w:t>資產發生違約時，該交易將終止並進行交割。</w:t>
      </w:r>
    </w:p>
    <w:p w14:paraId="43654F2F" w14:textId="77777777" w:rsidR="00BE609F" w:rsidRPr="00CA1A43" w:rsidRDefault="00BE609F" w:rsidP="0018781A">
      <w:pPr>
        <w:pStyle w:val="a7"/>
        <w:numPr>
          <w:ilvl w:val="0"/>
          <w:numId w:val="192"/>
        </w:numPr>
        <w:spacing w:beforeLines="50" w:before="180"/>
        <w:ind w:leftChars="0" w:left="1446" w:hanging="482"/>
        <w:jc w:val="both"/>
        <w:rPr>
          <w:rFonts w:eastAsia="標楷體" w:cstheme="minorHAnsi"/>
          <w:szCs w:val="24"/>
        </w:rPr>
      </w:pPr>
      <w:r w:rsidRPr="00CA1A43">
        <w:rPr>
          <w:rFonts w:eastAsia="標楷體" w:cstheme="minorHAnsi"/>
          <w:szCs w:val="24"/>
        </w:rPr>
        <w:t>第</w:t>
      </w:r>
      <w:r w:rsidRPr="00CA1A43">
        <w:rPr>
          <w:rFonts w:eastAsia="標楷體" w:cstheme="minorHAnsi"/>
          <w:szCs w:val="24"/>
          <w:lang w:eastAsia="zh-HK"/>
        </w:rPr>
        <w:t>一</w:t>
      </w:r>
      <w:r w:rsidRPr="00CA1A43">
        <w:rPr>
          <w:rFonts w:eastAsia="標楷體" w:cstheme="minorHAnsi"/>
          <w:szCs w:val="24"/>
        </w:rPr>
        <w:t>違約信用衍生性金融商品之個別風險資本要求，以下列兩個金額孰低者計算：</w:t>
      </w:r>
    </w:p>
    <w:p w14:paraId="209B9DC3" w14:textId="049996AE" w:rsidR="00BE609F" w:rsidRPr="00CA1A43" w:rsidRDefault="00BE609F" w:rsidP="0018781A">
      <w:pPr>
        <w:pStyle w:val="a7"/>
        <w:numPr>
          <w:ilvl w:val="0"/>
          <w:numId w:val="193"/>
        </w:numPr>
        <w:spacing w:beforeLines="50" w:before="180"/>
        <w:ind w:leftChars="0"/>
        <w:jc w:val="both"/>
        <w:rPr>
          <w:rFonts w:eastAsia="標楷體" w:cstheme="minorHAnsi"/>
          <w:szCs w:val="24"/>
        </w:rPr>
      </w:pPr>
      <w:proofErr w:type="gramStart"/>
      <w:r w:rsidRPr="00CA1A43">
        <w:rPr>
          <w:rFonts w:eastAsia="標楷體" w:cstheme="minorHAnsi"/>
          <w:szCs w:val="24"/>
        </w:rPr>
        <w:t>一</w:t>
      </w:r>
      <w:proofErr w:type="gramEnd"/>
      <w:r w:rsidRPr="00CA1A43">
        <w:rPr>
          <w:rFonts w:eastAsia="標楷體" w:cstheme="minorHAnsi"/>
          <w:szCs w:val="24"/>
        </w:rPr>
        <w:t>籃子個別參考信用</w:t>
      </w:r>
      <w:r w:rsidR="009653EE" w:rsidRPr="00050EA7">
        <w:rPr>
          <w:rFonts w:eastAsia="標楷體" w:cstheme="minorHAnsi"/>
          <w:szCs w:val="24"/>
        </w:rPr>
        <w:t>工具</w:t>
      </w:r>
      <w:r w:rsidRPr="00CA1A43">
        <w:rPr>
          <w:rFonts w:eastAsia="標楷體" w:cstheme="minorHAnsi"/>
          <w:szCs w:val="24"/>
        </w:rPr>
        <w:t>之個別風險計提總和。</w:t>
      </w:r>
    </w:p>
    <w:p w14:paraId="0CFFF398" w14:textId="77777777" w:rsidR="00BE609F" w:rsidRPr="00CA1A43" w:rsidRDefault="00BE609F" w:rsidP="0018781A">
      <w:pPr>
        <w:pStyle w:val="a7"/>
        <w:numPr>
          <w:ilvl w:val="0"/>
          <w:numId w:val="193"/>
        </w:numPr>
        <w:spacing w:beforeLines="50" w:before="180"/>
        <w:ind w:leftChars="0"/>
        <w:jc w:val="both"/>
        <w:rPr>
          <w:rFonts w:eastAsia="標楷體" w:cstheme="minorHAnsi"/>
          <w:szCs w:val="24"/>
        </w:rPr>
      </w:pPr>
      <w:r w:rsidRPr="00CA1A43">
        <w:rPr>
          <w:rFonts w:eastAsia="標楷體" w:cstheme="minorHAnsi"/>
          <w:szCs w:val="24"/>
        </w:rPr>
        <w:lastRenderedPageBreak/>
        <w:t>合約規定之最大可能信用事件之支付金額。</w:t>
      </w:r>
    </w:p>
    <w:p w14:paraId="5230D912" w14:textId="152EE0F2" w:rsidR="00BE609F" w:rsidRPr="00CA1A43" w:rsidRDefault="00BE609F" w:rsidP="0018781A">
      <w:pPr>
        <w:pStyle w:val="a7"/>
        <w:numPr>
          <w:ilvl w:val="0"/>
          <w:numId w:val="192"/>
        </w:numPr>
        <w:spacing w:beforeLines="50" w:before="180"/>
        <w:ind w:leftChars="0" w:left="1446" w:hanging="482"/>
        <w:jc w:val="both"/>
        <w:rPr>
          <w:rFonts w:eastAsia="標楷體" w:cstheme="minorHAnsi"/>
          <w:szCs w:val="24"/>
          <w:lang w:eastAsia="zh-HK"/>
        </w:rPr>
      </w:pPr>
      <w:r w:rsidRPr="00CA1A43">
        <w:rPr>
          <w:rFonts w:eastAsia="標楷體" w:cstheme="minorHAnsi"/>
          <w:szCs w:val="24"/>
        </w:rPr>
        <w:t>若銀行持</w:t>
      </w:r>
      <w:r w:rsidRPr="00CA1A43">
        <w:rPr>
          <w:rFonts w:eastAsia="標楷體" w:cstheme="minorHAnsi"/>
          <w:szCs w:val="24"/>
          <w:lang w:eastAsia="zh-HK"/>
        </w:rPr>
        <w:t>有第一</w:t>
      </w:r>
      <w:r w:rsidRPr="00CA1A43">
        <w:rPr>
          <w:rFonts w:eastAsia="標楷體" w:cstheme="minorHAnsi"/>
          <w:szCs w:val="24"/>
        </w:rPr>
        <w:t>違約</w:t>
      </w:r>
      <w:r w:rsidRPr="00CA1A43">
        <w:rPr>
          <w:rFonts w:eastAsia="標楷體" w:cstheme="minorHAnsi"/>
          <w:szCs w:val="24"/>
          <w:lang w:eastAsia="zh-HK"/>
        </w:rPr>
        <w:t>信用衍生性金融商品之</w:t>
      </w:r>
      <w:proofErr w:type="gramStart"/>
      <w:r w:rsidRPr="00CA1A43">
        <w:rPr>
          <w:rFonts w:eastAsia="標楷體" w:cstheme="minorHAnsi"/>
          <w:szCs w:val="24"/>
          <w:lang w:eastAsia="zh-HK"/>
        </w:rPr>
        <w:t>一</w:t>
      </w:r>
      <w:proofErr w:type="gramEnd"/>
      <w:r w:rsidRPr="00CA1A43">
        <w:rPr>
          <w:rFonts w:eastAsia="標楷體" w:cstheme="minorHAnsi"/>
          <w:szCs w:val="24"/>
          <w:lang w:eastAsia="zh-HK"/>
        </w:rPr>
        <w:t>的參考信用</w:t>
      </w:r>
      <w:r w:rsidR="009653EE" w:rsidRPr="00050EA7">
        <w:rPr>
          <w:rFonts w:eastAsia="標楷體" w:cstheme="minorHAnsi"/>
          <w:szCs w:val="24"/>
          <w:lang w:eastAsia="zh-HK"/>
        </w:rPr>
        <w:t>工具</w:t>
      </w:r>
      <w:r w:rsidRPr="00050EA7">
        <w:rPr>
          <w:rFonts w:eastAsia="標楷體" w:cstheme="minorHAnsi"/>
          <w:szCs w:val="24"/>
          <w:lang w:eastAsia="zh-HK"/>
        </w:rPr>
        <w:t>之風險部位，且以前述信用衍生性金融商品對銀行的風險部位進行避險，則銀行得減少相關避險部位之資本計提，包括參考信用</w:t>
      </w:r>
      <w:r w:rsidR="009653EE" w:rsidRPr="00050EA7">
        <w:rPr>
          <w:rFonts w:eastAsia="標楷體" w:cstheme="minorHAnsi"/>
          <w:szCs w:val="24"/>
          <w:lang w:eastAsia="zh-HK"/>
        </w:rPr>
        <w:t>工具</w:t>
      </w:r>
      <w:r w:rsidRPr="00050EA7">
        <w:rPr>
          <w:rFonts w:eastAsia="標楷體" w:cstheme="minorHAnsi"/>
          <w:szCs w:val="24"/>
          <w:lang w:eastAsia="zh-HK"/>
        </w:rPr>
        <w:t>之個別風險資本計提及與這些參考信用</w:t>
      </w:r>
      <w:r w:rsidR="009653EE" w:rsidRPr="00050EA7">
        <w:rPr>
          <w:rFonts w:eastAsia="標楷體" w:cstheme="minorHAnsi"/>
          <w:szCs w:val="24"/>
          <w:lang w:eastAsia="zh-HK"/>
        </w:rPr>
        <w:t>工具</w:t>
      </w:r>
      <w:r w:rsidRPr="00050EA7">
        <w:rPr>
          <w:rFonts w:eastAsia="標楷體" w:cstheme="minorHAnsi"/>
          <w:szCs w:val="24"/>
          <w:lang w:eastAsia="zh-HK"/>
        </w:rPr>
        <w:t>相關之部分信用衍生性金融商品之個別風險資本計提。若銀行持有第一違約信用衍生性金融商品的參考信用</w:t>
      </w:r>
      <w:r w:rsidR="009653EE" w:rsidRPr="00050EA7">
        <w:rPr>
          <w:rFonts w:eastAsia="標楷體" w:cstheme="minorHAnsi"/>
          <w:szCs w:val="24"/>
          <w:lang w:eastAsia="zh-HK"/>
        </w:rPr>
        <w:t>工具</w:t>
      </w:r>
      <w:r w:rsidRPr="00050EA7">
        <w:rPr>
          <w:rFonts w:eastAsia="標楷體" w:cstheme="minorHAnsi"/>
          <w:szCs w:val="24"/>
          <w:lang w:eastAsia="zh-HK"/>
        </w:rPr>
        <w:t>之多重風險部</w:t>
      </w:r>
      <w:r w:rsidRPr="00CA1A43">
        <w:rPr>
          <w:rFonts w:eastAsia="標楷體" w:cstheme="minorHAnsi"/>
          <w:szCs w:val="24"/>
          <w:lang w:eastAsia="zh-HK"/>
        </w:rPr>
        <w:t>位，則僅可抵減相關避險部位中，最低個別風險計提之部位。</w:t>
      </w:r>
    </w:p>
    <w:p w14:paraId="370472FD" w14:textId="77777777" w:rsidR="00BE609F" w:rsidRPr="00CA1A43" w:rsidRDefault="00BE609F" w:rsidP="0018781A">
      <w:pPr>
        <w:pStyle w:val="a7"/>
        <w:numPr>
          <w:ilvl w:val="0"/>
          <w:numId w:val="192"/>
        </w:numPr>
        <w:spacing w:beforeLines="50" w:before="180"/>
        <w:ind w:leftChars="0" w:left="1446" w:hanging="482"/>
        <w:jc w:val="both"/>
        <w:rPr>
          <w:rFonts w:eastAsia="標楷體" w:cstheme="minorHAnsi"/>
          <w:szCs w:val="24"/>
        </w:rPr>
      </w:pPr>
      <w:r w:rsidRPr="00CA1A43">
        <w:rPr>
          <w:rFonts w:eastAsia="標楷體" w:cstheme="minorHAnsi"/>
          <w:szCs w:val="24"/>
          <w:lang w:eastAsia="zh-HK"/>
        </w:rPr>
        <w:t>對於</w:t>
      </w:r>
      <w:r w:rsidRPr="00CA1A43">
        <w:rPr>
          <w:rFonts w:eastAsia="標楷體" w:cstheme="minorHAnsi"/>
          <w:szCs w:val="24"/>
          <w:lang w:eastAsia="zh-HK"/>
        </w:rPr>
        <w:t>n</w:t>
      </w:r>
      <w:r w:rsidRPr="00CA1A43">
        <w:rPr>
          <w:rFonts w:eastAsia="標楷體" w:cstheme="minorHAnsi"/>
          <w:szCs w:val="24"/>
          <w:lang w:eastAsia="zh-HK"/>
        </w:rPr>
        <w:t>大於</w:t>
      </w:r>
      <w:r w:rsidRPr="00CA1A43">
        <w:rPr>
          <w:rFonts w:eastAsia="標楷體" w:cstheme="minorHAnsi"/>
          <w:szCs w:val="24"/>
          <w:lang w:eastAsia="zh-HK"/>
        </w:rPr>
        <w:t>1</w:t>
      </w:r>
      <w:r w:rsidRPr="00CA1A43">
        <w:rPr>
          <w:rFonts w:eastAsia="標楷體" w:cstheme="minorHAnsi"/>
          <w:szCs w:val="24"/>
          <w:lang w:eastAsia="zh-HK"/>
        </w:rPr>
        <w:t>之第</w:t>
      </w:r>
      <w:r w:rsidRPr="00CA1A43">
        <w:rPr>
          <w:rFonts w:eastAsia="標楷體" w:cstheme="minorHAnsi"/>
          <w:szCs w:val="24"/>
        </w:rPr>
        <w:t>n</w:t>
      </w:r>
      <w:r w:rsidRPr="00CA1A43">
        <w:rPr>
          <w:rFonts w:eastAsia="標楷體" w:cstheme="minorHAnsi"/>
          <w:szCs w:val="24"/>
        </w:rPr>
        <w:t>次違約信用衍生性金融商品，其個別風險資本要求，為下列兩個金額孰低者計算：</w:t>
      </w:r>
    </w:p>
    <w:p w14:paraId="40BC1985" w14:textId="7AEBF0C9" w:rsidR="00BE609F" w:rsidRPr="00050EA7" w:rsidRDefault="00BE609F" w:rsidP="0018781A">
      <w:pPr>
        <w:pStyle w:val="a7"/>
        <w:numPr>
          <w:ilvl w:val="0"/>
          <w:numId w:val="194"/>
        </w:numPr>
        <w:spacing w:beforeLines="50" w:before="180"/>
        <w:ind w:leftChars="0"/>
        <w:jc w:val="both"/>
        <w:rPr>
          <w:rFonts w:eastAsia="標楷體" w:cstheme="minorHAnsi"/>
          <w:szCs w:val="24"/>
        </w:rPr>
      </w:pPr>
      <w:proofErr w:type="gramStart"/>
      <w:r w:rsidRPr="00CA1A43">
        <w:rPr>
          <w:rFonts w:eastAsia="標楷體" w:cstheme="minorHAnsi"/>
          <w:szCs w:val="24"/>
        </w:rPr>
        <w:t>一</w:t>
      </w:r>
      <w:proofErr w:type="gramEnd"/>
      <w:r w:rsidRPr="00CA1A43">
        <w:rPr>
          <w:rFonts w:eastAsia="標楷體" w:cstheme="minorHAnsi"/>
          <w:szCs w:val="24"/>
        </w:rPr>
        <w:t>籃子個別參考信用</w:t>
      </w:r>
      <w:r w:rsidR="009653EE" w:rsidRPr="00050EA7">
        <w:rPr>
          <w:rFonts w:eastAsia="標楷體" w:cstheme="minorHAnsi"/>
          <w:szCs w:val="24"/>
        </w:rPr>
        <w:t>工具</w:t>
      </w:r>
      <w:r w:rsidRPr="00050EA7">
        <w:rPr>
          <w:rFonts w:eastAsia="標楷體" w:cstheme="minorHAnsi"/>
          <w:szCs w:val="24"/>
        </w:rPr>
        <w:t>之個別風險資本要求總和，但不計入第</w:t>
      </w:r>
      <w:r w:rsidRPr="00050EA7">
        <w:rPr>
          <w:rFonts w:eastAsia="標楷體" w:cstheme="minorHAnsi"/>
          <w:szCs w:val="24"/>
        </w:rPr>
        <w:t>(n-1)</w:t>
      </w:r>
      <w:r w:rsidRPr="00050EA7">
        <w:rPr>
          <w:rFonts w:eastAsia="標楷體" w:cstheme="minorHAnsi"/>
          <w:szCs w:val="24"/>
        </w:rPr>
        <w:t>之債務具有最低個別風險資本要求。</w:t>
      </w:r>
    </w:p>
    <w:p w14:paraId="0B2BD358" w14:textId="77777777" w:rsidR="00BE609F" w:rsidRPr="00050EA7" w:rsidRDefault="00BE609F" w:rsidP="0018781A">
      <w:pPr>
        <w:pStyle w:val="a7"/>
        <w:numPr>
          <w:ilvl w:val="0"/>
          <w:numId w:val="194"/>
        </w:numPr>
        <w:spacing w:beforeLines="50" w:before="180"/>
        <w:ind w:leftChars="0"/>
        <w:jc w:val="both"/>
        <w:rPr>
          <w:rFonts w:eastAsia="標楷體" w:cstheme="minorHAnsi"/>
          <w:szCs w:val="24"/>
        </w:rPr>
      </w:pPr>
      <w:r w:rsidRPr="00050EA7">
        <w:rPr>
          <w:rFonts w:eastAsia="標楷體" w:cstheme="minorHAnsi"/>
          <w:szCs w:val="24"/>
        </w:rPr>
        <w:t>合約規定之最大可能信用事件之支付金額。</w:t>
      </w:r>
    </w:p>
    <w:p w14:paraId="2B578A25" w14:textId="5FC5F892" w:rsidR="00BE609F" w:rsidRPr="00CA1A43" w:rsidRDefault="00BE609F" w:rsidP="00BE609F">
      <w:pPr>
        <w:pStyle w:val="a7"/>
        <w:spacing w:beforeLines="50" w:before="180"/>
        <w:ind w:leftChars="0" w:left="1446"/>
        <w:jc w:val="both"/>
        <w:rPr>
          <w:rFonts w:eastAsia="標楷體" w:cstheme="minorHAnsi"/>
          <w:szCs w:val="24"/>
        </w:rPr>
      </w:pPr>
      <w:r w:rsidRPr="00050EA7">
        <w:rPr>
          <w:rFonts w:eastAsia="標楷體" w:cstheme="minorHAnsi"/>
          <w:szCs w:val="24"/>
        </w:rPr>
        <w:t>對於</w:t>
      </w:r>
      <w:r w:rsidRPr="00050EA7">
        <w:rPr>
          <w:rFonts w:eastAsia="標楷體" w:cstheme="minorHAnsi"/>
          <w:szCs w:val="24"/>
        </w:rPr>
        <w:t>n</w:t>
      </w:r>
      <w:r w:rsidRPr="00050EA7">
        <w:rPr>
          <w:rFonts w:eastAsia="標楷體" w:cstheme="minorHAnsi"/>
          <w:szCs w:val="24"/>
        </w:rPr>
        <w:t>大於</w:t>
      </w:r>
      <w:r w:rsidRPr="00050EA7">
        <w:rPr>
          <w:rFonts w:eastAsia="標楷體" w:cstheme="minorHAnsi"/>
          <w:szCs w:val="24"/>
        </w:rPr>
        <w:t>1</w:t>
      </w:r>
      <w:r w:rsidRPr="00050EA7">
        <w:rPr>
          <w:rFonts w:eastAsia="標楷體" w:cstheme="minorHAnsi"/>
          <w:szCs w:val="24"/>
        </w:rPr>
        <w:t>之第</w:t>
      </w:r>
      <w:r w:rsidRPr="00050EA7">
        <w:rPr>
          <w:rFonts w:eastAsia="標楷體" w:cstheme="minorHAnsi"/>
          <w:szCs w:val="24"/>
        </w:rPr>
        <w:t>n</w:t>
      </w:r>
      <w:r w:rsidRPr="00050EA7">
        <w:rPr>
          <w:rFonts w:eastAsia="標楷體" w:cstheme="minorHAnsi"/>
          <w:szCs w:val="24"/>
        </w:rPr>
        <w:t>次違約信用衍生性金融商品，不得用以抵減任何標的參考信用</w:t>
      </w:r>
      <w:r w:rsidR="009653EE" w:rsidRPr="00050EA7">
        <w:rPr>
          <w:rFonts w:eastAsia="標楷體" w:cstheme="minorHAnsi"/>
          <w:szCs w:val="24"/>
        </w:rPr>
        <w:t>工具</w:t>
      </w:r>
      <w:r w:rsidRPr="00050EA7">
        <w:rPr>
          <w:rFonts w:eastAsia="標楷體" w:cstheme="minorHAnsi"/>
          <w:szCs w:val="24"/>
        </w:rPr>
        <w:t>之</w:t>
      </w:r>
      <w:r w:rsidRPr="00CA1A43">
        <w:rPr>
          <w:rFonts w:eastAsia="標楷體" w:cstheme="minorHAnsi"/>
          <w:szCs w:val="24"/>
        </w:rPr>
        <w:t>個別風險資本計提。</w:t>
      </w:r>
    </w:p>
    <w:p w14:paraId="585B899A" w14:textId="77777777" w:rsidR="00BE609F" w:rsidRPr="00CA1A43" w:rsidRDefault="00BE609F" w:rsidP="0018781A">
      <w:pPr>
        <w:pStyle w:val="a7"/>
        <w:numPr>
          <w:ilvl w:val="0"/>
          <w:numId w:val="192"/>
        </w:numPr>
        <w:spacing w:beforeLines="50" w:before="180"/>
        <w:ind w:leftChars="0" w:left="1446" w:hanging="482"/>
        <w:jc w:val="both"/>
        <w:rPr>
          <w:rFonts w:eastAsia="標楷體" w:cstheme="minorHAnsi"/>
          <w:szCs w:val="24"/>
        </w:rPr>
      </w:pPr>
      <w:r w:rsidRPr="00CA1A43">
        <w:rPr>
          <w:rFonts w:eastAsia="標楷體" w:cstheme="minorHAnsi"/>
          <w:szCs w:val="24"/>
        </w:rPr>
        <w:t>若第一或其他第</w:t>
      </w:r>
      <w:r w:rsidRPr="00CA1A43">
        <w:rPr>
          <w:rFonts w:eastAsia="標楷體" w:cstheme="minorHAnsi"/>
          <w:szCs w:val="24"/>
        </w:rPr>
        <w:t>n</w:t>
      </w:r>
      <w:r w:rsidRPr="00CA1A43">
        <w:rPr>
          <w:rFonts w:eastAsia="標楷體" w:cstheme="minorHAnsi"/>
          <w:szCs w:val="24"/>
        </w:rPr>
        <w:t>次違約信用衍生性金融商品具有外部評等，則保障的賣方必須使用衍生性金融商品之評等，以及上述條文第</w:t>
      </w:r>
      <w:r w:rsidRPr="00CA1A43">
        <w:rPr>
          <w:rFonts w:eastAsia="標楷體" w:cstheme="minorHAnsi"/>
          <w:szCs w:val="24"/>
        </w:rPr>
        <w:t>10</w:t>
      </w:r>
      <w:r w:rsidRPr="00CA1A43">
        <w:rPr>
          <w:rFonts w:eastAsia="標楷體" w:cstheme="minorHAnsi"/>
          <w:szCs w:val="24"/>
        </w:rPr>
        <w:t>項所述證券化之風險權數來計算個別風險之資本要求。</w:t>
      </w:r>
    </w:p>
    <w:p w14:paraId="4ABAC2D2" w14:textId="77777777" w:rsidR="00BE609F" w:rsidRPr="00CA1A43" w:rsidRDefault="00BE609F" w:rsidP="0018781A">
      <w:pPr>
        <w:pStyle w:val="a7"/>
        <w:numPr>
          <w:ilvl w:val="0"/>
          <w:numId w:val="192"/>
        </w:numPr>
        <w:spacing w:beforeLines="50" w:before="180"/>
        <w:ind w:leftChars="0" w:left="1446" w:hanging="482"/>
        <w:jc w:val="both"/>
        <w:rPr>
          <w:rFonts w:eastAsia="標楷體" w:cstheme="minorHAnsi"/>
          <w:szCs w:val="24"/>
        </w:rPr>
      </w:pPr>
      <w:r w:rsidRPr="00CA1A43">
        <w:rPr>
          <w:rFonts w:eastAsia="標楷體" w:cstheme="minorHAnsi"/>
          <w:szCs w:val="24"/>
        </w:rPr>
        <w:t>無論銀行是否有長部位或短部位，即取得或提供保障，每</w:t>
      </w:r>
      <w:proofErr w:type="gramStart"/>
      <w:r w:rsidRPr="00CA1A43">
        <w:rPr>
          <w:rFonts w:eastAsia="標楷體" w:cstheme="minorHAnsi"/>
          <w:szCs w:val="24"/>
        </w:rPr>
        <w:t>個</w:t>
      </w:r>
      <w:proofErr w:type="gramEnd"/>
      <w:r w:rsidRPr="00CA1A43">
        <w:rPr>
          <w:rFonts w:eastAsia="標楷體" w:cstheme="minorHAnsi"/>
          <w:szCs w:val="24"/>
        </w:rPr>
        <w:t>第</w:t>
      </w:r>
      <w:r w:rsidRPr="00CA1A43">
        <w:rPr>
          <w:rFonts w:eastAsia="標楷體" w:cstheme="minorHAnsi"/>
          <w:szCs w:val="24"/>
        </w:rPr>
        <w:t>n</w:t>
      </w:r>
      <w:r w:rsidRPr="00CA1A43">
        <w:rPr>
          <w:rFonts w:eastAsia="標楷體" w:cstheme="minorHAnsi"/>
          <w:szCs w:val="24"/>
        </w:rPr>
        <w:t>次違約信用衍生性金融商品之淨部位，皆須計提資本。</w:t>
      </w:r>
    </w:p>
    <w:p w14:paraId="79D0BF03" w14:textId="77777777" w:rsidR="00A95C0D" w:rsidRPr="00CA1A43" w:rsidRDefault="00A95C0D" w:rsidP="00A95C0D">
      <w:pPr>
        <w:pStyle w:val="a7"/>
        <w:numPr>
          <w:ilvl w:val="0"/>
          <w:numId w:val="185"/>
        </w:numPr>
        <w:spacing w:beforeLines="50" w:before="180"/>
        <w:ind w:leftChars="0" w:left="964" w:hanging="482"/>
        <w:jc w:val="both"/>
        <w:rPr>
          <w:rFonts w:eastAsia="標楷體" w:cstheme="minorHAnsi"/>
          <w:szCs w:val="24"/>
        </w:rPr>
      </w:pPr>
      <w:r w:rsidRPr="00CA1A43">
        <w:rPr>
          <w:rFonts w:eastAsia="標楷體" w:cstheme="minorHAnsi"/>
          <w:szCs w:val="24"/>
        </w:rPr>
        <w:t>相關性交易組合</w:t>
      </w:r>
      <w:r w:rsidRPr="00CA1A43">
        <w:rPr>
          <w:rFonts w:eastAsia="標楷體" w:cstheme="minorHAnsi"/>
          <w:szCs w:val="24"/>
        </w:rPr>
        <w:t>(CTP)</w:t>
      </w:r>
      <w:r w:rsidRPr="00CA1A43">
        <w:rPr>
          <w:rFonts w:eastAsia="標楷體" w:cstheme="minorHAnsi"/>
          <w:szCs w:val="24"/>
        </w:rPr>
        <w:t>之個別風險資本計提規定：</w:t>
      </w:r>
    </w:p>
    <w:p w14:paraId="583CD64A" w14:textId="77777777" w:rsidR="00A95C0D" w:rsidRPr="00CA1A43" w:rsidRDefault="00A95C0D" w:rsidP="00A95C0D">
      <w:pPr>
        <w:pStyle w:val="a7"/>
        <w:spacing w:beforeLines="50" w:before="180"/>
        <w:ind w:leftChars="0" w:left="964"/>
        <w:jc w:val="both"/>
        <w:rPr>
          <w:rFonts w:eastAsia="標楷體" w:cstheme="minorHAnsi"/>
          <w:szCs w:val="24"/>
        </w:rPr>
      </w:pPr>
      <w:r w:rsidRPr="00CA1A43">
        <w:rPr>
          <w:rFonts w:eastAsia="標楷體" w:cstheme="minorHAnsi"/>
          <w:szCs w:val="24"/>
        </w:rPr>
        <w:t>銀行應計算下列金額孰高者，作為相關性交易組合</w:t>
      </w:r>
      <w:r w:rsidRPr="00CA1A43">
        <w:rPr>
          <w:rFonts w:eastAsia="標楷體" w:cstheme="minorHAnsi"/>
          <w:szCs w:val="24"/>
        </w:rPr>
        <w:t>(CTP)</w:t>
      </w:r>
      <w:r w:rsidRPr="00CA1A43">
        <w:rPr>
          <w:rFonts w:eastAsia="標楷體" w:cstheme="minorHAnsi"/>
          <w:szCs w:val="24"/>
        </w:rPr>
        <w:t>之個別風險資本計提：</w:t>
      </w:r>
    </w:p>
    <w:p w14:paraId="30F5CCFE" w14:textId="77777777" w:rsidR="00A95C0D" w:rsidRPr="00CA1A43" w:rsidRDefault="00A95C0D" w:rsidP="0018781A">
      <w:pPr>
        <w:pStyle w:val="a7"/>
        <w:numPr>
          <w:ilvl w:val="0"/>
          <w:numId w:val="195"/>
        </w:numPr>
        <w:spacing w:beforeLines="50" w:before="180"/>
        <w:ind w:leftChars="0" w:left="1446" w:hanging="482"/>
        <w:jc w:val="both"/>
        <w:rPr>
          <w:rFonts w:eastAsia="標楷體" w:cstheme="minorHAnsi"/>
          <w:szCs w:val="24"/>
        </w:rPr>
      </w:pPr>
      <w:r w:rsidRPr="00CA1A43">
        <w:rPr>
          <w:rFonts w:eastAsia="標楷體" w:cstheme="minorHAnsi"/>
          <w:szCs w:val="24"/>
        </w:rPr>
        <w:t>相關性交易組合</w:t>
      </w:r>
      <w:proofErr w:type="gramStart"/>
      <w:r w:rsidRPr="00CA1A43">
        <w:rPr>
          <w:rFonts w:eastAsia="標楷體" w:cstheme="minorHAnsi"/>
          <w:szCs w:val="24"/>
        </w:rPr>
        <w:t>中淨長</w:t>
      </w:r>
      <w:proofErr w:type="gramEnd"/>
      <w:r w:rsidRPr="00CA1A43">
        <w:rPr>
          <w:rFonts w:eastAsia="標楷體" w:cstheme="minorHAnsi"/>
          <w:szCs w:val="24"/>
        </w:rPr>
        <w:t>部位加總所計算之總個別風險資本要求。</w:t>
      </w:r>
    </w:p>
    <w:p w14:paraId="60C60CA1" w14:textId="77777777" w:rsidR="00BE609F" w:rsidRPr="00CA1A43" w:rsidRDefault="00A95C0D" w:rsidP="0018781A">
      <w:pPr>
        <w:pStyle w:val="a7"/>
        <w:numPr>
          <w:ilvl w:val="0"/>
          <w:numId w:val="195"/>
        </w:numPr>
        <w:spacing w:beforeLines="50" w:before="180"/>
        <w:ind w:leftChars="0" w:left="1446" w:hanging="482"/>
        <w:jc w:val="both"/>
        <w:rPr>
          <w:rFonts w:eastAsia="標楷體" w:cstheme="minorHAnsi"/>
          <w:szCs w:val="24"/>
        </w:rPr>
      </w:pPr>
      <w:r w:rsidRPr="00CA1A43">
        <w:rPr>
          <w:rFonts w:eastAsia="標楷體" w:cstheme="minorHAnsi"/>
          <w:szCs w:val="24"/>
        </w:rPr>
        <w:t>相關性交易組合</w:t>
      </w:r>
      <w:proofErr w:type="gramStart"/>
      <w:r w:rsidRPr="00CA1A43">
        <w:rPr>
          <w:rFonts w:eastAsia="標楷體" w:cstheme="minorHAnsi"/>
          <w:szCs w:val="24"/>
        </w:rPr>
        <w:t>中淨短</w:t>
      </w:r>
      <w:proofErr w:type="gramEnd"/>
      <w:r w:rsidRPr="00CA1A43">
        <w:rPr>
          <w:rFonts w:eastAsia="標楷體" w:cstheme="minorHAnsi"/>
          <w:szCs w:val="24"/>
        </w:rPr>
        <w:t>部位加總所計算之總個別風險資本要求。</w:t>
      </w:r>
    </w:p>
    <w:p w14:paraId="28DF6CF5" w14:textId="77777777" w:rsidR="00525DBC" w:rsidRPr="00CA1A43" w:rsidRDefault="00525DBC" w:rsidP="00525DBC">
      <w:pPr>
        <w:pStyle w:val="a7"/>
        <w:numPr>
          <w:ilvl w:val="0"/>
          <w:numId w:val="183"/>
        </w:numPr>
        <w:spacing w:beforeLines="50" w:before="180"/>
        <w:ind w:leftChars="0" w:left="737" w:hanging="737"/>
        <w:jc w:val="both"/>
        <w:rPr>
          <w:rFonts w:eastAsia="標楷體" w:cstheme="minorHAnsi"/>
          <w:szCs w:val="24"/>
        </w:rPr>
      </w:pPr>
      <w:r w:rsidRPr="00CA1A43">
        <w:rPr>
          <w:rFonts w:eastAsia="標楷體" w:cstheme="minorHAnsi"/>
          <w:szCs w:val="24"/>
        </w:rPr>
        <w:t>一般市場風險</w:t>
      </w:r>
    </w:p>
    <w:p w14:paraId="1E63BF22" w14:textId="77777777" w:rsidR="00525DBC" w:rsidRPr="00CA1A43" w:rsidRDefault="00525DBC" w:rsidP="0018781A">
      <w:pPr>
        <w:pStyle w:val="a7"/>
        <w:numPr>
          <w:ilvl w:val="0"/>
          <w:numId w:val="196"/>
        </w:numPr>
        <w:spacing w:beforeLines="50" w:before="180"/>
        <w:ind w:leftChars="0" w:left="964" w:hanging="482"/>
        <w:jc w:val="both"/>
        <w:rPr>
          <w:rFonts w:eastAsia="標楷體" w:cstheme="minorHAnsi"/>
          <w:strike/>
          <w:kern w:val="0"/>
          <w:szCs w:val="24"/>
        </w:rPr>
      </w:pPr>
      <w:r w:rsidRPr="00CA1A43">
        <w:rPr>
          <w:rFonts w:eastAsia="標楷體" w:cstheme="minorHAnsi"/>
          <w:szCs w:val="24"/>
        </w:rPr>
        <w:t>定義</w:t>
      </w:r>
      <w:r w:rsidRPr="00CA1A43">
        <w:rPr>
          <w:rFonts w:eastAsia="標楷體" w:cstheme="minorHAnsi"/>
          <w:kern w:val="0"/>
          <w:szCs w:val="24"/>
        </w:rPr>
        <w:t>：</w:t>
      </w:r>
      <w:r w:rsidRPr="00CA1A43">
        <w:rPr>
          <w:rFonts w:eastAsia="標楷體" w:cstheme="minorHAnsi"/>
          <w:szCs w:val="24"/>
        </w:rPr>
        <w:br/>
      </w:r>
      <w:r w:rsidRPr="00CA1A43">
        <w:rPr>
          <w:rFonts w:eastAsia="標楷體" w:cstheme="minorHAnsi"/>
          <w:szCs w:val="24"/>
        </w:rPr>
        <w:t>一般市場風險之資本要求係為捕捉因市場利率變動而產生損失之風險，資本要求須依各</w:t>
      </w:r>
      <w:proofErr w:type="gramStart"/>
      <w:r w:rsidRPr="00CA1A43">
        <w:rPr>
          <w:rFonts w:eastAsia="標楷體" w:cstheme="minorHAnsi"/>
          <w:szCs w:val="24"/>
        </w:rPr>
        <w:t>幣別並考量</w:t>
      </w:r>
      <w:proofErr w:type="gramEnd"/>
      <w:r w:rsidRPr="00CA1A43">
        <w:rPr>
          <w:rFonts w:eastAsia="標楷體" w:cstheme="minorHAnsi"/>
          <w:szCs w:val="24"/>
        </w:rPr>
        <w:t>時間帶計算後加總，不同幣別間長短部位不得互抵。</w:t>
      </w:r>
    </w:p>
    <w:p w14:paraId="73A843CE" w14:textId="77777777" w:rsidR="00525DBC" w:rsidRPr="00CA1A43" w:rsidRDefault="00525DBC" w:rsidP="0018781A">
      <w:pPr>
        <w:pStyle w:val="a7"/>
        <w:numPr>
          <w:ilvl w:val="0"/>
          <w:numId w:val="196"/>
        </w:numPr>
        <w:spacing w:beforeLines="50" w:before="180"/>
        <w:ind w:leftChars="0" w:left="964" w:hanging="482"/>
        <w:jc w:val="both"/>
        <w:rPr>
          <w:rFonts w:eastAsia="標楷體" w:cstheme="minorHAnsi"/>
          <w:szCs w:val="24"/>
        </w:rPr>
      </w:pPr>
      <w:r w:rsidRPr="00CA1A43">
        <w:rPr>
          <w:rFonts w:eastAsia="標楷體" w:cstheme="minorHAnsi"/>
          <w:szCs w:val="24"/>
        </w:rPr>
        <w:t>一般市場風險計提資本之方法</w:t>
      </w:r>
      <w:r w:rsidRPr="00CA1A43">
        <w:rPr>
          <w:rFonts w:eastAsia="標楷體" w:cstheme="minorHAnsi"/>
          <w:szCs w:val="24"/>
        </w:rPr>
        <w:t>:</w:t>
      </w:r>
      <w:r w:rsidRPr="00CA1A43">
        <w:rPr>
          <w:rFonts w:eastAsia="標楷體" w:cstheme="minorHAnsi"/>
          <w:szCs w:val="24"/>
        </w:rPr>
        <w:br/>
      </w:r>
      <w:r w:rsidRPr="00CA1A43">
        <w:rPr>
          <w:rFonts w:eastAsia="標楷體" w:cstheme="minorHAnsi"/>
          <w:szCs w:val="24"/>
        </w:rPr>
        <w:lastRenderedPageBreak/>
        <w:t>銀行可選擇到期法</w:t>
      </w:r>
      <w:r w:rsidRPr="00CA1A43">
        <w:rPr>
          <w:rFonts w:eastAsia="標楷體" w:cstheme="minorHAnsi"/>
          <w:szCs w:val="24"/>
        </w:rPr>
        <w:t>(maturity method)</w:t>
      </w:r>
      <w:r w:rsidRPr="00CA1A43">
        <w:rPr>
          <w:rFonts w:eastAsia="標楷體" w:cstheme="minorHAnsi"/>
          <w:szCs w:val="24"/>
        </w:rPr>
        <w:t>或存續期間法</w:t>
      </w:r>
      <w:r w:rsidRPr="00CA1A43">
        <w:rPr>
          <w:rFonts w:eastAsia="標楷體" w:cstheme="minorHAnsi"/>
          <w:szCs w:val="24"/>
        </w:rPr>
        <w:t>(duration method)</w:t>
      </w:r>
      <w:r w:rsidRPr="00CA1A43">
        <w:rPr>
          <w:rFonts w:eastAsia="標楷體" w:cstheme="minorHAnsi"/>
          <w:szCs w:val="24"/>
        </w:rPr>
        <w:t>。採用存續期間法須有能力正確計算每</w:t>
      </w:r>
      <w:proofErr w:type="gramStart"/>
      <w:r w:rsidRPr="00CA1A43">
        <w:rPr>
          <w:rFonts w:eastAsia="標楷體" w:cstheme="minorHAnsi"/>
          <w:szCs w:val="24"/>
        </w:rPr>
        <w:t>個</w:t>
      </w:r>
      <w:proofErr w:type="gramEnd"/>
      <w:r w:rsidRPr="00CA1A43">
        <w:rPr>
          <w:rFonts w:eastAsia="標楷體" w:cstheme="minorHAnsi"/>
          <w:szCs w:val="24"/>
        </w:rPr>
        <w:t>部位之價格敏感性，並須經本會核准。此兩方法之資本</w:t>
      </w:r>
      <w:proofErr w:type="gramStart"/>
      <w:r w:rsidRPr="00CA1A43">
        <w:rPr>
          <w:rFonts w:eastAsia="標楷體" w:cstheme="minorHAnsi"/>
          <w:szCs w:val="24"/>
        </w:rPr>
        <w:t>計提應包括</w:t>
      </w:r>
      <w:proofErr w:type="gramEnd"/>
      <w:r w:rsidRPr="00CA1A43">
        <w:rPr>
          <w:rFonts w:eastAsia="標楷體" w:cstheme="minorHAnsi"/>
          <w:szCs w:val="24"/>
        </w:rPr>
        <w:t>下列四部分</w:t>
      </w:r>
      <w:r w:rsidRPr="00CA1A43">
        <w:rPr>
          <w:rFonts w:eastAsia="標楷體" w:cstheme="minorHAnsi"/>
          <w:szCs w:val="24"/>
        </w:rPr>
        <w:t>:</w:t>
      </w:r>
    </w:p>
    <w:p w14:paraId="193E287B" w14:textId="77777777" w:rsidR="00525DBC" w:rsidRPr="00CA1A43" w:rsidRDefault="00525DBC" w:rsidP="0018781A">
      <w:pPr>
        <w:pStyle w:val="a7"/>
        <w:numPr>
          <w:ilvl w:val="0"/>
          <w:numId w:val="197"/>
        </w:numPr>
        <w:spacing w:beforeLines="50" w:before="180"/>
        <w:ind w:leftChars="0" w:left="1446" w:hanging="482"/>
        <w:jc w:val="both"/>
        <w:rPr>
          <w:rFonts w:eastAsia="標楷體" w:cstheme="minorHAnsi"/>
          <w:szCs w:val="24"/>
        </w:rPr>
      </w:pPr>
      <w:r w:rsidRPr="00CA1A43">
        <w:rPr>
          <w:rFonts w:eastAsia="標楷體" w:cstheme="minorHAnsi"/>
          <w:szCs w:val="24"/>
        </w:rPr>
        <w:t>「總體淨開放部位」為整體交易簿之</w:t>
      </w:r>
      <w:proofErr w:type="gramStart"/>
      <w:r w:rsidRPr="00CA1A43">
        <w:rPr>
          <w:rFonts w:eastAsia="標楷體" w:cstheme="minorHAnsi"/>
          <w:szCs w:val="24"/>
        </w:rPr>
        <w:t>淨長或淨短</w:t>
      </w:r>
      <w:proofErr w:type="gramEnd"/>
      <w:r w:rsidRPr="00CA1A43">
        <w:rPr>
          <w:rFonts w:eastAsia="標楷體" w:cstheme="minorHAnsi"/>
          <w:szCs w:val="24"/>
        </w:rPr>
        <w:t>部位；</w:t>
      </w:r>
    </w:p>
    <w:p w14:paraId="00A3A6DE" w14:textId="77777777" w:rsidR="00525DBC" w:rsidRPr="00CA1A43" w:rsidRDefault="00525DBC" w:rsidP="0018781A">
      <w:pPr>
        <w:pStyle w:val="a7"/>
        <w:numPr>
          <w:ilvl w:val="0"/>
          <w:numId w:val="197"/>
        </w:numPr>
        <w:spacing w:beforeLines="50" w:before="180"/>
        <w:ind w:leftChars="0" w:left="1446" w:hanging="482"/>
        <w:jc w:val="both"/>
        <w:rPr>
          <w:rFonts w:eastAsia="標楷體" w:cstheme="minorHAnsi"/>
          <w:szCs w:val="24"/>
        </w:rPr>
      </w:pPr>
      <w:r w:rsidRPr="00CA1A43">
        <w:rPr>
          <w:rFonts w:eastAsia="標楷體" w:cstheme="minorHAnsi"/>
          <w:szCs w:val="24"/>
        </w:rPr>
        <w:t>「垂直非抵銷部分」為依各時間帶內搭配部位之部分；</w:t>
      </w:r>
    </w:p>
    <w:p w14:paraId="21453E42" w14:textId="77777777" w:rsidR="00525DBC" w:rsidRPr="00CA1A43" w:rsidRDefault="00525DBC" w:rsidP="0018781A">
      <w:pPr>
        <w:pStyle w:val="a7"/>
        <w:numPr>
          <w:ilvl w:val="0"/>
          <w:numId w:val="197"/>
        </w:numPr>
        <w:spacing w:beforeLines="50" w:before="180"/>
        <w:ind w:leftChars="0" w:left="1446" w:hanging="482"/>
        <w:jc w:val="both"/>
        <w:rPr>
          <w:rFonts w:eastAsia="標楷體" w:cstheme="minorHAnsi"/>
          <w:szCs w:val="24"/>
        </w:rPr>
      </w:pPr>
      <w:r w:rsidRPr="00CA1A43">
        <w:rPr>
          <w:rFonts w:eastAsia="標楷體" w:cstheme="minorHAnsi"/>
          <w:szCs w:val="24"/>
        </w:rPr>
        <w:t>「水平非抵銷部分」為依不同時間帶間搭配部位之部分；</w:t>
      </w:r>
    </w:p>
    <w:p w14:paraId="787238E0" w14:textId="77777777" w:rsidR="00BE609F" w:rsidRPr="00CA1A43" w:rsidRDefault="00525DBC" w:rsidP="0018781A">
      <w:pPr>
        <w:pStyle w:val="a7"/>
        <w:numPr>
          <w:ilvl w:val="0"/>
          <w:numId w:val="197"/>
        </w:numPr>
        <w:spacing w:beforeLines="50" w:before="180"/>
        <w:ind w:leftChars="0" w:left="1446" w:hanging="482"/>
        <w:jc w:val="both"/>
        <w:rPr>
          <w:rFonts w:eastAsia="標楷體" w:cstheme="minorHAnsi"/>
          <w:szCs w:val="24"/>
        </w:rPr>
      </w:pPr>
      <w:r w:rsidRPr="00CA1A43">
        <w:rPr>
          <w:rFonts w:eastAsia="標楷體" w:cstheme="minorHAnsi"/>
          <w:szCs w:val="24"/>
        </w:rPr>
        <w:t>選擇權部位之計提淨額</w:t>
      </w:r>
      <w:r w:rsidRPr="00CA1A43">
        <w:rPr>
          <w:rFonts w:eastAsia="標楷體" w:cstheme="minorHAnsi"/>
          <w:szCs w:val="24"/>
        </w:rPr>
        <w:t>(</w:t>
      </w:r>
      <w:r w:rsidRPr="00CA1A43">
        <w:rPr>
          <w:rFonts w:eastAsia="標楷體" w:cstheme="minorHAnsi"/>
          <w:szCs w:val="24"/>
        </w:rPr>
        <w:t>當以情境法計算選擇權資本要求</w:t>
      </w:r>
      <w:r w:rsidRPr="00CA1A43">
        <w:rPr>
          <w:rFonts w:eastAsia="標楷體" w:cstheme="minorHAnsi"/>
          <w:szCs w:val="24"/>
        </w:rPr>
        <w:t>)</w:t>
      </w:r>
      <w:r w:rsidRPr="00CA1A43">
        <w:rPr>
          <w:rFonts w:eastAsia="標楷體" w:cstheme="minorHAnsi"/>
          <w:szCs w:val="24"/>
        </w:rPr>
        <w:t>。</w:t>
      </w:r>
    </w:p>
    <w:p w14:paraId="50FCD8FB" w14:textId="77777777" w:rsidR="00525DBC" w:rsidRPr="00CA1A43" w:rsidRDefault="00525DBC" w:rsidP="0018781A">
      <w:pPr>
        <w:pStyle w:val="a7"/>
        <w:numPr>
          <w:ilvl w:val="0"/>
          <w:numId w:val="196"/>
        </w:numPr>
        <w:spacing w:beforeLines="50" w:before="180"/>
        <w:ind w:leftChars="0" w:left="964" w:hanging="482"/>
        <w:jc w:val="both"/>
        <w:rPr>
          <w:rFonts w:eastAsia="標楷體" w:cstheme="minorHAnsi"/>
          <w:kern w:val="0"/>
          <w:szCs w:val="24"/>
        </w:rPr>
      </w:pPr>
      <w:r w:rsidRPr="00CA1A43">
        <w:rPr>
          <w:rFonts w:eastAsia="標楷體" w:cstheme="minorHAnsi"/>
          <w:szCs w:val="24"/>
        </w:rPr>
        <w:t>到期法</w:t>
      </w:r>
      <w:r w:rsidR="00D7135E" w:rsidRPr="00CA1A43">
        <w:rPr>
          <w:rFonts w:eastAsia="標楷體" w:cstheme="minorHAnsi"/>
          <w:szCs w:val="24"/>
        </w:rPr>
        <w:t>：</w:t>
      </w:r>
    </w:p>
    <w:p w14:paraId="0F1CF120" w14:textId="566EF649" w:rsidR="00525DBC" w:rsidRPr="00CA1A43" w:rsidRDefault="00525DBC" w:rsidP="008C0E02">
      <w:pPr>
        <w:pStyle w:val="a7"/>
        <w:numPr>
          <w:ilvl w:val="0"/>
          <w:numId w:val="201"/>
        </w:numPr>
        <w:spacing w:beforeLines="50" w:before="180"/>
        <w:ind w:leftChars="0" w:left="1446" w:hanging="482"/>
        <w:jc w:val="both"/>
        <w:rPr>
          <w:rFonts w:eastAsia="標楷體" w:cstheme="minorHAnsi"/>
          <w:kern w:val="0"/>
          <w:szCs w:val="24"/>
        </w:rPr>
      </w:pPr>
      <w:r w:rsidRPr="00CA1A43">
        <w:rPr>
          <w:rFonts w:eastAsia="標楷體" w:cstheme="minorHAnsi"/>
          <w:szCs w:val="24"/>
        </w:rPr>
        <w:t>將債券及包括衍生性</w:t>
      </w:r>
      <w:r w:rsidR="009653EE" w:rsidRPr="00050EA7">
        <w:rPr>
          <w:rFonts w:eastAsia="標楷體" w:cstheme="minorHAnsi"/>
          <w:szCs w:val="24"/>
        </w:rPr>
        <w:t>工具</w:t>
      </w:r>
      <w:r w:rsidRPr="00CA1A43">
        <w:rPr>
          <w:rFonts w:eastAsia="標楷體" w:cstheme="minorHAnsi"/>
          <w:szCs w:val="24"/>
        </w:rPr>
        <w:t>在內之其他利率</w:t>
      </w:r>
      <w:proofErr w:type="gramStart"/>
      <w:r w:rsidRPr="00CA1A43">
        <w:rPr>
          <w:rFonts w:eastAsia="標楷體" w:cstheme="minorHAnsi"/>
          <w:szCs w:val="24"/>
        </w:rPr>
        <w:t>風險暴險部位</w:t>
      </w:r>
      <w:proofErr w:type="gramEnd"/>
      <w:r w:rsidRPr="00CA1A43">
        <w:rPr>
          <w:rFonts w:eastAsia="標楷體" w:cstheme="minorHAnsi"/>
          <w:szCs w:val="24"/>
        </w:rPr>
        <w:t>的長部位或短部位，依到期日歸入十三</w:t>
      </w:r>
      <w:proofErr w:type="gramStart"/>
      <w:r w:rsidRPr="00CA1A43">
        <w:rPr>
          <w:rFonts w:eastAsia="標楷體" w:cstheme="minorHAnsi"/>
          <w:szCs w:val="24"/>
        </w:rPr>
        <w:t>個</w:t>
      </w:r>
      <w:proofErr w:type="gramEnd"/>
      <w:r w:rsidRPr="00CA1A43">
        <w:rPr>
          <w:rFonts w:eastAsia="標楷體" w:cstheme="minorHAnsi"/>
          <w:szCs w:val="24"/>
        </w:rPr>
        <w:t>時間帶</w:t>
      </w:r>
      <w:r w:rsidRPr="00CA1A43">
        <w:rPr>
          <w:rFonts w:eastAsia="標楷體" w:cstheme="minorHAnsi"/>
          <w:szCs w:val="24"/>
        </w:rPr>
        <w:t>(</w:t>
      </w:r>
      <w:r w:rsidRPr="00CA1A43">
        <w:rPr>
          <w:rFonts w:eastAsia="標楷體" w:cstheme="minorHAnsi"/>
          <w:szCs w:val="24"/>
        </w:rPr>
        <w:t>息票利率</w:t>
      </w:r>
      <w:r w:rsidRPr="00CA1A43">
        <w:rPr>
          <w:rFonts w:eastAsia="標楷體" w:cstheme="minorHAnsi"/>
          <w:szCs w:val="24"/>
        </w:rPr>
        <w:t>3%</w:t>
      </w:r>
      <w:r w:rsidRPr="00CA1A43">
        <w:rPr>
          <w:rFonts w:eastAsia="標楷體" w:cstheme="minorHAnsi"/>
          <w:szCs w:val="24"/>
        </w:rPr>
        <w:t>以上</w:t>
      </w:r>
      <w:r w:rsidRPr="00CA1A43">
        <w:rPr>
          <w:rFonts w:eastAsia="標楷體" w:cstheme="minorHAnsi"/>
          <w:szCs w:val="24"/>
        </w:rPr>
        <w:t>)</w:t>
      </w:r>
      <w:r w:rsidRPr="00CA1A43">
        <w:rPr>
          <w:rFonts w:eastAsia="標楷體" w:cstheme="minorHAnsi"/>
          <w:szCs w:val="24"/>
        </w:rPr>
        <w:t>或十五</w:t>
      </w:r>
      <w:proofErr w:type="gramStart"/>
      <w:r w:rsidRPr="00CA1A43">
        <w:rPr>
          <w:rFonts w:eastAsia="標楷體" w:cstheme="minorHAnsi"/>
          <w:szCs w:val="24"/>
        </w:rPr>
        <w:t>個</w:t>
      </w:r>
      <w:proofErr w:type="gramEnd"/>
      <w:r w:rsidRPr="00CA1A43">
        <w:rPr>
          <w:rFonts w:eastAsia="標楷體" w:cstheme="minorHAnsi"/>
          <w:szCs w:val="24"/>
        </w:rPr>
        <w:t>(</w:t>
      </w:r>
      <w:r w:rsidRPr="00CA1A43">
        <w:rPr>
          <w:rFonts w:eastAsia="標楷體" w:cstheme="minorHAnsi"/>
          <w:szCs w:val="24"/>
        </w:rPr>
        <w:t>息票利率未達</w:t>
      </w:r>
      <w:r w:rsidRPr="00CA1A43">
        <w:rPr>
          <w:rFonts w:eastAsia="標楷體" w:cstheme="minorHAnsi"/>
          <w:szCs w:val="24"/>
        </w:rPr>
        <w:t>3%)</w:t>
      </w:r>
      <w:proofErr w:type="gramStart"/>
      <w:r w:rsidRPr="00CA1A43">
        <w:rPr>
          <w:rFonts w:eastAsia="標楷體" w:cstheme="minorHAnsi"/>
          <w:szCs w:val="24"/>
        </w:rPr>
        <w:t>個</w:t>
      </w:r>
      <w:proofErr w:type="gramEnd"/>
      <w:r w:rsidRPr="00CA1A43">
        <w:rPr>
          <w:rFonts w:eastAsia="標楷體" w:cstheme="minorHAnsi"/>
          <w:szCs w:val="24"/>
        </w:rPr>
        <w:t>時間帶。</w:t>
      </w:r>
    </w:p>
    <w:p w14:paraId="645B073A" w14:textId="7CB69FB7" w:rsidR="00525DBC" w:rsidRPr="00CA1A43" w:rsidRDefault="00525DBC" w:rsidP="008C0E02">
      <w:pPr>
        <w:pStyle w:val="a7"/>
        <w:numPr>
          <w:ilvl w:val="0"/>
          <w:numId w:val="201"/>
        </w:numPr>
        <w:spacing w:beforeLines="50" w:before="180"/>
        <w:ind w:leftChars="0" w:left="1446" w:hanging="482"/>
        <w:jc w:val="both"/>
        <w:rPr>
          <w:rFonts w:eastAsia="標楷體" w:cstheme="minorHAnsi"/>
          <w:szCs w:val="24"/>
        </w:rPr>
      </w:pPr>
      <w:r w:rsidRPr="00CA1A43">
        <w:rPr>
          <w:rFonts w:eastAsia="標楷體" w:cstheme="minorHAnsi"/>
          <w:szCs w:val="24"/>
        </w:rPr>
        <w:t>固定利率債務</w:t>
      </w:r>
      <w:r w:rsidR="009653EE" w:rsidRPr="00050EA7">
        <w:rPr>
          <w:rFonts w:eastAsia="標楷體" w:cstheme="minorHAnsi"/>
          <w:szCs w:val="24"/>
        </w:rPr>
        <w:t>工具</w:t>
      </w:r>
      <w:r w:rsidRPr="00050EA7">
        <w:rPr>
          <w:rFonts w:eastAsia="標楷體" w:cstheme="minorHAnsi"/>
          <w:szCs w:val="24"/>
        </w:rPr>
        <w:t>依其殘餘期間歸入時間帶，浮動利率債務</w:t>
      </w:r>
      <w:r w:rsidR="009653EE" w:rsidRPr="00050EA7">
        <w:rPr>
          <w:rFonts w:eastAsia="標楷體" w:cstheme="minorHAnsi"/>
          <w:szCs w:val="24"/>
        </w:rPr>
        <w:t>工具</w:t>
      </w:r>
      <w:proofErr w:type="gramStart"/>
      <w:r w:rsidRPr="00050EA7">
        <w:rPr>
          <w:rFonts w:eastAsia="標楷體" w:cstheme="minorHAnsi"/>
          <w:szCs w:val="24"/>
        </w:rPr>
        <w:t>則依距下次</w:t>
      </w:r>
      <w:proofErr w:type="gramEnd"/>
      <w:r w:rsidRPr="00050EA7">
        <w:rPr>
          <w:rFonts w:eastAsia="標楷體" w:cstheme="minorHAnsi"/>
          <w:szCs w:val="24"/>
        </w:rPr>
        <w:t>利率重設定日之</w:t>
      </w:r>
      <w:r w:rsidRPr="00CA1A43">
        <w:rPr>
          <w:rFonts w:eastAsia="標楷體" w:cstheme="minorHAnsi"/>
          <w:szCs w:val="24"/>
        </w:rPr>
        <w:t>期間歸入時間帶。</w:t>
      </w:r>
    </w:p>
    <w:p w14:paraId="13313B87" w14:textId="77777777" w:rsidR="00525DBC" w:rsidRPr="00CA1A43" w:rsidRDefault="00525DBC" w:rsidP="008C0E02">
      <w:pPr>
        <w:pStyle w:val="a7"/>
        <w:numPr>
          <w:ilvl w:val="0"/>
          <w:numId w:val="201"/>
        </w:numPr>
        <w:spacing w:beforeLines="50" w:before="180"/>
        <w:ind w:leftChars="0" w:left="1446" w:hanging="482"/>
        <w:jc w:val="both"/>
        <w:rPr>
          <w:rFonts w:eastAsia="標楷體" w:cstheme="minorHAnsi"/>
          <w:szCs w:val="24"/>
        </w:rPr>
      </w:pPr>
      <w:r w:rsidRPr="00CA1A43">
        <w:rPr>
          <w:rFonts w:eastAsia="標楷體" w:cstheme="minorHAnsi"/>
          <w:szCs w:val="24"/>
        </w:rPr>
        <w:t>相同發行條件商品</w:t>
      </w:r>
      <w:r w:rsidRPr="00CA1A43">
        <w:rPr>
          <w:rFonts w:eastAsia="標楷體" w:cstheme="minorHAnsi"/>
          <w:szCs w:val="24"/>
        </w:rPr>
        <w:t>(</w:t>
      </w:r>
      <w:r w:rsidRPr="00CA1A43">
        <w:rPr>
          <w:rFonts w:eastAsia="標楷體" w:cstheme="minorHAnsi"/>
          <w:szCs w:val="24"/>
        </w:rPr>
        <w:t>相同發行人發行相同之金融商品</w:t>
      </w:r>
      <w:r w:rsidRPr="00CA1A43">
        <w:rPr>
          <w:rFonts w:eastAsia="標楷體" w:cstheme="minorHAnsi"/>
          <w:szCs w:val="24"/>
        </w:rPr>
        <w:t>)</w:t>
      </w:r>
      <w:r w:rsidRPr="00CA1A43">
        <w:rPr>
          <w:rFonts w:eastAsia="標楷體" w:cstheme="minorHAnsi"/>
          <w:szCs w:val="24"/>
        </w:rPr>
        <w:t>且相同金額之反向部位，不論實質部位或名目本金，可不計算利率風險資本計提。符合以下利率衍生性金融商品規範所述條件之近似搭配的交換合約、遠期契約、期貨合約、遠期利率協議亦可不計提。</w:t>
      </w:r>
    </w:p>
    <w:p w14:paraId="62C55C65" w14:textId="77777777" w:rsidR="00293746" w:rsidRPr="00CA1A43" w:rsidRDefault="00293746" w:rsidP="008C0E02">
      <w:pPr>
        <w:pStyle w:val="a7"/>
        <w:numPr>
          <w:ilvl w:val="0"/>
          <w:numId w:val="201"/>
        </w:numPr>
        <w:spacing w:beforeLines="50" w:before="180"/>
        <w:ind w:leftChars="0" w:left="1446" w:hanging="482"/>
        <w:jc w:val="both"/>
        <w:rPr>
          <w:rFonts w:eastAsia="標楷體" w:cstheme="minorHAnsi"/>
          <w:kern w:val="0"/>
          <w:szCs w:val="24"/>
        </w:rPr>
      </w:pPr>
      <w:r w:rsidRPr="00CA1A43">
        <w:rPr>
          <w:rFonts w:eastAsia="標楷體" w:cstheme="minorHAnsi"/>
          <w:szCs w:val="24"/>
        </w:rPr>
        <w:t>資本計提之步驟</w:t>
      </w:r>
      <w:r w:rsidRPr="00CA1A43">
        <w:rPr>
          <w:rFonts w:eastAsia="標楷體" w:cstheme="minorHAnsi"/>
          <w:szCs w:val="24"/>
        </w:rPr>
        <w:t>:</w:t>
      </w:r>
    </w:p>
    <w:p w14:paraId="48766AEE" w14:textId="77777777" w:rsidR="00293746" w:rsidRPr="00CA1A43" w:rsidRDefault="00293746" w:rsidP="008C0E02">
      <w:pPr>
        <w:pStyle w:val="a7"/>
        <w:numPr>
          <w:ilvl w:val="0"/>
          <w:numId w:val="202"/>
        </w:numPr>
        <w:spacing w:beforeLines="50" w:before="180"/>
        <w:ind w:leftChars="0"/>
        <w:jc w:val="both"/>
        <w:rPr>
          <w:rFonts w:eastAsia="標楷體" w:cstheme="minorHAnsi"/>
          <w:kern w:val="0"/>
          <w:szCs w:val="24"/>
        </w:rPr>
      </w:pPr>
      <w:r w:rsidRPr="00CA1A43">
        <w:rPr>
          <w:rFonts w:eastAsia="標楷體" w:cstheme="minorHAnsi"/>
          <w:kern w:val="0"/>
          <w:szCs w:val="24"/>
        </w:rPr>
        <w:t>計算同一</w:t>
      </w:r>
      <w:r w:rsidRPr="00CA1A43">
        <w:rPr>
          <w:rFonts w:eastAsia="標楷體" w:cstheme="minorHAnsi"/>
          <w:szCs w:val="24"/>
        </w:rPr>
        <w:t>時間</w:t>
      </w:r>
      <w:r w:rsidRPr="00CA1A43">
        <w:rPr>
          <w:rFonts w:eastAsia="標楷體" w:cstheme="minorHAnsi"/>
          <w:kern w:val="0"/>
          <w:szCs w:val="24"/>
        </w:rPr>
        <w:t>帶之加權部位</w:t>
      </w:r>
      <w:r w:rsidRPr="00CA1A43">
        <w:rPr>
          <w:rFonts w:eastAsia="標楷體" w:cstheme="minorHAnsi"/>
          <w:kern w:val="0"/>
          <w:szCs w:val="24"/>
        </w:rPr>
        <w:t>:</w:t>
      </w:r>
      <w:r w:rsidRPr="00CA1A43">
        <w:rPr>
          <w:rFonts w:eastAsia="標楷體" w:cstheme="minorHAnsi"/>
          <w:kern w:val="0"/>
          <w:szCs w:val="24"/>
        </w:rPr>
        <w:br/>
      </w:r>
      <w:r w:rsidRPr="00CA1A43">
        <w:rPr>
          <w:rFonts w:eastAsia="標楷體" w:cstheme="minorHAnsi"/>
          <w:szCs w:val="24"/>
        </w:rPr>
        <w:t>將每</w:t>
      </w:r>
      <w:proofErr w:type="gramStart"/>
      <w:r w:rsidRPr="00CA1A43">
        <w:rPr>
          <w:rFonts w:eastAsia="標楷體" w:cstheme="minorHAnsi"/>
          <w:szCs w:val="24"/>
        </w:rPr>
        <w:t>個</w:t>
      </w:r>
      <w:proofErr w:type="gramEnd"/>
      <w:r w:rsidRPr="00CA1A43">
        <w:rPr>
          <w:rFonts w:eastAsia="標楷體" w:cstheme="minorHAnsi"/>
          <w:szCs w:val="24"/>
        </w:rPr>
        <w:t>時間帶之長、短部位</w:t>
      </w:r>
      <w:r w:rsidRPr="00CA1A43">
        <w:rPr>
          <w:rFonts w:eastAsia="標楷體" w:cstheme="minorHAnsi"/>
          <w:szCs w:val="24"/>
        </w:rPr>
        <w:t>(</w:t>
      </w:r>
      <w:r w:rsidRPr="00CA1A43">
        <w:rPr>
          <w:rFonts w:eastAsia="標楷體" w:cstheme="minorHAnsi"/>
          <w:szCs w:val="24"/>
        </w:rPr>
        <w:t>市場價值</w:t>
      </w:r>
      <w:r w:rsidRPr="00CA1A43">
        <w:rPr>
          <w:rFonts w:eastAsia="標楷體" w:cstheme="minorHAnsi"/>
          <w:szCs w:val="24"/>
        </w:rPr>
        <w:t>)</w:t>
      </w:r>
      <w:r w:rsidRPr="00CA1A43">
        <w:rPr>
          <w:rFonts w:eastAsia="標楷體" w:cstheme="minorHAnsi"/>
          <w:szCs w:val="24"/>
        </w:rPr>
        <w:t>分別乘以規定之資本計提率</w:t>
      </w:r>
      <w:r w:rsidRPr="00CA1A43">
        <w:rPr>
          <w:rFonts w:eastAsia="標楷體" w:cstheme="minorHAnsi"/>
          <w:szCs w:val="24"/>
        </w:rPr>
        <w:t>(</w:t>
      </w:r>
      <w:r w:rsidRPr="00CA1A43">
        <w:rPr>
          <w:rFonts w:eastAsia="標楷體" w:cstheme="minorHAnsi"/>
          <w:szCs w:val="24"/>
        </w:rPr>
        <w:t>表</w:t>
      </w:r>
      <w:r w:rsidR="002376F9">
        <w:rPr>
          <w:rFonts w:eastAsia="標楷體" w:cstheme="minorHAnsi" w:hint="eastAsia"/>
          <w:szCs w:val="24"/>
        </w:rPr>
        <w:t>17</w:t>
      </w:r>
      <w:r w:rsidRPr="00CA1A43">
        <w:rPr>
          <w:rFonts w:eastAsia="標楷體" w:cstheme="minorHAnsi"/>
          <w:szCs w:val="24"/>
        </w:rPr>
        <w:t>)</w:t>
      </w:r>
      <w:r w:rsidRPr="00CA1A43">
        <w:rPr>
          <w:rFonts w:eastAsia="標楷體" w:cstheme="minorHAnsi"/>
          <w:szCs w:val="24"/>
        </w:rPr>
        <w:t>，得出每</w:t>
      </w:r>
      <w:proofErr w:type="gramStart"/>
      <w:r w:rsidRPr="00CA1A43">
        <w:rPr>
          <w:rFonts w:eastAsia="標楷體" w:cstheme="minorHAnsi"/>
          <w:szCs w:val="24"/>
        </w:rPr>
        <w:t>個</w:t>
      </w:r>
      <w:proofErr w:type="gramEnd"/>
      <w:r w:rsidRPr="00CA1A43">
        <w:rPr>
          <w:rFonts w:eastAsia="標楷體" w:cstheme="minorHAnsi"/>
          <w:szCs w:val="24"/>
        </w:rPr>
        <w:t>時間帶之長、短加權部位。零息債券及息票利率低於</w:t>
      </w:r>
      <w:r w:rsidRPr="00CA1A43">
        <w:rPr>
          <w:rFonts w:eastAsia="標楷體" w:cstheme="minorHAnsi"/>
          <w:szCs w:val="24"/>
        </w:rPr>
        <w:t>3%</w:t>
      </w:r>
      <w:r w:rsidRPr="00CA1A43">
        <w:rPr>
          <w:rFonts w:eastAsia="標楷體" w:cstheme="minorHAnsi"/>
          <w:szCs w:val="24"/>
        </w:rPr>
        <w:t>之債券則</w:t>
      </w:r>
      <w:proofErr w:type="gramStart"/>
      <w:r w:rsidRPr="00CA1A43">
        <w:rPr>
          <w:rFonts w:eastAsia="標楷體" w:cstheme="minorHAnsi"/>
          <w:szCs w:val="24"/>
        </w:rPr>
        <w:t>應依表</w:t>
      </w:r>
      <w:proofErr w:type="gramEnd"/>
      <w:r w:rsidR="002376F9">
        <w:rPr>
          <w:rFonts w:eastAsia="標楷體" w:cstheme="minorHAnsi" w:hint="eastAsia"/>
          <w:szCs w:val="24"/>
        </w:rPr>
        <w:t>17</w:t>
      </w:r>
      <w:r w:rsidRPr="00CA1A43">
        <w:rPr>
          <w:rFonts w:eastAsia="標楷體" w:cstheme="minorHAnsi"/>
          <w:szCs w:val="24"/>
        </w:rPr>
        <w:t>第二欄所設定之時間帶歸入。</w:t>
      </w:r>
    </w:p>
    <w:tbl>
      <w:tblPr>
        <w:tblW w:w="5000" w:type="pct"/>
        <w:tblBorders>
          <w:top w:val="single" w:sz="4" w:space="0" w:color="auto"/>
          <w:bottom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120"/>
        <w:gridCol w:w="3116"/>
        <w:gridCol w:w="993"/>
        <w:gridCol w:w="231"/>
        <w:gridCol w:w="846"/>
      </w:tblGrid>
      <w:tr w:rsidR="00293746" w:rsidRPr="00CA1A43" w14:paraId="33C98CC0" w14:textId="77777777" w:rsidTr="004708E6">
        <w:trPr>
          <w:cantSplit/>
          <w:trHeight w:val="454"/>
        </w:trPr>
        <w:tc>
          <w:tcPr>
            <w:tcW w:w="4491" w:type="pct"/>
            <w:gridSpan w:val="4"/>
            <w:tcBorders>
              <w:top w:val="single" w:sz="4" w:space="0" w:color="auto"/>
              <w:left w:val="nil"/>
              <w:bottom w:val="single" w:sz="4" w:space="0" w:color="auto"/>
              <w:right w:val="nil"/>
            </w:tcBorders>
            <w:vAlign w:val="center"/>
            <w:hideMark/>
          </w:tcPr>
          <w:p w14:paraId="01F0F6F2" w14:textId="77777777" w:rsidR="00293746" w:rsidRPr="00CA1A43" w:rsidRDefault="00293746"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到期法：時間帶及資本計提率</w:t>
            </w:r>
          </w:p>
        </w:tc>
        <w:tc>
          <w:tcPr>
            <w:tcW w:w="509" w:type="pct"/>
            <w:tcBorders>
              <w:top w:val="single" w:sz="4" w:space="0" w:color="auto"/>
              <w:left w:val="nil"/>
              <w:bottom w:val="single" w:sz="4" w:space="0" w:color="auto"/>
              <w:right w:val="nil"/>
            </w:tcBorders>
            <w:vAlign w:val="center"/>
            <w:hideMark/>
          </w:tcPr>
          <w:p w14:paraId="143E4429" w14:textId="77777777" w:rsidR="00293746" w:rsidRPr="00CA1A43" w:rsidRDefault="00293746" w:rsidP="004708E6">
            <w:pPr>
              <w:pStyle w:val="Item"/>
              <w:ind w:right="100"/>
              <w:jc w:val="right"/>
              <w:rPr>
                <w:rFonts w:asciiTheme="minorHAnsi" w:hAnsiTheme="minorHAnsi" w:cstheme="minorHAnsi"/>
                <w:sz w:val="24"/>
                <w:szCs w:val="24"/>
              </w:rPr>
            </w:pPr>
            <w:r w:rsidRPr="00CA1A43">
              <w:rPr>
                <w:rFonts w:asciiTheme="minorHAnsi" w:hAnsiTheme="minorHAnsi" w:cstheme="minorHAnsi"/>
                <w:sz w:val="24"/>
                <w:szCs w:val="24"/>
              </w:rPr>
              <w:t>表</w:t>
            </w:r>
            <w:r w:rsidR="002376F9">
              <w:rPr>
                <w:rFonts w:asciiTheme="minorHAnsi" w:hAnsiTheme="minorHAnsi" w:cstheme="minorHAnsi" w:hint="eastAsia"/>
                <w:sz w:val="24"/>
                <w:szCs w:val="24"/>
              </w:rPr>
              <w:t>17</w:t>
            </w:r>
          </w:p>
        </w:tc>
      </w:tr>
      <w:tr w:rsidR="00293746" w:rsidRPr="00CA1A43" w14:paraId="367C41C5" w14:textId="77777777" w:rsidTr="00293746">
        <w:trPr>
          <w:cantSplit/>
          <w:trHeight w:val="282"/>
        </w:trPr>
        <w:tc>
          <w:tcPr>
            <w:tcW w:w="1878" w:type="pct"/>
            <w:tcBorders>
              <w:top w:val="single" w:sz="4" w:space="0" w:color="auto"/>
              <w:left w:val="nil"/>
              <w:bottom w:val="single" w:sz="4" w:space="0" w:color="auto"/>
              <w:right w:val="single" w:sz="8" w:space="0" w:color="BFBFBF"/>
            </w:tcBorders>
            <w:vAlign w:val="center"/>
            <w:hideMark/>
          </w:tcPr>
          <w:p w14:paraId="5629608A"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息票利率</w:t>
            </w:r>
            <w:r w:rsidRPr="00CA1A43">
              <w:rPr>
                <w:rFonts w:asciiTheme="minorHAnsi" w:hAnsiTheme="minorHAnsi" w:cstheme="minorHAnsi"/>
                <w:sz w:val="24"/>
                <w:szCs w:val="24"/>
              </w:rPr>
              <w:t>3%(</w:t>
            </w:r>
            <w:r w:rsidRPr="00CA1A43">
              <w:rPr>
                <w:rFonts w:asciiTheme="minorHAnsi" w:hAnsiTheme="minorHAnsi" w:cstheme="minorHAnsi"/>
                <w:sz w:val="24"/>
                <w:szCs w:val="24"/>
              </w:rPr>
              <w:t>含</w:t>
            </w:r>
            <w:r w:rsidRPr="00CA1A43">
              <w:rPr>
                <w:rFonts w:asciiTheme="minorHAnsi" w:hAnsiTheme="minorHAnsi" w:cstheme="minorHAnsi"/>
                <w:sz w:val="24"/>
                <w:szCs w:val="24"/>
              </w:rPr>
              <w:t>)</w:t>
            </w:r>
            <w:r w:rsidRPr="00CA1A43">
              <w:rPr>
                <w:rFonts w:asciiTheme="minorHAnsi" w:hAnsiTheme="minorHAnsi" w:cstheme="minorHAnsi"/>
                <w:sz w:val="24"/>
                <w:szCs w:val="24"/>
              </w:rPr>
              <w:t>以上</w:t>
            </w:r>
          </w:p>
        </w:tc>
        <w:tc>
          <w:tcPr>
            <w:tcW w:w="1876" w:type="pct"/>
            <w:tcBorders>
              <w:top w:val="single" w:sz="4" w:space="0" w:color="auto"/>
              <w:left w:val="single" w:sz="8" w:space="0" w:color="BFBFBF"/>
              <w:bottom w:val="single" w:sz="4" w:space="0" w:color="auto"/>
              <w:right w:val="single" w:sz="8" w:space="0" w:color="BFBFBF"/>
            </w:tcBorders>
            <w:vAlign w:val="center"/>
            <w:hideMark/>
          </w:tcPr>
          <w:p w14:paraId="0C697038"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息票利率未達</w:t>
            </w:r>
            <w:r w:rsidRPr="00CA1A43">
              <w:rPr>
                <w:rFonts w:asciiTheme="minorHAnsi" w:hAnsiTheme="minorHAnsi" w:cstheme="minorHAnsi"/>
                <w:sz w:val="24"/>
                <w:szCs w:val="24"/>
              </w:rPr>
              <w:t>3%</w:t>
            </w:r>
          </w:p>
        </w:tc>
        <w:tc>
          <w:tcPr>
            <w:tcW w:w="598" w:type="pct"/>
            <w:tcBorders>
              <w:top w:val="single" w:sz="4" w:space="0" w:color="auto"/>
              <w:left w:val="single" w:sz="8" w:space="0" w:color="BFBFBF"/>
              <w:bottom w:val="single" w:sz="4" w:space="0" w:color="auto"/>
              <w:right w:val="single" w:sz="8" w:space="0" w:color="BFBFBF"/>
            </w:tcBorders>
            <w:vAlign w:val="center"/>
            <w:hideMark/>
          </w:tcPr>
          <w:p w14:paraId="4402BEE7" w14:textId="77777777" w:rsidR="00293746" w:rsidRPr="00CA1A43" w:rsidRDefault="00293746" w:rsidP="004708E6">
            <w:pPr>
              <w:pStyle w:val="Item"/>
              <w:jc w:val="center"/>
              <w:rPr>
                <w:rFonts w:asciiTheme="minorHAnsi" w:hAnsiTheme="minorHAnsi" w:cstheme="minorHAnsi"/>
                <w:strike/>
                <w:sz w:val="24"/>
                <w:szCs w:val="24"/>
              </w:rPr>
            </w:pPr>
            <w:r w:rsidRPr="00CA1A43">
              <w:rPr>
                <w:rFonts w:asciiTheme="minorHAnsi" w:hAnsiTheme="minorHAnsi" w:cstheme="minorHAnsi"/>
                <w:sz w:val="24"/>
                <w:szCs w:val="24"/>
              </w:rPr>
              <w:t>資本計提率</w:t>
            </w:r>
          </w:p>
        </w:tc>
        <w:tc>
          <w:tcPr>
            <w:tcW w:w="648" w:type="pct"/>
            <w:gridSpan w:val="2"/>
            <w:tcBorders>
              <w:top w:val="single" w:sz="4" w:space="0" w:color="auto"/>
              <w:left w:val="single" w:sz="8" w:space="0" w:color="BFBFBF"/>
              <w:bottom w:val="single" w:sz="4" w:space="0" w:color="auto"/>
              <w:right w:val="nil"/>
            </w:tcBorders>
            <w:vAlign w:val="center"/>
            <w:hideMark/>
          </w:tcPr>
          <w:p w14:paraId="3862845A"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假設收益率變動</w:t>
            </w:r>
          </w:p>
        </w:tc>
      </w:tr>
      <w:tr w:rsidR="00293746" w:rsidRPr="00CA1A43" w14:paraId="708AFDC8" w14:textId="77777777" w:rsidTr="00293746">
        <w:trPr>
          <w:cantSplit/>
          <w:trHeight w:val="282"/>
        </w:trPr>
        <w:tc>
          <w:tcPr>
            <w:tcW w:w="1878" w:type="pct"/>
            <w:tcBorders>
              <w:top w:val="single" w:sz="4" w:space="0" w:color="auto"/>
              <w:left w:val="nil"/>
              <w:bottom w:val="single" w:sz="8" w:space="0" w:color="BFBFBF"/>
              <w:right w:val="single" w:sz="8" w:space="0" w:color="BFBFBF"/>
            </w:tcBorders>
            <w:vAlign w:val="center"/>
            <w:hideMark/>
          </w:tcPr>
          <w:p w14:paraId="57F3EA92"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個月以內</w:t>
            </w:r>
          </w:p>
        </w:tc>
        <w:tc>
          <w:tcPr>
            <w:tcW w:w="1876" w:type="pct"/>
            <w:tcBorders>
              <w:top w:val="single" w:sz="4" w:space="0" w:color="auto"/>
              <w:left w:val="single" w:sz="8" w:space="0" w:color="BFBFBF"/>
              <w:bottom w:val="single" w:sz="8" w:space="0" w:color="BFBFBF"/>
              <w:right w:val="single" w:sz="8" w:space="0" w:color="BFBFBF"/>
            </w:tcBorders>
            <w:vAlign w:val="center"/>
            <w:hideMark/>
          </w:tcPr>
          <w:p w14:paraId="437AD23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個月以內</w:t>
            </w:r>
          </w:p>
        </w:tc>
        <w:tc>
          <w:tcPr>
            <w:tcW w:w="598" w:type="pct"/>
            <w:tcBorders>
              <w:top w:val="single" w:sz="4" w:space="0" w:color="auto"/>
              <w:left w:val="single" w:sz="8" w:space="0" w:color="BFBFBF"/>
              <w:bottom w:val="single" w:sz="8" w:space="0" w:color="BFBFBF"/>
              <w:right w:val="single" w:sz="8" w:space="0" w:color="BFBFBF"/>
            </w:tcBorders>
            <w:vAlign w:val="center"/>
            <w:hideMark/>
          </w:tcPr>
          <w:p w14:paraId="59E0108D"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0.00%</w:t>
            </w:r>
          </w:p>
        </w:tc>
        <w:tc>
          <w:tcPr>
            <w:tcW w:w="648" w:type="pct"/>
            <w:gridSpan w:val="2"/>
            <w:tcBorders>
              <w:top w:val="single" w:sz="4" w:space="0" w:color="auto"/>
              <w:left w:val="single" w:sz="8" w:space="0" w:color="BFBFBF"/>
              <w:bottom w:val="single" w:sz="8" w:space="0" w:color="BFBFBF"/>
              <w:right w:val="nil"/>
            </w:tcBorders>
            <w:vAlign w:val="center"/>
            <w:hideMark/>
          </w:tcPr>
          <w:p w14:paraId="03E7D961"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293746" w:rsidRPr="00CA1A43" w14:paraId="763E3A62"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1F36CD8E"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w:t>
            </w:r>
            <w:r w:rsidRPr="00CA1A43">
              <w:rPr>
                <w:rFonts w:asciiTheme="minorHAnsi" w:hAnsiTheme="minorHAnsi" w:cstheme="minorHAnsi"/>
                <w:sz w:val="24"/>
                <w:szCs w:val="24"/>
              </w:rPr>
              <w:t>個月而在</w:t>
            </w:r>
            <w:r w:rsidRPr="00CA1A43">
              <w:rPr>
                <w:rFonts w:asciiTheme="minorHAnsi" w:hAnsiTheme="minorHAnsi" w:cstheme="minorHAnsi"/>
                <w:sz w:val="24"/>
                <w:szCs w:val="24"/>
              </w:rPr>
              <w:t>3</w:t>
            </w:r>
            <w:r w:rsidRPr="00CA1A43">
              <w:rPr>
                <w:rFonts w:asciiTheme="minorHAnsi" w:hAnsiTheme="minorHAnsi" w:cstheme="minorHAnsi"/>
                <w:sz w:val="24"/>
                <w:szCs w:val="24"/>
              </w:rPr>
              <w:t>個月以內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147889A5"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w:t>
            </w:r>
            <w:r w:rsidRPr="00CA1A43">
              <w:rPr>
                <w:rFonts w:asciiTheme="minorHAnsi" w:hAnsiTheme="minorHAnsi" w:cstheme="minorHAnsi"/>
                <w:sz w:val="24"/>
                <w:szCs w:val="24"/>
              </w:rPr>
              <w:t>個月而在</w:t>
            </w:r>
            <w:r w:rsidRPr="00CA1A43">
              <w:rPr>
                <w:rFonts w:asciiTheme="minorHAnsi" w:hAnsiTheme="minorHAnsi" w:cstheme="minorHAnsi"/>
                <w:sz w:val="24"/>
                <w:szCs w:val="24"/>
              </w:rPr>
              <w:t>3</w:t>
            </w:r>
            <w:r w:rsidRPr="00CA1A43">
              <w:rPr>
                <w:rFonts w:asciiTheme="minorHAnsi" w:hAnsiTheme="minorHAnsi" w:cstheme="minorHAnsi"/>
                <w:sz w:val="24"/>
                <w:szCs w:val="24"/>
              </w:rPr>
              <w:t>個月以內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6F45363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0.20%</w:t>
            </w:r>
          </w:p>
        </w:tc>
        <w:tc>
          <w:tcPr>
            <w:tcW w:w="648" w:type="pct"/>
            <w:gridSpan w:val="2"/>
            <w:tcBorders>
              <w:top w:val="single" w:sz="8" w:space="0" w:color="BFBFBF"/>
              <w:left w:val="single" w:sz="8" w:space="0" w:color="BFBFBF"/>
              <w:bottom w:val="single" w:sz="8" w:space="0" w:color="BFBFBF"/>
              <w:right w:val="nil"/>
            </w:tcBorders>
            <w:vAlign w:val="center"/>
            <w:hideMark/>
          </w:tcPr>
          <w:p w14:paraId="4D3E9DF2"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293746" w:rsidRPr="00CA1A43" w14:paraId="6A320B2A"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4C52A9E7"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3</w:t>
            </w:r>
            <w:r w:rsidRPr="00CA1A43">
              <w:rPr>
                <w:rFonts w:asciiTheme="minorHAnsi" w:hAnsiTheme="minorHAnsi" w:cstheme="minorHAnsi"/>
                <w:sz w:val="24"/>
                <w:szCs w:val="24"/>
              </w:rPr>
              <w:t>個月而在</w:t>
            </w:r>
            <w:r w:rsidRPr="00CA1A43">
              <w:rPr>
                <w:rFonts w:asciiTheme="minorHAnsi" w:hAnsiTheme="minorHAnsi" w:cstheme="minorHAnsi"/>
                <w:sz w:val="24"/>
                <w:szCs w:val="24"/>
              </w:rPr>
              <w:t>6</w:t>
            </w:r>
            <w:r w:rsidRPr="00CA1A43">
              <w:rPr>
                <w:rFonts w:asciiTheme="minorHAnsi" w:hAnsiTheme="minorHAnsi" w:cstheme="minorHAnsi"/>
                <w:sz w:val="24"/>
                <w:szCs w:val="24"/>
              </w:rPr>
              <w:t>個月以內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1A4CD6C4"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3</w:t>
            </w:r>
            <w:r w:rsidRPr="00CA1A43">
              <w:rPr>
                <w:rFonts w:asciiTheme="minorHAnsi" w:hAnsiTheme="minorHAnsi" w:cstheme="minorHAnsi"/>
                <w:sz w:val="24"/>
                <w:szCs w:val="24"/>
              </w:rPr>
              <w:t>個月而在</w:t>
            </w:r>
            <w:r w:rsidRPr="00CA1A43">
              <w:rPr>
                <w:rFonts w:asciiTheme="minorHAnsi" w:hAnsiTheme="minorHAnsi" w:cstheme="minorHAnsi"/>
                <w:sz w:val="24"/>
                <w:szCs w:val="24"/>
              </w:rPr>
              <w:t>6</w:t>
            </w:r>
            <w:r w:rsidRPr="00CA1A43">
              <w:rPr>
                <w:rFonts w:asciiTheme="minorHAnsi" w:hAnsiTheme="minorHAnsi" w:cstheme="minorHAnsi"/>
                <w:sz w:val="24"/>
                <w:szCs w:val="24"/>
              </w:rPr>
              <w:t>個月以內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10D7DA7F"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0.40%</w:t>
            </w:r>
          </w:p>
        </w:tc>
        <w:tc>
          <w:tcPr>
            <w:tcW w:w="648" w:type="pct"/>
            <w:gridSpan w:val="2"/>
            <w:tcBorders>
              <w:top w:val="single" w:sz="8" w:space="0" w:color="BFBFBF"/>
              <w:left w:val="single" w:sz="8" w:space="0" w:color="BFBFBF"/>
              <w:bottom w:val="single" w:sz="8" w:space="0" w:color="BFBFBF"/>
              <w:right w:val="nil"/>
            </w:tcBorders>
            <w:vAlign w:val="center"/>
            <w:hideMark/>
          </w:tcPr>
          <w:p w14:paraId="43E603F1"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293746" w:rsidRPr="00CA1A43" w14:paraId="730F7A9B"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1CE3499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6</w:t>
            </w:r>
            <w:r w:rsidRPr="00CA1A43">
              <w:rPr>
                <w:rFonts w:asciiTheme="minorHAnsi" w:hAnsiTheme="minorHAnsi" w:cstheme="minorHAnsi"/>
                <w:sz w:val="24"/>
                <w:szCs w:val="24"/>
              </w:rPr>
              <w:t>個月而在</w:t>
            </w:r>
            <w:r w:rsidRPr="00CA1A43">
              <w:rPr>
                <w:rFonts w:asciiTheme="minorHAnsi" w:hAnsiTheme="minorHAnsi" w:cstheme="minorHAnsi"/>
                <w:sz w:val="24"/>
                <w:szCs w:val="24"/>
              </w:rPr>
              <w:t>12</w:t>
            </w:r>
            <w:r w:rsidRPr="00CA1A43">
              <w:rPr>
                <w:rFonts w:asciiTheme="minorHAnsi" w:hAnsiTheme="minorHAnsi" w:cstheme="minorHAnsi"/>
                <w:sz w:val="24"/>
                <w:szCs w:val="24"/>
              </w:rPr>
              <w:t>個月以內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5689E417"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6</w:t>
            </w:r>
            <w:r w:rsidRPr="00CA1A43">
              <w:rPr>
                <w:rFonts w:asciiTheme="minorHAnsi" w:hAnsiTheme="minorHAnsi" w:cstheme="minorHAnsi"/>
                <w:sz w:val="24"/>
                <w:szCs w:val="24"/>
              </w:rPr>
              <w:t>個月而在</w:t>
            </w:r>
            <w:r w:rsidRPr="00CA1A43">
              <w:rPr>
                <w:rFonts w:asciiTheme="minorHAnsi" w:hAnsiTheme="minorHAnsi" w:cstheme="minorHAnsi"/>
                <w:sz w:val="24"/>
                <w:szCs w:val="24"/>
              </w:rPr>
              <w:t>12</w:t>
            </w:r>
            <w:r w:rsidRPr="00CA1A43">
              <w:rPr>
                <w:rFonts w:asciiTheme="minorHAnsi" w:hAnsiTheme="minorHAnsi" w:cstheme="minorHAnsi"/>
                <w:sz w:val="24"/>
                <w:szCs w:val="24"/>
              </w:rPr>
              <w:t>個月以內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03002AD7"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0.70%</w:t>
            </w:r>
          </w:p>
        </w:tc>
        <w:tc>
          <w:tcPr>
            <w:tcW w:w="648" w:type="pct"/>
            <w:gridSpan w:val="2"/>
            <w:tcBorders>
              <w:top w:val="single" w:sz="8" w:space="0" w:color="BFBFBF"/>
              <w:left w:val="single" w:sz="8" w:space="0" w:color="BFBFBF"/>
              <w:bottom w:val="single" w:sz="8" w:space="0" w:color="BFBFBF"/>
              <w:right w:val="nil"/>
            </w:tcBorders>
            <w:vAlign w:val="center"/>
            <w:hideMark/>
          </w:tcPr>
          <w:p w14:paraId="38781D79"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293746" w:rsidRPr="00CA1A43" w14:paraId="56C2C112"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33DF806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w:t>
            </w:r>
            <w:r w:rsidRPr="00CA1A43">
              <w:rPr>
                <w:rFonts w:asciiTheme="minorHAnsi" w:hAnsiTheme="minorHAnsi" w:cstheme="minorHAnsi"/>
                <w:sz w:val="24"/>
                <w:szCs w:val="24"/>
              </w:rPr>
              <w:t>年而在</w:t>
            </w:r>
            <w:r w:rsidRPr="00CA1A43">
              <w:rPr>
                <w:rFonts w:asciiTheme="minorHAnsi" w:hAnsiTheme="minorHAnsi" w:cstheme="minorHAnsi"/>
                <w:sz w:val="24"/>
                <w:szCs w:val="24"/>
              </w:rPr>
              <w:t>2</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204CA44A"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w:t>
            </w:r>
            <w:r w:rsidRPr="00CA1A43">
              <w:rPr>
                <w:rFonts w:asciiTheme="minorHAnsi" w:hAnsiTheme="minorHAnsi" w:cstheme="minorHAnsi"/>
                <w:sz w:val="24"/>
                <w:szCs w:val="24"/>
              </w:rPr>
              <w:t>年而在</w:t>
            </w:r>
            <w:r w:rsidRPr="00CA1A43">
              <w:rPr>
                <w:rFonts w:asciiTheme="minorHAnsi" w:hAnsiTheme="minorHAnsi" w:cstheme="minorHAnsi"/>
                <w:sz w:val="24"/>
                <w:szCs w:val="24"/>
              </w:rPr>
              <w:t>1.9</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3747745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1.25%</w:t>
            </w:r>
          </w:p>
        </w:tc>
        <w:tc>
          <w:tcPr>
            <w:tcW w:w="648" w:type="pct"/>
            <w:gridSpan w:val="2"/>
            <w:tcBorders>
              <w:top w:val="single" w:sz="8" w:space="0" w:color="BFBFBF"/>
              <w:left w:val="single" w:sz="8" w:space="0" w:color="BFBFBF"/>
              <w:bottom w:val="single" w:sz="8" w:space="0" w:color="BFBFBF"/>
              <w:right w:val="nil"/>
            </w:tcBorders>
            <w:vAlign w:val="center"/>
            <w:hideMark/>
          </w:tcPr>
          <w:p w14:paraId="4B45FB33"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0.90%</w:t>
            </w:r>
          </w:p>
        </w:tc>
      </w:tr>
      <w:tr w:rsidR="00293746" w:rsidRPr="00CA1A43" w14:paraId="3BDA396C"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0875BED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2</w:t>
            </w:r>
            <w:r w:rsidRPr="00CA1A43">
              <w:rPr>
                <w:rFonts w:asciiTheme="minorHAnsi" w:hAnsiTheme="minorHAnsi" w:cstheme="minorHAnsi"/>
                <w:sz w:val="24"/>
                <w:szCs w:val="24"/>
              </w:rPr>
              <w:t>年而在</w:t>
            </w:r>
            <w:r w:rsidRPr="00CA1A43">
              <w:rPr>
                <w:rFonts w:asciiTheme="minorHAnsi" w:hAnsiTheme="minorHAnsi" w:cstheme="minorHAnsi"/>
                <w:sz w:val="24"/>
                <w:szCs w:val="24"/>
              </w:rPr>
              <w:t>3</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2825DAED"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1.9</w:t>
            </w:r>
            <w:r w:rsidRPr="00CA1A43">
              <w:rPr>
                <w:rFonts w:asciiTheme="minorHAnsi" w:hAnsiTheme="minorHAnsi" w:cstheme="minorHAnsi"/>
                <w:sz w:val="24"/>
                <w:szCs w:val="24"/>
              </w:rPr>
              <w:t>年而在</w:t>
            </w:r>
            <w:r w:rsidRPr="00CA1A43">
              <w:rPr>
                <w:rFonts w:asciiTheme="minorHAnsi" w:hAnsiTheme="minorHAnsi" w:cstheme="minorHAnsi"/>
                <w:sz w:val="24"/>
                <w:szCs w:val="24"/>
              </w:rPr>
              <w:t>2.8</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4F4C73C3"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1.75%</w:t>
            </w:r>
          </w:p>
        </w:tc>
        <w:tc>
          <w:tcPr>
            <w:tcW w:w="648" w:type="pct"/>
            <w:gridSpan w:val="2"/>
            <w:tcBorders>
              <w:top w:val="single" w:sz="8" w:space="0" w:color="BFBFBF"/>
              <w:left w:val="single" w:sz="8" w:space="0" w:color="BFBFBF"/>
              <w:bottom w:val="single" w:sz="8" w:space="0" w:color="BFBFBF"/>
              <w:right w:val="nil"/>
            </w:tcBorders>
            <w:vAlign w:val="center"/>
            <w:hideMark/>
          </w:tcPr>
          <w:p w14:paraId="4301EC7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0.80%</w:t>
            </w:r>
          </w:p>
        </w:tc>
      </w:tr>
      <w:tr w:rsidR="00293746" w:rsidRPr="00CA1A43" w14:paraId="249D1115"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3DD9BF0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3</w:t>
            </w:r>
            <w:r w:rsidRPr="00CA1A43">
              <w:rPr>
                <w:rFonts w:asciiTheme="minorHAnsi" w:hAnsiTheme="minorHAnsi" w:cstheme="minorHAnsi"/>
                <w:sz w:val="24"/>
                <w:szCs w:val="24"/>
              </w:rPr>
              <w:t>年而在</w:t>
            </w:r>
            <w:r w:rsidRPr="00CA1A43">
              <w:rPr>
                <w:rFonts w:asciiTheme="minorHAnsi" w:hAnsiTheme="minorHAnsi" w:cstheme="minorHAnsi"/>
                <w:sz w:val="24"/>
                <w:szCs w:val="24"/>
              </w:rPr>
              <w:t>4</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65830EE4"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2.8</w:t>
            </w:r>
            <w:r w:rsidRPr="00CA1A43">
              <w:rPr>
                <w:rFonts w:asciiTheme="minorHAnsi" w:hAnsiTheme="minorHAnsi" w:cstheme="minorHAnsi"/>
                <w:sz w:val="24"/>
                <w:szCs w:val="24"/>
              </w:rPr>
              <w:t>年而在</w:t>
            </w:r>
            <w:r w:rsidRPr="00CA1A43">
              <w:rPr>
                <w:rFonts w:asciiTheme="minorHAnsi" w:hAnsiTheme="minorHAnsi" w:cstheme="minorHAnsi"/>
                <w:sz w:val="24"/>
                <w:szCs w:val="24"/>
              </w:rPr>
              <w:t>3.6</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6FDF315E"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2.25%</w:t>
            </w:r>
          </w:p>
        </w:tc>
        <w:tc>
          <w:tcPr>
            <w:tcW w:w="648" w:type="pct"/>
            <w:gridSpan w:val="2"/>
            <w:tcBorders>
              <w:top w:val="single" w:sz="8" w:space="0" w:color="BFBFBF"/>
              <w:left w:val="single" w:sz="8" w:space="0" w:color="BFBFBF"/>
              <w:bottom w:val="single" w:sz="8" w:space="0" w:color="BFBFBF"/>
              <w:right w:val="nil"/>
            </w:tcBorders>
            <w:vAlign w:val="center"/>
            <w:hideMark/>
          </w:tcPr>
          <w:p w14:paraId="6075DC9B"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0.75%</w:t>
            </w:r>
          </w:p>
        </w:tc>
      </w:tr>
      <w:tr w:rsidR="00293746" w:rsidRPr="00CA1A43" w14:paraId="38EC110A"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38A5264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4</w:t>
            </w:r>
            <w:r w:rsidRPr="00CA1A43">
              <w:rPr>
                <w:rFonts w:asciiTheme="minorHAnsi" w:hAnsiTheme="minorHAnsi" w:cstheme="minorHAnsi"/>
                <w:sz w:val="24"/>
                <w:szCs w:val="24"/>
              </w:rPr>
              <w:t>年而在</w:t>
            </w:r>
            <w:r w:rsidRPr="00CA1A43">
              <w:rPr>
                <w:rFonts w:asciiTheme="minorHAnsi" w:hAnsiTheme="minorHAnsi" w:cstheme="minorHAnsi"/>
                <w:sz w:val="24"/>
                <w:szCs w:val="24"/>
              </w:rPr>
              <w:t>5</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32B9340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3.6</w:t>
            </w:r>
            <w:r w:rsidRPr="00CA1A43">
              <w:rPr>
                <w:rFonts w:asciiTheme="minorHAnsi" w:hAnsiTheme="minorHAnsi" w:cstheme="minorHAnsi"/>
                <w:sz w:val="24"/>
                <w:szCs w:val="24"/>
              </w:rPr>
              <w:t>年而在</w:t>
            </w:r>
            <w:r w:rsidRPr="00CA1A43">
              <w:rPr>
                <w:rFonts w:asciiTheme="minorHAnsi" w:hAnsiTheme="minorHAnsi" w:cstheme="minorHAnsi"/>
                <w:sz w:val="24"/>
                <w:szCs w:val="24"/>
              </w:rPr>
              <w:t>4.3</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060CBA2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2.75%</w:t>
            </w:r>
          </w:p>
        </w:tc>
        <w:tc>
          <w:tcPr>
            <w:tcW w:w="648" w:type="pct"/>
            <w:gridSpan w:val="2"/>
            <w:tcBorders>
              <w:top w:val="single" w:sz="8" w:space="0" w:color="BFBFBF"/>
              <w:left w:val="single" w:sz="8" w:space="0" w:color="BFBFBF"/>
              <w:bottom w:val="single" w:sz="8" w:space="0" w:color="BFBFBF"/>
              <w:right w:val="nil"/>
            </w:tcBorders>
            <w:vAlign w:val="center"/>
            <w:hideMark/>
          </w:tcPr>
          <w:p w14:paraId="314ED91E"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0.75%</w:t>
            </w:r>
          </w:p>
        </w:tc>
      </w:tr>
      <w:tr w:rsidR="00293746" w:rsidRPr="00CA1A43" w14:paraId="4410FFD0"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53568EDD"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超過</w:t>
            </w:r>
            <w:r w:rsidRPr="00CA1A43">
              <w:rPr>
                <w:rFonts w:asciiTheme="minorHAnsi" w:hAnsiTheme="minorHAnsi" w:cstheme="minorHAnsi"/>
                <w:sz w:val="24"/>
                <w:szCs w:val="24"/>
              </w:rPr>
              <w:t>5</w:t>
            </w:r>
            <w:r w:rsidRPr="00CA1A43">
              <w:rPr>
                <w:rFonts w:asciiTheme="minorHAnsi" w:hAnsiTheme="minorHAnsi" w:cstheme="minorHAnsi"/>
                <w:sz w:val="24"/>
                <w:szCs w:val="24"/>
              </w:rPr>
              <w:t>年而在</w:t>
            </w:r>
            <w:r w:rsidRPr="00CA1A43">
              <w:rPr>
                <w:rFonts w:asciiTheme="minorHAnsi" w:hAnsiTheme="minorHAnsi" w:cstheme="minorHAnsi"/>
                <w:sz w:val="24"/>
                <w:szCs w:val="24"/>
              </w:rPr>
              <w:t>7</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3AB39325"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4.3</w:t>
            </w:r>
            <w:r w:rsidRPr="00CA1A43">
              <w:rPr>
                <w:rFonts w:asciiTheme="minorHAnsi" w:hAnsiTheme="minorHAnsi" w:cstheme="minorHAnsi"/>
                <w:sz w:val="24"/>
                <w:szCs w:val="24"/>
              </w:rPr>
              <w:t>年而在</w:t>
            </w:r>
            <w:r w:rsidRPr="00CA1A43">
              <w:rPr>
                <w:rFonts w:asciiTheme="minorHAnsi" w:hAnsiTheme="minorHAnsi" w:cstheme="minorHAnsi"/>
                <w:sz w:val="24"/>
                <w:szCs w:val="24"/>
              </w:rPr>
              <w:t>5.7</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1620CAA3"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3.25%</w:t>
            </w:r>
          </w:p>
        </w:tc>
        <w:tc>
          <w:tcPr>
            <w:tcW w:w="648" w:type="pct"/>
            <w:gridSpan w:val="2"/>
            <w:tcBorders>
              <w:top w:val="single" w:sz="8" w:space="0" w:color="BFBFBF"/>
              <w:left w:val="single" w:sz="8" w:space="0" w:color="BFBFBF"/>
              <w:bottom w:val="single" w:sz="8" w:space="0" w:color="BFBFBF"/>
              <w:right w:val="nil"/>
            </w:tcBorders>
            <w:vAlign w:val="center"/>
            <w:hideMark/>
          </w:tcPr>
          <w:p w14:paraId="030A7AAD"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0.70%</w:t>
            </w:r>
          </w:p>
        </w:tc>
      </w:tr>
      <w:tr w:rsidR="00293746" w:rsidRPr="00CA1A43" w14:paraId="76D67940"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5B32948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7</w:t>
            </w:r>
            <w:r w:rsidRPr="00CA1A43">
              <w:rPr>
                <w:rFonts w:asciiTheme="minorHAnsi" w:hAnsiTheme="minorHAnsi" w:cstheme="minorHAnsi"/>
                <w:sz w:val="24"/>
                <w:szCs w:val="24"/>
              </w:rPr>
              <w:t>年而在</w:t>
            </w:r>
            <w:r w:rsidRPr="00CA1A43">
              <w:rPr>
                <w:rFonts w:asciiTheme="minorHAnsi" w:hAnsiTheme="minorHAnsi" w:cstheme="minorHAnsi"/>
                <w:sz w:val="24"/>
                <w:szCs w:val="24"/>
              </w:rPr>
              <w:t>10</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3E79A25D"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5.7</w:t>
            </w:r>
            <w:r w:rsidRPr="00CA1A43">
              <w:rPr>
                <w:rFonts w:asciiTheme="minorHAnsi" w:hAnsiTheme="minorHAnsi" w:cstheme="minorHAnsi"/>
                <w:sz w:val="24"/>
                <w:szCs w:val="24"/>
              </w:rPr>
              <w:t>年而在</w:t>
            </w:r>
            <w:r w:rsidRPr="00CA1A43">
              <w:rPr>
                <w:rFonts w:asciiTheme="minorHAnsi" w:hAnsiTheme="minorHAnsi" w:cstheme="minorHAnsi"/>
                <w:sz w:val="24"/>
                <w:szCs w:val="24"/>
              </w:rPr>
              <w:t>7.3</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5B56AC04"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3.75%</w:t>
            </w:r>
          </w:p>
        </w:tc>
        <w:tc>
          <w:tcPr>
            <w:tcW w:w="648" w:type="pct"/>
            <w:gridSpan w:val="2"/>
            <w:tcBorders>
              <w:top w:val="single" w:sz="8" w:space="0" w:color="BFBFBF"/>
              <w:left w:val="single" w:sz="8" w:space="0" w:color="BFBFBF"/>
              <w:bottom w:val="single" w:sz="8" w:space="0" w:color="BFBFBF"/>
              <w:right w:val="nil"/>
            </w:tcBorders>
            <w:vAlign w:val="center"/>
            <w:hideMark/>
          </w:tcPr>
          <w:p w14:paraId="2711F45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0.65%</w:t>
            </w:r>
          </w:p>
        </w:tc>
      </w:tr>
      <w:tr w:rsidR="00293746" w:rsidRPr="00CA1A43" w14:paraId="5B65A0EB"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1CF6847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10</w:t>
            </w:r>
            <w:r w:rsidRPr="00CA1A43">
              <w:rPr>
                <w:rFonts w:asciiTheme="minorHAnsi" w:hAnsiTheme="minorHAnsi" w:cstheme="minorHAnsi"/>
                <w:sz w:val="24"/>
                <w:szCs w:val="24"/>
              </w:rPr>
              <w:t>年而在</w:t>
            </w:r>
            <w:r w:rsidRPr="00CA1A43">
              <w:rPr>
                <w:rFonts w:asciiTheme="minorHAnsi" w:hAnsiTheme="minorHAnsi" w:cstheme="minorHAnsi"/>
                <w:sz w:val="24"/>
                <w:szCs w:val="24"/>
              </w:rPr>
              <w:t>15</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38437DA7"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7.3</w:t>
            </w:r>
            <w:r w:rsidRPr="00CA1A43">
              <w:rPr>
                <w:rFonts w:asciiTheme="minorHAnsi" w:hAnsiTheme="minorHAnsi" w:cstheme="minorHAnsi"/>
                <w:sz w:val="24"/>
                <w:szCs w:val="24"/>
              </w:rPr>
              <w:t>年而在</w:t>
            </w:r>
            <w:r w:rsidRPr="00CA1A43">
              <w:rPr>
                <w:rFonts w:asciiTheme="minorHAnsi" w:hAnsiTheme="minorHAnsi" w:cstheme="minorHAnsi"/>
                <w:sz w:val="24"/>
                <w:szCs w:val="24"/>
              </w:rPr>
              <w:t>9.3</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103835A7"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4.50%</w:t>
            </w:r>
          </w:p>
        </w:tc>
        <w:tc>
          <w:tcPr>
            <w:tcW w:w="648" w:type="pct"/>
            <w:gridSpan w:val="2"/>
            <w:tcBorders>
              <w:top w:val="single" w:sz="8" w:space="0" w:color="BFBFBF"/>
              <w:left w:val="single" w:sz="8" w:space="0" w:color="BFBFBF"/>
              <w:bottom w:val="single" w:sz="8" w:space="0" w:color="BFBFBF"/>
              <w:right w:val="nil"/>
            </w:tcBorders>
            <w:vAlign w:val="center"/>
            <w:hideMark/>
          </w:tcPr>
          <w:p w14:paraId="576F142B"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293746" w:rsidRPr="00CA1A43" w14:paraId="6D035272"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64DB3567"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15</w:t>
            </w:r>
            <w:r w:rsidRPr="00CA1A43">
              <w:rPr>
                <w:rFonts w:asciiTheme="minorHAnsi" w:hAnsiTheme="minorHAnsi" w:cstheme="minorHAnsi"/>
                <w:sz w:val="24"/>
                <w:szCs w:val="24"/>
              </w:rPr>
              <w:t>年而在</w:t>
            </w:r>
            <w:r w:rsidRPr="00CA1A43">
              <w:rPr>
                <w:rFonts w:asciiTheme="minorHAnsi" w:hAnsiTheme="minorHAnsi" w:cstheme="minorHAnsi"/>
                <w:sz w:val="24"/>
                <w:szCs w:val="24"/>
              </w:rPr>
              <w:t>20</w:t>
            </w:r>
            <w:r w:rsidRPr="00CA1A43">
              <w:rPr>
                <w:rFonts w:asciiTheme="minorHAnsi" w:hAnsiTheme="minorHAnsi" w:cstheme="minorHAnsi"/>
                <w:sz w:val="24"/>
                <w:szCs w:val="24"/>
              </w:rPr>
              <w:t>年以內</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489CAF0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9.3</w:t>
            </w:r>
            <w:r w:rsidRPr="00CA1A43">
              <w:rPr>
                <w:rFonts w:asciiTheme="minorHAnsi" w:hAnsiTheme="minorHAnsi" w:cstheme="minorHAnsi"/>
                <w:sz w:val="24"/>
                <w:szCs w:val="24"/>
              </w:rPr>
              <w:t>年而在</w:t>
            </w:r>
            <w:r w:rsidRPr="00CA1A43">
              <w:rPr>
                <w:rFonts w:asciiTheme="minorHAnsi" w:hAnsiTheme="minorHAnsi" w:cstheme="minorHAnsi"/>
                <w:sz w:val="24"/>
                <w:szCs w:val="24"/>
              </w:rPr>
              <w:t>10.6</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3DF43826"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5.25%</w:t>
            </w:r>
          </w:p>
        </w:tc>
        <w:tc>
          <w:tcPr>
            <w:tcW w:w="648" w:type="pct"/>
            <w:gridSpan w:val="2"/>
            <w:tcBorders>
              <w:top w:val="single" w:sz="8" w:space="0" w:color="BFBFBF"/>
              <w:left w:val="single" w:sz="8" w:space="0" w:color="BFBFBF"/>
              <w:bottom w:val="single" w:sz="8" w:space="0" w:color="BFBFBF"/>
              <w:right w:val="nil"/>
            </w:tcBorders>
            <w:vAlign w:val="center"/>
            <w:hideMark/>
          </w:tcPr>
          <w:p w14:paraId="5D1AED02"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293746" w:rsidRPr="00CA1A43" w14:paraId="7CDCC725" w14:textId="77777777" w:rsidTr="00293746">
        <w:trPr>
          <w:cantSplit/>
          <w:trHeight w:val="282"/>
        </w:trPr>
        <w:tc>
          <w:tcPr>
            <w:tcW w:w="1878" w:type="pct"/>
            <w:tcBorders>
              <w:top w:val="single" w:sz="8" w:space="0" w:color="BFBFBF"/>
              <w:left w:val="nil"/>
              <w:bottom w:val="single" w:sz="8" w:space="0" w:color="BFBFBF"/>
              <w:right w:val="single" w:sz="8" w:space="0" w:color="BFBFBF"/>
            </w:tcBorders>
            <w:vAlign w:val="center"/>
            <w:hideMark/>
          </w:tcPr>
          <w:p w14:paraId="337ECEC2"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r w:rsidRPr="00CA1A43">
              <w:rPr>
                <w:rFonts w:asciiTheme="minorHAnsi" w:hAnsiTheme="minorHAnsi" w:cstheme="minorHAnsi"/>
                <w:sz w:val="24"/>
                <w:szCs w:val="24"/>
              </w:rPr>
              <w:t>年以上</w:t>
            </w: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22CEBF52"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10.6</w:t>
            </w:r>
            <w:r w:rsidRPr="00CA1A43">
              <w:rPr>
                <w:rFonts w:asciiTheme="minorHAnsi" w:hAnsiTheme="minorHAnsi" w:cstheme="minorHAnsi"/>
                <w:sz w:val="24"/>
                <w:szCs w:val="24"/>
              </w:rPr>
              <w:t>年而在</w:t>
            </w:r>
            <w:r w:rsidRPr="00CA1A43">
              <w:rPr>
                <w:rFonts w:asciiTheme="minorHAnsi" w:hAnsiTheme="minorHAnsi" w:cstheme="minorHAnsi"/>
                <w:sz w:val="24"/>
                <w:szCs w:val="24"/>
              </w:rPr>
              <w:t>12</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708E7445"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6.00%</w:t>
            </w:r>
          </w:p>
        </w:tc>
        <w:tc>
          <w:tcPr>
            <w:tcW w:w="648" w:type="pct"/>
            <w:gridSpan w:val="2"/>
            <w:tcBorders>
              <w:top w:val="single" w:sz="8" w:space="0" w:color="BFBFBF"/>
              <w:left w:val="single" w:sz="8" w:space="0" w:color="BFBFBF"/>
              <w:bottom w:val="single" w:sz="8" w:space="0" w:color="BFBFBF"/>
              <w:right w:val="nil"/>
            </w:tcBorders>
            <w:vAlign w:val="center"/>
            <w:hideMark/>
          </w:tcPr>
          <w:p w14:paraId="240F5FD9"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293746" w:rsidRPr="00CA1A43" w14:paraId="1D12AC5D" w14:textId="77777777" w:rsidTr="00293746">
        <w:trPr>
          <w:cantSplit/>
          <w:trHeight w:val="282"/>
        </w:trPr>
        <w:tc>
          <w:tcPr>
            <w:tcW w:w="1878" w:type="pct"/>
            <w:vMerge w:val="restart"/>
            <w:tcBorders>
              <w:top w:val="single" w:sz="8" w:space="0" w:color="BFBFBF"/>
              <w:left w:val="nil"/>
              <w:bottom w:val="single" w:sz="4" w:space="0" w:color="auto"/>
              <w:right w:val="single" w:sz="8" w:space="0" w:color="BFBFBF"/>
            </w:tcBorders>
            <w:shd w:val="clear" w:color="auto" w:fill="BFBFBF"/>
            <w:vAlign w:val="center"/>
          </w:tcPr>
          <w:p w14:paraId="3CD0C2F0" w14:textId="77777777" w:rsidR="00293746" w:rsidRPr="00CA1A43" w:rsidRDefault="00293746" w:rsidP="004708E6">
            <w:pPr>
              <w:pStyle w:val="Item"/>
              <w:jc w:val="center"/>
              <w:rPr>
                <w:rFonts w:asciiTheme="minorHAnsi" w:hAnsiTheme="minorHAnsi" w:cstheme="minorHAnsi"/>
                <w:sz w:val="24"/>
                <w:szCs w:val="24"/>
              </w:rPr>
            </w:pPr>
          </w:p>
        </w:tc>
        <w:tc>
          <w:tcPr>
            <w:tcW w:w="1876" w:type="pct"/>
            <w:tcBorders>
              <w:top w:val="single" w:sz="8" w:space="0" w:color="BFBFBF"/>
              <w:left w:val="single" w:sz="8" w:space="0" w:color="BFBFBF"/>
              <w:bottom w:val="single" w:sz="8" w:space="0" w:color="BFBFBF"/>
              <w:right w:val="single" w:sz="8" w:space="0" w:color="BFBFBF"/>
            </w:tcBorders>
            <w:vAlign w:val="center"/>
            <w:hideMark/>
          </w:tcPr>
          <w:p w14:paraId="2FD34BA1"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12</w:t>
            </w:r>
            <w:r w:rsidRPr="00CA1A43">
              <w:rPr>
                <w:rFonts w:asciiTheme="minorHAnsi" w:hAnsiTheme="minorHAnsi" w:cstheme="minorHAnsi"/>
                <w:sz w:val="24"/>
                <w:szCs w:val="24"/>
              </w:rPr>
              <w:t>年而在</w:t>
            </w:r>
            <w:r w:rsidRPr="00CA1A43">
              <w:rPr>
                <w:rFonts w:asciiTheme="minorHAnsi" w:hAnsiTheme="minorHAnsi" w:cstheme="minorHAnsi"/>
                <w:sz w:val="24"/>
                <w:szCs w:val="24"/>
              </w:rPr>
              <w:t>20</w:t>
            </w:r>
            <w:r w:rsidRPr="00CA1A43">
              <w:rPr>
                <w:rFonts w:asciiTheme="minorHAnsi" w:hAnsiTheme="minorHAnsi" w:cstheme="minorHAnsi"/>
                <w:sz w:val="24"/>
                <w:szCs w:val="24"/>
              </w:rPr>
              <w:t>年以內</w:t>
            </w:r>
          </w:p>
        </w:tc>
        <w:tc>
          <w:tcPr>
            <w:tcW w:w="598" w:type="pct"/>
            <w:tcBorders>
              <w:top w:val="single" w:sz="8" w:space="0" w:color="BFBFBF"/>
              <w:left w:val="single" w:sz="8" w:space="0" w:color="BFBFBF"/>
              <w:bottom w:val="single" w:sz="8" w:space="0" w:color="BFBFBF"/>
              <w:right w:val="single" w:sz="8" w:space="0" w:color="BFBFBF"/>
            </w:tcBorders>
            <w:vAlign w:val="center"/>
            <w:hideMark/>
          </w:tcPr>
          <w:p w14:paraId="58091C2E"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8.00%</w:t>
            </w:r>
          </w:p>
        </w:tc>
        <w:tc>
          <w:tcPr>
            <w:tcW w:w="648" w:type="pct"/>
            <w:gridSpan w:val="2"/>
            <w:tcBorders>
              <w:top w:val="single" w:sz="8" w:space="0" w:color="BFBFBF"/>
              <w:left w:val="single" w:sz="8" w:space="0" w:color="BFBFBF"/>
              <w:bottom w:val="single" w:sz="8" w:space="0" w:color="BFBFBF"/>
              <w:right w:val="nil"/>
            </w:tcBorders>
            <w:vAlign w:val="center"/>
            <w:hideMark/>
          </w:tcPr>
          <w:p w14:paraId="708AEF7E"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293746" w:rsidRPr="00CA1A43" w14:paraId="571DDE24" w14:textId="77777777" w:rsidTr="00293746">
        <w:trPr>
          <w:cantSplit/>
          <w:trHeight w:val="282"/>
        </w:trPr>
        <w:tc>
          <w:tcPr>
            <w:tcW w:w="1878" w:type="pct"/>
            <w:vMerge/>
            <w:tcBorders>
              <w:top w:val="single" w:sz="8" w:space="0" w:color="BFBFBF"/>
              <w:left w:val="nil"/>
              <w:bottom w:val="single" w:sz="4" w:space="0" w:color="auto"/>
              <w:right w:val="single" w:sz="8" w:space="0" w:color="BFBFBF"/>
            </w:tcBorders>
            <w:vAlign w:val="center"/>
            <w:hideMark/>
          </w:tcPr>
          <w:p w14:paraId="706B1B5D" w14:textId="77777777" w:rsidR="00293746" w:rsidRPr="00CA1A43" w:rsidRDefault="00293746" w:rsidP="004708E6">
            <w:pPr>
              <w:widowControl/>
              <w:rPr>
                <w:rFonts w:eastAsia="標楷體" w:cstheme="minorHAnsi"/>
                <w:szCs w:val="24"/>
              </w:rPr>
            </w:pPr>
          </w:p>
        </w:tc>
        <w:tc>
          <w:tcPr>
            <w:tcW w:w="1876" w:type="pct"/>
            <w:tcBorders>
              <w:top w:val="single" w:sz="8" w:space="0" w:color="BFBFBF"/>
              <w:left w:val="single" w:sz="8" w:space="0" w:color="BFBFBF"/>
              <w:bottom w:val="single" w:sz="4" w:space="0" w:color="auto"/>
              <w:right w:val="single" w:sz="8" w:space="0" w:color="BFBFBF"/>
            </w:tcBorders>
            <w:vAlign w:val="center"/>
            <w:hideMark/>
          </w:tcPr>
          <w:p w14:paraId="5805A5BC"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20</w:t>
            </w:r>
            <w:r w:rsidRPr="00CA1A43">
              <w:rPr>
                <w:rFonts w:asciiTheme="minorHAnsi" w:hAnsiTheme="minorHAnsi" w:cstheme="minorHAnsi"/>
                <w:sz w:val="24"/>
                <w:szCs w:val="24"/>
              </w:rPr>
              <w:t>年</w:t>
            </w:r>
          </w:p>
        </w:tc>
        <w:tc>
          <w:tcPr>
            <w:tcW w:w="598" w:type="pct"/>
            <w:tcBorders>
              <w:top w:val="single" w:sz="8" w:space="0" w:color="BFBFBF"/>
              <w:left w:val="single" w:sz="8" w:space="0" w:color="BFBFBF"/>
              <w:bottom w:val="single" w:sz="4" w:space="0" w:color="auto"/>
              <w:right w:val="single" w:sz="8" w:space="0" w:color="BFBFBF"/>
            </w:tcBorders>
            <w:vAlign w:val="center"/>
            <w:hideMark/>
          </w:tcPr>
          <w:p w14:paraId="6BB40D50"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12.50%</w:t>
            </w:r>
          </w:p>
        </w:tc>
        <w:tc>
          <w:tcPr>
            <w:tcW w:w="648" w:type="pct"/>
            <w:gridSpan w:val="2"/>
            <w:tcBorders>
              <w:top w:val="single" w:sz="8" w:space="0" w:color="BFBFBF"/>
              <w:left w:val="single" w:sz="8" w:space="0" w:color="BFBFBF"/>
              <w:bottom w:val="single" w:sz="4" w:space="0" w:color="auto"/>
              <w:right w:val="nil"/>
            </w:tcBorders>
            <w:vAlign w:val="center"/>
            <w:hideMark/>
          </w:tcPr>
          <w:p w14:paraId="756FA51A" w14:textId="77777777" w:rsidR="00293746" w:rsidRPr="00CA1A43" w:rsidRDefault="0029374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bl>
    <w:p w14:paraId="2FDFE31F" w14:textId="77777777" w:rsidR="00DD645F" w:rsidRPr="00CA1A43" w:rsidRDefault="00DD645F" w:rsidP="008C0E02">
      <w:pPr>
        <w:pStyle w:val="a7"/>
        <w:numPr>
          <w:ilvl w:val="0"/>
          <w:numId w:val="202"/>
        </w:numPr>
        <w:spacing w:beforeLines="50" w:before="180"/>
        <w:ind w:leftChars="0"/>
        <w:jc w:val="both"/>
        <w:rPr>
          <w:rFonts w:eastAsia="標楷體" w:cstheme="minorHAnsi"/>
          <w:szCs w:val="24"/>
        </w:rPr>
      </w:pPr>
      <w:r w:rsidRPr="00CA1A43">
        <w:rPr>
          <w:rFonts w:eastAsia="標楷體" w:cstheme="minorHAnsi"/>
          <w:kern w:val="0"/>
          <w:szCs w:val="24"/>
        </w:rPr>
        <w:t>總體淨</w:t>
      </w:r>
      <w:r w:rsidRPr="00CA1A43">
        <w:rPr>
          <w:rFonts w:eastAsia="標楷體" w:cstheme="minorHAnsi"/>
          <w:szCs w:val="24"/>
        </w:rPr>
        <w:t>開放</w:t>
      </w:r>
      <w:r w:rsidRPr="00CA1A43">
        <w:rPr>
          <w:rFonts w:eastAsia="標楷體" w:cstheme="minorHAnsi"/>
          <w:kern w:val="0"/>
          <w:szCs w:val="24"/>
        </w:rPr>
        <w:t>部位</w:t>
      </w:r>
      <w:r w:rsidRPr="00CA1A43">
        <w:rPr>
          <w:rFonts w:eastAsia="標楷體" w:cstheme="minorHAnsi"/>
          <w:kern w:val="0"/>
          <w:szCs w:val="24"/>
        </w:rPr>
        <w:t>(overall net open position)</w:t>
      </w:r>
      <w:r w:rsidRPr="00CA1A43">
        <w:rPr>
          <w:rFonts w:eastAsia="標楷體" w:cstheme="minorHAnsi"/>
          <w:kern w:val="0"/>
          <w:szCs w:val="24"/>
        </w:rPr>
        <w:t>之資本計提：</w:t>
      </w:r>
    </w:p>
    <w:p w14:paraId="3B18E026" w14:textId="77777777" w:rsidR="00DD645F" w:rsidRPr="00CA1A43" w:rsidRDefault="00DD645F" w:rsidP="00DD645F">
      <w:pPr>
        <w:autoSpaceDE w:val="0"/>
        <w:autoSpaceDN w:val="0"/>
        <w:adjustRightInd w:val="0"/>
        <w:ind w:leftChars="826" w:left="1984" w:hanging="2"/>
        <w:rPr>
          <w:rFonts w:eastAsia="標楷體" w:cstheme="minorHAnsi"/>
          <w:kern w:val="0"/>
          <w:szCs w:val="24"/>
        </w:rPr>
      </w:pPr>
      <w:r w:rsidRPr="00CA1A43">
        <w:rPr>
          <w:rFonts w:eastAsia="標楷體" w:cstheme="minorHAnsi"/>
          <w:kern w:val="0"/>
          <w:szCs w:val="24"/>
        </w:rPr>
        <w:t>上述所有長、短加權部位互抵後取絕對值，求得總體淨加權部位，計提</w:t>
      </w:r>
      <w:r w:rsidRPr="00CA1A43">
        <w:rPr>
          <w:rFonts w:eastAsia="標楷體" w:cstheme="minorHAnsi"/>
          <w:kern w:val="0"/>
          <w:szCs w:val="24"/>
        </w:rPr>
        <w:t>100%</w:t>
      </w:r>
      <w:r w:rsidRPr="00CA1A43">
        <w:rPr>
          <w:rFonts w:eastAsia="標楷體" w:cstheme="minorHAnsi"/>
          <w:kern w:val="0"/>
          <w:szCs w:val="24"/>
        </w:rPr>
        <w:t>之資本。</w:t>
      </w:r>
    </w:p>
    <w:p w14:paraId="445BDB02" w14:textId="77777777" w:rsidR="00224381" w:rsidRPr="00CA1A43" w:rsidRDefault="00DD645F" w:rsidP="008C0E02">
      <w:pPr>
        <w:pStyle w:val="a7"/>
        <w:numPr>
          <w:ilvl w:val="0"/>
          <w:numId w:val="202"/>
        </w:numPr>
        <w:spacing w:beforeLines="50" w:before="180"/>
        <w:ind w:leftChars="0"/>
        <w:jc w:val="both"/>
        <w:rPr>
          <w:rFonts w:eastAsia="標楷體" w:cstheme="minorHAnsi"/>
          <w:kern w:val="0"/>
          <w:szCs w:val="24"/>
        </w:rPr>
      </w:pPr>
      <w:r w:rsidRPr="00CA1A43">
        <w:rPr>
          <w:rFonts w:eastAsia="標楷體" w:cstheme="minorHAnsi"/>
          <w:kern w:val="0"/>
          <w:szCs w:val="24"/>
        </w:rPr>
        <w:t>垂直非</w:t>
      </w:r>
      <w:r w:rsidRPr="00CA1A43">
        <w:rPr>
          <w:rFonts w:eastAsia="標楷體" w:cstheme="minorHAnsi"/>
          <w:szCs w:val="24"/>
        </w:rPr>
        <w:t>抵銷</w:t>
      </w:r>
      <w:r w:rsidRPr="00CA1A43">
        <w:rPr>
          <w:rFonts w:eastAsia="標楷體" w:cstheme="minorHAnsi"/>
          <w:kern w:val="0"/>
          <w:szCs w:val="24"/>
        </w:rPr>
        <w:t>部分</w:t>
      </w:r>
      <w:r w:rsidRPr="00CA1A43">
        <w:rPr>
          <w:rFonts w:eastAsia="標楷體" w:cstheme="minorHAnsi"/>
          <w:kern w:val="0"/>
          <w:szCs w:val="24"/>
        </w:rPr>
        <w:t>(vertical disallowance)</w:t>
      </w:r>
      <w:r w:rsidRPr="00CA1A43">
        <w:rPr>
          <w:rFonts w:eastAsia="標楷體" w:cstheme="minorHAnsi"/>
          <w:kern w:val="0"/>
          <w:szCs w:val="24"/>
        </w:rPr>
        <w:t>之資本計提：</w:t>
      </w:r>
    </w:p>
    <w:p w14:paraId="12EDC754" w14:textId="77777777" w:rsidR="00BE609F" w:rsidRPr="00CA1A43" w:rsidRDefault="00DD645F" w:rsidP="00224381">
      <w:pPr>
        <w:autoSpaceDE w:val="0"/>
        <w:autoSpaceDN w:val="0"/>
        <w:adjustRightInd w:val="0"/>
        <w:ind w:leftChars="826" w:left="1984" w:hanging="2"/>
        <w:rPr>
          <w:rFonts w:eastAsia="標楷體" w:cstheme="minorHAnsi"/>
          <w:szCs w:val="24"/>
        </w:rPr>
      </w:pPr>
      <w:r w:rsidRPr="00CA1A43">
        <w:rPr>
          <w:rFonts w:eastAsia="標楷體" w:cstheme="minorHAnsi"/>
          <w:kern w:val="0"/>
          <w:szCs w:val="24"/>
        </w:rPr>
        <w:t>同一時間帶之長、短加權部位可互抵，其互抵之部位</w:t>
      </w:r>
      <w:r w:rsidRPr="00CA1A43">
        <w:rPr>
          <w:rFonts w:eastAsia="標楷體" w:cstheme="minorHAnsi"/>
          <w:kern w:val="0"/>
          <w:szCs w:val="24"/>
        </w:rPr>
        <w:t>(</w:t>
      </w:r>
      <w:r w:rsidRPr="00CA1A43">
        <w:rPr>
          <w:rFonts w:eastAsia="標楷體" w:cstheme="minorHAnsi"/>
          <w:kern w:val="0"/>
          <w:szCs w:val="24"/>
        </w:rPr>
        <w:t>即搭配部位</w:t>
      </w:r>
      <w:r w:rsidRPr="00CA1A43">
        <w:rPr>
          <w:rFonts w:eastAsia="標楷體" w:cstheme="minorHAnsi"/>
          <w:kern w:val="0"/>
          <w:szCs w:val="24"/>
        </w:rPr>
        <w:t>)</w:t>
      </w:r>
      <w:r w:rsidRPr="00CA1A43">
        <w:rPr>
          <w:rFonts w:eastAsia="標楷體" w:cstheme="minorHAnsi"/>
          <w:kern w:val="0"/>
          <w:szCs w:val="24"/>
        </w:rPr>
        <w:t>，為</w:t>
      </w:r>
      <w:proofErr w:type="gramStart"/>
      <w:r w:rsidRPr="00CA1A43">
        <w:rPr>
          <w:rFonts w:eastAsia="標楷體" w:cstheme="minorHAnsi"/>
          <w:kern w:val="0"/>
          <w:szCs w:val="24"/>
        </w:rPr>
        <w:t>反應基差風險</w:t>
      </w:r>
      <w:proofErr w:type="gramEnd"/>
      <w:r w:rsidRPr="00CA1A43">
        <w:rPr>
          <w:rFonts w:eastAsia="標楷體" w:cstheme="minorHAnsi"/>
          <w:kern w:val="0"/>
          <w:szCs w:val="24"/>
        </w:rPr>
        <w:t>(basis risk)</w:t>
      </w:r>
      <w:proofErr w:type="gramStart"/>
      <w:r w:rsidRPr="00CA1A43">
        <w:rPr>
          <w:rFonts w:eastAsia="標楷體" w:cstheme="minorHAnsi"/>
          <w:kern w:val="0"/>
          <w:szCs w:val="24"/>
        </w:rPr>
        <w:t>及期差風險</w:t>
      </w:r>
      <w:proofErr w:type="gramEnd"/>
      <w:r w:rsidRPr="00CA1A43">
        <w:rPr>
          <w:rFonts w:eastAsia="標楷體" w:cstheme="minorHAnsi"/>
          <w:kern w:val="0"/>
          <w:szCs w:val="24"/>
        </w:rPr>
        <w:t>(gap risk)</w:t>
      </w:r>
      <w:r w:rsidRPr="00CA1A43">
        <w:rPr>
          <w:rFonts w:eastAsia="標楷體" w:cstheme="minorHAnsi"/>
          <w:kern w:val="0"/>
          <w:szCs w:val="24"/>
        </w:rPr>
        <w:t>，應對互抵部位</w:t>
      </w:r>
      <w:r w:rsidRPr="00CA1A43">
        <w:rPr>
          <w:rFonts w:eastAsia="標楷體" w:cstheme="minorHAnsi"/>
          <w:szCs w:val="24"/>
        </w:rPr>
        <w:t>(</w:t>
      </w:r>
      <w:r w:rsidRPr="00CA1A43">
        <w:rPr>
          <w:rFonts w:eastAsia="標楷體" w:cstheme="minorHAnsi"/>
          <w:szCs w:val="24"/>
        </w:rPr>
        <w:t>不論其為長或短部位</w:t>
      </w:r>
      <w:r w:rsidRPr="00CA1A43">
        <w:rPr>
          <w:rFonts w:eastAsia="標楷體" w:cstheme="minorHAnsi"/>
          <w:szCs w:val="24"/>
        </w:rPr>
        <w:t>)</w:t>
      </w:r>
      <w:r w:rsidRPr="00CA1A43">
        <w:rPr>
          <w:rFonts w:eastAsia="標楷體" w:cstheme="minorHAnsi"/>
          <w:szCs w:val="24"/>
        </w:rPr>
        <w:t>中較小者</w:t>
      </w:r>
      <w:r w:rsidRPr="00CA1A43">
        <w:rPr>
          <w:rFonts w:eastAsia="標楷體" w:cstheme="minorHAnsi"/>
          <w:kern w:val="0"/>
          <w:szCs w:val="24"/>
        </w:rPr>
        <w:t>計提</w:t>
      </w:r>
      <w:r w:rsidRPr="00CA1A43">
        <w:rPr>
          <w:rFonts w:eastAsia="標楷體" w:cstheme="minorHAnsi"/>
          <w:kern w:val="0"/>
          <w:szCs w:val="24"/>
        </w:rPr>
        <w:t>10%</w:t>
      </w:r>
      <w:r w:rsidRPr="00CA1A43">
        <w:rPr>
          <w:rFonts w:eastAsia="標楷體" w:cstheme="minorHAnsi"/>
          <w:kern w:val="0"/>
          <w:szCs w:val="24"/>
        </w:rPr>
        <w:t>之資本。</w:t>
      </w:r>
      <w:r w:rsidRPr="00CA1A43">
        <w:rPr>
          <w:rStyle w:val="a5"/>
          <w:rFonts w:eastAsia="標楷體" w:cstheme="minorHAnsi"/>
        </w:rPr>
        <w:footnoteReference w:id="64"/>
      </w:r>
    </w:p>
    <w:p w14:paraId="47048EB3" w14:textId="77777777" w:rsidR="00224381" w:rsidRPr="00CA1A43" w:rsidRDefault="00224381" w:rsidP="008C0E02">
      <w:pPr>
        <w:pStyle w:val="a7"/>
        <w:numPr>
          <w:ilvl w:val="0"/>
          <w:numId w:val="202"/>
        </w:numPr>
        <w:spacing w:beforeLines="50" w:before="180"/>
        <w:ind w:leftChars="0"/>
        <w:jc w:val="both"/>
        <w:rPr>
          <w:rFonts w:eastAsia="標楷體" w:cstheme="minorHAnsi"/>
          <w:kern w:val="0"/>
          <w:szCs w:val="24"/>
        </w:rPr>
      </w:pPr>
      <w:r w:rsidRPr="00CA1A43">
        <w:rPr>
          <w:rFonts w:eastAsia="標楷體" w:cstheme="minorHAnsi"/>
          <w:kern w:val="0"/>
          <w:szCs w:val="24"/>
        </w:rPr>
        <w:t>同區水平非抵銷部分</w:t>
      </w:r>
      <w:r w:rsidRPr="00CA1A43">
        <w:rPr>
          <w:rFonts w:eastAsia="標楷體" w:cstheme="minorHAnsi"/>
          <w:kern w:val="0"/>
          <w:szCs w:val="24"/>
        </w:rPr>
        <w:t>(horizontal disallowance)</w:t>
      </w:r>
      <w:r w:rsidRPr="00CA1A43">
        <w:rPr>
          <w:rFonts w:eastAsia="標楷體" w:cstheme="minorHAnsi"/>
          <w:kern w:val="0"/>
          <w:szCs w:val="24"/>
        </w:rPr>
        <w:t>之資本計提：</w:t>
      </w:r>
    </w:p>
    <w:p w14:paraId="14E330D0" w14:textId="77777777" w:rsidR="00224381" w:rsidRPr="00CA1A43" w:rsidRDefault="00224381" w:rsidP="00224381">
      <w:pPr>
        <w:autoSpaceDE w:val="0"/>
        <w:autoSpaceDN w:val="0"/>
        <w:adjustRightInd w:val="0"/>
        <w:ind w:leftChars="826" w:left="1984" w:hanging="2"/>
        <w:rPr>
          <w:rFonts w:eastAsia="標楷體" w:cstheme="minorHAnsi"/>
          <w:kern w:val="0"/>
          <w:szCs w:val="24"/>
        </w:rPr>
      </w:pPr>
      <w:r w:rsidRPr="00CA1A43">
        <w:rPr>
          <w:rFonts w:eastAsia="標楷體" w:cstheme="minorHAnsi"/>
          <w:kern w:val="0"/>
          <w:szCs w:val="24"/>
        </w:rPr>
        <w:t>同區不同時間帶之長、</w:t>
      </w:r>
      <w:proofErr w:type="gramStart"/>
      <w:r w:rsidRPr="00CA1A43">
        <w:rPr>
          <w:rFonts w:eastAsia="標楷體" w:cstheme="minorHAnsi"/>
          <w:kern w:val="0"/>
          <w:szCs w:val="24"/>
        </w:rPr>
        <w:t>短淨加權</w:t>
      </w:r>
      <w:proofErr w:type="gramEnd"/>
      <w:r w:rsidRPr="00CA1A43">
        <w:rPr>
          <w:rFonts w:eastAsia="標楷體" w:cstheme="minorHAnsi"/>
          <w:kern w:val="0"/>
          <w:szCs w:val="24"/>
        </w:rPr>
        <w:t>部位可互抵，其互抵之部位</w:t>
      </w:r>
      <w:r w:rsidRPr="00CA1A43">
        <w:rPr>
          <w:rFonts w:eastAsia="標楷體" w:cstheme="minorHAnsi"/>
          <w:kern w:val="0"/>
          <w:szCs w:val="24"/>
        </w:rPr>
        <w:t>(</w:t>
      </w:r>
      <w:r w:rsidRPr="00CA1A43">
        <w:rPr>
          <w:rFonts w:eastAsia="標楷體" w:cstheme="minorHAnsi"/>
          <w:kern w:val="0"/>
          <w:szCs w:val="24"/>
        </w:rPr>
        <w:t>即搭配部位</w:t>
      </w:r>
      <w:r w:rsidRPr="00CA1A43">
        <w:rPr>
          <w:rFonts w:eastAsia="標楷體" w:cstheme="minorHAnsi"/>
          <w:kern w:val="0"/>
          <w:szCs w:val="24"/>
        </w:rPr>
        <w:t>)</w:t>
      </w:r>
      <w:proofErr w:type="gramStart"/>
      <w:r w:rsidRPr="00CA1A43">
        <w:rPr>
          <w:rFonts w:eastAsia="標楷體" w:cstheme="minorHAnsi"/>
          <w:kern w:val="0"/>
          <w:szCs w:val="24"/>
        </w:rPr>
        <w:t>需依表</w:t>
      </w:r>
      <w:proofErr w:type="gramEnd"/>
      <w:r w:rsidR="00312843">
        <w:rPr>
          <w:rFonts w:eastAsia="標楷體" w:cstheme="minorHAnsi" w:hint="eastAsia"/>
          <w:kern w:val="0"/>
          <w:szCs w:val="24"/>
        </w:rPr>
        <w:t>18</w:t>
      </w:r>
      <w:r w:rsidRPr="00CA1A43">
        <w:rPr>
          <w:rFonts w:eastAsia="標楷體" w:cstheme="minorHAnsi"/>
          <w:kern w:val="0"/>
          <w:szCs w:val="24"/>
        </w:rPr>
        <w:t>之比率計提資本。第一區</w:t>
      </w:r>
      <w:r w:rsidRPr="00CA1A43">
        <w:rPr>
          <w:rFonts w:eastAsia="標楷體" w:cstheme="minorHAnsi"/>
          <w:kern w:val="0"/>
          <w:szCs w:val="24"/>
        </w:rPr>
        <w:t>0</w:t>
      </w:r>
      <w:r w:rsidRPr="00CA1A43">
        <w:rPr>
          <w:rFonts w:eastAsia="標楷體" w:cstheme="minorHAnsi"/>
          <w:kern w:val="0"/>
          <w:szCs w:val="24"/>
        </w:rPr>
        <w:t>至</w:t>
      </w:r>
      <w:r w:rsidRPr="00CA1A43">
        <w:rPr>
          <w:rFonts w:eastAsia="標楷體" w:cstheme="minorHAnsi"/>
          <w:kern w:val="0"/>
          <w:szCs w:val="24"/>
        </w:rPr>
        <w:t>1</w:t>
      </w:r>
      <w:r w:rsidRPr="00CA1A43">
        <w:rPr>
          <w:rFonts w:eastAsia="標楷體" w:cstheme="minorHAnsi"/>
          <w:kern w:val="0"/>
          <w:szCs w:val="24"/>
        </w:rPr>
        <w:t>年，第二區</w:t>
      </w:r>
      <w:r w:rsidRPr="00CA1A43">
        <w:rPr>
          <w:rFonts w:eastAsia="標楷體" w:cstheme="minorHAnsi"/>
          <w:kern w:val="0"/>
          <w:szCs w:val="24"/>
        </w:rPr>
        <w:t>1</w:t>
      </w:r>
      <w:r w:rsidRPr="00CA1A43">
        <w:rPr>
          <w:rFonts w:eastAsia="標楷體" w:cstheme="minorHAnsi"/>
          <w:kern w:val="0"/>
          <w:szCs w:val="24"/>
        </w:rPr>
        <w:t>至</w:t>
      </w:r>
      <w:r w:rsidRPr="00CA1A43">
        <w:rPr>
          <w:rFonts w:eastAsia="標楷體" w:cstheme="minorHAnsi"/>
          <w:kern w:val="0"/>
          <w:szCs w:val="24"/>
        </w:rPr>
        <w:t>4</w:t>
      </w:r>
      <w:r w:rsidRPr="00CA1A43">
        <w:rPr>
          <w:rFonts w:eastAsia="標楷體" w:cstheme="minorHAnsi"/>
          <w:kern w:val="0"/>
          <w:szCs w:val="24"/>
        </w:rPr>
        <w:t>年，第三區</w:t>
      </w:r>
      <w:r w:rsidRPr="00CA1A43">
        <w:rPr>
          <w:rFonts w:eastAsia="標楷體" w:cstheme="minorHAnsi"/>
          <w:kern w:val="0"/>
          <w:szCs w:val="24"/>
        </w:rPr>
        <w:t>4</w:t>
      </w:r>
      <w:r w:rsidRPr="00CA1A43">
        <w:rPr>
          <w:rFonts w:eastAsia="標楷體" w:cstheme="minorHAnsi"/>
          <w:kern w:val="0"/>
          <w:szCs w:val="24"/>
        </w:rPr>
        <w:t>年以上</w:t>
      </w:r>
      <w:r w:rsidRPr="00CA1A43">
        <w:rPr>
          <w:rFonts w:eastAsia="標楷體" w:cstheme="minorHAnsi"/>
          <w:kern w:val="0"/>
          <w:szCs w:val="24"/>
        </w:rPr>
        <w:t xml:space="preserve"> (</w:t>
      </w:r>
      <w:r w:rsidRPr="00CA1A43">
        <w:rPr>
          <w:rFonts w:eastAsia="標楷體" w:cstheme="minorHAnsi"/>
          <w:kern w:val="0"/>
          <w:szCs w:val="24"/>
        </w:rPr>
        <w:t>息票利率低於</w:t>
      </w:r>
      <w:r w:rsidRPr="00CA1A43">
        <w:rPr>
          <w:rFonts w:eastAsia="標楷體" w:cstheme="minorHAnsi"/>
          <w:kern w:val="0"/>
          <w:szCs w:val="24"/>
        </w:rPr>
        <w:t>3%</w:t>
      </w:r>
      <w:r w:rsidRPr="00CA1A43">
        <w:rPr>
          <w:rFonts w:eastAsia="標楷體" w:cstheme="minorHAnsi"/>
          <w:kern w:val="0"/>
          <w:szCs w:val="24"/>
        </w:rPr>
        <w:t>者，第二區為</w:t>
      </w:r>
      <w:r w:rsidRPr="00CA1A43">
        <w:rPr>
          <w:rFonts w:eastAsia="標楷體" w:cstheme="minorHAnsi"/>
          <w:kern w:val="0"/>
          <w:szCs w:val="24"/>
        </w:rPr>
        <w:t>1</w:t>
      </w:r>
      <w:r w:rsidRPr="00CA1A43">
        <w:rPr>
          <w:rFonts w:eastAsia="標楷體" w:cstheme="minorHAnsi"/>
          <w:kern w:val="0"/>
          <w:szCs w:val="24"/>
        </w:rPr>
        <w:t>至</w:t>
      </w:r>
      <w:r w:rsidRPr="00CA1A43">
        <w:rPr>
          <w:rFonts w:eastAsia="標楷體" w:cstheme="minorHAnsi"/>
          <w:kern w:val="0"/>
          <w:szCs w:val="24"/>
        </w:rPr>
        <w:t>3.6</w:t>
      </w:r>
      <w:r w:rsidRPr="00CA1A43">
        <w:rPr>
          <w:rFonts w:eastAsia="標楷體" w:cstheme="minorHAnsi"/>
          <w:kern w:val="0"/>
          <w:szCs w:val="24"/>
        </w:rPr>
        <w:t>年，第三區為</w:t>
      </w:r>
      <w:r w:rsidRPr="00CA1A43">
        <w:rPr>
          <w:rFonts w:eastAsia="標楷體" w:cstheme="minorHAnsi"/>
          <w:kern w:val="0"/>
          <w:szCs w:val="24"/>
        </w:rPr>
        <w:t>3.6</w:t>
      </w:r>
      <w:r w:rsidRPr="00CA1A43">
        <w:rPr>
          <w:rFonts w:eastAsia="標楷體" w:cstheme="minorHAnsi"/>
          <w:kern w:val="0"/>
          <w:szCs w:val="24"/>
        </w:rPr>
        <w:t>年以上</w:t>
      </w:r>
      <w:r w:rsidRPr="00CA1A43">
        <w:rPr>
          <w:rFonts w:eastAsia="標楷體" w:cstheme="minorHAnsi"/>
          <w:kern w:val="0"/>
          <w:szCs w:val="24"/>
        </w:rPr>
        <w:t>)</w:t>
      </w:r>
      <w:r w:rsidRPr="00CA1A43">
        <w:rPr>
          <w:rFonts w:eastAsia="標楷體" w:cstheme="minorHAnsi"/>
          <w:kern w:val="0"/>
          <w:szCs w:val="24"/>
        </w:rPr>
        <w:t>。</w:t>
      </w:r>
    </w:p>
    <w:p w14:paraId="6AD44F7C" w14:textId="77777777" w:rsidR="00224381" w:rsidRPr="00CA1A43" w:rsidRDefault="00224381" w:rsidP="008C0E02">
      <w:pPr>
        <w:pStyle w:val="a7"/>
        <w:numPr>
          <w:ilvl w:val="0"/>
          <w:numId w:val="202"/>
        </w:numPr>
        <w:spacing w:beforeLines="50" w:before="180"/>
        <w:ind w:leftChars="0"/>
        <w:jc w:val="both"/>
        <w:rPr>
          <w:rFonts w:eastAsia="標楷體" w:cstheme="minorHAnsi"/>
          <w:kern w:val="0"/>
          <w:szCs w:val="24"/>
        </w:rPr>
      </w:pPr>
      <w:r w:rsidRPr="00CA1A43">
        <w:rPr>
          <w:rFonts w:eastAsia="標楷體" w:cstheme="minorHAnsi"/>
          <w:kern w:val="0"/>
          <w:szCs w:val="24"/>
        </w:rPr>
        <w:t>跨區水平非抵銷部分</w:t>
      </w:r>
      <w:r w:rsidRPr="00CA1A43">
        <w:rPr>
          <w:rFonts w:eastAsia="標楷體" w:cstheme="minorHAnsi"/>
          <w:kern w:val="0"/>
          <w:szCs w:val="24"/>
        </w:rPr>
        <w:t>(horizontal disallowance)</w:t>
      </w:r>
      <w:r w:rsidRPr="00CA1A43">
        <w:rPr>
          <w:rFonts w:eastAsia="標楷體" w:cstheme="minorHAnsi"/>
          <w:kern w:val="0"/>
          <w:szCs w:val="24"/>
        </w:rPr>
        <w:t>之資本計提</w:t>
      </w:r>
      <w:r w:rsidRPr="00CA1A43">
        <w:rPr>
          <w:rFonts w:eastAsia="標楷體" w:cstheme="minorHAnsi"/>
          <w:kern w:val="0"/>
          <w:szCs w:val="24"/>
        </w:rPr>
        <w:t>:</w:t>
      </w:r>
    </w:p>
    <w:p w14:paraId="6DFA4387" w14:textId="77777777" w:rsidR="00224381" w:rsidRPr="00CA1A43" w:rsidRDefault="00224381" w:rsidP="00224381">
      <w:pPr>
        <w:autoSpaceDE w:val="0"/>
        <w:autoSpaceDN w:val="0"/>
        <w:adjustRightInd w:val="0"/>
        <w:ind w:leftChars="826" w:left="1984" w:hanging="2"/>
        <w:rPr>
          <w:rFonts w:eastAsia="標楷體" w:cstheme="minorHAnsi"/>
          <w:kern w:val="0"/>
          <w:szCs w:val="24"/>
        </w:rPr>
      </w:pPr>
      <w:r w:rsidRPr="00CA1A43">
        <w:rPr>
          <w:rFonts w:eastAsia="標楷體" w:cstheme="minorHAnsi"/>
          <w:kern w:val="0"/>
          <w:szCs w:val="24"/>
        </w:rPr>
        <w:t>不同區尚未抵銷之長、短加權淨部位可互抵，其互抵之部位</w:t>
      </w:r>
      <w:r w:rsidRPr="00CA1A43">
        <w:rPr>
          <w:rFonts w:eastAsia="標楷體" w:cstheme="minorHAnsi"/>
          <w:kern w:val="0"/>
          <w:szCs w:val="24"/>
        </w:rPr>
        <w:t>(</w:t>
      </w:r>
      <w:r w:rsidRPr="00CA1A43">
        <w:rPr>
          <w:rFonts w:eastAsia="標楷體" w:cstheme="minorHAnsi"/>
          <w:kern w:val="0"/>
          <w:szCs w:val="24"/>
        </w:rPr>
        <w:t>即搭配部位</w:t>
      </w:r>
      <w:r w:rsidRPr="00CA1A43">
        <w:rPr>
          <w:rFonts w:eastAsia="標楷體" w:cstheme="minorHAnsi"/>
          <w:kern w:val="0"/>
          <w:szCs w:val="24"/>
        </w:rPr>
        <w:t>)</w:t>
      </w:r>
      <w:r w:rsidRPr="00CA1A43">
        <w:rPr>
          <w:rFonts w:eastAsia="標楷體" w:cstheme="minorHAnsi"/>
          <w:kern w:val="0"/>
          <w:szCs w:val="24"/>
        </w:rPr>
        <w:t>，</w:t>
      </w:r>
      <w:proofErr w:type="gramStart"/>
      <w:r w:rsidRPr="00CA1A43">
        <w:rPr>
          <w:rFonts w:eastAsia="標楷體" w:cstheme="minorHAnsi"/>
          <w:kern w:val="0"/>
          <w:szCs w:val="24"/>
        </w:rPr>
        <w:t>視互抵</w:t>
      </w:r>
      <w:proofErr w:type="gramEnd"/>
      <w:r w:rsidRPr="00CA1A43">
        <w:rPr>
          <w:rFonts w:eastAsia="標楷體" w:cstheme="minorHAnsi"/>
          <w:kern w:val="0"/>
          <w:szCs w:val="24"/>
        </w:rPr>
        <w:t>之兩區是否為鄰近區，</w:t>
      </w:r>
      <w:proofErr w:type="gramStart"/>
      <w:r w:rsidRPr="00CA1A43">
        <w:rPr>
          <w:rFonts w:eastAsia="標楷體" w:cstheme="minorHAnsi"/>
          <w:kern w:val="0"/>
          <w:szCs w:val="24"/>
        </w:rPr>
        <w:t>依表</w:t>
      </w:r>
      <w:proofErr w:type="gramEnd"/>
      <w:r w:rsidR="00312843">
        <w:rPr>
          <w:rFonts w:eastAsia="標楷體" w:cstheme="minorHAnsi" w:hint="eastAsia"/>
          <w:kern w:val="0"/>
          <w:szCs w:val="24"/>
        </w:rPr>
        <w:t>17</w:t>
      </w:r>
      <w:r w:rsidRPr="00CA1A43">
        <w:rPr>
          <w:rFonts w:eastAsia="標楷體" w:cstheme="minorHAnsi"/>
          <w:kern w:val="0"/>
          <w:szCs w:val="24"/>
        </w:rPr>
        <w:t>之比率分別計提資本。</w:t>
      </w:r>
    </w:p>
    <w:p w14:paraId="34FD7912" w14:textId="77777777" w:rsidR="00224381" w:rsidRPr="00CA1A43" w:rsidRDefault="00224381" w:rsidP="008C0E02">
      <w:pPr>
        <w:pStyle w:val="a7"/>
        <w:numPr>
          <w:ilvl w:val="0"/>
          <w:numId w:val="202"/>
        </w:numPr>
        <w:spacing w:beforeLines="50" w:before="180"/>
        <w:ind w:leftChars="0"/>
        <w:jc w:val="both"/>
        <w:rPr>
          <w:rFonts w:eastAsia="標楷體" w:cstheme="minorHAnsi"/>
          <w:kern w:val="0"/>
          <w:szCs w:val="24"/>
        </w:rPr>
      </w:pPr>
      <w:r w:rsidRPr="00CA1A43">
        <w:rPr>
          <w:rFonts w:eastAsia="標楷體" w:cstheme="minorHAnsi"/>
          <w:kern w:val="0"/>
          <w:szCs w:val="24"/>
        </w:rPr>
        <w:t>將上述總體淨開放部位、垂直非抵銷部分、同區水平非抵銷部分、跨區水平非抵銷部分所計提之資本加總，即為一般市場風險應計提之資本。</w:t>
      </w:r>
    </w:p>
    <w:tbl>
      <w:tblPr>
        <w:tblW w:w="5000" w:type="pct"/>
        <w:tblBorders>
          <w:top w:val="single" w:sz="4" w:space="0" w:color="auto"/>
          <w:bottom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90"/>
        <w:gridCol w:w="3405"/>
        <w:gridCol w:w="1135"/>
        <w:gridCol w:w="1558"/>
        <w:gridCol w:w="110"/>
        <w:gridCol w:w="1108"/>
      </w:tblGrid>
      <w:tr w:rsidR="00FA51E6" w:rsidRPr="00CA1A43" w14:paraId="116C74BF" w14:textId="77777777" w:rsidTr="004708E6">
        <w:trPr>
          <w:cantSplit/>
          <w:trHeight w:val="454"/>
        </w:trPr>
        <w:tc>
          <w:tcPr>
            <w:tcW w:w="4333" w:type="pct"/>
            <w:gridSpan w:val="5"/>
            <w:tcBorders>
              <w:top w:val="single" w:sz="4" w:space="0" w:color="auto"/>
              <w:left w:val="nil"/>
              <w:bottom w:val="single" w:sz="4" w:space="0" w:color="auto"/>
              <w:right w:val="nil"/>
            </w:tcBorders>
            <w:vAlign w:val="center"/>
            <w:hideMark/>
          </w:tcPr>
          <w:p w14:paraId="7B1A7815" w14:textId="77777777" w:rsidR="00FA51E6" w:rsidRPr="00CA1A43" w:rsidRDefault="00FA51E6"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水平互抵之非抵銷部分</w:t>
            </w:r>
          </w:p>
        </w:tc>
        <w:tc>
          <w:tcPr>
            <w:tcW w:w="667" w:type="pct"/>
            <w:tcBorders>
              <w:top w:val="single" w:sz="4" w:space="0" w:color="auto"/>
              <w:left w:val="nil"/>
              <w:bottom w:val="single" w:sz="4" w:space="0" w:color="auto"/>
              <w:right w:val="nil"/>
            </w:tcBorders>
            <w:vAlign w:val="center"/>
            <w:hideMark/>
          </w:tcPr>
          <w:p w14:paraId="417DC7F2" w14:textId="77777777" w:rsidR="00FA51E6" w:rsidRPr="00CA1A43" w:rsidRDefault="00FA51E6" w:rsidP="004708E6">
            <w:pPr>
              <w:pStyle w:val="Item"/>
              <w:ind w:left="87" w:right="100"/>
              <w:jc w:val="right"/>
              <w:rPr>
                <w:rFonts w:asciiTheme="minorHAnsi" w:hAnsiTheme="minorHAnsi" w:cstheme="minorHAnsi"/>
                <w:sz w:val="24"/>
                <w:szCs w:val="24"/>
              </w:rPr>
            </w:pPr>
            <w:r w:rsidRPr="00CA1A43">
              <w:rPr>
                <w:rFonts w:asciiTheme="minorHAnsi" w:hAnsiTheme="minorHAnsi" w:cstheme="minorHAnsi"/>
                <w:sz w:val="24"/>
                <w:szCs w:val="24"/>
              </w:rPr>
              <w:t>表</w:t>
            </w:r>
            <w:r w:rsidR="00312843">
              <w:rPr>
                <w:rFonts w:asciiTheme="minorHAnsi" w:hAnsiTheme="minorHAnsi" w:cstheme="minorHAnsi" w:hint="eastAsia"/>
                <w:sz w:val="24"/>
                <w:szCs w:val="24"/>
              </w:rPr>
              <w:t>18</w:t>
            </w:r>
          </w:p>
        </w:tc>
      </w:tr>
      <w:tr w:rsidR="00FA51E6" w:rsidRPr="00CA1A43" w14:paraId="19C32BCF" w14:textId="77777777" w:rsidTr="00FA51E6">
        <w:trPr>
          <w:cantSplit/>
          <w:trHeight w:val="226"/>
        </w:trPr>
        <w:tc>
          <w:tcPr>
            <w:tcW w:w="596" w:type="pct"/>
            <w:tcBorders>
              <w:top w:val="single" w:sz="4" w:space="0" w:color="auto"/>
              <w:left w:val="nil"/>
              <w:bottom w:val="single" w:sz="4" w:space="0" w:color="auto"/>
              <w:right w:val="single" w:sz="8" w:space="0" w:color="BFBFBF"/>
            </w:tcBorders>
            <w:hideMark/>
          </w:tcPr>
          <w:p w14:paraId="08C77119" w14:textId="77777777" w:rsidR="00FA51E6" w:rsidRPr="00CA1A43" w:rsidRDefault="00FA51E6" w:rsidP="009331C0">
            <w:pPr>
              <w:pStyle w:val="Item"/>
              <w:jc w:val="center"/>
              <w:rPr>
                <w:rFonts w:asciiTheme="minorHAnsi" w:hAnsiTheme="minorHAnsi" w:cstheme="minorHAnsi"/>
                <w:sz w:val="24"/>
                <w:szCs w:val="24"/>
              </w:rPr>
            </w:pPr>
            <w:r w:rsidRPr="00CA1A43">
              <w:rPr>
                <w:rFonts w:asciiTheme="minorHAnsi" w:hAnsiTheme="minorHAnsi" w:cstheme="minorHAnsi"/>
                <w:sz w:val="24"/>
                <w:szCs w:val="24"/>
              </w:rPr>
              <w:t>分區</w:t>
            </w:r>
          </w:p>
        </w:tc>
        <w:tc>
          <w:tcPr>
            <w:tcW w:w="2050" w:type="pct"/>
            <w:tcBorders>
              <w:top w:val="single" w:sz="4" w:space="0" w:color="auto"/>
              <w:left w:val="single" w:sz="8" w:space="0" w:color="BFBFBF"/>
              <w:bottom w:val="single" w:sz="4" w:space="0" w:color="auto"/>
              <w:right w:val="single" w:sz="8" w:space="0" w:color="BFBFBF"/>
            </w:tcBorders>
            <w:hideMark/>
          </w:tcPr>
          <w:p w14:paraId="664A77EA" w14:textId="77777777" w:rsidR="00FA51E6" w:rsidRPr="00CA1A43" w:rsidRDefault="00FA51E6" w:rsidP="009331C0">
            <w:pPr>
              <w:pStyle w:val="Item"/>
              <w:jc w:val="center"/>
              <w:rPr>
                <w:rFonts w:asciiTheme="minorHAnsi" w:hAnsiTheme="minorHAnsi" w:cstheme="minorHAnsi"/>
                <w:sz w:val="24"/>
                <w:szCs w:val="24"/>
              </w:rPr>
            </w:pPr>
            <w:r w:rsidRPr="00CA1A43">
              <w:rPr>
                <w:rFonts w:asciiTheme="minorHAnsi" w:hAnsiTheme="minorHAnsi" w:cstheme="minorHAnsi"/>
                <w:sz w:val="24"/>
                <w:szCs w:val="24"/>
              </w:rPr>
              <w:t>時間帶</w:t>
            </w:r>
            <w:r w:rsidR="009331C0" w:rsidRPr="00CA1A43">
              <w:rPr>
                <w:rStyle w:val="a5"/>
                <w:rFonts w:asciiTheme="minorHAnsi" w:hAnsiTheme="minorHAnsi" w:cstheme="minorHAnsi"/>
              </w:rPr>
              <w:footnoteReference w:id="65"/>
            </w:r>
          </w:p>
        </w:tc>
        <w:tc>
          <w:tcPr>
            <w:tcW w:w="683" w:type="pct"/>
            <w:tcBorders>
              <w:top w:val="single" w:sz="4" w:space="0" w:color="auto"/>
              <w:left w:val="single" w:sz="8" w:space="0" w:color="BFBFBF"/>
              <w:bottom w:val="single" w:sz="4" w:space="0" w:color="auto"/>
              <w:right w:val="single" w:sz="8" w:space="0" w:color="BFBFBF"/>
            </w:tcBorders>
            <w:hideMark/>
          </w:tcPr>
          <w:p w14:paraId="51E72FD0"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同區內</w:t>
            </w:r>
          </w:p>
        </w:tc>
        <w:tc>
          <w:tcPr>
            <w:tcW w:w="938" w:type="pct"/>
            <w:tcBorders>
              <w:top w:val="single" w:sz="4" w:space="0" w:color="auto"/>
              <w:left w:val="single" w:sz="8" w:space="0" w:color="BFBFBF"/>
              <w:bottom w:val="single" w:sz="4" w:space="0" w:color="auto"/>
              <w:right w:val="single" w:sz="8" w:space="0" w:color="BFBFBF"/>
            </w:tcBorders>
            <w:hideMark/>
          </w:tcPr>
          <w:p w14:paraId="2D22164E"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鄰近區之間</w:t>
            </w:r>
          </w:p>
        </w:tc>
        <w:tc>
          <w:tcPr>
            <w:tcW w:w="733" w:type="pct"/>
            <w:gridSpan w:val="2"/>
            <w:tcBorders>
              <w:top w:val="single" w:sz="4" w:space="0" w:color="auto"/>
              <w:left w:val="single" w:sz="8" w:space="0" w:color="BFBFBF"/>
              <w:bottom w:val="single" w:sz="4" w:space="0" w:color="auto"/>
              <w:right w:val="nil"/>
            </w:tcBorders>
            <w:hideMark/>
          </w:tcPr>
          <w:p w14:paraId="0FBE7CB7"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第一及第三區之間</w:t>
            </w:r>
          </w:p>
        </w:tc>
      </w:tr>
      <w:tr w:rsidR="00FA51E6" w:rsidRPr="00CA1A43" w14:paraId="63054A11" w14:textId="77777777" w:rsidTr="00FA51E6">
        <w:trPr>
          <w:cantSplit/>
          <w:trHeight w:val="226"/>
        </w:trPr>
        <w:tc>
          <w:tcPr>
            <w:tcW w:w="596" w:type="pct"/>
            <w:tcBorders>
              <w:top w:val="single" w:sz="4" w:space="0" w:color="auto"/>
              <w:left w:val="nil"/>
              <w:bottom w:val="nil"/>
              <w:right w:val="single" w:sz="8" w:space="0" w:color="BFBFBF"/>
            </w:tcBorders>
          </w:tcPr>
          <w:p w14:paraId="6F7467EF"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single" w:sz="4" w:space="0" w:color="auto"/>
              <w:left w:val="single" w:sz="8" w:space="0" w:color="BFBFBF"/>
              <w:bottom w:val="nil"/>
              <w:right w:val="single" w:sz="8" w:space="0" w:color="BFBFBF"/>
            </w:tcBorders>
            <w:hideMark/>
          </w:tcPr>
          <w:p w14:paraId="5FC41D74"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個月以內</w:t>
            </w:r>
          </w:p>
        </w:tc>
        <w:tc>
          <w:tcPr>
            <w:tcW w:w="683" w:type="pct"/>
            <w:tcBorders>
              <w:top w:val="single" w:sz="4" w:space="0" w:color="auto"/>
              <w:left w:val="single" w:sz="8" w:space="0" w:color="BFBFBF"/>
              <w:bottom w:val="nil"/>
              <w:right w:val="single" w:sz="8" w:space="0" w:color="BFBFBF"/>
            </w:tcBorders>
            <w:vAlign w:val="center"/>
          </w:tcPr>
          <w:p w14:paraId="01AADF0F"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single" w:sz="4" w:space="0" w:color="auto"/>
              <w:left w:val="single" w:sz="8" w:space="0" w:color="BFBFBF"/>
              <w:bottom w:val="nil"/>
              <w:right w:val="single" w:sz="8" w:space="0" w:color="BFBFBF"/>
            </w:tcBorders>
          </w:tcPr>
          <w:p w14:paraId="133BF5DA"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val="restart"/>
            <w:tcBorders>
              <w:top w:val="single" w:sz="4" w:space="0" w:color="auto"/>
              <w:left w:val="single" w:sz="8" w:space="0" w:color="BFBFBF"/>
              <w:bottom w:val="single" w:sz="4" w:space="0" w:color="auto"/>
              <w:right w:val="nil"/>
            </w:tcBorders>
            <w:vAlign w:val="center"/>
            <w:hideMark/>
          </w:tcPr>
          <w:p w14:paraId="7E5376E6"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r>
      <w:tr w:rsidR="00FA51E6" w:rsidRPr="00CA1A43" w14:paraId="1A913301" w14:textId="77777777" w:rsidTr="00FA51E6">
        <w:trPr>
          <w:cantSplit/>
          <w:trHeight w:val="226"/>
        </w:trPr>
        <w:tc>
          <w:tcPr>
            <w:tcW w:w="596" w:type="pct"/>
            <w:tcBorders>
              <w:top w:val="nil"/>
              <w:left w:val="nil"/>
              <w:bottom w:val="nil"/>
              <w:right w:val="single" w:sz="8" w:space="0" w:color="BFBFBF"/>
            </w:tcBorders>
            <w:hideMark/>
          </w:tcPr>
          <w:p w14:paraId="5CF75966"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第一區</w:t>
            </w:r>
          </w:p>
        </w:tc>
        <w:tc>
          <w:tcPr>
            <w:tcW w:w="2050" w:type="pct"/>
            <w:tcBorders>
              <w:top w:val="nil"/>
              <w:left w:val="single" w:sz="8" w:space="0" w:color="BFBFBF"/>
              <w:bottom w:val="nil"/>
              <w:right w:val="single" w:sz="8" w:space="0" w:color="BFBFBF"/>
            </w:tcBorders>
            <w:hideMark/>
          </w:tcPr>
          <w:p w14:paraId="182D7520"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w:t>
            </w:r>
            <w:r w:rsidRPr="00CA1A43">
              <w:rPr>
                <w:rFonts w:asciiTheme="minorHAnsi" w:hAnsiTheme="minorHAnsi" w:cstheme="minorHAnsi"/>
                <w:sz w:val="24"/>
                <w:szCs w:val="24"/>
              </w:rPr>
              <w:t>個月而在</w:t>
            </w:r>
            <w:r w:rsidRPr="00CA1A43">
              <w:rPr>
                <w:rFonts w:asciiTheme="minorHAnsi" w:hAnsiTheme="minorHAnsi" w:cstheme="minorHAnsi"/>
                <w:sz w:val="24"/>
                <w:szCs w:val="24"/>
              </w:rPr>
              <w:t>3</w:t>
            </w:r>
            <w:r w:rsidRPr="00CA1A43">
              <w:rPr>
                <w:rFonts w:asciiTheme="minorHAnsi" w:hAnsiTheme="minorHAnsi" w:cstheme="minorHAnsi"/>
                <w:sz w:val="24"/>
                <w:szCs w:val="24"/>
              </w:rPr>
              <w:t>個月以內</w:t>
            </w:r>
          </w:p>
        </w:tc>
        <w:tc>
          <w:tcPr>
            <w:tcW w:w="683" w:type="pct"/>
            <w:tcBorders>
              <w:top w:val="nil"/>
              <w:left w:val="single" w:sz="8" w:space="0" w:color="BFBFBF"/>
              <w:bottom w:val="nil"/>
              <w:right w:val="single" w:sz="8" w:space="0" w:color="BFBFBF"/>
            </w:tcBorders>
            <w:vAlign w:val="center"/>
            <w:hideMark/>
          </w:tcPr>
          <w:p w14:paraId="22F302A7"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c>
          <w:tcPr>
            <w:tcW w:w="938" w:type="pct"/>
            <w:tcBorders>
              <w:top w:val="nil"/>
              <w:left w:val="single" w:sz="8" w:space="0" w:color="BFBFBF"/>
              <w:bottom w:val="nil"/>
              <w:right w:val="single" w:sz="8" w:space="0" w:color="BFBFBF"/>
            </w:tcBorders>
          </w:tcPr>
          <w:p w14:paraId="5FB972B8"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6872E391" w14:textId="77777777" w:rsidR="00FA51E6" w:rsidRPr="00CA1A43" w:rsidRDefault="00FA51E6" w:rsidP="004708E6">
            <w:pPr>
              <w:widowControl/>
              <w:rPr>
                <w:rFonts w:eastAsia="標楷體" w:cstheme="minorHAnsi"/>
                <w:szCs w:val="24"/>
              </w:rPr>
            </w:pPr>
          </w:p>
        </w:tc>
      </w:tr>
      <w:tr w:rsidR="00FA51E6" w:rsidRPr="00CA1A43" w14:paraId="16EA636E" w14:textId="77777777" w:rsidTr="00FA51E6">
        <w:trPr>
          <w:cantSplit/>
          <w:trHeight w:val="226"/>
        </w:trPr>
        <w:tc>
          <w:tcPr>
            <w:tcW w:w="596" w:type="pct"/>
            <w:tcBorders>
              <w:top w:val="nil"/>
              <w:left w:val="nil"/>
              <w:bottom w:val="nil"/>
              <w:right w:val="single" w:sz="8" w:space="0" w:color="BFBFBF"/>
            </w:tcBorders>
          </w:tcPr>
          <w:p w14:paraId="4F5E7478"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nil"/>
              <w:left w:val="single" w:sz="8" w:space="0" w:color="BFBFBF"/>
              <w:bottom w:val="nil"/>
              <w:right w:val="single" w:sz="8" w:space="0" w:color="BFBFBF"/>
            </w:tcBorders>
            <w:hideMark/>
          </w:tcPr>
          <w:p w14:paraId="75A707E4"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3</w:t>
            </w:r>
            <w:r w:rsidRPr="00CA1A43">
              <w:rPr>
                <w:rFonts w:asciiTheme="minorHAnsi" w:hAnsiTheme="minorHAnsi" w:cstheme="minorHAnsi"/>
                <w:sz w:val="24"/>
                <w:szCs w:val="24"/>
              </w:rPr>
              <w:t>個月而在</w:t>
            </w:r>
            <w:r w:rsidRPr="00CA1A43">
              <w:rPr>
                <w:rFonts w:asciiTheme="minorHAnsi" w:hAnsiTheme="minorHAnsi" w:cstheme="minorHAnsi"/>
                <w:sz w:val="24"/>
                <w:szCs w:val="24"/>
              </w:rPr>
              <w:t>6</w:t>
            </w:r>
            <w:r w:rsidRPr="00CA1A43">
              <w:rPr>
                <w:rFonts w:asciiTheme="minorHAnsi" w:hAnsiTheme="minorHAnsi" w:cstheme="minorHAnsi"/>
                <w:sz w:val="24"/>
                <w:szCs w:val="24"/>
              </w:rPr>
              <w:t>個月以內</w:t>
            </w:r>
          </w:p>
        </w:tc>
        <w:tc>
          <w:tcPr>
            <w:tcW w:w="683" w:type="pct"/>
            <w:tcBorders>
              <w:top w:val="nil"/>
              <w:left w:val="single" w:sz="8" w:space="0" w:color="BFBFBF"/>
              <w:bottom w:val="nil"/>
              <w:right w:val="single" w:sz="8" w:space="0" w:color="BFBFBF"/>
            </w:tcBorders>
            <w:vAlign w:val="center"/>
          </w:tcPr>
          <w:p w14:paraId="23E6B00A"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nil"/>
              <w:right w:val="single" w:sz="8" w:space="0" w:color="BFBFBF"/>
            </w:tcBorders>
          </w:tcPr>
          <w:p w14:paraId="63FC2CFF"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5C5729C5" w14:textId="77777777" w:rsidR="00FA51E6" w:rsidRPr="00CA1A43" w:rsidRDefault="00FA51E6" w:rsidP="004708E6">
            <w:pPr>
              <w:widowControl/>
              <w:rPr>
                <w:rFonts w:eastAsia="標楷體" w:cstheme="minorHAnsi"/>
                <w:szCs w:val="24"/>
              </w:rPr>
            </w:pPr>
          </w:p>
        </w:tc>
      </w:tr>
      <w:tr w:rsidR="00FA51E6" w:rsidRPr="00CA1A43" w14:paraId="35DEF659" w14:textId="77777777" w:rsidTr="00FA51E6">
        <w:trPr>
          <w:cantSplit/>
          <w:trHeight w:val="226"/>
        </w:trPr>
        <w:tc>
          <w:tcPr>
            <w:tcW w:w="596" w:type="pct"/>
            <w:tcBorders>
              <w:top w:val="nil"/>
              <w:left w:val="nil"/>
              <w:bottom w:val="single" w:sz="8" w:space="0" w:color="BFBFBF"/>
              <w:right w:val="single" w:sz="8" w:space="0" w:color="BFBFBF"/>
            </w:tcBorders>
          </w:tcPr>
          <w:p w14:paraId="38F525EA"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nil"/>
              <w:left w:val="single" w:sz="8" w:space="0" w:color="BFBFBF"/>
              <w:bottom w:val="single" w:sz="8" w:space="0" w:color="BFBFBF"/>
              <w:right w:val="single" w:sz="8" w:space="0" w:color="BFBFBF"/>
            </w:tcBorders>
            <w:hideMark/>
          </w:tcPr>
          <w:p w14:paraId="2FBC4944"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6</w:t>
            </w:r>
            <w:r w:rsidRPr="00CA1A43">
              <w:rPr>
                <w:rFonts w:asciiTheme="minorHAnsi" w:hAnsiTheme="minorHAnsi" w:cstheme="minorHAnsi"/>
                <w:sz w:val="24"/>
                <w:szCs w:val="24"/>
              </w:rPr>
              <w:t>個月而在</w:t>
            </w:r>
            <w:r w:rsidRPr="00CA1A43">
              <w:rPr>
                <w:rFonts w:asciiTheme="minorHAnsi" w:hAnsiTheme="minorHAnsi" w:cstheme="minorHAnsi"/>
                <w:sz w:val="24"/>
                <w:szCs w:val="24"/>
              </w:rPr>
              <w:t>12</w:t>
            </w:r>
            <w:r w:rsidRPr="00CA1A43">
              <w:rPr>
                <w:rFonts w:asciiTheme="minorHAnsi" w:hAnsiTheme="minorHAnsi" w:cstheme="minorHAnsi"/>
                <w:sz w:val="24"/>
                <w:szCs w:val="24"/>
              </w:rPr>
              <w:t>個月以內</w:t>
            </w:r>
          </w:p>
        </w:tc>
        <w:tc>
          <w:tcPr>
            <w:tcW w:w="683" w:type="pct"/>
            <w:tcBorders>
              <w:top w:val="nil"/>
              <w:left w:val="single" w:sz="8" w:space="0" w:color="BFBFBF"/>
              <w:bottom w:val="single" w:sz="8" w:space="0" w:color="BFBFBF"/>
              <w:right w:val="single" w:sz="8" w:space="0" w:color="BFBFBF"/>
            </w:tcBorders>
            <w:vAlign w:val="center"/>
          </w:tcPr>
          <w:p w14:paraId="65538593"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nil"/>
              <w:right w:val="single" w:sz="8" w:space="0" w:color="BFBFBF"/>
            </w:tcBorders>
            <w:hideMark/>
          </w:tcPr>
          <w:p w14:paraId="50384A5E"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c>
          <w:tcPr>
            <w:tcW w:w="733" w:type="pct"/>
            <w:gridSpan w:val="2"/>
            <w:vMerge/>
            <w:tcBorders>
              <w:top w:val="nil"/>
              <w:left w:val="single" w:sz="8" w:space="0" w:color="BFBFBF"/>
              <w:bottom w:val="nil"/>
              <w:right w:val="single" w:sz="8" w:space="0" w:color="BFBFBF"/>
            </w:tcBorders>
            <w:vAlign w:val="center"/>
            <w:hideMark/>
          </w:tcPr>
          <w:p w14:paraId="1A89DC8E" w14:textId="77777777" w:rsidR="00FA51E6" w:rsidRPr="00CA1A43" w:rsidRDefault="00FA51E6" w:rsidP="004708E6">
            <w:pPr>
              <w:widowControl/>
              <w:rPr>
                <w:rFonts w:eastAsia="標楷體" w:cstheme="minorHAnsi"/>
                <w:szCs w:val="24"/>
              </w:rPr>
            </w:pPr>
          </w:p>
        </w:tc>
      </w:tr>
      <w:tr w:rsidR="00FA51E6" w:rsidRPr="00CA1A43" w14:paraId="6A2DB877" w14:textId="77777777" w:rsidTr="00FA51E6">
        <w:trPr>
          <w:cantSplit/>
          <w:trHeight w:val="226"/>
        </w:trPr>
        <w:tc>
          <w:tcPr>
            <w:tcW w:w="596" w:type="pct"/>
            <w:tcBorders>
              <w:top w:val="single" w:sz="8" w:space="0" w:color="BFBFBF"/>
              <w:left w:val="nil"/>
              <w:bottom w:val="nil"/>
              <w:right w:val="single" w:sz="8" w:space="0" w:color="BFBFBF"/>
            </w:tcBorders>
          </w:tcPr>
          <w:p w14:paraId="459D881A"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single" w:sz="8" w:space="0" w:color="BFBFBF"/>
              <w:left w:val="single" w:sz="8" w:space="0" w:color="BFBFBF"/>
              <w:bottom w:val="nil"/>
              <w:right w:val="single" w:sz="8" w:space="0" w:color="BFBFBF"/>
            </w:tcBorders>
            <w:hideMark/>
          </w:tcPr>
          <w:p w14:paraId="477B2A22"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w:t>
            </w:r>
            <w:r w:rsidRPr="00CA1A43">
              <w:rPr>
                <w:rFonts w:asciiTheme="minorHAnsi" w:hAnsiTheme="minorHAnsi" w:cstheme="minorHAnsi"/>
                <w:sz w:val="24"/>
                <w:szCs w:val="24"/>
              </w:rPr>
              <w:t>年而在</w:t>
            </w:r>
            <w:r w:rsidRPr="00CA1A43">
              <w:rPr>
                <w:rFonts w:asciiTheme="minorHAnsi" w:hAnsiTheme="minorHAnsi" w:cstheme="minorHAnsi"/>
                <w:sz w:val="24"/>
                <w:szCs w:val="24"/>
              </w:rPr>
              <w:t>2</w:t>
            </w:r>
            <w:r w:rsidRPr="00CA1A43">
              <w:rPr>
                <w:rFonts w:asciiTheme="minorHAnsi" w:hAnsiTheme="minorHAnsi" w:cstheme="minorHAnsi"/>
                <w:sz w:val="24"/>
                <w:szCs w:val="24"/>
              </w:rPr>
              <w:t>年以內</w:t>
            </w:r>
          </w:p>
        </w:tc>
        <w:tc>
          <w:tcPr>
            <w:tcW w:w="683" w:type="pct"/>
            <w:tcBorders>
              <w:top w:val="single" w:sz="8" w:space="0" w:color="BFBFBF"/>
              <w:left w:val="single" w:sz="8" w:space="0" w:color="BFBFBF"/>
              <w:bottom w:val="nil"/>
              <w:right w:val="single" w:sz="8" w:space="0" w:color="BFBFBF"/>
            </w:tcBorders>
            <w:vAlign w:val="center"/>
          </w:tcPr>
          <w:p w14:paraId="5B0C2847"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nil"/>
              <w:right w:val="single" w:sz="8" w:space="0" w:color="BFBFBF"/>
            </w:tcBorders>
          </w:tcPr>
          <w:p w14:paraId="7C720208"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3CC4EFBB" w14:textId="77777777" w:rsidR="00FA51E6" w:rsidRPr="00CA1A43" w:rsidRDefault="00FA51E6" w:rsidP="004708E6">
            <w:pPr>
              <w:widowControl/>
              <w:rPr>
                <w:rFonts w:eastAsia="標楷體" w:cstheme="minorHAnsi"/>
                <w:szCs w:val="24"/>
              </w:rPr>
            </w:pPr>
          </w:p>
        </w:tc>
      </w:tr>
      <w:tr w:rsidR="00FA51E6" w:rsidRPr="00CA1A43" w14:paraId="5024236A" w14:textId="77777777" w:rsidTr="00FA51E6">
        <w:trPr>
          <w:cantSplit/>
          <w:trHeight w:val="226"/>
        </w:trPr>
        <w:tc>
          <w:tcPr>
            <w:tcW w:w="596" w:type="pct"/>
            <w:tcBorders>
              <w:top w:val="nil"/>
              <w:left w:val="nil"/>
              <w:bottom w:val="nil"/>
              <w:right w:val="single" w:sz="8" w:space="0" w:color="BFBFBF"/>
            </w:tcBorders>
            <w:hideMark/>
          </w:tcPr>
          <w:p w14:paraId="770A9DC5"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第二區</w:t>
            </w:r>
          </w:p>
        </w:tc>
        <w:tc>
          <w:tcPr>
            <w:tcW w:w="2050" w:type="pct"/>
            <w:tcBorders>
              <w:top w:val="nil"/>
              <w:left w:val="single" w:sz="8" w:space="0" w:color="BFBFBF"/>
              <w:bottom w:val="nil"/>
              <w:right w:val="single" w:sz="8" w:space="0" w:color="BFBFBF"/>
            </w:tcBorders>
            <w:hideMark/>
          </w:tcPr>
          <w:p w14:paraId="6D538806"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2</w:t>
            </w:r>
            <w:r w:rsidRPr="00CA1A43">
              <w:rPr>
                <w:rFonts w:asciiTheme="minorHAnsi" w:hAnsiTheme="minorHAnsi" w:cstheme="minorHAnsi"/>
                <w:sz w:val="24"/>
                <w:szCs w:val="24"/>
              </w:rPr>
              <w:t>年而在</w:t>
            </w:r>
            <w:r w:rsidRPr="00CA1A43">
              <w:rPr>
                <w:rFonts w:asciiTheme="minorHAnsi" w:hAnsiTheme="minorHAnsi" w:cstheme="minorHAnsi"/>
                <w:sz w:val="24"/>
                <w:szCs w:val="24"/>
              </w:rPr>
              <w:t>3</w:t>
            </w:r>
            <w:r w:rsidRPr="00CA1A43">
              <w:rPr>
                <w:rFonts w:asciiTheme="minorHAnsi" w:hAnsiTheme="minorHAnsi" w:cstheme="minorHAnsi"/>
                <w:sz w:val="24"/>
                <w:szCs w:val="24"/>
              </w:rPr>
              <w:t>年以內</w:t>
            </w:r>
          </w:p>
        </w:tc>
        <w:tc>
          <w:tcPr>
            <w:tcW w:w="683" w:type="pct"/>
            <w:tcBorders>
              <w:top w:val="nil"/>
              <w:left w:val="single" w:sz="8" w:space="0" w:color="BFBFBF"/>
              <w:bottom w:val="nil"/>
              <w:right w:val="single" w:sz="8" w:space="0" w:color="BFBFBF"/>
            </w:tcBorders>
            <w:vAlign w:val="center"/>
            <w:hideMark/>
          </w:tcPr>
          <w:p w14:paraId="389638F4"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c>
          <w:tcPr>
            <w:tcW w:w="938" w:type="pct"/>
            <w:tcBorders>
              <w:top w:val="nil"/>
              <w:left w:val="single" w:sz="8" w:space="0" w:color="BFBFBF"/>
              <w:bottom w:val="nil"/>
              <w:right w:val="single" w:sz="8" w:space="0" w:color="BFBFBF"/>
            </w:tcBorders>
          </w:tcPr>
          <w:p w14:paraId="7613BC55"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6E2D04F5" w14:textId="77777777" w:rsidR="00FA51E6" w:rsidRPr="00CA1A43" w:rsidRDefault="00FA51E6" w:rsidP="004708E6">
            <w:pPr>
              <w:widowControl/>
              <w:rPr>
                <w:rFonts w:eastAsia="標楷體" w:cstheme="minorHAnsi"/>
                <w:szCs w:val="24"/>
              </w:rPr>
            </w:pPr>
          </w:p>
        </w:tc>
      </w:tr>
      <w:tr w:rsidR="00FA51E6" w:rsidRPr="00CA1A43" w14:paraId="473DED28" w14:textId="77777777" w:rsidTr="00FA51E6">
        <w:trPr>
          <w:cantSplit/>
          <w:trHeight w:val="226"/>
        </w:trPr>
        <w:tc>
          <w:tcPr>
            <w:tcW w:w="596" w:type="pct"/>
            <w:tcBorders>
              <w:top w:val="nil"/>
              <w:left w:val="nil"/>
              <w:bottom w:val="nil"/>
              <w:right w:val="single" w:sz="8" w:space="0" w:color="BFBFBF"/>
            </w:tcBorders>
          </w:tcPr>
          <w:p w14:paraId="156F6F74"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nil"/>
              <w:left w:val="single" w:sz="8" w:space="0" w:color="BFBFBF"/>
              <w:bottom w:val="nil"/>
              <w:right w:val="single" w:sz="8" w:space="0" w:color="BFBFBF"/>
            </w:tcBorders>
            <w:hideMark/>
          </w:tcPr>
          <w:p w14:paraId="6F1375BA"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3</w:t>
            </w:r>
            <w:r w:rsidRPr="00CA1A43">
              <w:rPr>
                <w:rFonts w:asciiTheme="minorHAnsi" w:hAnsiTheme="minorHAnsi" w:cstheme="minorHAnsi"/>
                <w:sz w:val="24"/>
                <w:szCs w:val="24"/>
              </w:rPr>
              <w:t>年而在</w:t>
            </w:r>
            <w:r w:rsidRPr="00CA1A43">
              <w:rPr>
                <w:rFonts w:asciiTheme="minorHAnsi" w:hAnsiTheme="minorHAnsi" w:cstheme="minorHAnsi"/>
                <w:sz w:val="24"/>
                <w:szCs w:val="24"/>
              </w:rPr>
              <w:t>4</w:t>
            </w:r>
            <w:r w:rsidRPr="00CA1A43">
              <w:rPr>
                <w:rFonts w:asciiTheme="minorHAnsi" w:hAnsiTheme="minorHAnsi" w:cstheme="minorHAnsi"/>
                <w:sz w:val="24"/>
                <w:szCs w:val="24"/>
              </w:rPr>
              <w:t>年以內</w:t>
            </w:r>
          </w:p>
        </w:tc>
        <w:tc>
          <w:tcPr>
            <w:tcW w:w="683" w:type="pct"/>
            <w:tcBorders>
              <w:top w:val="nil"/>
              <w:left w:val="single" w:sz="8" w:space="0" w:color="BFBFBF"/>
              <w:bottom w:val="nil"/>
              <w:right w:val="single" w:sz="8" w:space="0" w:color="BFBFBF"/>
            </w:tcBorders>
            <w:vAlign w:val="center"/>
          </w:tcPr>
          <w:p w14:paraId="58985070"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nil"/>
              <w:right w:val="single" w:sz="8" w:space="0" w:color="BFBFBF"/>
            </w:tcBorders>
          </w:tcPr>
          <w:p w14:paraId="6652B9DE"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0EB16A0B" w14:textId="77777777" w:rsidR="00FA51E6" w:rsidRPr="00CA1A43" w:rsidRDefault="00FA51E6" w:rsidP="004708E6">
            <w:pPr>
              <w:widowControl/>
              <w:rPr>
                <w:rFonts w:eastAsia="標楷體" w:cstheme="minorHAnsi"/>
                <w:szCs w:val="24"/>
              </w:rPr>
            </w:pPr>
          </w:p>
        </w:tc>
      </w:tr>
      <w:tr w:rsidR="00FA51E6" w:rsidRPr="00CA1A43" w14:paraId="18B0EF30" w14:textId="77777777" w:rsidTr="00FA51E6">
        <w:trPr>
          <w:cantSplit/>
          <w:trHeight w:val="226"/>
        </w:trPr>
        <w:tc>
          <w:tcPr>
            <w:tcW w:w="596" w:type="pct"/>
            <w:tcBorders>
              <w:top w:val="single" w:sz="8" w:space="0" w:color="BFBFBF"/>
              <w:left w:val="nil"/>
              <w:bottom w:val="nil"/>
              <w:right w:val="single" w:sz="8" w:space="0" w:color="BFBFBF"/>
            </w:tcBorders>
          </w:tcPr>
          <w:p w14:paraId="2DBFE41C"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single" w:sz="8" w:space="0" w:color="BFBFBF"/>
              <w:left w:val="single" w:sz="8" w:space="0" w:color="BFBFBF"/>
              <w:bottom w:val="nil"/>
              <w:right w:val="single" w:sz="8" w:space="0" w:color="BFBFBF"/>
            </w:tcBorders>
            <w:hideMark/>
          </w:tcPr>
          <w:p w14:paraId="359ED213"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4</w:t>
            </w:r>
            <w:r w:rsidRPr="00CA1A43">
              <w:rPr>
                <w:rFonts w:asciiTheme="minorHAnsi" w:hAnsiTheme="minorHAnsi" w:cstheme="minorHAnsi"/>
                <w:sz w:val="24"/>
                <w:szCs w:val="24"/>
              </w:rPr>
              <w:t>年而在</w:t>
            </w:r>
            <w:r w:rsidRPr="00CA1A43">
              <w:rPr>
                <w:rFonts w:asciiTheme="minorHAnsi" w:hAnsiTheme="minorHAnsi" w:cstheme="minorHAnsi"/>
                <w:sz w:val="24"/>
                <w:szCs w:val="24"/>
              </w:rPr>
              <w:t>5</w:t>
            </w:r>
            <w:r w:rsidRPr="00CA1A43">
              <w:rPr>
                <w:rFonts w:asciiTheme="minorHAnsi" w:hAnsiTheme="minorHAnsi" w:cstheme="minorHAnsi"/>
                <w:sz w:val="24"/>
                <w:szCs w:val="24"/>
              </w:rPr>
              <w:t>年以內</w:t>
            </w:r>
          </w:p>
          <w:p w14:paraId="28EDFCD1"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5</w:t>
            </w:r>
            <w:r w:rsidRPr="00CA1A43">
              <w:rPr>
                <w:rFonts w:asciiTheme="minorHAnsi" w:hAnsiTheme="minorHAnsi" w:cstheme="minorHAnsi"/>
                <w:sz w:val="24"/>
                <w:szCs w:val="24"/>
              </w:rPr>
              <w:t>年而在</w:t>
            </w:r>
            <w:r w:rsidRPr="00CA1A43">
              <w:rPr>
                <w:rFonts w:asciiTheme="minorHAnsi" w:hAnsiTheme="minorHAnsi" w:cstheme="minorHAnsi"/>
                <w:sz w:val="24"/>
                <w:szCs w:val="24"/>
              </w:rPr>
              <w:t>7</w:t>
            </w:r>
            <w:r w:rsidRPr="00CA1A43">
              <w:rPr>
                <w:rFonts w:asciiTheme="minorHAnsi" w:hAnsiTheme="minorHAnsi" w:cstheme="minorHAnsi"/>
                <w:sz w:val="24"/>
                <w:szCs w:val="24"/>
              </w:rPr>
              <w:t>年以內</w:t>
            </w:r>
          </w:p>
        </w:tc>
        <w:tc>
          <w:tcPr>
            <w:tcW w:w="683" w:type="pct"/>
            <w:tcBorders>
              <w:top w:val="single" w:sz="8" w:space="0" w:color="BFBFBF"/>
              <w:left w:val="single" w:sz="8" w:space="0" w:color="BFBFBF"/>
              <w:bottom w:val="nil"/>
              <w:right w:val="single" w:sz="8" w:space="0" w:color="BFBFBF"/>
            </w:tcBorders>
            <w:vAlign w:val="center"/>
          </w:tcPr>
          <w:p w14:paraId="4D08B691"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nil"/>
              <w:right w:val="single" w:sz="8" w:space="0" w:color="BFBFBF"/>
            </w:tcBorders>
          </w:tcPr>
          <w:p w14:paraId="6250ADF1"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c>
          <w:tcPr>
            <w:tcW w:w="733" w:type="pct"/>
            <w:gridSpan w:val="2"/>
            <w:vMerge/>
            <w:tcBorders>
              <w:top w:val="nil"/>
              <w:left w:val="single" w:sz="8" w:space="0" w:color="BFBFBF"/>
              <w:bottom w:val="nil"/>
              <w:right w:val="single" w:sz="8" w:space="0" w:color="BFBFBF"/>
            </w:tcBorders>
            <w:vAlign w:val="center"/>
            <w:hideMark/>
          </w:tcPr>
          <w:p w14:paraId="4C2DEB83" w14:textId="77777777" w:rsidR="00FA51E6" w:rsidRPr="00CA1A43" w:rsidRDefault="00FA51E6" w:rsidP="004708E6">
            <w:pPr>
              <w:widowControl/>
              <w:rPr>
                <w:rFonts w:eastAsia="標楷體" w:cstheme="minorHAnsi"/>
                <w:szCs w:val="24"/>
              </w:rPr>
            </w:pPr>
          </w:p>
        </w:tc>
      </w:tr>
      <w:tr w:rsidR="00FA51E6" w:rsidRPr="00CA1A43" w14:paraId="172BA7DA" w14:textId="77777777" w:rsidTr="00FA51E6">
        <w:trPr>
          <w:cantSplit/>
          <w:trHeight w:val="226"/>
        </w:trPr>
        <w:tc>
          <w:tcPr>
            <w:tcW w:w="596" w:type="pct"/>
            <w:tcBorders>
              <w:top w:val="nil"/>
              <w:left w:val="nil"/>
              <w:bottom w:val="nil"/>
              <w:right w:val="single" w:sz="8" w:space="0" w:color="BFBFBF"/>
            </w:tcBorders>
            <w:hideMark/>
          </w:tcPr>
          <w:p w14:paraId="56D4BBCF"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第三區</w:t>
            </w:r>
          </w:p>
        </w:tc>
        <w:tc>
          <w:tcPr>
            <w:tcW w:w="2050" w:type="pct"/>
            <w:tcBorders>
              <w:top w:val="nil"/>
              <w:left w:val="single" w:sz="8" w:space="0" w:color="BFBFBF"/>
              <w:bottom w:val="nil"/>
              <w:right w:val="single" w:sz="8" w:space="0" w:color="BFBFBF"/>
            </w:tcBorders>
            <w:hideMark/>
          </w:tcPr>
          <w:p w14:paraId="3A35D6F5"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7</w:t>
            </w:r>
            <w:r w:rsidRPr="00CA1A43">
              <w:rPr>
                <w:rFonts w:asciiTheme="minorHAnsi" w:hAnsiTheme="minorHAnsi" w:cstheme="minorHAnsi"/>
                <w:sz w:val="24"/>
                <w:szCs w:val="24"/>
              </w:rPr>
              <w:t>年在</w:t>
            </w:r>
            <w:r w:rsidRPr="00CA1A43">
              <w:rPr>
                <w:rFonts w:asciiTheme="minorHAnsi" w:hAnsiTheme="minorHAnsi" w:cstheme="minorHAnsi"/>
                <w:sz w:val="24"/>
                <w:szCs w:val="24"/>
              </w:rPr>
              <w:t>10</w:t>
            </w:r>
            <w:r w:rsidRPr="00CA1A43">
              <w:rPr>
                <w:rFonts w:asciiTheme="minorHAnsi" w:hAnsiTheme="minorHAnsi" w:cstheme="minorHAnsi"/>
                <w:sz w:val="24"/>
                <w:szCs w:val="24"/>
              </w:rPr>
              <w:t>年以內</w:t>
            </w:r>
          </w:p>
        </w:tc>
        <w:tc>
          <w:tcPr>
            <w:tcW w:w="683" w:type="pct"/>
            <w:tcBorders>
              <w:top w:val="nil"/>
              <w:left w:val="single" w:sz="8" w:space="0" w:color="BFBFBF"/>
              <w:bottom w:val="nil"/>
              <w:right w:val="single" w:sz="8" w:space="0" w:color="BFBFBF"/>
            </w:tcBorders>
          </w:tcPr>
          <w:p w14:paraId="3E8437EA"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nil"/>
              <w:right w:val="single" w:sz="8" w:space="0" w:color="BFBFBF"/>
            </w:tcBorders>
          </w:tcPr>
          <w:p w14:paraId="7161EDB6"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54E959EC" w14:textId="77777777" w:rsidR="00FA51E6" w:rsidRPr="00CA1A43" w:rsidRDefault="00FA51E6" w:rsidP="004708E6">
            <w:pPr>
              <w:widowControl/>
              <w:rPr>
                <w:rFonts w:eastAsia="標楷體" w:cstheme="minorHAnsi"/>
                <w:szCs w:val="24"/>
              </w:rPr>
            </w:pPr>
          </w:p>
        </w:tc>
      </w:tr>
      <w:tr w:rsidR="00FA51E6" w:rsidRPr="00CA1A43" w14:paraId="6740B418" w14:textId="77777777" w:rsidTr="00FA51E6">
        <w:trPr>
          <w:cantSplit/>
          <w:trHeight w:val="226"/>
        </w:trPr>
        <w:tc>
          <w:tcPr>
            <w:tcW w:w="596" w:type="pct"/>
            <w:tcBorders>
              <w:top w:val="nil"/>
              <w:left w:val="nil"/>
              <w:bottom w:val="nil"/>
              <w:right w:val="single" w:sz="8" w:space="0" w:color="BFBFBF"/>
            </w:tcBorders>
          </w:tcPr>
          <w:p w14:paraId="00D30601"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nil"/>
              <w:left w:val="single" w:sz="8" w:space="0" w:color="BFBFBF"/>
              <w:bottom w:val="nil"/>
              <w:right w:val="single" w:sz="8" w:space="0" w:color="BFBFBF"/>
            </w:tcBorders>
            <w:hideMark/>
          </w:tcPr>
          <w:p w14:paraId="3A9A037E"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10</w:t>
            </w:r>
            <w:r w:rsidRPr="00CA1A43">
              <w:rPr>
                <w:rFonts w:asciiTheme="minorHAnsi" w:hAnsiTheme="minorHAnsi" w:cstheme="minorHAnsi"/>
                <w:sz w:val="24"/>
                <w:szCs w:val="24"/>
              </w:rPr>
              <w:t>年而在</w:t>
            </w:r>
            <w:r w:rsidRPr="00CA1A43">
              <w:rPr>
                <w:rFonts w:asciiTheme="minorHAnsi" w:hAnsiTheme="minorHAnsi" w:cstheme="minorHAnsi"/>
                <w:sz w:val="24"/>
                <w:szCs w:val="24"/>
              </w:rPr>
              <w:t>15</w:t>
            </w:r>
            <w:r w:rsidRPr="00CA1A43">
              <w:rPr>
                <w:rFonts w:asciiTheme="minorHAnsi" w:hAnsiTheme="minorHAnsi" w:cstheme="minorHAnsi"/>
                <w:sz w:val="24"/>
                <w:szCs w:val="24"/>
              </w:rPr>
              <w:t>年以內</w:t>
            </w:r>
          </w:p>
        </w:tc>
        <w:tc>
          <w:tcPr>
            <w:tcW w:w="683" w:type="pct"/>
            <w:tcBorders>
              <w:top w:val="nil"/>
              <w:left w:val="single" w:sz="8" w:space="0" w:color="BFBFBF"/>
              <w:bottom w:val="nil"/>
              <w:right w:val="single" w:sz="8" w:space="0" w:color="BFBFBF"/>
            </w:tcBorders>
            <w:hideMark/>
          </w:tcPr>
          <w:p w14:paraId="4184DC48"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30%</w:t>
            </w:r>
          </w:p>
        </w:tc>
        <w:tc>
          <w:tcPr>
            <w:tcW w:w="938" w:type="pct"/>
            <w:tcBorders>
              <w:top w:val="nil"/>
              <w:left w:val="single" w:sz="8" w:space="0" w:color="BFBFBF"/>
              <w:bottom w:val="nil"/>
              <w:right w:val="single" w:sz="8" w:space="0" w:color="BFBFBF"/>
            </w:tcBorders>
          </w:tcPr>
          <w:p w14:paraId="21037D7D"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1DF1FB41" w14:textId="77777777" w:rsidR="00FA51E6" w:rsidRPr="00CA1A43" w:rsidRDefault="00FA51E6" w:rsidP="004708E6">
            <w:pPr>
              <w:widowControl/>
              <w:rPr>
                <w:rFonts w:eastAsia="標楷體" w:cstheme="minorHAnsi"/>
                <w:szCs w:val="24"/>
              </w:rPr>
            </w:pPr>
          </w:p>
        </w:tc>
      </w:tr>
      <w:tr w:rsidR="00FA51E6" w:rsidRPr="00CA1A43" w14:paraId="21CCC3BC" w14:textId="77777777" w:rsidTr="00FA51E6">
        <w:trPr>
          <w:cantSplit/>
          <w:trHeight w:val="226"/>
        </w:trPr>
        <w:tc>
          <w:tcPr>
            <w:tcW w:w="596" w:type="pct"/>
            <w:tcBorders>
              <w:top w:val="nil"/>
              <w:left w:val="nil"/>
              <w:bottom w:val="nil"/>
              <w:right w:val="single" w:sz="8" w:space="0" w:color="BFBFBF"/>
            </w:tcBorders>
          </w:tcPr>
          <w:p w14:paraId="3849E180"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nil"/>
              <w:left w:val="single" w:sz="8" w:space="0" w:color="BFBFBF"/>
              <w:bottom w:val="nil"/>
              <w:right w:val="single" w:sz="8" w:space="0" w:color="BFBFBF"/>
            </w:tcBorders>
            <w:hideMark/>
          </w:tcPr>
          <w:p w14:paraId="055CAABE"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15</w:t>
            </w:r>
            <w:r w:rsidRPr="00CA1A43">
              <w:rPr>
                <w:rFonts w:asciiTheme="minorHAnsi" w:hAnsiTheme="minorHAnsi" w:cstheme="minorHAnsi"/>
                <w:sz w:val="24"/>
                <w:szCs w:val="24"/>
              </w:rPr>
              <w:t>年而在</w:t>
            </w:r>
            <w:r w:rsidRPr="00CA1A43">
              <w:rPr>
                <w:rFonts w:asciiTheme="minorHAnsi" w:hAnsiTheme="minorHAnsi" w:cstheme="minorHAnsi"/>
                <w:sz w:val="24"/>
                <w:szCs w:val="24"/>
              </w:rPr>
              <w:t>20</w:t>
            </w:r>
            <w:r w:rsidRPr="00CA1A43">
              <w:rPr>
                <w:rFonts w:asciiTheme="minorHAnsi" w:hAnsiTheme="minorHAnsi" w:cstheme="minorHAnsi"/>
                <w:sz w:val="24"/>
                <w:szCs w:val="24"/>
              </w:rPr>
              <w:t>年以內</w:t>
            </w:r>
          </w:p>
        </w:tc>
        <w:tc>
          <w:tcPr>
            <w:tcW w:w="683" w:type="pct"/>
            <w:tcBorders>
              <w:top w:val="nil"/>
              <w:left w:val="single" w:sz="8" w:space="0" w:color="BFBFBF"/>
              <w:bottom w:val="nil"/>
              <w:right w:val="single" w:sz="8" w:space="0" w:color="BFBFBF"/>
            </w:tcBorders>
          </w:tcPr>
          <w:p w14:paraId="4F0EFA30"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nil"/>
              <w:right w:val="single" w:sz="8" w:space="0" w:color="BFBFBF"/>
            </w:tcBorders>
          </w:tcPr>
          <w:p w14:paraId="0CA0E200"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nil"/>
              <w:right w:val="single" w:sz="8" w:space="0" w:color="BFBFBF"/>
            </w:tcBorders>
            <w:vAlign w:val="center"/>
            <w:hideMark/>
          </w:tcPr>
          <w:p w14:paraId="130AD652" w14:textId="77777777" w:rsidR="00FA51E6" w:rsidRPr="00CA1A43" w:rsidRDefault="00FA51E6" w:rsidP="004708E6">
            <w:pPr>
              <w:widowControl/>
              <w:rPr>
                <w:rFonts w:eastAsia="標楷體" w:cstheme="minorHAnsi"/>
                <w:szCs w:val="24"/>
              </w:rPr>
            </w:pPr>
          </w:p>
        </w:tc>
      </w:tr>
      <w:tr w:rsidR="00FA51E6" w:rsidRPr="00CA1A43" w14:paraId="1F75636B" w14:textId="77777777" w:rsidTr="00FA51E6">
        <w:trPr>
          <w:cantSplit/>
          <w:trHeight w:val="226"/>
        </w:trPr>
        <w:tc>
          <w:tcPr>
            <w:tcW w:w="596" w:type="pct"/>
            <w:tcBorders>
              <w:top w:val="nil"/>
              <w:left w:val="nil"/>
              <w:bottom w:val="single" w:sz="4" w:space="0" w:color="auto"/>
              <w:right w:val="single" w:sz="8" w:space="0" w:color="BFBFBF"/>
            </w:tcBorders>
          </w:tcPr>
          <w:p w14:paraId="477DC2C3" w14:textId="77777777" w:rsidR="00FA51E6" w:rsidRPr="00CA1A43" w:rsidRDefault="00FA51E6" w:rsidP="004708E6">
            <w:pPr>
              <w:pStyle w:val="Item"/>
              <w:jc w:val="center"/>
              <w:rPr>
                <w:rFonts w:asciiTheme="minorHAnsi" w:hAnsiTheme="minorHAnsi" w:cstheme="minorHAnsi"/>
                <w:sz w:val="24"/>
                <w:szCs w:val="24"/>
              </w:rPr>
            </w:pPr>
          </w:p>
        </w:tc>
        <w:tc>
          <w:tcPr>
            <w:tcW w:w="2050" w:type="pct"/>
            <w:tcBorders>
              <w:top w:val="nil"/>
              <w:left w:val="single" w:sz="8" w:space="0" w:color="BFBFBF"/>
              <w:bottom w:val="single" w:sz="4" w:space="0" w:color="auto"/>
              <w:right w:val="single" w:sz="8" w:space="0" w:color="BFBFBF"/>
            </w:tcBorders>
            <w:hideMark/>
          </w:tcPr>
          <w:p w14:paraId="3EA586E9" w14:textId="77777777" w:rsidR="00FA51E6" w:rsidRPr="00CA1A43" w:rsidRDefault="00FA51E6"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r w:rsidRPr="00CA1A43">
              <w:rPr>
                <w:rFonts w:asciiTheme="minorHAnsi" w:hAnsiTheme="minorHAnsi" w:cstheme="minorHAnsi"/>
                <w:sz w:val="24"/>
                <w:szCs w:val="24"/>
              </w:rPr>
              <w:t>年以上</w:t>
            </w:r>
          </w:p>
        </w:tc>
        <w:tc>
          <w:tcPr>
            <w:tcW w:w="683" w:type="pct"/>
            <w:tcBorders>
              <w:top w:val="nil"/>
              <w:left w:val="single" w:sz="8" w:space="0" w:color="BFBFBF"/>
              <w:bottom w:val="single" w:sz="4" w:space="0" w:color="auto"/>
              <w:right w:val="single" w:sz="8" w:space="0" w:color="BFBFBF"/>
            </w:tcBorders>
          </w:tcPr>
          <w:p w14:paraId="6F356AD7" w14:textId="77777777" w:rsidR="00FA51E6" w:rsidRPr="00CA1A43" w:rsidRDefault="00FA51E6" w:rsidP="004708E6">
            <w:pPr>
              <w:pStyle w:val="Item"/>
              <w:jc w:val="center"/>
              <w:rPr>
                <w:rFonts w:asciiTheme="minorHAnsi" w:hAnsiTheme="minorHAnsi" w:cstheme="minorHAnsi"/>
                <w:sz w:val="24"/>
                <w:szCs w:val="24"/>
              </w:rPr>
            </w:pPr>
          </w:p>
        </w:tc>
        <w:tc>
          <w:tcPr>
            <w:tcW w:w="938" w:type="pct"/>
            <w:tcBorders>
              <w:top w:val="nil"/>
              <w:left w:val="single" w:sz="8" w:space="0" w:color="BFBFBF"/>
              <w:bottom w:val="single" w:sz="4" w:space="0" w:color="auto"/>
              <w:right w:val="single" w:sz="8" w:space="0" w:color="BFBFBF"/>
            </w:tcBorders>
          </w:tcPr>
          <w:p w14:paraId="6F509DE8" w14:textId="77777777" w:rsidR="00FA51E6" w:rsidRPr="00CA1A43" w:rsidRDefault="00FA51E6" w:rsidP="004708E6">
            <w:pPr>
              <w:pStyle w:val="Item"/>
              <w:jc w:val="center"/>
              <w:rPr>
                <w:rFonts w:asciiTheme="minorHAnsi" w:hAnsiTheme="minorHAnsi" w:cstheme="minorHAnsi"/>
                <w:sz w:val="24"/>
                <w:szCs w:val="24"/>
              </w:rPr>
            </w:pPr>
          </w:p>
        </w:tc>
        <w:tc>
          <w:tcPr>
            <w:tcW w:w="733" w:type="pct"/>
            <w:gridSpan w:val="2"/>
            <w:vMerge/>
            <w:tcBorders>
              <w:top w:val="nil"/>
              <w:left w:val="single" w:sz="8" w:space="0" w:color="BFBFBF"/>
              <w:bottom w:val="single" w:sz="4" w:space="0" w:color="auto"/>
              <w:right w:val="single" w:sz="8" w:space="0" w:color="BFBFBF"/>
            </w:tcBorders>
            <w:vAlign w:val="center"/>
            <w:hideMark/>
          </w:tcPr>
          <w:p w14:paraId="02C6CB64" w14:textId="77777777" w:rsidR="00FA51E6" w:rsidRPr="00CA1A43" w:rsidRDefault="00FA51E6" w:rsidP="004708E6">
            <w:pPr>
              <w:widowControl/>
              <w:rPr>
                <w:rFonts w:eastAsia="標楷體" w:cstheme="minorHAnsi"/>
                <w:szCs w:val="24"/>
              </w:rPr>
            </w:pPr>
          </w:p>
        </w:tc>
      </w:tr>
    </w:tbl>
    <w:p w14:paraId="7573BA2A" w14:textId="77777777" w:rsidR="00EA3C51" w:rsidRPr="00CA1A43" w:rsidRDefault="00EA3C51" w:rsidP="0018781A">
      <w:pPr>
        <w:pStyle w:val="a7"/>
        <w:numPr>
          <w:ilvl w:val="0"/>
          <w:numId w:val="196"/>
        </w:numPr>
        <w:spacing w:beforeLines="50" w:before="180"/>
        <w:ind w:leftChars="0" w:left="964" w:hanging="482"/>
        <w:jc w:val="both"/>
        <w:rPr>
          <w:rFonts w:eastAsia="標楷體" w:cstheme="minorHAnsi"/>
          <w:szCs w:val="24"/>
        </w:rPr>
      </w:pPr>
      <w:r w:rsidRPr="00CA1A43">
        <w:rPr>
          <w:rFonts w:eastAsia="標楷體" w:cstheme="minorHAnsi"/>
          <w:szCs w:val="24"/>
        </w:rPr>
        <w:t>存續期間法</w:t>
      </w:r>
      <w:r w:rsidRPr="00CA1A43">
        <w:rPr>
          <w:rFonts w:eastAsia="標楷體" w:cstheme="minorHAnsi"/>
          <w:szCs w:val="24"/>
        </w:rPr>
        <w:br/>
      </w:r>
      <w:r w:rsidRPr="00CA1A43">
        <w:rPr>
          <w:rFonts w:eastAsia="標楷體" w:cstheme="minorHAnsi"/>
          <w:szCs w:val="24"/>
        </w:rPr>
        <w:t>本會同意銀行可以分別計算各部位之價格敏感性做為更精確衡量一般市場風險之方法。銀行必須持續選擇並使用同一方法</w:t>
      </w:r>
      <w:r w:rsidRPr="00CA1A43">
        <w:rPr>
          <w:rFonts w:eastAsia="標楷體" w:cstheme="minorHAnsi"/>
          <w:szCs w:val="24"/>
        </w:rPr>
        <w:t>(</w:t>
      </w:r>
      <w:r w:rsidRPr="00CA1A43">
        <w:rPr>
          <w:rFonts w:eastAsia="標楷體" w:cstheme="minorHAnsi"/>
          <w:szCs w:val="24"/>
        </w:rPr>
        <w:t>除非本會同意更換方法</w:t>
      </w:r>
      <w:r w:rsidRPr="00CA1A43">
        <w:rPr>
          <w:rFonts w:eastAsia="標楷體" w:cstheme="minorHAnsi"/>
          <w:szCs w:val="24"/>
        </w:rPr>
        <w:t>)</w:t>
      </w:r>
      <w:r w:rsidRPr="00CA1A43">
        <w:rPr>
          <w:rFonts w:eastAsia="標楷體" w:cstheme="minorHAnsi"/>
          <w:szCs w:val="24"/>
        </w:rPr>
        <w:t>且受監督。</w:t>
      </w:r>
    </w:p>
    <w:p w14:paraId="73B9DA3C" w14:textId="77777777" w:rsidR="00EA3C51" w:rsidRPr="00CA1A43" w:rsidRDefault="00EA3C51" w:rsidP="008C0E02">
      <w:pPr>
        <w:pStyle w:val="a7"/>
        <w:numPr>
          <w:ilvl w:val="0"/>
          <w:numId w:val="203"/>
        </w:numPr>
        <w:spacing w:beforeLines="50" w:before="180"/>
        <w:ind w:leftChars="0" w:left="1446" w:hanging="482"/>
        <w:jc w:val="both"/>
        <w:rPr>
          <w:rFonts w:eastAsia="標楷體" w:cstheme="minorHAnsi"/>
          <w:szCs w:val="24"/>
        </w:rPr>
      </w:pPr>
      <w:r w:rsidRPr="00CA1A43">
        <w:rPr>
          <w:rFonts w:eastAsia="標楷體" w:cstheme="minorHAnsi"/>
          <w:szCs w:val="24"/>
        </w:rPr>
        <w:t>資本計提之步驟</w:t>
      </w:r>
    </w:p>
    <w:p w14:paraId="3BF62F1A" w14:textId="787498BE" w:rsidR="00EA3C51" w:rsidRPr="00CA1A43" w:rsidRDefault="00EA3C51" w:rsidP="008C0E02">
      <w:pPr>
        <w:pStyle w:val="a7"/>
        <w:numPr>
          <w:ilvl w:val="0"/>
          <w:numId w:val="204"/>
        </w:numPr>
        <w:spacing w:beforeLines="50" w:before="180"/>
        <w:ind w:leftChars="0"/>
        <w:jc w:val="both"/>
        <w:rPr>
          <w:rFonts w:eastAsia="標楷體" w:cstheme="minorHAnsi"/>
          <w:szCs w:val="24"/>
        </w:rPr>
      </w:pPr>
      <w:r w:rsidRPr="00CA1A43">
        <w:rPr>
          <w:rFonts w:eastAsia="標楷體" w:cstheme="minorHAnsi"/>
          <w:szCs w:val="24"/>
        </w:rPr>
        <w:t>計算各</w:t>
      </w:r>
      <w:r w:rsidR="009653EE" w:rsidRPr="00050EA7">
        <w:rPr>
          <w:rFonts w:eastAsia="標楷體" w:cstheme="minorHAnsi"/>
          <w:szCs w:val="24"/>
        </w:rPr>
        <w:t>工具</w:t>
      </w:r>
      <w:r w:rsidRPr="00050EA7">
        <w:rPr>
          <w:rFonts w:eastAsia="標楷體" w:cstheme="minorHAnsi"/>
          <w:szCs w:val="24"/>
        </w:rPr>
        <w:t>在</w:t>
      </w:r>
      <w:r w:rsidRPr="00CA1A43">
        <w:rPr>
          <w:rFonts w:eastAsia="標楷體" w:cstheme="minorHAnsi"/>
          <w:szCs w:val="24"/>
        </w:rPr>
        <w:t>利率變動</w:t>
      </w:r>
      <w:r w:rsidRPr="00CA1A43">
        <w:rPr>
          <w:rFonts w:eastAsia="標楷體" w:cstheme="minorHAnsi"/>
          <w:szCs w:val="24"/>
        </w:rPr>
        <w:t>0.6%</w:t>
      </w:r>
      <w:r w:rsidRPr="00CA1A43">
        <w:rPr>
          <w:rFonts w:eastAsia="標楷體" w:cstheme="minorHAnsi"/>
          <w:szCs w:val="24"/>
        </w:rPr>
        <w:t>至</w:t>
      </w:r>
      <w:r w:rsidRPr="00CA1A43">
        <w:rPr>
          <w:rFonts w:eastAsia="標楷體" w:cstheme="minorHAnsi"/>
          <w:szCs w:val="24"/>
        </w:rPr>
        <w:t>1%</w:t>
      </w:r>
      <w:r w:rsidRPr="00CA1A43">
        <w:rPr>
          <w:rFonts w:eastAsia="標楷體" w:cstheme="minorHAnsi"/>
          <w:szCs w:val="24"/>
        </w:rPr>
        <w:t>下之價格敏感性</w:t>
      </w:r>
      <w:r w:rsidRPr="00CA1A43">
        <w:rPr>
          <w:rFonts w:eastAsia="標楷體" w:cstheme="minorHAnsi"/>
          <w:szCs w:val="24"/>
        </w:rPr>
        <w:t>(</w:t>
      </w:r>
      <w:r w:rsidRPr="00CA1A43">
        <w:rPr>
          <w:rFonts w:eastAsia="標楷體" w:cstheme="minorHAnsi"/>
          <w:szCs w:val="24"/>
        </w:rPr>
        <w:t>詳見表</w:t>
      </w:r>
      <w:r w:rsidR="00312843">
        <w:rPr>
          <w:rFonts w:eastAsia="標楷體" w:cstheme="minorHAnsi" w:hint="eastAsia"/>
          <w:szCs w:val="24"/>
        </w:rPr>
        <w:t>19</w:t>
      </w:r>
      <w:r w:rsidRPr="00CA1A43">
        <w:rPr>
          <w:rFonts w:eastAsia="標楷體" w:cstheme="minorHAnsi"/>
          <w:szCs w:val="24"/>
        </w:rPr>
        <w:t>)</w:t>
      </w:r>
      <w:r w:rsidR="00F5163B" w:rsidRPr="00CA1A43">
        <w:rPr>
          <w:rFonts w:eastAsia="標楷體" w:cstheme="minorHAnsi"/>
          <w:szCs w:val="24"/>
        </w:rPr>
        <w:t>；</w:t>
      </w:r>
    </w:p>
    <w:p w14:paraId="6E79C34C" w14:textId="77777777" w:rsidR="00EA3C51" w:rsidRPr="00CA1A43" w:rsidRDefault="00EA3C51" w:rsidP="008C0E02">
      <w:pPr>
        <w:pStyle w:val="a7"/>
        <w:numPr>
          <w:ilvl w:val="0"/>
          <w:numId w:val="204"/>
        </w:numPr>
        <w:spacing w:beforeLines="50" w:before="180"/>
        <w:ind w:leftChars="0"/>
        <w:jc w:val="both"/>
        <w:rPr>
          <w:rFonts w:eastAsia="標楷體" w:cstheme="minorHAnsi"/>
          <w:szCs w:val="24"/>
        </w:rPr>
      </w:pPr>
      <w:r w:rsidRPr="00CA1A43">
        <w:rPr>
          <w:rFonts w:eastAsia="標楷體" w:cstheme="minorHAnsi"/>
          <w:szCs w:val="24"/>
        </w:rPr>
        <w:t>將敏感性之計算結果歸入表</w:t>
      </w:r>
      <w:r w:rsidR="00312843">
        <w:rPr>
          <w:rFonts w:eastAsia="標楷體" w:cstheme="minorHAnsi" w:hint="eastAsia"/>
          <w:szCs w:val="24"/>
        </w:rPr>
        <w:t>19</w:t>
      </w:r>
      <w:r w:rsidRPr="00CA1A43">
        <w:rPr>
          <w:rFonts w:eastAsia="標楷體" w:cstheme="minorHAnsi"/>
          <w:szCs w:val="24"/>
        </w:rPr>
        <w:t>所設定的</w:t>
      </w:r>
      <w:r w:rsidRPr="00CA1A43">
        <w:rPr>
          <w:rFonts w:eastAsia="標楷體" w:cstheme="minorHAnsi"/>
          <w:szCs w:val="24"/>
        </w:rPr>
        <w:t>15</w:t>
      </w:r>
      <w:r w:rsidRPr="00CA1A43">
        <w:rPr>
          <w:rFonts w:eastAsia="標楷體" w:cstheme="minorHAnsi"/>
          <w:szCs w:val="24"/>
        </w:rPr>
        <w:t>個時間帶；</w:t>
      </w:r>
    </w:p>
    <w:p w14:paraId="5046260E" w14:textId="77777777" w:rsidR="00EA3C51" w:rsidRPr="00CA1A43" w:rsidRDefault="00EA3C51" w:rsidP="008C0E02">
      <w:pPr>
        <w:pStyle w:val="a7"/>
        <w:numPr>
          <w:ilvl w:val="0"/>
          <w:numId w:val="204"/>
        </w:numPr>
        <w:spacing w:beforeLines="50" w:before="180"/>
        <w:ind w:leftChars="0"/>
        <w:jc w:val="both"/>
        <w:rPr>
          <w:rFonts w:eastAsia="標楷體" w:cstheme="minorHAnsi"/>
          <w:szCs w:val="24"/>
        </w:rPr>
      </w:pPr>
      <w:r w:rsidRPr="00CA1A43">
        <w:rPr>
          <w:rFonts w:eastAsia="標楷體" w:cstheme="minorHAnsi"/>
          <w:szCs w:val="24"/>
        </w:rPr>
        <w:t>為</w:t>
      </w:r>
      <w:proofErr w:type="gramStart"/>
      <w:r w:rsidRPr="00CA1A43">
        <w:rPr>
          <w:rFonts w:eastAsia="標楷體" w:cstheme="minorHAnsi"/>
          <w:szCs w:val="24"/>
        </w:rPr>
        <w:t>反映基差風險</w:t>
      </w:r>
      <w:proofErr w:type="gramEnd"/>
      <w:r w:rsidRPr="00CA1A43">
        <w:rPr>
          <w:rFonts w:eastAsia="標楷體" w:cstheme="minorHAnsi"/>
          <w:szCs w:val="24"/>
        </w:rPr>
        <w:t>，將各時間帶內之長、短部位計提</w:t>
      </w:r>
      <w:r w:rsidRPr="00CA1A43">
        <w:rPr>
          <w:rFonts w:eastAsia="標楷體" w:cstheme="minorHAnsi"/>
          <w:szCs w:val="24"/>
        </w:rPr>
        <w:t>5%</w:t>
      </w:r>
      <w:r w:rsidRPr="00CA1A43">
        <w:rPr>
          <w:rFonts w:eastAsia="標楷體" w:cstheme="minorHAnsi"/>
          <w:szCs w:val="24"/>
        </w:rPr>
        <w:t>之垂直非抵銷部分</w:t>
      </w:r>
      <w:r w:rsidR="00F5163B" w:rsidRPr="00CA1A43">
        <w:rPr>
          <w:rFonts w:eastAsia="標楷體" w:cstheme="minorHAnsi"/>
          <w:szCs w:val="24"/>
        </w:rPr>
        <w:t>；</w:t>
      </w:r>
    </w:p>
    <w:p w14:paraId="2E2ED335" w14:textId="77777777" w:rsidR="00F5163B" w:rsidRPr="00CA1A43" w:rsidRDefault="00EA3C51" w:rsidP="008C0E02">
      <w:pPr>
        <w:pStyle w:val="a7"/>
        <w:numPr>
          <w:ilvl w:val="0"/>
          <w:numId w:val="204"/>
        </w:numPr>
        <w:spacing w:beforeLines="50" w:before="180"/>
        <w:ind w:leftChars="0"/>
        <w:jc w:val="both"/>
        <w:rPr>
          <w:rFonts w:eastAsia="標楷體" w:cstheme="minorHAnsi"/>
          <w:szCs w:val="24"/>
        </w:rPr>
      </w:pPr>
      <w:r w:rsidRPr="00CA1A43">
        <w:rPr>
          <w:rFonts w:eastAsia="標楷體" w:cstheme="minorHAnsi"/>
          <w:szCs w:val="24"/>
        </w:rPr>
        <w:t>依上表</w:t>
      </w:r>
      <w:r w:rsidR="00312843">
        <w:rPr>
          <w:rFonts w:eastAsia="標楷體" w:cstheme="minorHAnsi" w:hint="eastAsia"/>
          <w:szCs w:val="24"/>
        </w:rPr>
        <w:t>18</w:t>
      </w:r>
      <w:r w:rsidRPr="00CA1A43">
        <w:rPr>
          <w:rFonts w:eastAsia="標楷體" w:cstheme="minorHAnsi"/>
          <w:szCs w:val="24"/>
        </w:rPr>
        <w:t>設定之水平非抵銷權數對各時間帶之淨部位進行水平互抵。</w:t>
      </w:r>
    </w:p>
    <w:tbl>
      <w:tblPr>
        <w:tblW w:w="4402" w:type="pct"/>
        <w:tblInd w:w="99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983"/>
        <w:gridCol w:w="1701"/>
        <w:gridCol w:w="682"/>
        <w:gridCol w:w="1245"/>
      </w:tblGrid>
      <w:tr w:rsidR="00457F42" w:rsidRPr="00CA1A43" w14:paraId="07E399B5" w14:textId="77777777" w:rsidTr="00457F42">
        <w:trPr>
          <w:trHeight w:val="454"/>
        </w:trPr>
        <w:tc>
          <w:tcPr>
            <w:tcW w:w="4149" w:type="pct"/>
            <w:gridSpan w:val="4"/>
            <w:tcBorders>
              <w:top w:val="single" w:sz="4" w:space="0" w:color="auto"/>
              <w:left w:val="nil"/>
              <w:bottom w:val="single" w:sz="4" w:space="0" w:color="auto"/>
              <w:right w:val="nil"/>
            </w:tcBorders>
            <w:vAlign w:val="center"/>
            <w:hideMark/>
          </w:tcPr>
          <w:p w14:paraId="55697637"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存續期間法：時間帶及假設收益率變動</w:t>
            </w:r>
            <w:r w:rsidRPr="00CA1A43">
              <w:rPr>
                <w:rFonts w:asciiTheme="minorHAnsi" w:hAnsiTheme="minorHAnsi" w:cstheme="minorHAnsi"/>
                <w:sz w:val="24"/>
                <w:szCs w:val="24"/>
              </w:rPr>
              <w:t xml:space="preserve">                             </w:t>
            </w:r>
          </w:p>
        </w:tc>
        <w:tc>
          <w:tcPr>
            <w:tcW w:w="851" w:type="pct"/>
            <w:tcBorders>
              <w:top w:val="single" w:sz="4" w:space="0" w:color="auto"/>
              <w:left w:val="nil"/>
              <w:bottom w:val="single" w:sz="4" w:space="0" w:color="auto"/>
              <w:right w:val="nil"/>
            </w:tcBorders>
            <w:vAlign w:val="center"/>
            <w:hideMark/>
          </w:tcPr>
          <w:p w14:paraId="49E8ED47" w14:textId="77777777" w:rsidR="00457F42" w:rsidRPr="00CA1A43" w:rsidRDefault="00457F42" w:rsidP="004708E6">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00312843">
              <w:rPr>
                <w:rFonts w:asciiTheme="minorHAnsi" w:hAnsiTheme="minorHAnsi" w:cstheme="minorHAnsi" w:hint="eastAsia"/>
                <w:sz w:val="24"/>
                <w:szCs w:val="24"/>
              </w:rPr>
              <w:t>19</w:t>
            </w:r>
          </w:p>
        </w:tc>
      </w:tr>
      <w:tr w:rsidR="00457F42" w:rsidRPr="00CA1A43" w14:paraId="6A2A1825" w14:textId="77777777" w:rsidTr="00457F42">
        <w:trPr>
          <w:trHeight w:val="66"/>
        </w:trPr>
        <w:tc>
          <w:tcPr>
            <w:tcW w:w="1164" w:type="pct"/>
            <w:tcBorders>
              <w:top w:val="single" w:sz="4" w:space="0" w:color="auto"/>
              <w:left w:val="nil"/>
              <w:bottom w:val="single" w:sz="4" w:space="0" w:color="auto"/>
              <w:right w:val="single" w:sz="8" w:space="0" w:color="BFBFBF"/>
            </w:tcBorders>
          </w:tcPr>
          <w:p w14:paraId="418C7139" w14:textId="77777777" w:rsidR="00457F42" w:rsidRPr="00CA1A43" w:rsidRDefault="00457F42" w:rsidP="004708E6">
            <w:pPr>
              <w:pStyle w:val="Item"/>
              <w:rPr>
                <w:rFonts w:asciiTheme="minorHAnsi" w:hAnsiTheme="minorHAnsi" w:cstheme="minorHAnsi"/>
                <w:sz w:val="24"/>
                <w:szCs w:val="24"/>
              </w:rPr>
            </w:pPr>
          </w:p>
        </w:tc>
        <w:tc>
          <w:tcPr>
            <w:tcW w:w="1356" w:type="pct"/>
            <w:tcBorders>
              <w:top w:val="single" w:sz="4" w:space="0" w:color="auto"/>
              <w:left w:val="single" w:sz="8" w:space="0" w:color="BFBFBF"/>
              <w:bottom w:val="single" w:sz="4" w:space="0" w:color="auto"/>
              <w:right w:val="single" w:sz="8" w:space="0" w:color="BFBFBF"/>
            </w:tcBorders>
            <w:vAlign w:val="center"/>
            <w:hideMark/>
          </w:tcPr>
          <w:p w14:paraId="43E06196"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假設收益率變動</w:t>
            </w:r>
          </w:p>
        </w:tc>
        <w:tc>
          <w:tcPr>
            <w:tcW w:w="1163" w:type="pct"/>
            <w:tcBorders>
              <w:top w:val="single" w:sz="4" w:space="0" w:color="auto"/>
              <w:left w:val="single" w:sz="8" w:space="0" w:color="BFBFBF"/>
              <w:bottom w:val="single" w:sz="4" w:space="0" w:color="auto"/>
              <w:right w:val="single" w:sz="8" w:space="0" w:color="BFBFBF"/>
            </w:tcBorders>
          </w:tcPr>
          <w:p w14:paraId="120C9515" w14:textId="77777777" w:rsidR="00457F42" w:rsidRPr="00CA1A43" w:rsidRDefault="00457F42" w:rsidP="004708E6">
            <w:pPr>
              <w:pStyle w:val="Item"/>
              <w:rPr>
                <w:rFonts w:asciiTheme="minorHAnsi" w:hAnsiTheme="minorHAnsi" w:cstheme="minorHAnsi"/>
                <w:sz w:val="24"/>
                <w:szCs w:val="24"/>
              </w:rPr>
            </w:pPr>
          </w:p>
        </w:tc>
        <w:tc>
          <w:tcPr>
            <w:tcW w:w="1318" w:type="pct"/>
            <w:gridSpan w:val="2"/>
            <w:tcBorders>
              <w:top w:val="single" w:sz="4" w:space="0" w:color="auto"/>
              <w:left w:val="single" w:sz="8" w:space="0" w:color="BFBFBF"/>
              <w:bottom w:val="single" w:sz="4" w:space="0" w:color="auto"/>
              <w:right w:val="nil"/>
            </w:tcBorders>
            <w:vAlign w:val="center"/>
            <w:hideMark/>
          </w:tcPr>
          <w:p w14:paraId="07BFF517"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假設收益率變動</w:t>
            </w:r>
          </w:p>
        </w:tc>
      </w:tr>
      <w:tr w:rsidR="00457F42" w:rsidRPr="00CA1A43" w14:paraId="14A7846D" w14:textId="77777777" w:rsidTr="00457F42">
        <w:trPr>
          <w:trHeight w:val="216"/>
        </w:trPr>
        <w:tc>
          <w:tcPr>
            <w:tcW w:w="1164" w:type="pct"/>
            <w:tcBorders>
              <w:top w:val="single" w:sz="4" w:space="0" w:color="auto"/>
              <w:left w:val="nil"/>
              <w:bottom w:val="nil"/>
              <w:right w:val="single" w:sz="8" w:space="0" w:color="BFBFBF"/>
            </w:tcBorders>
            <w:vAlign w:val="center"/>
            <w:hideMark/>
          </w:tcPr>
          <w:p w14:paraId="6BED2465"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第一區：</w:t>
            </w:r>
          </w:p>
        </w:tc>
        <w:tc>
          <w:tcPr>
            <w:tcW w:w="1356" w:type="pct"/>
            <w:tcBorders>
              <w:top w:val="single" w:sz="4" w:space="0" w:color="auto"/>
              <w:left w:val="single" w:sz="8" w:space="0" w:color="BFBFBF"/>
              <w:bottom w:val="nil"/>
              <w:right w:val="single" w:sz="8" w:space="0" w:color="BFBFBF"/>
            </w:tcBorders>
            <w:vAlign w:val="center"/>
          </w:tcPr>
          <w:p w14:paraId="039A388C" w14:textId="77777777" w:rsidR="00457F42" w:rsidRPr="00CA1A43" w:rsidRDefault="00457F42" w:rsidP="004708E6">
            <w:pPr>
              <w:pStyle w:val="Item"/>
              <w:jc w:val="center"/>
              <w:rPr>
                <w:rFonts w:asciiTheme="minorHAnsi" w:hAnsiTheme="minorHAnsi" w:cstheme="minorHAnsi"/>
                <w:sz w:val="24"/>
                <w:szCs w:val="24"/>
              </w:rPr>
            </w:pPr>
          </w:p>
        </w:tc>
        <w:tc>
          <w:tcPr>
            <w:tcW w:w="1163" w:type="pct"/>
            <w:tcBorders>
              <w:top w:val="single" w:sz="4" w:space="0" w:color="auto"/>
              <w:left w:val="single" w:sz="8" w:space="0" w:color="BFBFBF"/>
              <w:bottom w:val="nil"/>
              <w:right w:val="single" w:sz="8" w:space="0" w:color="BFBFBF"/>
            </w:tcBorders>
            <w:vAlign w:val="center"/>
            <w:hideMark/>
          </w:tcPr>
          <w:p w14:paraId="4E77FE18"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第三區：</w:t>
            </w:r>
          </w:p>
        </w:tc>
        <w:tc>
          <w:tcPr>
            <w:tcW w:w="1318" w:type="pct"/>
            <w:gridSpan w:val="2"/>
            <w:tcBorders>
              <w:top w:val="single" w:sz="4" w:space="0" w:color="auto"/>
              <w:left w:val="single" w:sz="8" w:space="0" w:color="BFBFBF"/>
              <w:bottom w:val="nil"/>
              <w:right w:val="nil"/>
            </w:tcBorders>
            <w:vAlign w:val="center"/>
          </w:tcPr>
          <w:p w14:paraId="6C5BB123" w14:textId="77777777" w:rsidR="00457F42" w:rsidRPr="00CA1A43" w:rsidRDefault="00457F42" w:rsidP="004708E6">
            <w:pPr>
              <w:pStyle w:val="Item"/>
              <w:jc w:val="center"/>
              <w:rPr>
                <w:rFonts w:asciiTheme="minorHAnsi" w:hAnsiTheme="minorHAnsi" w:cstheme="minorHAnsi"/>
                <w:sz w:val="24"/>
                <w:szCs w:val="24"/>
              </w:rPr>
            </w:pPr>
          </w:p>
        </w:tc>
      </w:tr>
      <w:tr w:rsidR="00457F42" w:rsidRPr="00CA1A43" w14:paraId="672E9A11" w14:textId="77777777" w:rsidTr="00457F42">
        <w:trPr>
          <w:trHeight w:val="196"/>
        </w:trPr>
        <w:tc>
          <w:tcPr>
            <w:tcW w:w="1164" w:type="pct"/>
            <w:tcBorders>
              <w:top w:val="nil"/>
              <w:left w:val="nil"/>
              <w:bottom w:val="nil"/>
              <w:right w:val="single" w:sz="8" w:space="0" w:color="BFBFBF"/>
            </w:tcBorders>
            <w:vAlign w:val="center"/>
            <w:hideMark/>
          </w:tcPr>
          <w:p w14:paraId="7990150C"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個月以內</w:t>
            </w:r>
          </w:p>
        </w:tc>
        <w:tc>
          <w:tcPr>
            <w:tcW w:w="1356" w:type="pct"/>
            <w:tcBorders>
              <w:top w:val="nil"/>
              <w:left w:val="single" w:sz="8" w:space="0" w:color="BFBFBF"/>
              <w:bottom w:val="nil"/>
              <w:right w:val="single" w:sz="8" w:space="0" w:color="BFBFBF"/>
            </w:tcBorders>
            <w:vAlign w:val="center"/>
            <w:hideMark/>
          </w:tcPr>
          <w:p w14:paraId="27846A31"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c>
          <w:tcPr>
            <w:tcW w:w="1163" w:type="pct"/>
            <w:tcBorders>
              <w:top w:val="nil"/>
              <w:left w:val="single" w:sz="8" w:space="0" w:color="BFBFBF"/>
              <w:bottom w:val="nil"/>
              <w:right w:val="single" w:sz="8" w:space="0" w:color="BFBFBF"/>
            </w:tcBorders>
            <w:vAlign w:val="center"/>
            <w:hideMark/>
          </w:tcPr>
          <w:p w14:paraId="1DEAA4F5"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3.6</w:t>
            </w:r>
            <w:r w:rsidRPr="00CA1A43">
              <w:rPr>
                <w:rFonts w:asciiTheme="minorHAnsi" w:hAnsiTheme="minorHAnsi" w:cstheme="minorHAnsi"/>
                <w:sz w:val="24"/>
                <w:szCs w:val="24"/>
              </w:rPr>
              <w:t>至</w:t>
            </w:r>
            <w:r w:rsidRPr="00CA1A43">
              <w:rPr>
                <w:rFonts w:asciiTheme="minorHAnsi" w:hAnsiTheme="minorHAnsi" w:cstheme="minorHAnsi"/>
                <w:sz w:val="24"/>
                <w:szCs w:val="24"/>
              </w:rPr>
              <w:t>4.3</w:t>
            </w:r>
            <w:r w:rsidRPr="00CA1A43">
              <w:rPr>
                <w:rFonts w:asciiTheme="minorHAnsi" w:hAnsiTheme="minorHAnsi" w:cstheme="minorHAnsi"/>
                <w:sz w:val="24"/>
                <w:szCs w:val="24"/>
              </w:rPr>
              <w:t>年</w:t>
            </w:r>
          </w:p>
        </w:tc>
        <w:tc>
          <w:tcPr>
            <w:tcW w:w="1318" w:type="pct"/>
            <w:gridSpan w:val="2"/>
            <w:tcBorders>
              <w:top w:val="nil"/>
              <w:left w:val="single" w:sz="8" w:space="0" w:color="BFBFBF"/>
              <w:bottom w:val="nil"/>
              <w:right w:val="nil"/>
            </w:tcBorders>
            <w:vAlign w:val="center"/>
            <w:hideMark/>
          </w:tcPr>
          <w:p w14:paraId="4DC70599"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0.75</w:t>
            </w:r>
          </w:p>
        </w:tc>
      </w:tr>
      <w:tr w:rsidR="00457F42" w:rsidRPr="00CA1A43" w14:paraId="5D12993A" w14:textId="77777777" w:rsidTr="00457F42">
        <w:trPr>
          <w:trHeight w:val="196"/>
        </w:trPr>
        <w:tc>
          <w:tcPr>
            <w:tcW w:w="1164" w:type="pct"/>
            <w:tcBorders>
              <w:top w:val="nil"/>
              <w:left w:val="nil"/>
              <w:bottom w:val="nil"/>
              <w:right w:val="single" w:sz="8" w:space="0" w:color="BFBFBF"/>
            </w:tcBorders>
            <w:vAlign w:val="center"/>
            <w:hideMark/>
          </w:tcPr>
          <w:p w14:paraId="01D97611"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至</w:t>
            </w:r>
            <w:r w:rsidRPr="00CA1A43">
              <w:rPr>
                <w:rFonts w:asciiTheme="minorHAnsi" w:hAnsiTheme="minorHAnsi" w:cstheme="minorHAnsi"/>
                <w:sz w:val="24"/>
                <w:szCs w:val="24"/>
              </w:rPr>
              <w:t>3</w:t>
            </w:r>
            <w:r w:rsidRPr="00CA1A43">
              <w:rPr>
                <w:rFonts w:asciiTheme="minorHAnsi" w:hAnsiTheme="minorHAnsi" w:cstheme="minorHAnsi"/>
                <w:sz w:val="24"/>
                <w:szCs w:val="24"/>
              </w:rPr>
              <w:t>個月</w:t>
            </w:r>
          </w:p>
        </w:tc>
        <w:tc>
          <w:tcPr>
            <w:tcW w:w="1356" w:type="pct"/>
            <w:tcBorders>
              <w:top w:val="nil"/>
              <w:left w:val="single" w:sz="8" w:space="0" w:color="BFBFBF"/>
              <w:bottom w:val="nil"/>
              <w:right w:val="single" w:sz="8" w:space="0" w:color="BFBFBF"/>
            </w:tcBorders>
            <w:vAlign w:val="center"/>
            <w:hideMark/>
          </w:tcPr>
          <w:p w14:paraId="0E930F45"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c>
          <w:tcPr>
            <w:tcW w:w="1163" w:type="pct"/>
            <w:tcBorders>
              <w:top w:val="nil"/>
              <w:left w:val="single" w:sz="8" w:space="0" w:color="BFBFBF"/>
              <w:bottom w:val="nil"/>
              <w:right w:val="single" w:sz="8" w:space="0" w:color="BFBFBF"/>
            </w:tcBorders>
            <w:vAlign w:val="center"/>
            <w:hideMark/>
          </w:tcPr>
          <w:p w14:paraId="3ABD7A2C"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4.3</w:t>
            </w:r>
            <w:r w:rsidRPr="00CA1A43">
              <w:rPr>
                <w:rFonts w:asciiTheme="minorHAnsi" w:hAnsiTheme="minorHAnsi" w:cstheme="minorHAnsi"/>
                <w:sz w:val="24"/>
                <w:szCs w:val="24"/>
              </w:rPr>
              <w:t>至</w:t>
            </w:r>
            <w:r w:rsidRPr="00CA1A43">
              <w:rPr>
                <w:rFonts w:asciiTheme="minorHAnsi" w:hAnsiTheme="minorHAnsi" w:cstheme="minorHAnsi"/>
                <w:sz w:val="24"/>
                <w:szCs w:val="24"/>
              </w:rPr>
              <w:t>5.7</w:t>
            </w:r>
            <w:r w:rsidRPr="00CA1A43">
              <w:rPr>
                <w:rFonts w:asciiTheme="minorHAnsi" w:hAnsiTheme="minorHAnsi" w:cstheme="minorHAnsi"/>
                <w:sz w:val="24"/>
                <w:szCs w:val="24"/>
              </w:rPr>
              <w:t>年</w:t>
            </w:r>
          </w:p>
        </w:tc>
        <w:tc>
          <w:tcPr>
            <w:tcW w:w="1318" w:type="pct"/>
            <w:gridSpan w:val="2"/>
            <w:tcBorders>
              <w:top w:val="nil"/>
              <w:left w:val="single" w:sz="8" w:space="0" w:color="BFBFBF"/>
              <w:bottom w:val="nil"/>
              <w:right w:val="nil"/>
            </w:tcBorders>
            <w:vAlign w:val="center"/>
            <w:hideMark/>
          </w:tcPr>
          <w:p w14:paraId="1204CBFE"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0.70</w:t>
            </w:r>
          </w:p>
        </w:tc>
      </w:tr>
      <w:tr w:rsidR="00457F42" w:rsidRPr="00CA1A43" w14:paraId="119DCB0D" w14:textId="77777777" w:rsidTr="00457F42">
        <w:trPr>
          <w:trHeight w:val="311"/>
        </w:trPr>
        <w:tc>
          <w:tcPr>
            <w:tcW w:w="1164" w:type="pct"/>
            <w:tcBorders>
              <w:top w:val="nil"/>
              <w:left w:val="nil"/>
              <w:bottom w:val="nil"/>
              <w:right w:val="single" w:sz="8" w:space="0" w:color="BFBFBF"/>
            </w:tcBorders>
            <w:vAlign w:val="center"/>
            <w:hideMark/>
          </w:tcPr>
          <w:p w14:paraId="2D8D2AA0"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3</w:t>
            </w:r>
            <w:r w:rsidRPr="00CA1A43">
              <w:rPr>
                <w:rFonts w:asciiTheme="minorHAnsi" w:hAnsiTheme="minorHAnsi" w:cstheme="minorHAnsi"/>
                <w:sz w:val="24"/>
                <w:szCs w:val="24"/>
              </w:rPr>
              <w:t>至</w:t>
            </w:r>
            <w:r w:rsidRPr="00CA1A43">
              <w:rPr>
                <w:rFonts w:asciiTheme="minorHAnsi" w:hAnsiTheme="minorHAnsi" w:cstheme="minorHAnsi"/>
                <w:sz w:val="24"/>
                <w:szCs w:val="24"/>
              </w:rPr>
              <w:t>6</w:t>
            </w:r>
            <w:r w:rsidRPr="00CA1A43">
              <w:rPr>
                <w:rFonts w:asciiTheme="minorHAnsi" w:hAnsiTheme="minorHAnsi" w:cstheme="minorHAnsi"/>
                <w:sz w:val="24"/>
                <w:szCs w:val="24"/>
              </w:rPr>
              <w:t>個月</w:t>
            </w:r>
          </w:p>
          <w:p w14:paraId="1BA90CD3"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6</w:t>
            </w:r>
            <w:r w:rsidRPr="00CA1A43">
              <w:rPr>
                <w:rFonts w:asciiTheme="minorHAnsi" w:hAnsiTheme="minorHAnsi" w:cstheme="minorHAnsi"/>
                <w:sz w:val="24"/>
                <w:szCs w:val="24"/>
              </w:rPr>
              <w:t>至</w:t>
            </w:r>
            <w:r w:rsidRPr="00CA1A43">
              <w:rPr>
                <w:rFonts w:asciiTheme="minorHAnsi" w:hAnsiTheme="minorHAnsi" w:cstheme="minorHAnsi"/>
                <w:sz w:val="24"/>
                <w:szCs w:val="24"/>
              </w:rPr>
              <w:t>12</w:t>
            </w:r>
            <w:r w:rsidRPr="00CA1A43">
              <w:rPr>
                <w:rFonts w:asciiTheme="minorHAnsi" w:hAnsiTheme="minorHAnsi" w:cstheme="minorHAnsi"/>
                <w:sz w:val="24"/>
                <w:szCs w:val="24"/>
              </w:rPr>
              <w:t>個月</w:t>
            </w:r>
          </w:p>
        </w:tc>
        <w:tc>
          <w:tcPr>
            <w:tcW w:w="1356" w:type="pct"/>
            <w:tcBorders>
              <w:top w:val="nil"/>
              <w:left w:val="single" w:sz="8" w:space="0" w:color="BFBFBF"/>
              <w:bottom w:val="nil"/>
              <w:right w:val="single" w:sz="8" w:space="0" w:color="BFBFBF"/>
            </w:tcBorders>
            <w:vAlign w:val="center"/>
            <w:hideMark/>
          </w:tcPr>
          <w:p w14:paraId="3F5DC62E"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p w14:paraId="0B88B026"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c>
          <w:tcPr>
            <w:tcW w:w="1163" w:type="pct"/>
            <w:tcBorders>
              <w:top w:val="nil"/>
              <w:left w:val="single" w:sz="8" w:space="0" w:color="BFBFBF"/>
              <w:bottom w:val="nil"/>
              <w:right w:val="single" w:sz="8" w:space="0" w:color="BFBFBF"/>
            </w:tcBorders>
            <w:vAlign w:val="center"/>
            <w:hideMark/>
          </w:tcPr>
          <w:p w14:paraId="15DA68B1"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5.7</w:t>
            </w:r>
            <w:r w:rsidRPr="00CA1A43">
              <w:rPr>
                <w:rFonts w:asciiTheme="minorHAnsi" w:hAnsiTheme="minorHAnsi" w:cstheme="minorHAnsi"/>
                <w:sz w:val="24"/>
                <w:szCs w:val="24"/>
              </w:rPr>
              <w:t>至</w:t>
            </w:r>
            <w:r w:rsidRPr="00CA1A43">
              <w:rPr>
                <w:rFonts w:asciiTheme="minorHAnsi" w:hAnsiTheme="minorHAnsi" w:cstheme="minorHAnsi"/>
                <w:sz w:val="24"/>
                <w:szCs w:val="24"/>
              </w:rPr>
              <w:t>7.3</w:t>
            </w:r>
            <w:r w:rsidRPr="00CA1A43">
              <w:rPr>
                <w:rFonts w:asciiTheme="minorHAnsi" w:hAnsiTheme="minorHAnsi" w:cstheme="minorHAnsi"/>
                <w:sz w:val="24"/>
                <w:szCs w:val="24"/>
              </w:rPr>
              <w:t>年</w:t>
            </w:r>
          </w:p>
          <w:p w14:paraId="76EEFB54"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7.3</w:t>
            </w:r>
            <w:r w:rsidRPr="00CA1A43">
              <w:rPr>
                <w:rFonts w:asciiTheme="minorHAnsi" w:hAnsiTheme="minorHAnsi" w:cstheme="minorHAnsi"/>
                <w:sz w:val="24"/>
                <w:szCs w:val="24"/>
              </w:rPr>
              <w:t>至</w:t>
            </w:r>
            <w:r w:rsidRPr="00CA1A43">
              <w:rPr>
                <w:rFonts w:asciiTheme="minorHAnsi" w:hAnsiTheme="minorHAnsi" w:cstheme="minorHAnsi"/>
                <w:sz w:val="24"/>
                <w:szCs w:val="24"/>
              </w:rPr>
              <w:t>9.3</w:t>
            </w:r>
            <w:r w:rsidRPr="00CA1A43">
              <w:rPr>
                <w:rFonts w:asciiTheme="minorHAnsi" w:hAnsiTheme="minorHAnsi" w:cstheme="minorHAnsi"/>
                <w:sz w:val="24"/>
                <w:szCs w:val="24"/>
              </w:rPr>
              <w:t>年</w:t>
            </w:r>
          </w:p>
        </w:tc>
        <w:tc>
          <w:tcPr>
            <w:tcW w:w="1318" w:type="pct"/>
            <w:gridSpan w:val="2"/>
            <w:tcBorders>
              <w:top w:val="nil"/>
              <w:left w:val="single" w:sz="8" w:space="0" w:color="BFBFBF"/>
              <w:bottom w:val="nil"/>
              <w:right w:val="nil"/>
            </w:tcBorders>
            <w:vAlign w:val="center"/>
            <w:hideMark/>
          </w:tcPr>
          <w:p w14:paraId="492CCC16"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0.65</w:t>
            </w:r>
          </w:p>
          <w:p w14:paraId="569E4A86"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457F42" w:rsidRPr="00CA1A43" w14:paraId="6BD497F6" w14:textId="77777777" w:rsidTr="00457F42">
        <w:trPr>
          <w:trHeight w:val="196"/>
        </w:trPr>
        <w:tc>
          <w:tcPr>
            <w:tcW w:w="1164" w:type="pct"/>
            <w:tcBorders>
              <w:top w:val="nil"/>
              <w:left w:val="nil"/>
              <w:bottom w:val="nil"/>
              <w:right w:val="single" w:sz="8" w:space="0" w:color="BFBFBF"/>
            </w:tcBorders>
            <w:vAlign w:val="center"/>
            <w:hideMark/>
          </w:tcPr>
          <w:p w14:paraId="6D83796D"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第二區：</w:t>
            </w:r>
          </w:p>
        </w:tc>
        <w:tc>
          <w:tcPr>
            <w:tcW w:w="1356" w:type="pct"/>
            <w:tcBorders>
              <w:top w:val="nil"/>
              <w:left w:val="single" w:sz="8" w:space="0" w:color="BFBFBF"/>
              <w:bottom w:val="nil"/>
              <w:right w:val="single" w:sz="8" w:space="0" w:color="BFBFBF"/>
            </w:tcBorders>
            <w:vAlign w:val="center"/>
          </w:tcPr>
          <w:p w14:paraId="67D64447" w14:textId="77777777" w:rsidR="00457F42" w:rsidRPr="00CA1A43" w:rsidRDefault="00457F42" w:rsidP="004708E6">
            <w:pPr>
              <w:pStyle w:val="Item"/>
              <w:jc w:val="center"/>
              <w:rPr>
                <w:rFonts w:asciiTheme="minorHAnsi" w:hAnsiTheme="minorHAnsi" w:cstheme="minorHAnsi"/>
                <w:sz w:val="24"/>
                <w:szCs w:val="24"/>
              </w:rPr>
            </w:pPr>
          </w:p>
        </w:tc>
        <w:tc>
          <w:tcPr>
            <w:tcW w:w="1163" w:type="pct"/>
            <w:tcBorders>
              <w:top w:val="nil"/>
              <w:left w:val="single" w:sz="8" w:space="0" w:color="BFBFBF"/>
              <w:bottom w:val="nil"/>
              <w:right w:val="single" w:sz="8" w:space="0" w:color="BFBFBF"/>
            </w:tcBorders>
            <w:vAlign w:val="center"/>
            <w:hideMark/>
          </w:tcPr>
          <w:p w14:paraId="22065766"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9.3</w:t>
            </w:r>
            <w:r w:rsidRPr="00CA1A43">
              <w:rPr>
                <w:rFonts w:asciiTheme="minorHAnsi" w:hAnsiTheme="minorHAnsi" w:cstheme="minorHAnsi"/>
                <w:sz w:val="24"/>
                <w:szCs w:val="24"/>
              </w:rPr>
              <w:t>至</w:t>
            </w:r>
            <w:r w:rsidRPr="00CA1A43">
              <w:rPr>
                <w:rFonts w:asciiTheme="minorHAnsi" w:hAnsiTheme="minorHAnsi" w:cstheme="minorHAnsi"/>
                <w:sz w:val="24"/>
                <w:szCs w:val="24"/>
              </w:rPr>
              <w:t>10.6</w:t>
            </w:r>
            <w:r w:rsidRPr="00CA1A43">
              <w:rPr>
                <w:rFonts w:asciiTheme="minorHAnsi" w:hAnsiTheme="minorHAnsi" w:cstheme="minorHAnsi"/>
                <w:sz w:val="24"/>
                <w:szCs w:val="24"/>
              </w:rPr>
              <w:t>年</w:t>
            </w:r>
          </w:p>
        </w:tc>
        <w:tc>
          <w:tcPr>
            <w:tcW w:w="1318" w:type="pct"/>
            <w:gridSpan w:val="2"/>
            <w:tcBorders>
              <w:top w:val="nil"/>
              <w:left w:val="single" w:sz="8" w:space="0" w:color="BFBFBF"/>
              <w:bottom w:val="nil"/>
              <w:right w:val="nil"/>
            </w:tcBorders>
            <w:vAlign w:val="center"/>
            <w:hideMark/>
          </w:tcPr>
          <w:p w14:paraId="6853A457"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457F42" w:rsidRPr="00CA1A43" w14:paraId="179FAEF1" w14:textId="77777777" w:rsidTr="00457F42">
        <w:trPr>
          <w:trHeight w:val="196"/>
        </w:trPr>
        <w:tc>
          <w:tcPr>
            <w:tcW w:w="1164" w:type="pct"/>
            <w:tcBorders>
              <w:top w:val="nil"/>
              <w:left w:val="nil"/>
              <w:bottom w:val="nil"/>
              <w:right w:val="single" w:sz="8" w:space="0" w:color="BFBFBF"/>
            </w:tcBorders>
            <w:vAlign w:val="center"/>
            <w:hideMark/>
          </w:tcPr>
          <w:p w14:paraId="55D6A9F5"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1.0</w:t>
            </w:r>
            <w:r w:rsidRPr="00CA1A43">
              <w:rPr>
                <w:rFonts w:asciiTheme="minorHAnsi" w:hAnsiTheme="minorHAnsi" w:cstheme="minorHAnsi"/>
                <w:sz w:val="24"/>
                <w:szCs w:val="24"/>
              </w:rPr>
              <w:t>至</w:t>
            </w:r>
            <w:r w:rsidRPr="00CA1A43">
              <w:rPr>
                <w:rFonts w:asciiTheme="minorHAnsi" w:hAnsiTheme="minorHAnsi" w:cstheme="minorHAnsi"/>
                <w:sz w:val="24"/>
                <w:szCs w:val="24"/>
              </w:rPr>
              <w:t>1.9</w:t>
            </w:r>
            <w:r w:rsidRPr="00CA1A43">
              <w:rPr>
                <w:rFonts w:asciiTheme="minorHAnsi" w:hAnsiTheme="minorHAnsi" w:cstheme="minorHAnsi"/>
                <w:sz w:val="24"/>
                <w:szCs w:val="24"/>
              </w:rPr>
              <w:t>年</w:t>
            </w:r>
          </w:p>
        </w:tc>
        <w:tc>
          <w:tcPr>
            <w:tcW w:w="1356" w:type="pct"/>
            <w:tcBorders>
              <w:top w:val="nil"/>
              <w:left w:val="single" w:sz="8" w:space="0" w:color="BFBFBF"/>
              <w:bottom w:val="nil"/>
              <w:right w:val="single" w:sz="8" w:space="0" w:color="BFBFBF"/>
            </w:tcBorders>
            <w:vAlign w:val="center"/>
            <w:hideMark/>
          </w:tcPr>
          <w:p w14:paraId="274303EE"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0.90</w:t>
            </w:r>
          </w:p>
        </w:tc>
        <w:tc>
          <w:tcPr>
            <w:tcW w:w="1163" w:type="pct"/>
            <w:tcBorders>
              <w:top w:val="nil"/>
              <w:left w:val="single" w:sz="8" w:space="0" w:color="BFBFBF"/>
              <w:bottom w:val="nil"/>
              <w:right w:val="single" w:sz="8" w:space="0" w:color="BFBFBF"/>
            </w:tcBorders>
            <w:vAlign w:val="center"/>
            <w:hideMark/>
          </w:tcPr>
          <w:p w14:paraId="50FA98D4"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10.6</w:t>
            </w:r>
            <w:r w:rsidRPr="00CA1A43">
              <w:rPr>
                <w:rFonts w:asciiTheme="minorHAnsi" w:hAnsiTheme="minorHAnsi" w:cstheme="minorHAnsi"/>
                <w:sz w:val="24"/>
                <w:szCs w:val="24"/>
              </w:rPr>
              <w:t>至</w:t>
            </w:r>
            <w:r w:rsidRPr="00CA1A43">
              <w:rPr>
                <w:rFonts w:asciiTheme="minorHAnsi" w:hAnsiTheme="minorHAnsi" w:cstheme="minorHAnsi"/>
                <w:sz w:val="24"/>
                <w:szCs w:val="24"/>
              </w:rPr>
              <w:t>12</w:t>
            </w:r>
            <w:r w:rsidRPr="00CA1A43">
              <w:rPr>
                <w:rFonts w:asciiTheme="minorHAnsi" w:hAnsiTheme="minorHAnsi" w:cstheme="minorHAnsi"/>
                <w:sz w:val="24"/>
                <w:szCs w:val="24"/>
              </w:rPr>
              <w:t>年</w:t>
            </w:r>
          </w:p>
        </w:tc>
        <w:tc>
          <w:tcPr>
            <w:tcW w:w="1318" w:type="pct"/>
            <w:gridSpan w:val="2"/>
            <w:tcBorders>
              <w:top w:val="nil"/>
              <w:left w:val="single" w:sz="8" w:space="0" w:color="BFBFBF"/>
              <w:bottom w:val="nil"/>
              <w:right w:val="nil"/>
            </w:tcBorders>
            <w:vAlign w:val="center"/>
            <w:hideMark/>
          </w:tcPr>
          <w:p w14:paraId="38C5CEEA"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457F42" w:rsidRPr="00CA1A43" w14:paraId="22E94322" w14:textId="77777777" w:rsidTr="00457F42">
        <w:trPr>
          <w:trHeight w:val="254"/>
        </w:trPr>
        <w:tc>
          <w:tcPr>
            <w:tcW w:w="1164" w:type="pct"/>
            <w:tcBorders>
              <w:top w:val="nil"/>
              <w:left w:val="nil"/>
              <w:bottom w:val="nil"/>
              <w:right w:val="single" w:sz="8" w:space="0" w:color="BFBFBF"/>
            </w:tcBorders>
            <w:vAlign w:val="center"/>
            <w:hideMark/>
          </w:tcPr>
          <w:p w14:paraId="64071569"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1.9</w:t>
            </w:r>
            <w:r w:rsidRPr="00CA1A43">
              <w:rPr>
                <w:rFonts w:asciiTheme="minorHAnsi" w:hAnsiTheme="minorHAnsi" w:cstheme="minorHAnsi"/>
                <w:sz w:val="24"/>
                <w:szCs w:val="24"/>
              </w:rPr>
              <w:t>至</w:t>
            </w:r>
            <w:r w:rsidRPr="00CA1A43">
              <w:rPr>
                <w:rFonts w:asciiTheme="minorHAnsi" w:hAnsiTheme="minorHAnsi" w:cstheme="minorHAnsi"/>
                <w:sz w:val="24"/>
                <w:szCs w:val="24"/>
              </w:rPr>
              <w:t>2.8</w:t>
            </w:r>
            <w:r w:rsidRPr="00CA1A43">
              <w:rPr>
                <w:rFonts w:asciiTheme="minorHAnsi" w:hAnsiTheme="minorHAnsi" w:cstheme="minorHAnsi"/>
                <w:sz w:val="24"/>
                <w:szCs w:val="24"/>
              </w:rPr>
              <w:t>年</w:t>
            </w:r>
          </w:p>
        </w:tc>
        <w:tc>
          <w:tcPr>
            <w:tcW w:w="1356" w:type="pct"/>
            <w:tcBorders>
              <w:top w:val="nil"/>
              <w:left w:val="single" w:sz="8" w:space="0" w:color="BFBFBF"/>
              <w:bottom w:val="nil"/>
              <w:right w:val="single" w:sz="8" w:space="0" w:color="BFBFBF"/>
            </w:tcBorders>
            <w:vAlign w:val="center"/>
            <w:hideMark/>
          </w:tcPr>
          <w:p w14:paraId="7ECD5061"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0.80</w:t>
            </w:r>
          </w:p>
        </w:tc>
        <w:tc>
          <w:tcPr>
            <w:tcW w:w="1163" w:type="pct"/>
            <w:tcBorders>
              <w:top w:val="nil"/>
              <w:left w:val="single" w:sz="8" w:space="0" w:color="BFBFBF"/>
              <w:bottom w:val="nil"/>
              <w:right w:val="single" w:sz="8" w:space="0" w:color="BFBFBF"/>
            </w:tcBorders>
            <w:vAlign w:val="center"/>
            <w:hideMark/>
          </w:tcPr>
          <w:p w14:paraId="2591A761"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12</w:t>
            </w:r>
            <w:r w:rsidRPr="00CA1A43">
              <w:rPr>
                <w:rFonts w:asciiTheme="minorHAnsi" w:hAnsiTheme="minorHAnsi" w:cstheme="minorHAnsi"/>
                <w:sz w:val="24"/>
                <w:szCs w:val="24"/>
              </w:rPr>
              <w:t>至</w:t>
            </w:r>
            <w:r w:rsidRPr="00CA1A43">
              <w:rPr>
                <w:rFonts w:asciiTheme="minorHAnsi" w:hAnsiTheme="minorHAnsi" w:cstheme="minorHAnsi"/>
                <w:sz w:val="24"/>
                <w:szCs w:val="24"/>
              </w:rPr>
              <w:t>20</w:t>
            </w:r>
            <w:r w:rsidRPr="00CA1A43">
              <w:rPr>
                <w:rFonts w:asciiTheme="minorHAnsi" w:hAnsiTheme="minorHAnsi" w:cstheme="minorHAnsi"/>
                <w:sz w:val="24"/>
                <w:szCs w:val="24"/>
              </w:rPr>
              <w:t>年</w:t>
            </w:r>
          </w:p>
        </w:tc>
        <w:tc>
          <w:tcPr>
            <w:tcW w:w="1318" w:type="pct"/>
            <w:gridSpan w:val="2"/>
            <w:tcBorders>
              <w:top w:val="nil"/>
              <w:left w:val="single" w:sz="8" w:space="0" w:color="BFBFBF"/>
              <w:bottom w:val="nil"/>
              <w:right w:val="nil"/>
            </w:tcBorders>
            <w:vAlign w:val="center"/>
            <w:hideMark/>
          </w:tcPr>
          <w:p w14:paraId="5FCEFDBE"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r w:rsidR="00457F42" w:rsidRPr="00CA1A43" w14:paraId="33340687" w14:textId="77777777" w:rsidTr="00457F42">
        <w:trPr>
          <w:trHeight w:val="235"/>
        </w:trPr>
        <w:tc>
          <w:tcPr>
            <w:tcW w:w="1164" w:type="pct"/>
            <w:tcBorders>
              <w:top w:val="nil"/>
              <w:left w:val="nil"/>
              <w:bottom w:val="single" w:sz="4" w:space="0" w:color="auto"/>
              <w:right w:val="single" w:sz="8" w:space="0" w:color="BFBFBF"/>
            </w:tcBorders>
            <w:vAlign w:val="center"/>
            <w:hideMark/>
          </w:tcPr>
          <w:p w14:paraId="69C13269"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2.8</w:t>
            </w:r>
            <w:r w:rsidRPr="00CA1A43">
              <w:rPr>
                <w:rFonts w:asciiTheme="minorHAnsi" w:hAnsiTheme="minorHAnsi" w:cstheme="minorHAnsi"/>
                <w:sz w:val="24"/>
                <w:szCs w:val="24"/>
              </w:rPr>
              <w:t>至</w:t>
            </w:r>
            <w:r w:rsidRPr="00CA1A43">
              <w:rPr>
                <w:rFonts w:asciiTheme="minorHAnsi" w:hAnsiTheme="minorHAnsi" w:cstheme="minorHAnsi"/>
                <w:sz w:val="24"/>
                <w:szCs w:val="24"/>
              </w:rPr>
              <w:t>3.6</w:t>
            </w:r>
            <w:r w:rsidRPr="00CA1A43">
              <w:rPr>
                <w:rFonts w:asciiTheme="minorHAnsi" w:hAnsiTheme="minorHAnsi" w:cstheme="minorHAnsi"/>
                <w:sz w:val="24"/>
                <w:szCs w:val="24"/>
              </w:rPr>
              <w:t>年</w:t>
            </w:r>
          </w:p>
        </w:tc>
        <w:tc>
          <w:tcPr>
            <w:tcW w:w="1356" w:type="pct"/>
            <w:tcBorders>
              <w:top w:val="nil"/>
              <w:left w:val="single" w:sz="8" w:space="0" w:color="BFBFBF"/>
              <w:bottom w:val="single" w:sz="4" w:space="0" w:color="auto"/>
              <w:right w:val="single" w:sz="8" w:space="0" w:color="BFBFBF"/>
            </w:tcBorders>
            <w:vAlign w:val="center"/>
            <w:hideMark/>
          </w:tcPr>
          <w:p w14:paraId="33B7D5CA"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0.75</w:t>
            </w:r>
          </w:p>
        </w:tc>
        <w:tc>
          <w:tcPr>
            <w:tcW w:w="1163" w:type="pct"/>
            <w:tcBorders>
              <w:top w:val="nil"/>
              <w:left w:val="single" w:sz="8" w:space="0" w:color="BFBFBF"/>
              <w:bottom w:val="single" w:sz="4" w:space="0" w:color="auto"/>
              <w:right w:val="single" w:sz="8" w:space="0" w:color="BFBFBF"/>
            </w:tcBorders>
            <w:vAlign w:val="center"/>
            <w:hideMark/>
          </w:tcPr>
          <w:p w14:paraId="2E917296" w14:textId="77777777" w:rsidR="00457F42" w:rsidRPr="00CA1A43" w:rsidRDefault="00457F42"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r w:rsidRPr="00CA1A43">
              <w:rPr>
                <w:rFonts w:asciiTheme="minorHAnsi" w:hAnsiTheme="minorHAnsi" w:cstheme="minorHAnsi"/>
                <w:sz w:val="24"/>
                <w:szCs w:val="24"/>
              </w:rPr>
              <w:t>年以上</w:t>
            </w:r>
          </w:p>
        </w:tc>
        <w:tc>
          <w:tcPr>
            <w:tcW w:w="1318" w:type="pct"/>
            <w:gridSpan w:val="2"/>
            <w:tcBorders>
              <w:top w:val="nil"/>
              <w:left w:val="single" w:sz="8" w:space="0" w:color="BFBFBF"/>
              <w:bottom w:val="single" w:sz="4" w:space="0" w:color="auto"/>
              <w:right w:val="nil"/>
            </w:tcBorders>
            <w:vAlign w:val="center"/>
            <w:hideMark/>
          </w:tcPr>
          <w:p w14:paraId="1CE5B3EB" w14:textId="77777777" w:rsidR="00457F42" w:rsidRPr="00CA1A43" w:rsidRDefault="00457F42"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0.60</w:t>
            </w:r>
          </w:p>
        </w:tc>
      </w:tr>
    </w:tbl>
    <w:p w14:paraId="6DEB3FCF" w14:textId="3F331789" w:rsidR="00641694" w:rsidRPr="00CA1A43" w:rsidRDefault="00641694" w:rsidP="008C086C">
      <w:pPr>
        <w:pStyle w:val="a7"/>
        <w:numPr>
          <w:ilvl w:val="0"/>
          <w:numId w:val="196"/>
        </w:numPr>
        <w:spacing w:beforeLines="50" w:before="180"/>
        <w:ind w:leftChars="0"/>
        <w:jc w:val="both"/>
        <w:rPr>
          <w:rFonts w:eastAsia="標楷體" w:cstheme="minorHAnsi"/>
          <w:kern w:val="0"/>
          <w:szCs w:val="24"/>
        </w:rPr>
      </w:pPr>
      <w:r w:rsidRPr="00D36868">
        <w:rPr>
          <w:rFonts w:eastAsia="標楷體" w:cstheme="minorHAnsi"/>
          <w:strike/>
          <w:color w:val="FF0000"/>
          <w:szCs w:val="24"/>
        </w:rPr>
        <w:t>對於業務</w:t>
      </w:r>
      <w:proofErr w:type="gramStart"/>
      <w:r w:rsidR="00D36868" w:rsidRPr="00D36868">
        <w:rPr>
          <w:rFonts w:eastAsia="標楷體" w:cstheme="minorHAnsi" w:hint="eastAsia"/>
          <w:color w:val="FF0000"/>
          <w:szCs w:val="24"/>
        </w:rPr>
        <w:t>所屬該幣別</w:t>
      </w:r>
      <w:proofErr w:type="gramEnd"/>
      <w:r w:rsidR="00D36868" w:rsidRPr="00D36868">
        <w:rPr>
          <w:rFonts w:eastAsia="標楷體" w:cstheme="minorHAnsi" w:hint="eastAsia"/>
          <w:color w:val="FF0000"/>
          <w:szCs w:val="24"/>
        </w:rPr>
        <w:t>資產</w:t>
      </w:r>
      <w:r w:rsidR="00D36868">
        <w:rPr>
          <w:rFonts w:eastAsia="標楷體" w:cstheme="minorHAnsi" w:hint="eastAsia"/>
          <w:color w:val="FF0000"/>
          <w:szCs w:val="24"/>
        </w:rPr>
        <w:t>未達全行總資產</w:t>
      </w:r>
      <w:r w:rsidR="00D36868">
        <w:rPr>
          <w:rFonts w:eastAsia="標楷體" w:cstheme="minorHAnsi" w:hint="eastAsia"/>
          <w:color w:val="FF0000"/>
          <w:szCs w:val="24"/>
        </w:rPr>
        <w:t>1%</w:t>
      </w:r>
      <w:r w:rsidR="00D36868">
        <w:rPr>
          <w:rFonts w:eastAsia="標楷體" w:cstheme="minorHAnsi" w:hint="eastAsia"/>
          <w:color w:val="FF0000"/>
          <w:szCs w:val="24"/>
        </w:rPr>
        <w:t>之</w:t>
      </w:r>
      <w:r w:rsidRPr="00CA1A43">
        <w:rPr>
          <w:rFonts w:eastAsia="標楷體" w:cstheme="minorHAnsi"/>
          <w:szCs w:val="24"/>
        </w:rPr>
        <w:t>非關</w:t>
      </w:r>
      <w:proofErr w:type="gramStart"/>
      <w:r w:rsidRPr="00CA1A43">
        <w:rPr>
          <w:rFonts w:eastAsia="標楷體" w:cstheme="minorHAnsi"/>
          <w:szCs w:val="24"/>
        </w:rPr>
        <w:t>重要</w:t>
      </w:r>
      <w:r w:rsidRPr="00D36868">
        <w:rPr>
          <w:rFonts w:eastAsia="標楷體" w:cstheme="minorHAnsi"/>
          <w:strike/>
          <w:color w:val="FF0000"/>
          <w:szCs w:val="24"/>
        </w:rPr>
        <w:t>之</w:t>
      </w:r>
      <w:r w:rsidRPr="00CA1A43">
        <w:rPr>
          <w:rFonts w:eastAsia="標楷體" w:cstheme="minorHAnsi"/>
          <w:szCs w:val="24"/>
        </w:rPr>
        <w:t>幣別</w:t>
      </w:r>
      <w:proofErr w:type="gramEnd"/>
      <w:r w:rsidRPr="00CA1A43">
        <w:rPr>
          <w:rFonts w:eastAsia="標楷體" w:cstheme="minorHAnsi"/>
          <w:szCs w:val="24"/>
        </w:rPr>
        <w:t>，無須依幣別區分時間帶計算，可將各幣別</w:t>
      </w:r>
      <w:proofErr w:type="gramStart"/>
      <w:r w:rsidRPr="00CA1A43">
        <w:rPr>
          <w:rFonts w:eastAsia="標楷體" w:cstheme="minorHAnsi"/>
          <w:szCs w:val="24"/>
        </w:rPr>
        <w:t>之淨長或淨短</w:t>
      </w:r>
      <w:proofErr w:type="gramEnd"/>
      <w:r w:rsidRPr="00CA1A43">
        <w:rPr>
          <w:rFonts w:eastAsia="標楷體" w:cstheme="minorHAnsi"/>
          <w:szCs w:val="24"/>
        </w:rPr>
        <w:t>部位</w:t>
      </w:r>
      <w:r w:rsidR="008C086C" w:rsidRPr="008C086C">
        <w:rPr>
          <w:rFonts w:eastAsia="標楷體" w:cstheme="minorHAnsi" w:hint="eastAsia"/>
          <w:color w:val="FF0000"/>
          <w:szCs w:val="24"/>
        </w:rPr>
        <w:t>統一</w:t>
      </w:r>
      <w:r w:rsidRPr="00CA1A43">
        <w:rPr>
          <w:rFonts w:eastAsia="標楷體" w:cstheme="minorHAnsi"/>
          <w:szCs w:val="24"/>
        </w:rPr>
        <w:t>歸入</w:t>
      </w:r>
      <w:r w:rsidR="008C086C" w:rsidRPr="008C086C">
        <w:rPr>
          <w:rFonts w:eastAsia="標楷體" w:cstheme="minorHAnsi"/>
          <w:strike/>
          <w:color w:val="FF0000"/>
          <w:szCs w:val="24"/>
        </w:rPr>
        <w:t>單一</w:t>
      </w:r>
      <w:r w:rsidR="008C086C" w:rsidRPr="008C086C">
        <w:rPr>
          <w:rFonts w:ascii="Tahoma" w:eastAsia="標楷體" w:hAnsi="Tahoma" w:cs="Tahoma"/>
          <w:color w:val="FF0000"/>
          <w:szCs w:val="24"/>
        </w:rPr>
        <w:t>‶</w:t>
      </w:r>
      <w:r w:rsidR="008C086C" w:rsidRPr="008C086C">
        <w:rPr>
          <w:rFonts w:eastAsia="標楷體" w:cstheme="minorHAnsi" w:hint="eastAsia"/>
          <w:color w:val="FF0000"/>
          <w:szCs w:val="24"/>
        </w:rPr>
        <w:t>超過</w:t>
      </w:r>
      <w:r w:rsidR="008C086C" w:rsidRPr="008C086C">
        <w:rPr>
          <w:rFonts w:eastAsia="標楷體" w:cstheme="minorHAnsi"/>
          <w:color w:val="FF0000"/>
          <w:szCs w:val="24"/>
        </w:rPr>
        <w:t>1</w:t>
      </w:r>
      <w:r w:rsidR="008C086C" w:rsidRPr="008C086C">
        <w:rPr>
          <w:rFonts w:eastAsia="標楷體" w:cstheme="minorHAnsi" w:hint="eastAsia"/>
          <w:color w:val="FF0000"/>
          <w:szCs w:val="24"/>
        </w:rPr>
        <w:t>個月而在</w:t>
      </w:r>
      <w:r w:rsidR="008C086C" w:rsidRPr="008C086C">
        <w:rPr>
          <w:rFonts w:eastAsia="標楷體" w:cstheme="minorHAnsi"/>
          <w:color w:val="FF0000"/>
          <w:szCs w:val="24"/>
        </w:rPr>
        <w:t>3</w:t>
      </w:r>
      <w:r w:rsidR="008C086C" w:rsidRPr="008C086C">
        <w:rPr>
          <w:rFonts w:eastAsia="標楷體" w:cstheme="minorHAnsi" w:hint="eastAsia"/>
          <w:color w:val="FF0000"/>
          <w:szCs w:val="24"/>
        </w:rPr>
        <w:t>個月以內</w:t>
      </w:r>
      <w:r w:rsidR="008C086C">
        <w:rPr>
          <w:rFonts w:ascii="Calibri" w:eastAsia="標楷體" w:hAnsi="Calibri" w:cs="Calibri"/>
          <w:color w:val="FF0000"/>
          <w:szCs w:val="24"/>
        </w:rPr>
        <w:t>″</w:t>
      </w:r>
      <w:r w:rsidRPr="00CA1A43">
        <w:rPr>
          <w:rFonts w:eastAsia="標楷體" w:cstheme="minorHAnsi"/>
          <w:szCs w:val="24"/>
        </w:rPr>
        <w:t>時間帶中</w:t>
      </w:r>
      <w:r w:rsidRPr="00CA1A43">
        <w:rPr>
          <w:rFonts w:eastAsia="標楷體" w:cstheme="minorHAnsi"/>
          <w:szCs w:val="24"/>
        </w:rPr>
        <w:t>(</w:t>
      </w:r>
      <w:r w:rsidRPr="00CA1A43">
        <w:rPr>
          <w:rFonts w:eastAsia="標楷體" w:cstheme="minorHAnsi"/>
          <w:szCs w:val="24"/>
        </w:rPr>
        <w:t>使用</w:t>
      </w:r>
      <w:r w:rsidRPr="00CA1A43">
        <w:rPr>
          <w:rFonts w:eastAsia="標楷體" w:cstheme="minorHAnsi"/>
          <w:szCs w:val="20"/>
        </w:rPr>
        <w:t>到期法者依上述表</w:t>
      </w:r>
      <w:r w:rsidR="00D924C5" w:rsidRPr="00D924C5">
        <w:rPr>
          <w:rFonts w:eastAsia="標楷體" w:cstheme="minorHAnsi" w:hint="eastAsia"/>
          <w:color w:val="FF0000"/>
          <w:szCs w:val="20"/>
        </w:rPr>
        <w:t>17</w:t>
      </w:r>
      <w:r w:rsidRPr="00CA1A43">
        <w:rPr>
          <w:rFonts w:eastAsia="標楷體" w:cstheme="minorHAnsi"/>
          <w:szCs w:val="20"/>
        </w:rPr>
        <w:t>資本計提率計算，</w:t>
      </w:r>
      <w:r w:rsidRPr="00CA1A43">
        <w:rPr>
          <w:rFonts w:eastAsia="標楷體" w:cstheme="minorHAnsi"/>
          <w:szCs w:val="24"/>
        </w:rPr>
        <w:t>使用</w:t>
      </w:r>
      <w:r w:rsidRPr="00CA1A43">
        <w:rPr>
          <w:rFonts w:eastAsia="標楷體" w:cstheme="minorHAnsi"/>
          <w:szCs w:val="20"/>
        </w:rPr>
        <w:t>存續期間法者依上述表</w:t>
      </w:r>
      <w:r w:rsidR="007412A4">
        <w:rPr>
          <w:rFonts w:eastAsia="標楷體" w:cstheme="minorHAnsi" w:hint="eastAsia"/>
          <w:szCs w:val="20"/>
        </w:rPr>
        <w:t>19</w:t>
      </w:r>
      <w:r w:rsidRPr="00CA1A43">
        <w:rPr>
          <w:rFonts w:eastAsia="標楷體" w:cstheme="minorHAnsi"/>
          <w:szCs w:val="20"/>
        </w:rPr>
        <w:t>所訂定假設收益率變動</w:t>
      </w:r>
      <w:r w:rsidRPr="00CA1A43">
        <w:rPr>
          <w:rFonts w:eastAsia="標楷體" w:cstheme="minorHAnsi"/>
          <w:szCs w:val="20"/>
        </w:rPr>
        <w:t>)</w:t>
      </w:r>
      <w:r w:rsidRPr="00CA1A43">
        <w:rPr>
          <w:rFonts w:eastAsia="標楷體" w:cstheme="minorHAnsi"/>
          <w:szCs w:val="24"/>
        </w:rPr>
        <w:t>，前述情況之各幣別淨部位，無論長部位或短部位應於各時間帶內加總以產生總部位數字，且不可進行抵銷處理。</w:t>
      </w:r>
    </w:p>
    <w:p w14:paraId="74FBCF13" w14:textId="77777777" w:rsidR="00641694" w:rsidRPr="00CA1A43" w:rsidRDefault="00641694" w:rsidP="00641694">
      <w:pPr>
        <w:pStyle w:val="a7"/>
        <w:numPr>
          <w:ilvl w:val="0"/>
          <w:numId w:val="183"/>
        </w:numPr>
        <w:spacing w:beforeLines="50" w:before="180"/>
        <w:ind w:leftChars="0" w:left="737" w:hanging="737"/>
        <w:jc w:val="both"/>
        <w:rPr>
          <w:rFonts w:eastAsia="標楷體" w:cstheme="minorHAnsi"/>
          <w:szCs w:val="24"/>
        </w:rPr>
      </w:pPr>
      <w:r w:rsidRPr="00CA1A43">
        <w:rPr>
          <w:rFonts w:eastAsia="標楷體" w:cstheme="minorHAnsi"/>
          <w:szCs w:val="24"/>
        </w:rPr>
        <w:lastRenderedPageBreak/>
        <w:t>利率衍生性金融商品</w:t>
      </w:r>
    </w:p>
    <w:p w14:paraId="7B43F4E0" w14:textId="6D8D2478" w:rsidR="00641694" w:rsidRPr="00CA1A43" w:rsidRDefault="00641694" w:rsidP="008C0E02">
      <w:pPr>
        <w:pStyle w:val="a7"/>
        <w:numPr>
          <w:ilvl w:val="0"/>
          <w:numId w:val="198"/>
        </w:numPr>
        <w:spacing w:beforeLines="50" w:before="180"/>
        <w:ind w:leftChars="0" w:left="964" w:hanging="482"/>
        <w:jc w:val="both"/>
        <w:rPr>
          <w:rFonts w:eastAsia="標楷體" w:cstheme="minorHAnsi"/>
          <w:kern w:val="0"/>
          <w:szCs w:val="24"/>
        </w:rPr>
      </w:pPr>
      <w:r w:rsidRPr="00CA1A43">
        <w:rPr>
          <w:rFonts w:eastAsia="標楷體" w:cstheme="minorHAnsi"/>
          <w:szCs w:val="24"/>
        </w:rPr>
        <w:t>範圍</w:t>
      </w:r>
      <w:r w:rsidRPr="00CA1A43">
        <w:rPr>
          <w:rFonts w:eastAsia="標楷體" w:cstheme="minorHAnsi"/>
          <w:szCs w:val="24"/>
        </w:rPr>
        <w:t>:</w:t>
      </w:r>
      <w:r w:rsidRPr="00CA1A43">
        <w:rPr>
          <w:rFonts w:eastAsia="標楷體" w:cstheme="minorHAnsi"/>
          <w:szCs w:val="24"/>
        </w:rPr>
        <w:br/>
      </w:r>
      <w:r w:rsidRPr="00CA1A43">
        <w:rPr>
          <w:rFonts w:eastAsia="標楷體" w:cstheme="minorHAnsi"/>
        </w:rPr>
        <w:t>應包含所有利率衍生性</w:t>
      </w:r>
      <w:r w:rsidRPr="00CA1A43">
        <w:rPr>
          <w:rFonts w:eastAsia="標楷體" w:cstheme="minorHAnsi"/>
          <w:szCs w:val="24"/>
        </w:rPr>
        <w:t>金融</w:t>
      </w:r>
      <w:r w:rsidRPr="00CA1A43">
        <w:rPr>
          <w:rFonts w:eastAsia="標楷體" w:cstheme="minorHAnsi"/>
        </w:rPr>
        <w:t>商品及交易簿中受利率變動影響之資產負債表外</w:t>
      </w:r>
      <w:r w:rsidR="009653EE" w:rsidRPr="00050EA7">
        <w:rPr>
          <w:rFonts w:eastAsia="標楷體" w:cstheme="minorHAnsi"/>
          <w:szCs w:val="24"/>
        </w:rPr>
        <w:t>工具</w:t>
      </w:r>
      <w:r w:rsidRPr="00050EA7">
        <w:rPr>
          <w:rFonts w:eastAsia="標楷體" w:cstheme="minorHAnsi"/>
          <w:szCs w:val="24"/>
        </w:rPr>
        <w:t>(</w:t>
      </w:r>
      <w:r w:rsidRPr="00CA1A43">
        <w:rPr>
          <w:rFonts w:eastAsia="標楷體" w:cstheme="minorHAnsi"/>
          <w:szCs w:val="24"/>
        </w:rPr>
        <w:t>如遠期利率協議、其他遠期契約、債券期貨、利率交換、換</w:t>
      </w:r>
      <w:proofErr w:type="gramStart"/>
      <w:r w:rsidRPr="00CA1A43">
        <w:rPr>
          <w:rFonts w:eastAsia="標楷體" w:cstheme="minorHAnsi"/>
          <w:szCs w:val="24"/>
        </w:rPr>
        <w:t>匯</w:t>
      </w:r>
      <w:proofErr w:type="gramEnd"/>
      <w:r w:rsidRPr="00CA1A43">
        <w:rPr>
          <w:rFonts w:eastAsia="標楷體" w:cstheme="minorHAnsi"/>
          <w:szCs w:val="24"/>
        </w:rPr>
        <w:t>換利交換、遠期外匯部位等</w:t>
      </w:r>
      <w:r w:rsidRPr="00CA1A43">
        <w:rPr>
          <w:rFonts w:eastAsia="標楷體" w:cstheme="minorHAnsi"/>
          <w:szCs w:val="24"/>
        </w:rPr>
        <w:t>)</w:t>
      </w:r>
      <w:r w:rsidRPr="00CA1A43">
        <w:rPr>
          <w:rFonts w:eastAsia="標楷體" w:cstheme="minorHAnsi"/>
          <w:szCs w:val="24"/>
        </w:rPr>
        <w:t>。衍生性金融商品應轉換為相關標的部位，依前述規定計提個別風險及一般市場風險，其計提資本之部位金額應為</w:t>
      </w:r>
      <w:r w:rsidRPr="00CA1A43">
        <w:rPr>
          <w:rFonts w:eastAsia="標楷體" w:cstheme="minorHAnsi"/>
          <w:szCs w:val="24"/>
          <w:lang w:eastAsia="zh-HK"/>
        </w:rPr>
        <w:t>標的</w:t>
      </w:r>
      <w:r w:rsidRPr="00CA1A43">
        <w:rPr>
          <w:rFonts w:eastAsia="標楷體" w:cstheme="minorHAnsi"/>
          <w:szCs w:val="24"/>
        </w:rPr>
        <w:t>本金或以審慎評價原則產出有效名目本金之市場價值</w:t>
      </w:r>
      <w:r w:rsidRPr="00CA1A43">
        <w:rPr>
          <w:rStyle w:val="a5"/>
          <w:rFonts w:eastAsia="標楷體" w:cstheme="minorHAnsi"/>
        </w:rPr>
        <w:footnoteReference w:id="66"/>
      </w:r>
      <w:r w:rsidRPr="00CA1A43">
        <w:rPr>
          <w:rFonts w:eastAsia="標楷體" w:cstheme="minorHAnsi"/>
          <w:sz w:val="23"/>
          <w:szCs w:val="23"/>
        </w:rPr>
        <w:t>。</w:t>
      </w:r>
    </w:p>
    <w:p w14:paraId="791621A5" w14:textId="77777777" w:rsidR="00641694" w:rsidRPr="00CA1A43" w:rsidRDefault="00641694" w:rsidP="008C0E02">
      <w:pPr>
        <w:pStyle w:val="a7"/>
        <w:numPr>
          <w:ilvl w:val="0"/>
          <w:numId w:val="198"/>
        </w:numPr>
        <w:spacing w:beforeLines="50" w:before="180"/>
        <w:ind w:leftChars="0" w:left="964" w:hanging="482"/>
        <w:jc w:val="both"/>
        <w:rPr>
          <w:rFonts w:eastAsia="標楷體" w:cstheme="minorHAnsi"/>
          <w:kern w:val="0"/>
          <w:szCs w:val="24"/>
        </w:rPr>
      </w:pPr>
      <w:r w:rsidRPr="00CA1A43">
        <w:rPr>
          <w:rFonts w:eastAsia="標楷體" w:cstheme="minorHAnsi"/>
          <w:szCs w:val="24"/>
        </w:rPr>
        <w:t>部位之計算</w:t>
      </w:r>
    </w:p>
    <w:p w14:paraId="6115A2E9" w14:textId="2B0860FB" w:rsidR="00641694" w:rsidRPr="00CA1A43" w:rsidRDefault="00641694" w:rsidP="008C0E02">
      <w:pPr>
        <w:pStyle w:val="a7"/>
        <w:numPr>
          <w:ilvl w:val="0"/>
          <w:numId w:val="205"/>
        </w:numPr>
        <w:spacing w:beforeLines="50" w:before="180"/>
        <w:ind w:leftChars="0" w:left="1446" w:hanging="482"/>
        <w:jc w:val="both"/>
        <w:rPr>
          <w:rFonts w:eastAsia="標楷體" w:cstheme="minorHAnsi"/>
          <w:kern w:val="0"/>
          <w:szCs w:val="24"/>
        </w:rPr>
      </w:pPr>
      <w:r w:rsidRPr="00CA1A43">
        <w:rPr>
          <w:rFonts w:eastAsia="標楷體" w:cstheme="minorHAnsi"/>
          <w:szCs w:val="24"/>
        </w:rPr>
        <w:t>期貨及遠期契約，包括遠期利率協議</w:t>
      </w:r>
      <w:r w:rsidRPr="00CA1A43">
        <w:rPr>
          <w:rFonts w:eastAsia="標楷體" w:cstheme="minorHAnsi"/>
          <w:szCs w:val="24"/>
        </w:rPr>
        <w:br/>
      </w:r>
      <w:r w:rsidRPr="00CA1A43">
        <w:rPr>
          <w:rFonts w:eastAsia="標楷體" w:cstheme="minorHAnsi"/>
          <w:szCs w:val="24"/>
        </w:rPr>
        <w:t>視為債券名目本金的一個長部位及一個短部位，其期限之算法為，一個部位係契約之交割日或執行日，另一個部位為契約之交割日或執行日加上標的</w:t>
      </w:r>
      <w:r w:rsidR="009653EE" w:rsidRPr="00050EA7">
        <w:rPr>
          <w:rFonts w:eastAsia="標楷體" w:cstheme="minorHAnsi"/>
          <w:szCs w:val="24"/>
        </w:rPr>
        <w:t>工具</w:t>
      </w:r>
      <w:r w:rsidRPr="00050EA7">
        <w:rPr>
          <w:rFonts w:eastAsia="標楷體" w:cstheme="minorHAnsi"/>
          <w:szCs w:val="24"/>
        </w:rPr>
        <w:t>之</w:t>
      </w:r>
      <w:r w:rsidRPr="00CA1A43">
        <w:rPr>
          <w:rFonts w:eastAsia="標楷體" w:cstheme="minorHAnsi"/>
          <w:szCs w:val="24"/>
        </w:rPr>
        <w:t>期間；</w:t>
      </w:r>
      <w:r w:rsidRPr="00CA1A43">
        <w:rPr>
          <w:rFonts w:eastAsia="標楷體" w:cstheme="minorHAnsi"/>
          <w:szCs w:val="24"/>
        </w:rPr>
        <w:br/>
      </w:r>
      <w:r w:rsidRPr="00CA1A43">
        <w:rPr>
          <w:rFonts w:eastAsia="標楷體" w:cstheme="minorHAnsi"/>
          <w:szCs w:val="24"/>
        </w:rPr>
        <w:t>例如，六月到期之三個月期利率期貨長部位</w:t>
      </w:r>
      <w:r w:rsidRPr="00CA1A43">
        <w:rPr>
          <w:rFonts w:eastAsia="標楷體" w:cstheme="minorHAnsi"/>
          <w:szCs w:val="24"/>
        </w:rPr>
        <w:t>(</w:t>
      </w:r>
      <w:r w:rsidRPr="00CA1A43">
        <w:rPr>
          <w:rFonts w:eastAsia="標楷體" w:cstheme="minorHAnsi"/>
          <w:szCs w:val="24"/>
        </w:rPr>
        <w:t>四月</w:t>
      </w:r>
      <w:proofErr w:type="gramStart"/>
      <w:r w:rsidRPr="00CA1A43">
        <w:rPr>
          <w:rFonts w:eastAsia="標楷體" w:cstheme="minorHAnsi"/>
          <w:szCs w:val="24"/>
        </w:rPr>
        <w:t>承作</w:t>
      </w:r>
      <w:proofErr w:type="gramEnd"/>
      <w:r w:rsidRPr="00CA1A43">
        <w:rPr>
          <w:rFonts w:eastAsia="標楷體" w:cstheme="minorHAnsi"/>
          <w:szCs w:val="24"/>
        </w:rPr>
        <w:t>)</w:t>
      </w:r>
      <w:r w:rsidRPr="00CA1A43">
        <w:rPr>
          <w:rFonts w:eastAsia="標楷體" w:cstheme="minorHAnsi"/>
          <w:szCs w:val="24"/>
        </w:rPr>
        <w:t>被視為五個月到期之政府有價證券長部位及兩個月到期之政府有價證券短部位之組合。</w:t>
      </w:r>
      <w:r w:rsidRPr="00CA1A43">
        <w:rPr>
          <w:rFonts w:eastAsia="標楷體" w:cstheme="minorHAnsi"/>
          <w:szCs w:val="24"/>
        </w:rPr>
        <w:br/>
      </w:r>
      <w:r w:rsidRPr="00CA1A43">
        <w:rPr>
          <w:rFonts w:eastAsia="標楷體" w:cstheme="minorHAnsi"/>
          <w:szCs w:val="24"/>
        </w:rPr>
        <w:t>若有一系列可交割</w:t>
      </w:r>
      <w:r w:rsidR="009653EE" w:rsidRPr="00050EA7">
        <w:rPr>
          <w:rFonts w:eastAsia="標楷體" w:cstheme="minorHAnsi"/>
          <w:szCs w:val="24"/>
        </w:rPr>
        <w:t>工具</w:t>
      </w:r>
      <w:r w:rsidRPr="00CA1A43">
        <w:rPr>
          <w:rFonts w:eastAsia="標楷體" w:cstheme="minorHAnsi"/>
          <w:szCs w:val="24"/>
        </w:rPr>
        <w:t>可被交割以履行合約，銀行可彈性選擇可交割有價證券進行到期法或存續期間法之計算，但應考量交易所定義之轉換因子。對於公司債指數之期貨，其部位應被</w:t>
      </w:r>
      <w:proofErr w:type="gramStart"/>
      <w:r w:rsidRPr="00CA1A43">
        <w:rPr>
          <w:rFonts w:eastAsia="標楷體" w:cstheme="minorHAnsi"/>
          <w:szCs w:val="24"/>
        </w:rPr>
        <w:t>計入名目標</w:t>
      </w:r>
      <w:proofErr w:type="gramEnd"/>
      <w:r w:rsidRPr="00CA1A43">
        <w:rPr>
          <w:rFonts w:eastAsia="標楷體" w:cstheme="minorHAnsi"/>
          <w:szCs w:val="24"/>
        </w:rPr>
        <w:t>的投資組合的有價證券之市值中。</w:t>
      </w:r>
    </w:p>
    <w:p w14:paraId="1617BB1C" w14:textId="77777777" w:rsidR="00641694" w:rsidRPr="00CA1A43" w:rsidRDefault="00641694" w:rsidP="008C0E02">
      <w:pPr>
        <w:pStyle w:val="a7"/>
        <w:numPr>
          <w:ilvl w:val="0"/>
          <w:numId w:val="205"/>
        </w:numPr>
        <w:spacing w:beforeLines="50" w:before="180"/>
        <w:ind w:leftChars="0" w:left="1446" w:hanging="482"/>
        <w:jc w:val="both"/>
        <w:rPr>
          <w:rFonts w:eastAsia="標楷體" w:cstheme="minorHAnsi"/>
          <w:kern w:val="0"/>
          <w:szCs w:val="24"/>
        </w:rPr>
      </w:pPr>
      <w:r w:rsidRPr="00CA1A43">
        <w:rPr>
          <w:rFonts w:eastAsia="標楷體" w:cstheme="minorHAnsi"/>
          <w:szCs w:val="24"/>
        </w:rPr>
        <w:t>交換</w:t>
      </w:r>
      <w:r w:rsidRPr="00CA1A43">
        <w:rPr>
          <w:rFonts w:eastAsia="標楷體" w:cstheme="minorHAnsi"/>
          <w:szCs w:val="24"/>
        </w:rPr>
        <w:br/>
      </w:r>
      <w:r w:rsidRPr="00CA1A43">
        <w:rPr>
          <w:rFonts w:eastAsia="標楷體" w:cstheme="minorHAnsi"/>
          <w:szCs w:val="24"/>
        </w:rPr>
        <w:t>視為兩個具對應到期日的政府有價證券之名目本金部位。</w:t>
      </w:r>
      <w:r w:rsidRPr="00CA1A43">
        <w:rPr>
          <w:rFonts w:eastAsia="標楷體" w:cstheme="minorHAnsi"/>
          <w:szCs w:val="24"/>
        </w:rPr>
        <w:br/>
      </w:r>
      <w:r w:rsidRPr="00CA1A43">
        <w:rPr>
          <w:rFonts w:eastAsia="標楷體" w:cstheme="minorHAnsi"/>
          <w:szCs w:val="24"/>
        </w:rPr>
        <w:t>例如，銀行持有收取浮動利率、支付固定利率之利率交換，應視為期限為下一利率訂價日之浮動利率長部位，和期限為該交換剩餘期間之固定利率短部位。對於一端收</w:t>
      </w:r>
      <w:r w:rsidRPr="00CA1A43">
        <w:rPr>
          <w:rFonts w:eastAsia="標楷體" w:cstheme="minorHAnsi"/>
          <w:szCs w:val="24"/>
        </w:rPr>
        <w:t>/</w:t>
      </w:r>
      <w:r w:rsidRPr="00CA1A43">
        <w:rPr>
          <w:rFonts w:eastAsia="標楷體" w:cstheme="minorHAnsi"/>
          <w:szCs w:val="24"/>
        </w:rPr>
        <w:t>付固定或浮動利率，另一端具其他參考價格如股票指數之交換，其利率部分應歸入適當之重定價到期日類別，權益證券部分則應被納入權益證券風險計算範圍。換</w:t>
      </w:r>
      <w:proofErr w:type="gramStart"/>
      <w:r w:rsidRPr="00CA1A43">
        <w:rPr>
          <w:rFonts w:eastAsia="標楷體" w:cstheme="minorHAnsi"/>
          <w:szCs w:val="24"/>
        </w:rPr>
        <w:t>匯</w:t>
      </w:r>
      <w:proofErr w:type="gramEnd"/>
      <w:r w:rsidRPr="00CA1A43">
        <w:rPr>
          <w:rFonts w:eastAsia="標楷體" w:cstheme="minorHAnsi"/>
          <w:szCs w:val="24"/>
        </w:rPr>
        <w:t>換利交換之兩端，應依幣別歸入相關時間帶中。</w:t>
      </w:r>
    </w:p>
    <w:p w14:paraId="2771DB51" w14:textId="425C4079" w:rsidR="00641694" w:rsidRPr="00CA1A43" w:rsidRDefault="00641694" w:rsidP="008C0E02">
      <w:pPr>
        <w:pStyle w:val="a7"/>
        <w:numPr>
          <w:ilvl w:val="0"/>
          <w:numId w:val="205"/>
        </w:numPr>
        <w:spacing w:beforeLines="50" w:before="180"/>
        <w:ind w:leftChars="0" w:left="1446" w:hanging="482"/>
        <w:jc w:val="both"/>
        <w:rPr>
          <w:rFonts w:eastAsia="標楷體" w:cstheme="minorHAnsi"/>
          <w:kern w:val="0"/>
          <w:szCs w:val="24"/>
        </w:rPr>
      </w:pPr>
      <w:r w:rsidRPr="00CA1A43">
        <w:rPr>
          <w:rFonts w:eastAsia="標楷體" w:cstheme="minorHAnsi"/>
          <w:szCs w:val="24"/>
        </w:rPr>
        <w:t>銀行可將同發行人、同票息、</w:t>
      </w:r>
      <w:proofErr w:type="gramStart"/>
      <w:r w:rsidRPr="00CA1A43">
        <w:rPr>
          <w:rFonts w:eastAsia="標楷體" w:cstheme="minorHAnsi"/>
          <w:szCs w:val="24"/>
        </w:rPr>
        <w:t>同幣別</w:t>
      </w:r>
      <w:proofErr w:type="gramEnd"/>
      <w:r w:rsidRPr="00CA1A43">
        <w:rPr>
          <w:rFonts w:eastAsia="標楷體" w:cstheme="minorHAnsi"/>
          <w:szCs w:val="24"/>
        </w:rPr>
        <w:t>、同到期日之相同</w:t>
      </w:r>
      <w:r w:rsidR="009653EE" w:rsidRPr="00F72955">
        <w:rPr>
          <w:rFonts w:eastAsia="標楷體" w:cstheme="minorHAnsi"/>
          <w:szCs w:val="24"/>
        </w:rPr>
        <w:t>工具</w:t>
      </w:r>
      <w:r w:rsidRPr="00F72955">
        <w:rPr>
          <w:rFonts w:eastAsia="標楷體" w:cstheme="minorHAnsi"/>
          <w:szCs w:val="24"/>
        </w:rPr>
        <w:t>的</w:t>
      </w:r>
      <w:r w:rsidRPr="00CA1A43">
        <w:rPr>
          <w:rFonts w:eastAsia="標楷體" w:cstheme="minorHAnsi"/>
          <w:szCs w:val="24"/>
        </w:rPr>
        <w:t>長、短部位同時從利率期限框架中排除</w:t>
      </w:r>
      <w:r w:rsidRPr="00CA1A43">
        <w:rPr>
          <w:rFonts w:eastAsia="標楷體" w:cstheme="minorHAnsi"/>
          <w:szCs w:val="24"/>
        </w:rPr>
        <w:t>(</w:t>
      </w:r>
      <w:r w:rsidRPr="00CA1A43">
        <w:rPr>
          <w:rFonts w:eastAsia="標楷體" w:cstheme="minorHAnsi"/>
          <w:szCs w:val="24"/>
        </w:rPr>
        <w:t>個別風險及一般市場風險</w:t>
      </w:r>
      <w:r w:rsidRPr="00CA1A43">
        <w:rPr>
          <w:rFonts w:eastAsia="標楷體" w:cstheme="minorHAnsi"/>
          <w:szCs w:val="24"/>
        </w:rPr>
        <w:t>)</w:t>
      </w:r>
      <w:r w:rsidRPr="00CA1A43">
        <w:rPr>
          <w:rFonts w:eastAsia="標楷體" w:cstheme="minorHAnsi"/>
          <w:szCs w:val="24"/>
        </w:rPr>
        <w:t>。期貨或遠期契約的搭配部位及其相對應標的亦可完全抵銷並自計算中排除</w:t>
      </w:r>
      <w:r w:rsidRPr="00CA1A43">
        <w:rPr>
          <w:rStyle w:val="a5"/>
          <w:rFonts w:eastAsia="標楷體" w:cstheme="minorHAnsi"/>
        </w:rPr>
        <w:footnoteReference w:id="67"/>
      </w:r>
      <w:r w:rsidRPr="00CA1A43">
        <w:rPr>
          <w:rFonts w:eastAsia="標楷體" w:cstheme="minorHAnsi"/>
          <w:szCs w:val="24"/>
        </w:rPr>
        <w:t>。</w:t>
      </w:r>
    </w:p>
    <w:p w14:paraId="55F78A77" w14:textId="4505F0D4" w:rsidR="00641694" w:rsidRPr="00CA1A43" w:rsidRDefault="00641694" w:rsidP="008C0E02">
      <w:pPr>
        <w:pStyle w:val="a7"/>
        <w:numPr>
          <w:ilvl w:val="0"/>
          <w:numId w:val="205"/>
        </w:numPr>
        <w:spacing w:beforeLines="50" w:before="180"/>
        <w:ind w:leftChars="0" w:left="1446" w:hanging="482"/>
        <w:jc w:val="both"/>
        <w:rPr>
          <w:rFonts w:eastAsia="標楷體" w:cstheme="minorHAnsi"/>
          <w:kern w:val="0"/>
          <w:szCs w:val="24"/>
        </w:rPr>
      </w:pPr>
      <w:r w:rsidRPr="00CA1A43">
        <w:rPr>
          <w:rFonts w:eastAsia="標楷體" w:cstheme="minorHAnsi"/>
          <w:szCs w:val="24"/>
          <w:lang w:eastAsia="zh-HK"/>
        </w:rPr>
        <w:t>當期貨或遠期</w:t>
      </w:r>
      <w:r w:rsidRPr="00CA1A43">
        <w:rPr>
          <w:rFonts w:eastAsia="標楷體" w:cstheme="minorHAnsi"/>
          <w:szCs w:val="24"/>
        </w:rPr>
        <w:t>契約</w:t>
      </w:r>
      <w:r w:rsidRPr="00CA1A43">
        <w:rPr>
          <w:rFonts w:eastAsia="標楷體" w:cstheme="minorHAnsi"/>
          <w:szCs w:val="24"/>
          <w:lang w:eastAsia="zh-HK"/>
        </w:rPr>
        <w:t>包含一系列可交割之</w:t>
      </w:r>
      <w:r w:rsidR="009653EE" w:rsidRPr="00F72955">
        <w:rPr>
          <w:rFonts w:eastAsia="標楷體" w:cstheme="minorHAnsi"/>
          <w:szCs w:val="24"/>
        </w:rPr>
        <w:t>工具</w:t>
      </w:r>
      <w:r w:rsidRPr="00F72955">
        <w:rPr>
          <w:rFonts w:eastAsia="標楷體" w:cstheme="minorHAnsi"/>
          <w:szCs w:val="24"/>
          <w:lang w:eastAsia="zh-HK"/>
        </w:rPr>
        <w:t>，</w:t>
      </w:r>
      <w:r w:rsidRPr="00CA1A43">
        <w:rPr>
          <w:rFonts w:eastAsia="標楷體" w:cstheme="minorHAnsi"/>
          <w:szCs w:val="24"/>
          <w:lang w:eastAsia="zh-HK"/>
        </w:rPr>
        <w:t>其標的僅在可辨識對</w:t>
      </w:r>
      <w:r w:rsidRPr="00CA1A43">
        <w:rPr>
          <w:rFonts w:eastAsia="標楷體" w:cstheme="minorHAnsi"/>
          <w:szCs w:val="24"/>
          <w:lang w:eastAsia="zh-HK"/>
        </w:rPr>
        <w:lastRenderedPageBreak/>
        <w:t>持有短部位之交易員最有利的交割</w:t>
      </w:r>
      <w:r w:rsidRPr="00CA1A43">
        <w:rPr>
          <w:rFonts w:eastAsia="標楷體" w:cstheme="minorHAnsi"/>
          <w:szCs w:val="24"/>
        </w:rPr>
        <w:t>有價</w:t>
      </w:r>
      <w:r w:rsidRPr="00CA1A43">
        <w:rPr>
          <w:rFonts w:eastAsia="標楷體" w:cstheme="minorHAnsi"/>
          <w:szCs w:val="24"/>
          <w:lang w:eastAsia="zh-HK"/>
        </w:rPr>
        <w:t>證券時允許作為互抵部位，此</w:t>
      </w:r>
      <w:r w:rsidRPr="00CA1A43">
        <w:rPr>
          <w:rFonts w:eastAsia="標楷體" w:cstheme="minorHAnsi"/>
          <w:szCs w:val="24"/>
        </w:rPr>
        <w:t>有價</w:t>
      </w:r>
      <w:r w:rsidRPr="00CA1A43">
        <w:rPr>
          <w:rFonts w:eastAsia="標楷體" w:cstheme="minorHAnsi"/>
          <w:szCs w:val="24"/>
          <w:lang w:eastAsia="zh-HK"/>
        </w:rPr>
        <w:t>證券</w:t>
      </w:r>
      <w:r w:rsidRPr="00CA1A43">
        <w:rPr>
          <w:rFonts w:eastAsia="標楷體" w:cstheme="minorHAnsi"/>
          <w:szCs w:val="24"/>
          <w:lang w:eastAsia="zh-HK"/>
        </w:rPr>
        <w:t>(</w:t>
      </w:r>
      <w:r w:rsidRPr="00CA1A43">
        <w:rPr>
          <w:rFonts w:eastAsia="標楷體" w:cstheme="minorHAnsi"/>
          <w:szCs w:val="24"/>
          <w:lang w:eastAsia="zh-HK"/>
        </w:rPr>
        <w:t>即「最便宜交割」</w:t>
      </w:r>
      <w:r w:rsidRPr="00CA1A43">
        <w:rPr>
          <w:rFonts w:eastAsia="標楷體" w:cstheme="minorHAnsi"/>
          <w:szCs w:val="24"/>
          <w:lang w:eastAsia="zh-HK"/>
        </w:rPr>
        <w:t>)</w:t>
      </w:r>
      <w:r w:rsidRPr="00CA1A43">
        <w:rPr>
          <w:rFonts w:eastAsia="標楷體" w:cstheme="minorHAnsi"/>
          <w:szCs w:val="24"/>
          <w:lang w:eastAsia="zh-HK"/>
        </w:rPr>
        <w:t>之價格與前述期貨或遠期契約之價格變動應一致。</w:t>
      </w:r>
    </w:p>
    <w:p w14:paraId="1487E17B" w14:textId="650F99BA" w:rsidR="00641694" w:rsidRPr="00F72955" w:rsidRDefault="00641694" w:rsidP="008C0E02">
      <w:pPr>
        <w:pStyle w:val="a7"/>
        <w:numPr>
          <w:ilvl w:val="0"/>
          <w:numId w:val="205"/>
        </w:numPr>
        <w:spacing w:beforeLines="50" w:before="180"/>
        <w:ind w:leftChars="0" w:left="1446" w:hanging="482"/>
        <w:jc w:val="both"/>
        <w:rPr>
          <w:rFonts w:eastAsia="標楷體" w:cstheme="minorHAnsi"/>
          <w:kern w:val="0"/>
          <w:szCs w:val="24"/>
        </w:rPr>
      </w:pPr>
      <w:r w:rsidRPr="00CA1A43">
        <w:rPr>
          <w:rFonts w:eastAsia="標楷體" w:cstheme="minorHAnsi"/>
          <w:szCs w:val="24"/>
        </w:rPr>
        <w:t>不同幣別</w:t>
      </w:r>
      <w:proofErr w:type="gramStart"/>
      <w:r w:rsidRPr="00CA1A43">
        <w:rPr>
          <w:rFonts w:eastAsia="標楷體" w:cstheme="minorHAnsi"/>
          <w:szCs w:val="24"/>
        </w:rPr>
        <w:t>之</w:t>
      </w:r>
      <w:proofErr w:type="gramEnd"/>
      <w:r w:rsidRPr="00CA1A43">
        <w:rPr>
          <w:rFonts w:eastAsia="標楷體" w:cstheme="minorHAnsi"/>
          <w:szCs w:val="24"/>
        </w:rPr>
        <w:t>部位不被允許互抵；換</w:t>
      </w:r>
      <w:proofErr w:type="gramStart"/>
      <w:r w:rsidRPr="00CA1A43">
        <w:rPr>
          <w:rFonts w:eastAsia="標楷體" w:cstheme="minorHAnsi"/>
          <w:szCs w:val="24"/>
        </w:rPr>
        <w:t>匯</w:t>
      </w:r>
      <w:proofErr w:type="gramEnd"/>
      <w:r w:rsidRPr="00CA1A43">
        <w:rPr>
          <w:rFonts w:eastAsia="標楷體" w:cstheme="minorHAnsi"/>
          <w:szCs w:val="24"/>
        </w:rPr>
        <w:t>換利交換或遠期外匯交易之兩端被視為該</w:t>
      </w:r>
      <w:r w:rsidR="009653EE" w:rsidRPr="00F72955">
        <w:rPr>
          <w:rFonts w:eastAsia="標楷體" w:cstheme="minorHAnsi"/>
          <w:szCs w:val="24"/>
        </w:rPr>
        <w:t>工具</w:t>
      </w:r>
      <w:r w:rsidRPr="00F72955">
        <w:rPr>
          <w:rFonts w:eastAsia="標楷體" w:cstheme="minorHAnsi"/>
          <w:szCs w:val="24"/>
        </w:rPr>
        <w:t>之名目本金且依幣別予以適當計算。</w:t>
      </w:r>
    </w:p>
    <w:p w14:paraId="3BE1F4E4" w14:textId="5262FAA4" w:rsidR="000240A6" w:rsidRPr="00CA1A43" w:rsidRDefault="000240A6" w:rsidP="008C0E02">
      <w:pPr>
        <w:pStyle w:val="a7"/>
        <w:numPr>
          <w:ilvl w:val="0"/>
          <w:numId w:val="205"/>
        </w:numPr>
        <w:spacing w:beforeLines="50" w:before="180"/>
        <w:ind w:leftChars="0" w:left="1446" w:hanging="482"/>
        <w:jc w:val="both"/>
        <w:rPr>
          <w:rFonts w:eastAsia="標楷體" w:cstheme="minorHAnsi"/>
          <w:kern w:val="0"/>
          <w:szCs w:val="24"/>
        </w:rPr>
      </w:pPr>
      <w:r w:rsidRPr="00F72955">
        <w:rPr>
          <w:rFonts w:eastAsia="標楷體" w:cstheme="minorHAnsi"/>
          <w:szCs w:val="24"/>
        </w:rPr>
        <w:t>同類</w:t>
      </w:r>
      <w:r w:rsidR="009653EE" w:rsidRPr="00F72955">
        <w:rPr>
          <w:rFonts w:eastAsia="標楷體" w:cstheme="minorHAnsi"/>
          <w:szCs w:val="24"/>
        </w:rPr>
        <w:t>工具</w:t>
      </w:r>
      <w:r w:rsidRPr="00F72955">
        <w:rPr>
          <w:rStyle w:val="a5"/>
          <w:rFonts w:eastAsia="標楷體" w:cstheme="minorHAnsi"/>
        </w:rPr>
        <w:footnoteReference w:id="68"/>
      </w:r>
      <w:r w:rsidRPr="00F72955">
        <w:rPr>
          <w:rFonts w:eastAsia="標楷體" w:cstheme="minorHAnsi"/>
          <w:szCs w:val="24"/>
        </w:rPr>
        <w:t>之</w:t>
      </w:r>
      <w:r w:rsidRPr="00CA1A43">
        <w:rPr>
          <w:rFonts w:eastAsia="標楷體" w:cstheme="minorHAnsi"/>
          <w:szCs w:val="24"/>
        </w:rPr>
        <w:t>相反部位在特定條件下可視為搭配部位，並且可全額互抵。適用前述處理方法之部位須為相同標的、同面額且</w:t>
      </w:r>
      <w:proofErr w:type="gramStart"/>
      <w:r w:rsidRPr="00CA1A43">
        <w:rPr>
          <w:rFonts w:eastAsia="標楷體" w:cstheme="minorHAnsi"/>
          <w:szCs w:val="24"/>
        </w:rPr>
        <w:t>為同幣別</w:t>
      </w:r>
      <w:proofErr w:type="gramEnd"/>
      <w:r w:rsidRPr="00CA1A43">
        <w:rPr>
          <w:rFonts w:eastAsia="標楷體" w:cstheme="minorHAnsi"/>
          <w:szCs w:val="24"/>
        </w:rPr>
        <w:t>表示</w:t>
      </w:r>
      <w:r w:rsidRPr="00CA1A43">
        <w:rPr>
          <w:rStyle w:val="a5"/>
          <w:rFonts w:eastAsia="標楷體" w:cstheme="minorHAnsi"/>
        </w:rPr>
        <w:footnoteReference w:id="69"/>
      </w:r>
      <w:r w:rsidRPr="00CA1A43">
        <w:rPr>
          <w:rFonts w:eastAsia="標楷體" w:cstheme="minorHAnsi"/>
          <w:szCs w:val="24"/>
        </w:rPr>
        <w:t>，並符合下列條件：</w:t>
      </w:r>
    </w:p>
    <w:p w14:paraId="667C940F" w14:textId="1445EF54" w:rsidR="000240A6" w:rsidRPr="00CA1A43" w:rsidRDefault="000240A6" w:rsidP="008C0E02">
      <w:pPr>
        <w:pStyle w:val="a7"/>
        <w:numPr>
          <w:ilvl w:val="0"/>
          <w:numId w:val="206"/>
        </w:numPr>
        <w:spacing w:beforeLines="50" w:before="180"/>
        <w:ind w:leftChars="0"/>
        <w:jc w:val="both"/>
        <w:rPr>
          <w:rFonts w:eastAsia="標楷體" w:cstheme="minorHAnsi"/>
          <w:kern w:val="0"/>
          <w:szCs w:val="24"/>
        </w:rPr>
      </w:pPr>
      <w:r w:rsidRPr="00CA1A43">
        <w:rPr>
          <w:rFonts w:eastAsia="標楷體" w:cstheme="minorHAnsi"/>
          <w:kern w:val="0"/>
          <w:szCs w:val="24"/>
        </w:rPr>
        <w:t>期貨：互抵</w:t>
      </w:r>
      <w:r w:rsidRPr="00CA1A43">
        <w:rPr>
          <w:rFonts w:eastAsia="標楷體" w:cstheme="minorHAnsi"/>
          <w:szCs w:val="24"/>
        </w:rPr>
        <w:t>部位</w:t>
      </w:r>
      <w:r w:rsidRPr="00CA1A43">
        <w:rPr>
          <w:rFonts w:eastAsia="標楷體" w:cstheme="minorHAnsi"/>
          <w:kern w:val="0"/>
          <w:szCs w:val="24"/>
        </w:rPr>
        <w:t>所涉及之相關</w:t>
      </w:r>
      <w:r w:rsidR="009653EE" w:rsidRPr="0042546D">
        <w:rPr>
          <w:rFonts w:eastAsia="標楷體" w:cstheme="minorHAnsi"/>
          <w:kern w:val="0"/>
          <w:szCs w:val="24"/>
        </w:rPr>
        <w:t>工具</w:t>
      </w:r>
      <w:r w:rsidRPr="0042546D">
        <w:rPr>
          <w:rFonts w:eastAsia="標楷體" w:cstheme="minorHAnsi"/>
          <w:kern w:val="0"/>
          <w:szCs w:val="24"/>
        </w:rPr>
        <w:t>完</w:t>
      </w:r>
      <w:r w:rsidRPr="00CA1A43">
        <w:rPr>
          <w:rFonts w:eastAsia="標楷體" w:cstheme="minorHAnsi"/>
          <w:kern w:val="0"/>
          <w:szCs w:val="24"/>
        </w:rPr>
        <w:t>全相同，且到期日相差七日以內者；</w:t>
      </w:r>
    </w:p>
    <w:p w14:paraId="5448FD5B" w14:textId="77777777" w:rsidR="000240A6" w:rsidRPr="00CA1A43" w:rsidRDefault="000240A6" w:rsidP="008C0E02">
      <w:pPr>
        <w:pStyle w:val="a7"/>
        <w:numPr>
          <w:ilvl w:val="0"/>
          <w:numId w:val="206"/>
        </w:numPr>
        <w:spacing w:beforeLines="50" w:before="180"/>
        <w:ind w:leftChars="0"/>
        <w:jc w:val="both"/>
        <w:rPr>
          <w:rFonts w:eastAsia="標楷體" w:cstheme="minorHAnsi"/>
          <w:kern w:val="0"/>
          <w:szCs w:val="24"/>
        </w:rPr>
      </w:pPr>
      <w:r w:rsidRPr="00CA1A43">
        <w:rPr>
          <w:rFonts w:eastAsia="標楷體" w:cstheme="minorHAnsi"/>
          <w:szCs w:val="24"/>
        </w:rPr>
        <w:t>交換、遠期利率協議</w:t>
      </w:r>
      <w:r w:rsidRPr="00CA1A43">
        <w:rPr>
          <w:rFonts w:eastAsia="標楷體" w:cstheme="minorHAnsi"/>
          <w:szCs w:val="24"/>
        </w:rPr>
        <w:t>(FRA)</w:t>
      </w:r>
      <w:r w:rsidRPr="00CA1A43">
        <w:rPr>
          <w:rFonts w:eastAsia="標楷體" w:cstheme="minorHAnsi"/>
          <w:szCs w:val="24"/>
        </w:rPr>
        <w:t>：</w:t>
      </w:r>
    </w:p>
    <w:p w14:paraId="0F2C7A35" w14:textId="77777777" w:rsidR="000240A6" w:rsidRPr="00CA1A43" w:rsidRDefault="000240A6" w:rsidP="008C0E02">
      <w:pPr>
        <w:pStyle w:val="a7"/>
        <w:numPr>
          <w:ilvl w:val="0"/>
          <w:numId w:val="207"/>
        </w:numPr>
        <w:spacing w:beforeLines="50" w:before="180"/>
        <w:ind w:leftChars="0" w:left="2421" w:hanging="493"/>
        <w:jc w:val="both"/>
        <w:rPr>
          <w:rFonts w:eastAsia="標楷體" w:cstheme="minorHAnsi"/>
        </w:rPr>
      </w:pPr>
      <w:r w:rsidRPr="00CA1A43">
        <w:rPr>
          <w:rFonts w:eastAsia="標楷體" w:cstheme="minorHAnsi"/>
        </w:rPr>
        <w:t>浮動利率部位：參考利率完全相同者。</w:t>
      </w:r>
    </w:p>
    <w:p w14:paraId="3858F72E" w14:textId="77777777" w:rsidR="000240A6" w:rsidRPr="00CA1A43" w:rsidRDefault="000240A6" w:rsidP="008C0E02">
      <w:pPr>
        <w:pStyle w:val="a7"/>
        <w:numPr>
          <w:ilvl w:val="0"/>
          <w:numId w:val="207"/>
        </w:numPr>
        <w:spacing w:beforeLines="50" w:before="180"/>
        <w:ind w:leftChars="0" w:left="2421" w:hanging="493"/>
        <w:jc w:val="both"/>
        <w:rPr>
          <w:rFonts w:eastAsia="標楷體" w:cstheme="minorHAnsi"/>
        </w:rPr>
      </w:pPr>
      <w:r w:rsidRPr="00CA1A43">
        <w:rPr>
          <w:rFonts w:eastAsia="標楷體" w:cstheme="minorHAnsi"/>
        </w:rPr>
        <w:t>固定利率部位：息票利率接近者，如相差</w:t>
      </w:r>
      <w:r w:rsidRPr="00CA1A43">
        <w:rPr>
          <w:rFonts w:eastAsia="標楷體" w:cstheme="minorHAnsi"/>
        </w:rPr>
        <w:t>15</w:t>
      </w:r>
      <w:r w:rsidRPr="00CA1A43">
        <w:rPr>
          <w:rFonts w:eastAsia="標楷體" w:cstheme="minorHAnsi"/>
        </w:rPr>
        <w:t>個基點</w:t>
      </w:r>
      <w:r w:rsidRPr="00CA1A43">
        <w:rPr>
          <w:rFonts w:eastAsia="標楷體" w:cstheme="minorHAnsi"/>
        </w:rPr>
        <w:t>(basis points)</w:t>
      </w:r>
      <w:r w:rsidR="004B2734" w:rsidRPr="00CA1A43">
        <w:rPr>
          <w:rFonts w:eastAsia="標楷體" w:cstheme="minorHAnsi"/>
        </w:rPr>
        <w:t>以內者。</w:t>
      </w:r>
    </w:p>
    <w:p w14:paraId="480F74D4" w14:textId="77777777" w:rsidR="000240A6" w:rsidRPr="00CA1A43" w:rsidRDefault="000240A6" w:rsidP="008C0E02">
      <w:pPr>
        <w:pStyle w:val="a7"/>
        <w:numPr>
          <w:ilvl w:val="0"/>
          <w:numId w:val="206"/>
        </w:numPr>
        <w:spacing w:beforeLines="50" w:before="180"/>
        <w:ind w:leftChars="0"/>
        <w:jc w:val="both"/>
        <w:rPr>
          <w:rFonts w:eastAsia="標楷體" w:cstheme="minorHAnsi"/>
          <w:szCs w:val="24"/>
        </w:rPr>
      </w:pPr>
      <w:r w:rsidRPr="00CA1A43">
        <w:rPr>
          <w:rFonts w:eastAsia="標楷體" w:cstheme="minorHAnsi"/>
          <w:szCs w:val="24"/>
        </w:rPr>
        <w:t>交換、遠期利率協定及遠期契約：</w:t>
      </w:r>
      <w:r w:rsidRPr="00CA1A43">
        <w:rPr>
          <w:rFonts w:eastAsia="標楷體" w:cstheme="minorHAnsi"/>
          <w:szCs w:val="24"/>
        </w:rPr>
        <w:br/>
      </w:r>
      <w:r w:rsidRPr="00CA1A43">
        <w:rPr>
          <w:rFonts w:eastAsia="標楷體" w:cstheme="minorHAnsi"/>
          <w:szCs w:val="24"/>
        </w:rPr>
        <w:t>下一利率定價日，或是固定利率部位、遠期契約之剩餘期間須符合以下限制：</w:t>
      </w:r>
    </w:p>
    <w:p w14:paraId="1401D00C" w14:textId="77777777" w:rsidR="000240A6" w:rsidRPr="00CA1A43" w:rsidRDefault="000240A6" w:rsidP="008C0E02">
      <w:pPr>
        <w:pStyle w:val="a7"/>
        <w:numPr>
          <w:ilvl w:val="0"/>
          <w:numId w:val="208"/>
        </w:numPr>
        <w:spacing w:beforeLines="50" w:before="180"/>
        <w:ind w:leftChars="0" w:left="2421" w:hanging="493"/>
        <w:jc w:val="both"/>
        <w:rPr>
          <w:rFonts w:eastAsia="標楷體" w:cstheme="minorHAnsi"/>
          <w:szCs w:val="24"/>
        </w:rPr>
      </w:pPr>
      <w:r w:rsidRPr="00CA1A43">
        <w:rPr>
          <w:rFonts w:eastAsia="標楷體" w:cstheme="minorHAnsi"/>
          <w:szCs w:val="24"/>
        </w:rPr>
        <w:t>剩餘期間</w:t>
      </w:r>
      <w:r w:rsidRPr="00CA1A43">
        <w:rPr>
          <w:rFonts w:eastAsia="標楷體" w:cstheme="minorHAnsi"/>
        </w:rPr>
        <w:t>未滿</w:t>
      </w:r>
      <w:r w:rsidRPr="00CA1A43">
        <w:rPr>
          <w:rFonts w:eastAsia="標楷體" w:cstheme="minorHAnsi"/>
          <w:szCs w:val="24"/>
        </w:rPr>
        <w:t>一個月者：同一天；</w:t>
      </w:r>
    </w:p>
    <w:p w14:paraId="24970679" w14:textId="77777777" w:rsidR="000240A6" w:rsidRPr="00CA1A43" w:rsidRDefault="000240A6" w:rsidP="008C0E02">
      <w:pPr>
        <w:pStyle w:val="a7"/>
        <w:numPr>
          <w:ilvl w:val="0"/>
          <w:numId w:val="208"/>
        </w:numPr>
        <w:spacing w:beforeLines="50" w:before="180"/>
        <w:ind w:leftChars="0" w:left="2421" w:hanging="493"/>
        <w:jc w:val="both"/>
        <w:rPr>
          <w:rFonts w:eastAsia="標楷體" w:cstheme="minorHAnsi"/>
          <w:szCs w:val="24"/>
        </w:rPr>
      </w:pPr>
      <w:r w:rsidRPr="00CA1A43">
        <w:rPr>
          <w:rFonts w:eastAsia="標楷體" w:cstheme="minorHAnsi"/>
          <w:szCs w:val="24"/>
        </w:rPr>
        <w:t>剩餘期間</w:t>
      </w:r>
      <w:r w:rsidRPr="00CA1A43">
        <w:rPr>
          <w:rFonts w:eastAsia="標楷體" w:cstheme="minorHAnsi"/>
        </w:rPr>
        <w:t>一個</w:t>
      </w:r>
      <w:r w:rsidRPr="00CA1A43">
        <w:rPr>
          <w:rFonts w:eastAsia="標楷體" w:cstheme="minorHAnsi"/>
          <w:szCs w:val="24"/>
        </w:rPr>
        <w:t>月至一年者：七天內；</w:t>
      </w:r>
    </w:p>
    <w:p w14:paraId="50E00694" w14:textId="77777777" w:rsidR="000240A6" w:rsidRPr="00CA1A43" w:rsidRDefault="000240A6" w:rsidP="008C0E02">
      <w:pPr>
        <w:pStyle w:val="a7"/>
        <w:numPr>
          <w:ilvl w:val="0"/>
          <w:numId w:val="208"/>
        </w:numPr>
        <w:spacing w:beforeLines="50" w:before="180"/>
        <w:ind w:leftChars="0" w:left="2421" w:hanging="493"/>
        <w:jc w:val="both"/>
        <w:rPr>
          <w:rFonts w:eastAsia="標楷體" w:cstheme="minorHAnsi"/>
          <w:szCs w:val="24"/>
        </w:rPr>
      </w:pPr>
      <w:r w:rsidRPr="00CA1A43">
        <w:rPr>
          <w:rFonts w:eastAsia="標楷體" w:cstheme="minorHAnsi"/>
          <w:szCs w:val="24"/>
        </w:rPr>
        <w:t>剩餘期間超過一年者：三十天內。</w:t>
      </w:r>
    </w:p>
    <w:p w14:paraId="3D694591" w14:textId="77777777" w:rsidR="00617B18" w:rsidRPr="00CA1A43" w:rsidRDefault="00617B18" w:rsidP="008C0E02">
      <w:pPr>
        <w:pStyle w:val="a7"/>
        <w:numPr>
          <w:ilvl w:val="0"/>
          <w:numId w:val="205"/>
        </w:numPr>
        <w:spacing w:beforeLines="50" w:before="180"/>
        <w:ind w:leftChars="0" w:left="1446" w:hanging="482"/>
        <w:jc w:val="both"/>
        <w:rPr>
          <w:rFonts w:eastAsia="標楷體" w:cstheme="minorHAnsi"/>
          <w:kern w:val="0"/>
          <w:szCs w:val="24"/>
        </w:rPr>
      </w:pPr>
      <w:r w:rsidRPr="00CA1A43">
        <w:rPr>
          <w:rFonts w:eastAsia="標楷體" w:cstheme="minorHAnsi"/>
          <w:szCs w:val="24"/>
        </w:rPr>
        <w:t>交換交易一般市場風險之進階衡量方法</w:t>
      </w:r>
      <w:r w:rsidRPr="00CA1A43">
        <w:rPr>
          <w:rFonts w:eastAsia="標楷體" w:cstheme="minorHAnsi"/>
          <w:szCs w:val="24"/>
        </w:rPr>
        <w:br/>
      </w:r>
      <w:r w:rsidRPr="00CA1A43">
        <w:rPr>
          <w:rFonts w:eastAsia="標楷體" w:cstheme="minorHAnsi"/>
          <w:szCs w:val="24"/>
        </w:rPr>
        <w:t>持有大量交換交易部位之銀行，經本會核准後，得採用進階衡量方法計提資本，包含到期法或存續期間法下，各時間帶之部位。方法</w:t>
      </w:r>
      <w:proofErr w:type="gramStart"/>
      <w:r w:rsidRPr="00CA1A43">
        <w:rPr>
          <w:rFonts w:eastAsia="標楷體" w:cstheme="minorHAnsi"/>
          <w:szCs w:val="24"/>
        </w:rPr>
        <w:t>一</w:t>
      </w:r>
      <w:proofErr w:type="gramEnd"/>
      <w:r w:rsidRPr="00CA1A43">
        <w:rPr>
          <w:rFonts w:eastAsia="標楷體" w:cstheme="minorHAnsi"/>
          <w:szCs w:val="24"/>
        </w:rPr>
        <w:t>係先將交換交易所需支付之款項轉化成現值。計算現值時，每筆支付款項應以零息債券</w:t>
      </w:r>
      <w:proofErr w:type="gramStart"/>
      <w:r w:rsidRPr="00CA1A43">
        <w:rPr>
          <w:rFonts w:eastAsia="標楷體" w:cstheme="minorHAnsi"/>
          <w:szCs w:val="24"/>
        </w:rPr>
        <w:t>殖</w:t>
      </w:r>
      <w:proofErr w:type="gramEnd"/>
      <w:r w:rsidRPr="00CA1A43">
        <w:rPr>
          <w:rFonts w:eastAsia="標楷體" w:cstheme="minorHAnsi"/>
          <w:szCs w:val="24"/>
        </w:rPr>
        <w:t>利率折現，且現金流量計算出之淨值，</w:t>
      </w:r>
      <w:proofErr w:type="gramStart"/>
      <w:r w:rsidRPr="00CA1A43">
        <w:rPr>
          <w:rFonts w:eastAsia="標楷體" w:cstheme="minorHAnsi"/>
          <w:szCs w:val="24"/>
        </w:rPr>
        <w:t>應按零息</w:t>
      </w:r>
      <w:proofErr w:type="gramEnd"/>
      <w:r w:rsidRPr="00CA1A43">
        <w:rPr>
          <w:rFonts w:eastAsia="標楷體" w:cstheme="minorHAnsi"/>
          <w:szCs w:val="24"/>
        </w:rPr>
        <w:t>(</w:t>
      </w:r>
      <w:r w:rsidRPr="00CA1A43">
        <w:rPr>
          <w:rFonts w:eastAsia="標楷體" w:cstheme="minorHAnsi"/>
          <w:szCs w:val="24"/>
        </w:rPr>
        <w:t>或低票息</w:t>
      </w:r>
      <w:r w:rsidRPr="00CA1A43">
        <w:rPr>
          <w:rFonts w:eastAsia="標楷體" w:cstheme="minorHAnsi"/>
          <w:szCs w:val="24"/>
        </w:rPr>
        <w:t>)</w:t>
      </w:r>
      <w:r w:rsidRPr="00CA1A43">
        <w:rPr>
          <w:rFonts w:eastAsia="標楷體" w:cstheme="minorHAnsi"/>
          <w:szCs w:val="24"/>
        </w:rPr>
        <w:t>債券適用之程序，以單一之淨額填入合適之時間帶，並將該等金額代入一般市場風險之計算架構中；方法二，則係根據到期法或存續期間法所使用之</w:t>
      </w:r>
      <w:proofErr w:type="gramStart"/>
      <w:r w:rsidRPr="00CA1A43">
        <w:rPr>
          <w:rFonts w:eastAsia="標楷體" w:cstheme="minorHAnsi"/>
          <w:szCs w:val="24"/>
        </w:rPr>
        <w:t>殖</w:t>
      </w:r>
      <w:proofErr w:type="gramEnd"/>
      <w:r w:rsidRPr="00CA1A43">
        <w:rPr>
          <w:rFonts w:eastAsia="標楷體" w:cstheme="minorHAnsi"/>
          <w:szCs w:val="24"/>
        </w:rPr>
        <w:t>利率變動量，計算所隱含之淨現值敏感度，並將這些敏感度配置至到期法或存續期間法之時間帶</w:t>
      </w:r>
      <w:r w:rsidRPr="00CA1A43">
        <w:rPr>
          <w:rFonts w:eastAsia="標楷體" w:cstheme="minorHAnsi"/>
          <w:szCs w:val="24"/>
        </w:rPr>
        <w:lastRenderedPageBreak/>
        <w:t>中。另銀行亦得採用能產生出類似結果之其他方法。</w:t>
      </w:r>
      <w:proofErr w:type="gramStart"/>
      <w:r w:rsidRPr="00CA1A43">
        <w:rPr>
          <w:rFonts w:eastAsia="標楷體" w:cstheme="minorHAnsi"/>
          <w:szCs w:val="24"/>
        </w:rPr>
        <w:t>惟</w:t>
      </w:r>
      <w:proofErr w:type="gramEnd"/>
      <w:r w:rsidRPr="00CA1A43">
        <w:rPr>
          <w:rFonts w:eastAsia="標楷體" w:cstheme="minorHAnsi"/>
          <w:szCs w:val="24"/>
        </w:rPr>
        <w:t>前述</w:t>
      </w:r>
      <w:proofErr w:type="gramStart"/>
      <w:r w:rsidRPr="00CA1A43">
        <w:rPr>
          <w:rFonts w:eastAsia="標楷體" w:cstheme="minorHAnsi"/>
          <w:szCs w:val="24"/>
        </w:rPr>
        <w:t>處理方式均須符合</w:t>
      </w:r>
      <w:proofErr w:type="gramEnd"/>
      <w:r w:rsidRPr="00CA1A43">
        <w:rPr>
          <w:rFonts w:eastAsia="標楷體" w:cstheme="minorHAnsi"/>
          <w:szCs w:val="24"/>
        </w:rPr>
        <w:t>以下條件：</w:t>
      </w:r>
    </w:p>
    <w:p w14:paraId="0A9E9170" w14:textId="77777777" w:rsidR="00617B18" w:rsidRPr="00CA1A43" w:rsidRDefault="00617B18" w:rsidP="008C0E02">
      <w:pPr>
        <w:pStyle w:val="a7"/>
        <w:numPr>
          <w:ilvl w:val="0"/>
          <w:numId w:val="209"/>
        </w:numPr>
        <w:spacing w:beforeLines="50" w:before="180"/>
        <w:ind w:leftChars="0"/>
        <w:jc w:val="both"/>
        <w:rPr>
          <w:rFonts w:eastAsia="標楷體" w:cstheme="minorHAnsi"/>
          <w:kern w:val="0"/>
          <w:szCs w:val="24"/>
        </w:rPr>
      </w:pPr>
      <w:r w:rsidRPr="00CA1A43">
        <w:rPr>
          <w:rFonts w:eastAsia="標楷體" w:cstheme="minorHAnsi"/>
          <w:szCs w:val="24"/>
        </w:rPr>
        <w:t>所使用</w:t>
      </w:r>
      <w:r w:rsidRPr="00CA1A43">
        <w:rPr>
          <w:rFonts w:eastAsia="標楷體" w:cstheme="minorHAnsi"/>
          <w:kern w:val="0"/>
          <w:szCs w:val="24"/>
        </w:rPr>
        <w:t>系統</w:t>
      </w:r>
      <w:r w:rsidRPr="00CA1A43">
        <w:rPr>
          <w:rFonts w:eastAsia="標楷體" w:cstheme="minorHAnsi"/>
          <w:szCs w:val="24"/>
        </w:rPr>
        <w:t>之正確性，應經本會認可。</w:t>
      </w:r>
    </w:p>
    <w:p w14:paraId="003E2D4A" w14:textId="77777777" w:rsidR="00617B18" w:rsidRPr="00CA1A43" w:rsidRDefault="00617B18" w:rsidP="008C0E02">
      <w:pPr>
        <w:pStyle w:val="a7"/>
        <w:numPr>
          <w:ilvl w:val="0"/>
          <w:numId w:val="209"/>
        </w:numPr>
        <w:spacing w:beforeLines="50" w:before="180"/>
        <w:ind w:leftChars="0"/>
        <w:jc w:val="both"/>
        <w:rPr>
          <w:rFonts w:eastAsia="標楷體" w:cstheme="minorHAnsi"/>
          <w:kern w:val="0"/>
          <w:szCs w:val="24"/>
        </w:rPr>
      </w:pPr>
      <w:r w:rsidRPr="00CA1A43">
        <w:rPr>
          <w:rFonts w:eastAsia="標楷體" w:cstheme="minorHAnsi"/>
          <w:szCs w:val="24"/>
        </w:rPr>
        <w:t>所計算出之部位，應能完全反映現金流量相對於利率變動之敏感度，並鍵入到合適之時間帶。</w:t>
      </w:r>
    </w:p>
    <w:p w14:paraId="6C5C1AD0" w14:textId="77777777" w:rsidR="00617B18" w:rsidRPr="00CA1A43" w:rsidRDefault="00617B18" w:rsidP="008C0E02">
      <w:pPr>
        <w:pStyle w:val="a7"/>
        <w:numPr>
          <w:ilvl w:val="0"/>
          <w:numId w:val="209"/>
        </w:numPr>
        <w:spacing w:beforeLines="50" w:before="180"/>
        <w:ind w:leftChars="0"/>
        <w:jc w:val="both"/>
        <w:rPr>
          <w:rFonts w:eastAsia="標楷體" w:cstheme="minorHAnsi"/>
          <w:kern w:val="0"/>
          <w:szCs w:val="24"/>
        </w:rPr>
      </w:pPr>
      <w:r w:rsidRPr="00CA1A43">
        <w:rPr>
          <w:rFonts w:eastAsia="標楷體" w:cstheme="minorHAnsi"/>
          <w:szCs w:val="24"/>
        </w:rPr>
        <w:t>部位應以相同幣別計價。</w:t>
      </w:r>
    </w:p>
    <w:p w14:paraId="247DA0D7" w14:textId="77777777" w:rsidR="00617B18" w:rsidRPr="00CA1A43" w:rsidRDefault="00617B18" w:rsidP="008C0E02">
      <w:pPr>
        <w:pStyle w:val="a7"/>
        <w:numPr>
          <w:ilvl w:val="0"/>
          <w:numId w:val="205"/>
        </w:numPr>
        <w:spacing w:beforeLines="50" w:before="180"/>
        <w:ind w:leftChars="0" w:left="1446" w:hanging="482"/>
        <w:jc w:val="both"/>
        <w:rPr>
          <w:rFonts w:eastAsia="標楷體" w:cstheme="minorHAnsi"/>
          <w:szCs w:val="24"/>
        </w:rPr>
      </w:pPr>
      <w:r w:rsidRPr="00CA1A43">
        <w:rPr>
          <w:rFonts w:eastAsia="標楷體" w:cstheme="minorHAnsi"/>
          <w:szCs w:val="24"/>
        </w:rPr>
        <w:t>利率與貨幣交換、遠期利率協定、遠期外匯合約與利率期貨將不需計提個別風險，這項免除亦適用於利率指數期貨。然而，在標的是債務有價證券的期貨合約，或代表</w:t>
      </w:r>
      <w:proofErr w:type="gramStart"/>
      <w:r w:rsidRPr="00CA1A43">
        <w:rPr>
          <w:rFonts w:eastAsia="標楷體" w:cstheme="minorHAnsi"/>
          <w:szCs w:val="24"/>
        </w:rPr>
        <w:t>一</w:t>
      </w:r>
      <w:proofErr w:type="gramEnd"/>
      <w:r w:rsidRPr="00CA1A43">
        <w:rPr>
          <w:rFonts w:eastAsia="標楷體" w:cstheme="minorHAnsi"/>
          <w:szCs w:val="24"/>
        </w:rPr>
        <w:t>籃子債務有價證券之指數，根據陳述於個別風險資本計提規範之發行人信用風險，適用個別風險計提。</w:t>
      </w:r>
    </w:p>
    <w:p w14:paraId="029022F7" w14:textId="77777777" w:rsidR="00D02975" w:rsidRPr="00CA1A43" w:rsidRDefault="00D02975" w:rsidP="008C0E02">
      <w:pPr>
        <w:pStyle w:val="a7"/>
        <w:numPr>
          <w:ilvl w:val="0"/>
          <w:numId w:val="205"/>
        </w:numPr>
        <w:spacing w:beforeLines="50" w:before="180"/>
        <w:ind w:leftChars="0" w:left="1446" w:hanging="482"/>
        <w:jc w:val="both"/>
        <w:rPr>
          <w:rFonts w:eastAsia="標楷體" w:cstheme="minorHAnsi"/>
          <w:kern w:val="0"/>
          <w:szCs w:val="24"/>
        </w:rPr>
      </w:pPr>
      <w:r w:rsidRPr="00CA1A43">
        <w:rPr>
          <w:rFonts w:eastAsia="標楷體" w:cstheme="minorHAnsi"/>
          <w:kern w:val="0"/>
          <w:szCs w:val="24"/>
        </w:rPr>
        <w:t>利率衍生性</w:t>
      </w:r>
      <w:r w:rsidRPr="00CA1A43">
        <w:rPr>
          <w:rFonts w:eastAsia="標楷體" w:cstheme="minorHAnsi"/>
          <w:szCs w:val="24"/>
        </w:rPr>
        <w:t>金融商品</w:t>
      </w:r>
      <w:r w:rsidRPr="00CA1A43">
        <w:rPr>
          <w:rFonts w:eastAsia="標楷體" w:cstheme="minorHAnsi"/>
          <w:kern w:val="0"/>
          <w:szCs w:val="24"/>
        </w:rPr>
        <w:t>交易</w:t>
      </w:r>
      <w:r w:rsidRPr="00CA1A43">
        <w:rPr>
          <w:rFonts w:eastAsia="標楷體" w:cstheme="minorHAnsi"/>
          <w:szCs w:val="24"/>
        </w:rPr>
        <w:t>個別</w:t>
      </w:r>
      <w:r w:rsidRPr="00CA1A43">
        <w:rPr>
          <w:rFonts w:eastAsia="標楷體" w:cstheme="minorHAnsi"/>
          <w:kern w:val="0"/>
          <w:szCs w:val="24"/>
        </w:rPr>
        <w:t>風險及一般市場風險資本計提項目摘要表</w:t>
      </w:r>
    </w:p>
    <w:tbl>
      <w:tblPr>
        <w:tblW w:w="5000" w:type="pct"/>
        <w:tblLayout w:type="fixed"/>
        <w:tblLook w:val="04A0" w:firstRow="1" w:lastRow="0" w:firstColumn="1" w:lastColumn="0" w:noHBand="0" w:noVBand="1"/>
      </w:tblPr>
      <w:tblGrid>
        <w:gridCol w:w="2977"/>
        <w:gridCol w:w="2269"/>
        <w:gridCol w:w="1244"/>
        <w:gridCol w:w="1816"/>
      </w:tblGrid>
      <w:tr w:rsidR="00D02975" w:rsidRPr="00CA1A43" w14:paraId="78DAB3C6" w14:textId="77777777" w:rsidTr="004708E6">
        <w:trPr>
          <w:trHeight w:val="454"/>
        </w:trPr>
        <w:tc>
          <w:tcPr>
            <w:tcW w:w="3907" w:type="pct"/>
            <w:gridSpan w:val="3"/>
            <w:tcBorders>
              <w:top w:val="single" w:sz="4" w:space="0" w:color="auto"/>
              <w:left w:val="nil"/>
              <w:bottom w:val="single" w:sz="4" w:space="0" w:color="auto"/>
              <w:right w:val="nil"/>
            </w:tcBorders>
            <w:vAlign w:val="center"/>
            <w:hideMark/>
          </w:tcPr>
          <w:p w14:paraId="6E99FC73"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利率衍生性商品之計提摘要</w:t>
            </w:r>
          </w:p>
        </w:tc>
        <w:tc>
          <w:tcPr>
            <w:tcW w:w="1093" w:type="pct"/>
            <w:tcBorders>
              <w:top w:val="single" w:sz="4" w:space="0" w:color="auto"/>
              <w:left w:val="nil"/>
              <w:bottom w:val="single" w:sz="4" w:space="0" w:color="auto"/>
              <w:right w:val="nil"/>
            </w:tcBorders>
            <w:vAlign w:val="center"/>
            <w:hideMark/>
          </w:tcPr>
          <w:p w14:paraId="2476B3C1" w14:textId="77777777" w:rsidR="00D02975" w:rsidRPr="00CA1A43" w:rsidRDefault="00D02975" w:rsidP="004708E6">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007412A4">
              <w:rPr>
                <w:rFonts w:asciiTheme="minorHAnsi" w:hAnsiTheme="minorHAnsi" w:cstheme="minorHAnsi" w:hint="eastAsia"/>
                <w:sz w:val="24"/>
                <w:szCs w:val="24"/>
              </w:rPr>
              <w:t>20</w:t>
            </w:r>
          </w:p>
        </w:tc>
      </w:tr>
      <w:tr w:rsidR="00D02975" w:rsidRPr="00CA1A43" w14:paraId="7560D591" w14:textId="77777777" w:rsidTr="00D02975">
        <w:trPr>
          <w:trHeight w:val="358"/>
        </w:trPr>
        <w:tc>
          <w:tcPr>
            <w:tcW w:w="1792" w:type="pct"/>
            <w:tcBorders>
              <w:top w:val="single" w:sz="4" w:space="0" w:color="auto"/>
              <w:left w:val="nil"/>
              <w:bottom w:val="single" w:sz="4" w:space="0" w:color="auto"/>
              <w:right w:val="nil"/>
            </w:tcBorders>
            <w:vAlign w:val="center"/>
            <w:hideMark/>
          </w:tcPr>
          <w:p w14:paraId="792FA9C3" w14:textId="4F7D5CCC" w:rsidR="00D02975" w:rsidRPr="00CA1A43" w:rsidRDefault="009653EE" w:rsidP="004708E6">
            <w:pPr>
              <w:pStyle w:val="Item"/>
              <w:jc w:val="center"/>
              <w:rPr>
                <w:rFonts w:asciiTheme="minorHAnsi" w:hAnsiTheme="minorHAnsi" w:cstheme="minorHAnsi"/>
                <w:sz w:val="24"/>
                <w:szCs w:val="24"/>
              </w:rPr>
            </w:pPr>
            <w:r w:rsidRPr="0042546D">
              <w:rPr>
                <w:rFonts w:asciiTheme="minorHAnsi" w:hAnsiTheme="minorHAnsi" w:cstheme="minorHAnsi"/>
                <w:sz w:val="24"/>
                <w:szCs w:val="24"/>
              </w:rPr>
              <w:t>工具</w:t>
            </w:r>
          </w:p>
        </w:tc>
        <w:tc>
          <w:tcPr>
            <w:tcW w:w="1366" w:type="pct"/>
            <w:tcBorders>
              <w:top w:val="single" w:sz="4" w:space="0" w:color="auto"/>
              <w:left w:val="nil"/>
              <w:bottom w:val="single" w:sz="4" w:space="0" w:color="auto"/>
              <w:right w:val="nil"/>
            </w:tcBorders>
            <w:vAlign w:val="center"/>
            <w:hideMark/>
          </w:tcPr>
          <w:p w14:paraId="3490A157" w14:textId="77777777" w:rsidR="00D02975" w:rsidRPr="00CA1A43" w:rsidRDefault="00D02975" w:rsidP="00B02C5A">
            <w:pPr>
              <w:pStyle w:val="Item"/>
              <w:jc w:val="center"/>
              <w:rPr>
                <w:rFonts w:asciiTheme="minorHAnsi" w:hAnsiTheme="minorHAnsi" w:cstheme="minorHAnsi"/>
                <w:sz w:val="24"/>
                <w:szCs w:val="24"/>
              </w:rPr>
            </w:pPr>
            <w:r w:rsidRPr="00CA1A43">
              <w:rPr>
                <w:rFonts w:asciiTheme="minorHAnsi" w:hAnsiTheme="minorHAnsi" w:cstheme="minorHAnsi"/>
                <w:sz w:val="24"/>
                <w:szCs w:val="24"/>
              </w:rPr>
              <w:t>個別風險計提</w:t>
            </w:r>
            <w:r w:rsidR="00B02C5A" w:rsidRPr="00CA1A43">
              <w:rPr>
                <w:rStyle w:val="a5"/>
                <w:rFonts w:asciiTheme="minorHAnsi" w:hAnsiTheme="minorHAnsi" w:cstheme="minorHAnsi"/>
              </w:rPr>
              <w:footnoteReference w:id="70"/>
            </w:r>
          </w:p>
        </w:tc>
        <w:tc>
          <w:tcPr>
            <w:tcW w:w="1842" w:type="pct"/>
            <w:gridSpan w:val="2"/>
            <w:tcBorders>
              <w:top w:val="single" w:sz="4" w:space="0" w:color="auto"/>
              <w:left w:val="nil"/>
              <w:bottom w:val="single" w:sz="4" w:space="0" w:color="auto"/>
              <w:right w:val="nil"/>
            </w:tcBorders>
            <w:vAlign w:val="center"/>
            <w:hideMark/>
          </w:tcPr>
          <w:p w14:paraId="2B8A580E" w14:textId="77777777" w:rsidR="00D02975" w:rsidRPr="00CA1A43" w:rsidRDefault="00D02975" w:rsidP="004708E6">
            <w:pPr>
              <w:pStyle w:val="Item"/>
              <w:ind w:left="1"/>
              <w:rPr>
                <w:rFonts w:asciiTheme="minorHAnsi" w:hAnsiTheme="minorHAnsi" w:cstheme="minorHAnsi"/>
                <w:sz w:val="24"/>
                <w:szCs w:val="24"/>
              </w:rPr>
            </w:pPr>
            <w:r w:rsidRPr="00CA1A43">
              <w:rPr>
                <w:rFonts w:asciiTheme="minorHAnsi" w:hAnsiTheme="minorHAnsi" w:cstheme="minorHAnsi"/>
                <w:sz w:val="24"/>
                <w:szCs w:val="24"/>
              </w:rPr>
              <w:t>一般市場風險計提</w:t>
            </w:r>
          </w:p>
        </w:tc>
      </w:tr>
      <w:tr w:rsidR="00D02975" w:rsidRPr="00CA1A43" w14:paraId="0C501AEB" w14:textId="77777777" w:rsidTr="00D02975">
        <w:trPr>
          <w:trHeight w:val="356"/>
        </w:trPr>
        <w:tc>
          <w:tcPr>
            <w:tcW w:w="1792" w:type="pct"/>
            <w:tcBorders>
              <w:top w:val="single" w:sz="4" w:space="0" w:color="auto"/>
              <w:left w:val="nil"/>
              <w:bottom w:val="nil"/>
              <w:right w:val="nil"/>
            </w:tcBorders>
            <w:vAlign w:val="center"/>
            <w:hideMark/>
          </w:tcPr>
          <w:p w14:paraId="1EEE1CA1"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集中市場期貨</w:t>
            </w:r>
          </w:p>
        </w:tc>
        <w:tc>
          <w:tcPr>
            <w:tcW w:w="1366" w:type="pct"/>
            <w:tcBorders>
              <w:top w:val="single" w:sz="4" w:space="0" w:color="auto"/>
              <w:left w:val="nil"/>
              <w:bottom w:val="nil"/>
              <w:right w:val="nil"/>
            </w:tcBorders>
            <w:vAlign w:val="center"/>
          </w:tcPr>
          <w:p w14:paraId="2FCD1731" w14:textId="77777777" w:rsidR="00D02975" w:rsidRPr="00CA1A43" w:rsidRDefault="00D02975" w:rsidP="004708E6">
            <w:pPr>
              <w:pStyle w:val="Item"/>
              <w:rPr>
                <w:rFonts w:asciiTheme="minorHAnsi" w:hAnsiTheme="minorHAnsi" w:cstheme="minorHAnsi"/>
                <w:sz w:val="24"/>
                <w:szCs w:val="24"/>
              </w:rPr>
            </w:pPr>
          </w:p>
        </w:tc>
        <w:tc>
          <w:tcPr>
            <w:tcW w:w="1842" w:type="pct"/>
            <w:gridSpan w:val="2"/>
            <w:tcBorders>
              <w:top w:val="single" w:sz="4" w:space="0" w:color="auto"/>
              <w:left w:val="nil"/>
              <w:bottom w:val="nil"/>
              <w:right w:val="nil"/>
            </w:tcBorders>
            <w:vAlign w:val="center"/>
          </w:tcPr>
          <w:p w14:paraId="69FF904F" w14:textId="77777777" w:rsidR="00D02975" w:rsidRPr="00CA1A43" w:rsidRDefault="00D02975" w:rsidP="004708E6">
            <w:pPr>
              <w:pStyle w:val="Item"/>
              <w:rPr>
                <w:rFonts w:asciiTheme="minorHAnsi" w:hAnsiTheme="minorHAnsi" w:cstheme="minorHAnsi"/>
                <w:sz w:val="24"/>
                <w:szCs w:val="24"/>
              </w:rPr>
            </w:pPr>
          </w:p>
        </w:tc>
      </w:tr>
      <w:tr w:rsidR="00D02975" w:rsidRPr="00CA1A43" w14:paraId="4147471F" w14:textId="77777777" w:rsidTr="00D02975">
        <w:trPr>
          <w:trHeight w:val="341"/>
        </w:trPr>
        <w:tc>
          <w:tcPr>
            <w:tcW w:w="1792" w:type="pct"/>
            <w:vAlign w:val="center"/>
            <w:hideMark/>
          </w:tcPr>
          <w:p w14:paraId="78255247"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政府債務有價證券</w:t>
            </w:r>
          </w:p>
        </w:tc>
        <w:tc>
          <w:tcPr>
            <w:tcW w:w="1366" w:type="pct"/>
            <w:vAlign w:val="center"/>
            <w:hideMark/>
          </w:tcPr>
          <w:p w14:paraId="4AD274BD"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p>
        </w:tc>
        <w:tc>
          <w:tcPr>
            <w:tcW w:w="1842" w:type="pct"/>
            <w:gridSpan w:val="2"/>
            <w:vAlign w:val="center"/>
            <w:hideMark/>
          </w:tcPr>
          <w:p w14:paraId="06D555BF"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是，為兩個部位</w:t>
            </w:r>
          </w:p>
        </w:tc>
      </w:tr>
      <w:tr w:rsidR="00D02975" w:rsidRPr="00CA1A43" w14:paraId="5AEBC6F4" w14:textId="77777777" w:rsidTr="00D02975">
        <w:trPr>
          <w:trHeight w:val="356"/>
        </w:trPr>
        <w:tc>
          <w:tcPr>
            <w:tcW w:w="1792" w:type="pct"/>
            <w:vAlign w:val="center"/>
            <w:hideMark/>
          </w:tcPr>
          <w:p w14:paraId="668035B8"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公司債務有價證券</w:t>
            </w:r>
          </w:p>
        </w:tc>
        <w:tc>
          <w:tcPr>
            <w:tcW w:w="1366" w:type="pct"/>
            <w:vAlign w:val="center"/>
            <w:hideMark/>
          </w:tcPr>
          <w:p w14:paraId="5F99BC4B"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p>
        </w:tc>
        <w:tc>
          <w:tcPr>
            <w:tcW w:w="1842" w:type="pct"/>
            <w:gridSpan w:val="2"/>
            <w:vAlign w:val="center"/>
            <w:hideMark/>
          </w:tcPr>
          <w:p w14:paraId="27D96B08"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是，為兩個部位</w:t>
            </w:r>
          </w:p>
        </w:tc>
      </w:tr>
      <w:tr w:rsidR="00D02975" w:rsidRPr="00CA1A43" w14:paraId="4FAC8C74" w14:textId="77777777" w:rsidTr="00D02975">
        <w:trPr>
          <w:trHeight w:val="293"/>
        </w:trPr>
        <w:tc>
          <w:tcPr>
            <w:tcW w:w="1792" w:type="pct"/>
            <w:vAlign w:val="center"/>
            <w:hideMark/>
          </w:tcPr>
          <w:p w14:paraId="223C6F8F" w14:textId="77777777" w:rsidR="00D02975" w:rsidRPr="00CA1A43" w:rsidRDefault="00D02975" w:rsidP="00D02975">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利率</w:t>
            </w:r>
            <w:r w:rsidRPr="00CA1A43">
              <w:rPr>
                <w:rFonts w:asciiTheme="minorHAnsi" w:hAnsiTheme="minorHAnsi" w:cstheme="minorHAnsi"/>
                <w:sz w:val="24"/>
                <w:szCs w:val="24"/>
              </w:rPr>
              <w:t>(</w:t>
            </w:r>
            <w:r w:rsidRPr="00CA1A43">
              <w:rPr>
                <w:rFonts w:asciiTheme="minorHAnsi" w:hAnsiTheme="minorHAnsi" w:cstheme="minorHAnsi"/>
                <w:sz w:val="24"/>
                <w:szCs w:val="24"/>
              </w:rPr>
              <w:t>例如</w:t>
            </w:r>
            <w:r w:rsidRPr="00CA1A43">
              <w:rPr>
                <w:rFonts w:asciiTheme="minorHAnsi" w:hAnsiTheme="minorHAnsi" w:cstheme="minorHAnsi"/>
                <w:sz w:val="24"/>
                <w:szCs w:val="24"/>
              </w:rPr>
              <w:t>LIBOR)</w:t>
            </w:r>
            <w:r w:rsidRPr="00CA1A43">
              <w:rPr>
                <w:rFonts w:asciiTheme="minorHAnsi" w:hAnsiTheme="minorHAnsi" w:cstheme="minorHAnsi"/>
                <w:sz w:val="24"/>
                <w:szCs w:val="24"/>
              </w:rPr>
              <w:t>指數</w:t>
            </w:r>
          </w:p>
        </w:tc>
        <w:tc>
          <w:tcPr>
            <w:tcW w:w="1366" w:type="pct"/>
            <w:vAlign w:val="center"/>
            <w:hideMark/>
          </w:tcPr>
          <w:p w14:paraId="03909087"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否</w:t>
            </w:r>
          </w:p>
        </w:tc>
        <w:tc>
          <w:tcPr>
            <w:tcW w:w="1842" w:type="pct"/>
            <w:gridSpan w:val="2"/>
            <w:vAlign w:val="center"/>
            <w:hideMark/>
          </w:tcPr>
          <w:p w14:paraId="5C053AC5"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是，為兩個部位</w:t>
            </w:r>
          </w:p>
        </w:tc>
      </w:tr>
      <w:tr w:rsidR="00D02975" w:rsidRPr="00CA1A43" w14:paraId="078D70D1" w14:textId="77777777" w:rsidTr="00D02975">
        <w:trPr>
          <w:trHeight w:val="341"/>
        </w:trPr>
        <w:tc>
          <w:tcPr>
            <w:tcW w:w="1792" w:type="pct"/>
            <w:vAlign w:val="center"/>
            <w:hideMark/>
          </w:tcPr>
          <w:p w14:paraId="299525C5"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店頭市場遠期</w:t>
            </w:r>
          </w:p>
        </w:tc>
        <w:tc>
          <w:tcPr>
            <w:tcW w:w="1366" w:type="pct"/>
            <w:vAlign w:val="center"/>
          </w:tcPr>
          <w:p w14:paraId="59D6B20F" w14:textId="77777777" w:rsidR="00D02975" w:rsidRPr="00CA1A43" w:rsidRDefault="00D02975" w:rsidP="004708E6">
            <w:pPr>
              <w:pStyle w:val="Item"/>
              <w:jc w:val="center"/>
              <w:rPr>
                <w:rFonts w:asciiTheme="minorHAnsi" w:hAnsiTheme="minorHAnsi" w:cstheme="minorHAnsi"/>
                <w:sz w:val="24"/>
                <w:szCs w:val="24"/>
              </w:rPr>
            </w:pPr>
          </w:p>
        </w:tc>
        <w:tc>
          <w:tcPr>
            <w:tcW w:w="1842" w:type="pct"/>
            <w:gridSpan w:val="2"/>
            <w:vAlign w:val="center"/>
          </w:tcPr>
          <w:p w14:paraId="1C79CBD5" w14:textId="77777777" w:rsidR="00D02975" w:rsidRPr="00CA1A43" w:rsidRDefault="00D02975" w:rsidP="004708E6">
            <w:pPr>
              <w:pStyle w:val="Item"/>
              <w:jc w:val="center"/>
              <w:rPr>
                <w:rFonts w:asciiTheme="minorHAnsi" w:hAnsiTheme="minorHAnsi" w:cstheme="minorHAnsi"/>
                <w:sz w:val="24"/>
                <w:szCs w:val="24"/>
              </w:rPr>
            </w:pPr>
          </w:p>
        </w:tc>
      </w:tr>
      <w:tr w:rsidR="00D02975" w:rsidRPr="00CA1A43" w14:paraId="6955E3EB" w14:textId="77777777" w:rsidTr="00D02975">
        <w:trPr>
          <w:trHeight w:val="222"/>
        </w:trPr>
        <w:tc>
          <w:tcPr>
            <w:tcW w:w="1792" w:type="pct"/>
            <w:vAlign w:val="center"/>
            <w:hideMark/>
          </w:tcPr>
          <w:p w14:paraId="582DAB83"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政府債務有價證券</w:t>
            </w:r>
          </w:p>
        </w:tc>
        <w:tc>
          <w:tcPr>
            <w:tcW w:w="1366" w:type="pct"/>
            <w:vAlign w:val="center"/>
            <w:hideMark/>
          </w:tcPr>
          <w:p w14:paraId="6B199329"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p>
        </w:tc>
        <w:tc>
          <w:tcPr>
            <w:tcW w:w="1842" w:type="pct"/>
            <w:gridSpan w:val="2"/>
            <w:vAlign w:val="center"/>
            <w:hideMark/>
          </w:tcPr>
          <w:p w14:paraId="4F2F6C2D"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是，為兩個部位</w:t>
            </w:r>
          </w:p>
        </w:tc>
      </w:tr>
      <w:tr w:rsidR="00D02975" w:rsidRPr="00CA1A43" w14:paraId="35B68560" w14:textId="77777777" w:rsidTr="00D02975">
        <w:trPr>
          <w:trHeight w:val="267"/>
        </w:trPr>
        <w:tc>
          <w:tcPr>
            <w:tcW w:w="1792" w:type="pct"/>
            <w:vAlign w:val="center"/>
            <w:hideMark/>
          </w:tcPr>
          <w:p w14:paraId="1F15ABF4"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公司債務有價證券</w:t>
            </w:r>
          </w:p>
        </w:tc>
        <w:tc>
          <w:tcPr>
            <w:tcW w:w="1366" w:type="pct"/>
            <w:vAlign w:val="center"/>
            <w:hideMark/>
          </w:tcPr>
          <w:p w14:paraId="1D72739A"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p>
        </w:tc>
        <w:tc>
          <w:tcPr>
            <w:tcW w:w="1842" w:type="pct"/>
            <w:gridSpan w:val="2"/>
            <w:vAlign w:val="center"/>
            <w:hideMark/>
          </w:tcPr>
          <w:p w14:paraId="4AC9AB1E"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是，為兩個部位</w:t>
            </w:r>
          </w:p>
        </w:tc>
      </w:tr>
      <w:tr w:rsidR="00D02975" w:rsidRPr="00CA1A43" w14:paraId="28F23828" w14:textId="77777777" w:rsidTr="00D02975">
        <w:trPr>
          <w:trHeight w:val="237"/>
        </w:trPr>
        <w:tc>
          <w:tcPr>
            <w:tcW w:w="1792" w:type="pct"/>
            <w:vAlign w:val="center"/>
            <w:hideMark/>
          </w:tcPr>
          <w:p w14:paraId="362787CC"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利率指數</w:t>
            </w:r>
          </w:p>
        </w:tc>
        <w:tc>
          <w:tcPr>
            <w:tcW w:w="1366" w:type="pct"/>
            <w:vAlign w:val="center"/>
            <w:hideMark/>
          </w:tcPr>
          <w:p w14:paraId="2591615F"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否</w:t>
            </w:r>
          </w:p>
        </w:tc>
        <w:tc>
          <w:tcPr>
            <w:tcW w:w="1842" w:type="pct"/>
            <w:gridSpan w:val="2"/>
            <w:vAlign w:val="center"/>
            <w:hideMark/>
          </w:tcPr>
          <w:p w14:paraId="55513F32"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是，為兩個部位</w:t>
            </w:r>
          </w:p>
        </w:tc>
      </w:tr>
      <w:tr w:rsidR="00D02975" w:rsidRPr="00CA1A43" w14:paraId="0096C971" w14:textId="77777777" w:rsidTr="00D02975">
        <w:trPr>
          <w:trHeight w:val="192"/>
        </w:trPr>
        <w:tc>
          <w:tcPr>
            <w:tcW w:w="1792" w:type="pct"/>
            <w:vAlign w:val="center"/>
            <w:hideMark/>
          </w:tcPr>
          <w:p w14:paraId="6F612BF2"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遠期利率協定、交換</w:t>
            </w:r>
          </w:p>
        </w:tc>
        <w:tc>
          <w:tcPr>
            <w:tcW w:w="1366" w:type="pct"/>
            <w:vAlign w:val="center"/>
            <w:hideMark/>
          </w:tcPr>
          <w:p w14:paraId="7DDFE5CF"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否</w:t>
            </w:r>
          </w:p>
        </w:tc>
        <w:tc>
          <w:tcPr>
            <w:tcW w:w="1842" w:type="pct"/>
            <w:gridSpan w:val="2"/>
            <w:vAlign w:val="center"/>
            <w:hideMark/>
          </w:tcPr>
          <w:p w14:paraId="118042FE"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是，為兩個部位</w:t>
            </w:r>
          </w:p>
        </w:tc>
      </w:tr>
      <w:tr w:rsidR="00D02975" w:rsidRPr="00CA1A43" w14:paraId="6579F228" w14:textId="77777777" w:rsidTr="00D02975">
        <w:trPr>
          <w:trHeight w:val="353"/>
        </w:trPr>
        <w:tc>
          <w:tcPr>
            <w:tcW w:w="1792" w:type="pct"/>
            <w:vAlign w:val="center"/>
            <w:hideMark/>
          </w:tcPr>
          <w:p w14:paraId="33BAAC40"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遠期外匯</w:t>
            </w:r>
          </w:p>
        </w:tc>
        <w:tc>
          <w:tcPr>
            <w:tcW w:w="1366" w:type="pct"/>
            <w:vAlign w:val="center"/>
            <w:hideMark/>
          </w:tcPr>
          <w:p w14:paraId="1B6ECF92"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否</w:t>
            </w:r>
          </w:p>
        </w:tc>
        <w:tc>
          <w:tcPr>
            <w:tcW w:w="1842" w:type="pct"/>
            <w:gridSpan w:val="2"/>
            <w:hideMark/>
          </w:tcPr>
          <w:p w14:paraId="051DDB7D"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是，每一幣別一個部位</w:t>
            </w:r>
          </w:p>
        </w:tc>
      </w:tr>
      <w:tr w:rsidR="00D02975" w:rsidRPr="00CA1A43" w14:paraId="3F7C0BD4" w14:textId="77777777" w:rsidTr="00D02975">
        <w:trPr>
          <w:trHeight w:val="252"/>
        </w:trPr>
        <w:tc>
          <w:tcPr>
            <w:tcW w:w="1792" w:type="pct"/>
            <w:vAlign w:val="center"/>
            <w:hideMark/>
          </w:tcPr>
          <w:p w14:paraId="124BE361"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選擇權</w:t>
            </w:r>
          </w:p>
        </w:tc>
        <w:tc>
          <w:tcPr>
            <w:tcW w:w="1366" w:type="pct"/>
            <w:vAlign w:val="center"/>
          </w:tcPr>
          <w:p w14:paraId="045EBF2F" w14:textId="77777777" w:rsidR="00D02975" w:rsidRPr="00CA1A43" w:rsidRDefault="00D02975" w:rsidP="004708E6">
            <w:pPr>
              <w:pStyle w:val="Item"/>
              <w:jc w:val="center"/>
              <w:rPr>
                <w:rFonts w:asciiTheme="minorHAnsi" w:hAnsiTheme="minorHAnsi" w:cstheme="minorHAnsi"/>
                <w:sz w:val="24"/>
                <w:szCs w:val="24"/>
              </w:rPr>
            </w:pPr>
          </w:p>
        </w:tc>
        <w:tc>
          <w:tcPr>
            <w:tcW w:w="1842" w:type="pct"/>
            <w:gridSpan w:val="2"/>
            <w:hideMark/>
          </w:tcPr>
          <w:p w14:paraId="41D9115E"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擇</w:t>
            </w:r>
            <w:proofErr w:type="gramStart"/>
            <w:r w:rsidRPr="00CA1A43">
              <w:rPr>
                <w:rFonts w:asciiTheme="minorHAnsi" w:hAnsiTheme="minorHAnsi" w:cstheme="minorHAnsi"/>
                <w:sz w:val="24"/>
                <w:szCs w:val="24"/>
              </w:rPr>
              <w:t>一</w:t>
            </w:r>
            <w:proofErr w:type="gramEnd"/>
          </w:p>
        </w:tc>
      </w:tr>
      <w:tr w:rsidR="00D02975" w:rsidRPr="00CA1A43" w14:paraId="4C911CC0" w14:textId="77777777" w:rsidTr="00D02975">
        <w:trPr>
          <w:trHeight w:val="326"/>
        </w:trPr>
        <w:tc>
          <w:tcPr>
            <w:tcW w:w="1792" w:type="pct"/>
            <w:vAlign w:val="center"/>
            <w:hideMark/>
          </w:tcPr>
          <w:p w14:paraId="14DEA533"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政府債務有價證券</w:t>
            </w:r>
          </w:p>
        </w:tc>
        <w:tc>
          <w:tcPr>
            <w:tcW w:w="1366" w:type="pct"/>
            <w:vAlign w:val="center"/>
            <w:hideMark/>
          </w:tcPr>
          <w:p w14:paraId="3C745F8F" w14:textId="77777777" w:rsidR="00D02975" w:rsidRPr="00CA1A43" w:rsidRDefault="00D02975" w:rsidP="00B02C5A">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r w:rsidR="00B02C5A" w:rsidRPr="00CA1A43">
              <w:rPr>
                <w:rStyle w:val="a5"/>
                <w:rFonts w:asciiTheme="minorHAnsi" w:hAnsiTheme="minorHAnsi" w:cstheme="minorHAnsi"/>
                <w:sz w:val="24"/>
                <w:szCs w:val="24"/>
              </w:rPr>
              <w:footnoteReference w:id="71"/>
            </w:r>
          </w:p>
        </w:tc>
        <w:tc>
          <w:tcPr>
            <w:tcW w:w="1842" w:type="pct"/>
            <w:gridSpan w:val="2"/>
            <w:hideMark/>
          </w:tcPr>
          <w:p w14:paraId="5782B61B" w14:textId="77777777" w:rsidR="00D02975" w:rsidRPr="00CA1A43" w:rsidRDefault="00D02975" w:rsidP="004708E6">
            <w:pPr>
              <w:pStyle w:val="Item"/>
              <w:rPr>
                <w:rFonts w:asciiTheme="minorHAnsi" w:hAnsiTheme="minorHAnsi" w:cstheme="minorHAnsi"/>
                <w:sz w:val="24"/>
                <w:szCs w:val="24"/>
              </w:rPr>
            </w:pPr>
            <w:r w:rsidRPr="00CA1A43">
              <w:rPr>
                <w:rFonts w:asciiTheme="minorHAnsi" w:hAnsiTheme="minorHAnsi" w:cstheme="minorHAnsi"/>
                <w:sz w:val="24"/>
                <w:szCs w:val="24"/>
              </w:rPr>
              <w:t xml:space="preserve">(a) </w:t>
            </w:r>
            <w:r w:rsidRPr="00CA1A43">
              <w:rPr>
                <w:rFonts w:asciiTheme="minorHAnsi" w:hAnsiTheme="minorHAnsi" w:cstheme="minorHAnsi"/>
                <w:sz w:val="24"/>
                <w:szCs w:val="24"/>
              </w:rPr>
              <w:t>與相關避險部位一起合併：簡易法、情境分析法、內部模型。或</w:t>
            </w:r>
          </w:p>
        </w:tc>
      </w:tr>
      <w:tr w:rsidR="00D02975" w:rsidRPr="00CA1A43" w14:paraId="7F69E7D5" w14:textId="77777777" w:rsidTr="00D02975">
        <w:trPr>
          <w:trHeight w:val="252"/>
        </w:trPr>
        <w:tc>
          <w:tcPr>
            <w:tcW w:w="1792" w:type="pct"/>
            <w:vAlign w:val="center"/>
            <w:hideMark/>
          </w:tcPr>
          <w:p w14:paraId="7608BDA6"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公司債務有價證券</w:t>
            </w:r>
          </w:p>
        </w:tc>
        <w:tc>
          <w:tcPr>
            <w:tcW w:w="1366" w:type="pct"/>
            <w:vAlign w:val="center"/>
            <w:hideMark/>
          </w:tcPr>
          <w:p w14:paraId="48608995"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p>
        </w:tc>
        <w:tc>
          <w:tcPr>
            <w:tcW w:w="1842" w:type="pct"/>
            <w:gridSpan w:val="2"/>
            <w:vMerge w:val="restart"/>
            <w:tcBorders>
              <w:top w:val="nil"/>
              <w:left w:val="nil"/>
              <w:bottom w:val="single" w:sz="4" w:space="0" w:color="auto"/>
              <w:right w:val="nil"/>
            </w:tcBorders>
          </w:tcPr>
          <w:p w14:paraId="3A8AF1C5" w14:textId="77777777" w:rsidR="00D02975" w:rsidRPr="00CA1A43" w:rsidRDefault="00D02975" w:rsidP="00083BD5">
            <w:pPr>
              <w:pStyle w:val="Item"/>
              <w:rPr>
                <w:rFonts w:asciiTheme="minorHAnsi" w:hAnsiTheme="minorHAnsi" w:cstheme="minorHAnsi"/>
                <w:sz w:val="24"/>
                <w:szCs w:val="24"/>
              </w:rPr>
            </w:pPr>
            <w:r w:rsidRPr="00CA1A43">
              <w:rPr>
                <w:rFonts w:asciiTheme="minorHAnsi" w:hAnsiTheme="minorHAnsi" w:cstheme="minorHAnsi"/>
                <w:sz w:val="24"/>
                <w:szCs w:val="24"/>
              </w:rPr>
              <w:t xml:space="preserve">(b) </w:t>
            </w:r>
            <w:r w:rsidRPr="00CA1A43">
              <w:rPr>
                <w:rFonts w:asciiTheme="minorHAnsi" w:hAnsiTheme="minorHAnsi" w:cstheme="minorHAnsi"/>
                <w:sz w:val="24"/>
                <w:szCs w:val="24"/>
              </w:rPr>
              <w:t>根據</w:t>
            </w:r>
            <w:r w:rsidRPr="00CA1A43">
              <w:rPr>
                <w:rFonts w:asciiTheme="minorHAnsi" w:hAnsiTheme="minorHAnsi" w:cstheme="minorHAnsi"/>
                <w:sz w:val="24"/>
                <w:szCs w:val="24"/>
              </w:rPr>
              <w:t>delta-plus</w:t>
            </w:r>
            <w:r w:rsidRPr="00CA1A43">
              <w:rPr>
                <w:rFonts w:asciiTheme="minorHAnsi" w:hAnsiTheme="minorHAnsi" w:cstheme="minorHAnsi"/>
                <w:sz w:val="24"/>
                <w:szCs w:val="24"/>
              </w:rPr>
              <w:t>法來計提一般市場風險</w:t>
            </w:r>
            <w:r w:rsidRPr="00CA1A43">
              <w:rPr>
                <w:rFonts w:asciiTheme="minorHAnsi" w:hAnsiTheme="minorHAnsi" w:cstheme="minorHAnsi"/>
                <w:sz w:val="24"/>
                <w:szCs w:val="24"/>
              </w:rPr>
              <w:t>(gamma</w:t>
            </w:r>
            <w:r w:rsidRPr="00CA1A43">
              <w:rPr>
                <w:rFonts w:asciiTheme="minorHAnsi" w:hAnsiTheme="minorHAnsi" w:cstheme="minorHAnsi"/>
                <w:sz w:val="24"/>
                <w:szCs w:val="24"/>
              </w:rPr>
              <w:t>與</w:t>
            </w:r>
            <w:proofErr w:type="spellStart"/>
            <w:r w:rsidRPr="00CA1A43">
              <w:rPr>
                <w:rFonts w:asciiTheme="minorHAnsi" w:hAnsiTheme="minorHAnsi" w:cstheme="minorHAnsi"/>
                <w:sz w:val="24"/>
                <w:szCs w:val="24"/>
              </w:rPr>
              <w:t>vega</w:t>
            </w:r>
            <w:proofErr w:type="spellEnd"/>
            <w:r w:rsidRPr="00CA1A43">
              <w:rPr>
                <w:rFonts w:asciiTheme="minorHAnsi" w:hAnsiTheme="minorHAnsi" w:cstheme="minorHAnsi"/>
                <w:sz w:val="24"/>
                <w:szCs w:val="24"/>
              </w:rPr>
              <w:t>應取得個別的資本要求</w:t>
            </w:r>
            <w:r w:rsidRPr="00CA1A43">
              <w:rPr>
                <w:rFonts w:asciiTheme="minorHAnsi" w:hAnsiTheme="minorHAnsi" w:cstheme="minorHAnsi"/>
                <w:sz w:val="24"/>
                <w:szCs w:val="24"/>
              </w:rPr>
              <w:t>)</w:t>
            </w:r>
            <w:r w:rsidRPr="00CA1A43">
              <w:rPr>
                <w:rFonts w:asciiTheme="minorHAnsi" w:hAnsiTheme="minorHAnsi" w:cstheme="minorHAnsi"/>
                <w:sz w:val="24"/>
                <w:szCs w:val="24"/>
              </w:rPr>
              <w:t>。</w:t>
            </w:r>
          </w:p>
        </w:tc>
      </w:tr>
      <w:tr w:rsidR="00D02975" w:rsidRPr="00CA1A43" w14:paraId="1EDF3FFD" w14:textId="77777777" w:rsidTr="00D02975">
        <w:trPr>
          <w:trHeight w:val="271"/>
        </w:trPr>
        <w:tc>
          <w:tcPr>
            <w:tcW w:w="1792" w:type="pct"/>
            <w:vAlign w:val="center"/>
            <w:hideMark/>
          </w:tcPr>
          <w:p w14:paraId="1CEFCB58"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利率指數</w:t>
            </w:r>
          </w:p>
        </w:tc>
        <w:tc>
          <w:tcPr>
            <w:tcW w:w="1366" w:type="pct"/>
            <w:vAlign w:val="center"/>
            <w:hideMark/>
          </w:tcPr>
          <w:p w14:paraId="3658B747"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否</w:t>
            </w:r>
          </w:p>
        </w:tc>
        <w:tc>
          <w:tcPr>
            <w:tcW w:w="1842" w:type="pct"/>
            <w:gridSpan w:val="2"/>
            <w:vMerge/>
            <w:tcBorders>
              <w:top w:val="nil"/>
              <w:left w:val="nil"/>
              <w:bottom w:val="single" w:sz="4" w:space="0" w:color="auto"/>
              <w:right w:val="nil"/>
            </w:tcBorders>
            <w:vAlign w:val="center"/>
            <w:hideMark/>
          </w:tcPr>
          <w:p w14:paraId="047BDD23" w14:textId="77777777" w:rsidR="00D02975" w:rsidRPr="00CA1A43" w:rsidRDefault="00D02975" w:rsidP="004708E6">
            <w:pPr>
              <w:widowControl/>
              <w:rPr>
                <w:rFonts w:eastAsia="標楷體" w:cstheme="minorHAnsi"/>
                <w:szCs w:val="24"/>
              </w:rPr>
            </w:pPr>
          </w:p>
        </w:tc>
      </w:tr>
      <w:tr w:rsidR="00D02975" w:rsidRPr="00CA1A43" w14:paraId="643D1030" w14:textId="77777777" w:rsidTr="00D02975">
        <w:trPr>
          <w:trHeight w:val="177"/>
        </w:trPr>
        <w:tc>
          <w:tcPr>
            <w:tcW w:w="1792" w:type="pct"/>
            <w:tcBorders>
              <w:top w:val="nil"/>
              <w:left w:val="nil"/>
              <w:bottom w:val="single" w:sz="4" w:space="0" w:color="auto"/>
              <w:right w:val="nil"/>
            </w:tcBorders>
            <w:vAlign w:val="center"/>
            <w:hideMark/>
          </w:tcPr>
          <w:p w14:paraId="75A69031" w14:textId="77777777" w:rsidR="00D02975" w:rsidRPr="00CA1A43" w:rsidRDefault="00D02975" w:rsidP="004708E6">
            <w:pPr>
              <w:pStyle w:val="Item"/>
              <w:jc w:val="both"/>
              <w:rPr>
                <w:rFonts w:asciiTheme="minorHAnsi" w:hAnsiTheme="minorHAnsi" w:cstheme="minorHAnsi"/>
                <w:sz w:val="24"/>
                <w:szCs w:val="24"/>
              </w:rPr>
            </w:pPr>
            <w:r w:rsidRPr="00CA1A43">
              <w:rPr>
                <w:rFonts w:asciiTheme="minorHAnsi" w:hAnsiTheme="minorHAnsi" w:cstheme="minorHAnsi"/>
                <w:sz w:val="24"/>
                <w:szCs w:val="24"/>
              </w:rPr>
              <w:tab/>
            </w:r>
            <w:r w:rsidRPr="00CA1A43">
              <w:rPr>
                <w:rFonts w:asciiTheme="minorHAnsi" w:hAnsiTheme="minorHAnsi" w:cstheme="minorHAnsi"/>
                <w:sz w:val="24"/>
                <w:szCs w:val="24"/>
              </w:rPr>
              <w:t>遠期利率協定、交換</w:t>
            </w:r>
          </w:p>
        </w:tc>
        <w:tc>
          <w:tcPr>
            <w:tcW w:w="1366" w:type="pct"/>
            <w:tcBorders>
              <w:top w:val="nil"/>
              <w:left w:val="nil"/>
              <w:bottom w:val="single" w:sz="4" w:space="0" w:color="auto"/>
              <w:right w:val="nil"/>
            </w:tcBorders>
            <w:vAlign w:val="center"/>
            <w:hideMark/>
          </w:tcPr>
          <w:p w14:paraId="11F6AC5A" w14:textId="77777777" w:rsidR="00D02975" w:rsidRPr="00CA1A43" w:rsidRDefault="00D02975" w:rsidP="004708E6">
            <w:pPr>
              <w:pStyle w:val="Item"/>
              <w:jc w:val="center"/>
              <w:rPr>
                <w:rFonts w:asciiTheme="minorHAnsi" w:hAnsiTheme="minorHAnsi" w:cstheme="minorHAnsi"/>
                <w:sz w:val="24"/>
                <w:szCs w:val="24"/>
              </w:rPr>
            </w:pPr>
            <w:r w:rsidRPr="00CA1A43">
              <w:rPr>
                <w:rFonts w:asciiTheme="minorHAnsi" w:hAnsiTheme="minorHAnsi" w:cstheme="minorHAnsi"/>
                <w:sz w:val="24"/>
                <w:szCs w:val="24"/>
              </w:rPr>
              <w:t>否</w:t>
            </w:r>
          </w:p>
        </w:tc>
        <w:tc>
          <w:tcPr>
            <w:tcW w:w="1842" w:type="pct"/>
            <w:gridSpan w:val="2"/>
            <w:vMerge/>
            <w:tcBorders>
              <w:top w:val="nil"/>
              <w:left w:val="nil"/>
              <w:bottom w:val="single" w:sz="4" w:space="0" w:color="auto"/>
              <w:right w:val="nil"/>
            </w:tcBorders>
            <w:vAlign w:val="center"/>
            <w:hideMark/>
          </w:tcPr>
          <w:p w14:paraId="3F3EB89C" w14:textId="77777777" w:rsidR="00D02975" w:rsidRPr="00CA1A43" w:rsidRDefault="00D02975" w:rsidP="004708E6">
            <w:pPr>
              <w:widowControl/>
              <w:rPr>
                <w:rFonts w:eastAsia="標楷體" w:cstheme="minorHAnsi"/>
                <w:szCs w:val="24"/>
              </w:rPr>
            </w:pPr>
          </w:p>
        </w:tc>
      </w:tr>
    </w:tbl>
    <w:p w14:paraId="15A2E146" w14:textId="77777777" w:rsidR="008203F8" w:rsidRPr="00CA1A43" w:rsidRDefault="008203F8" w:rsidP="008203F8">
      <w:pPr>
        <w:pStyle w:val="a7"/>
        <w:numPr>
          <w:ilvl w:val="0"/>
          <w:numId w:val="180"/>
        </w:numPr>
        <w:spacing w:beforeLines="50" w:before="180"/>
        <w:ind w:leftChars="0" w:left="567" w:hanging="567"/>
        <w:jc w:val="both"/>
        <w:outlineLvl w:val="0"/>
        <w:rPr>
          <w:rFonts w:eastAsia="標楷體" w:cstheme="minorHAnsi"/>
          <w:szCs w:val="24"/>
        </w:rPr>
      </w:pPr>
      <w:bookmarkStart w:id="17" w:name="_Toc67992457"/>
      <w:r w:rsidRPr="00CA1A43">
        <w:rPr>
          <w:rFonts w:eastAsia="標楷體" w:cstheme="minorHAnsi"/>
          <w:szCs w:val="24"/>
        </w:rPr>
        <w:lastRenderedPageBreak/>
        <w:t>權益證券風險</w:t>
      </w:r>
      <w:bookmarkEnd w:id="17"/>
    </w:p>
    <w:p w14:paraId="24A8FA1F" w14:textId="77777777" w:rsidR="008203F8" w:rsidRPr="00CA1A43" w:rsidRDefault="008203F8" w:rsidP="008C0E02">
      <w:pPr>
        <w:pStyle w:val="a7"/>
        <w:numPr>
          <w:ilvl w:val="0"/>
          <w:numId w:val="199"/>
        </w:numPr>
        <w:spacing w:beforeLines="50" w:before="180"/>
        <w:ind w:leftChars="0" w:left="737" w:hanging="737"/>
        <w:jc w:val="both"/>
        <w:rPr>
          <w:rFonts w:eastAsia="標楷體" w:cstheme="minorHAnsi"/>
          <w:szCs w:val="24"/>
        </w:rPr>
      </w:pPr>
      <w:r w:rsidRPr="00CA1A43">
        <w:rPr>
          <w:rFonts w:eastAsia="標楷體" w:cstheme="minorHAnsi"/>
          <w:szCs w:val="24"/>
        </w:rPr>
        <w:t>計算範圍</w:t>
      </w:r>
    </w:p>
    <w:p w14:paraId="019039E1" w14:textId="4FCCE807" w:rsidR="00BE609F" w:rsidRPr="00CA1A43" w:rsidRDefault="008203F8" w:rsidP="0064631D">
      <w:pPr>
        <w:widowControl/>
        <w:spacing w:beforeLines="50" w:before="180"/>
        <w:ind w:left="748"/>
        <w:jc w:val="both"/>
        <w:rPr>
          <w:rFonts w:eastAsia="標楷體" w:cstheme="minorHAnsi"/>
          <w:szCs w:val="24"/>
        </w:rPr>
      </w:pPr>
      <w:r w:rsidRPr="00CA1A43">
        <w:rPr>
          <w:rFonts w:eastAsia="標楷體" w:cstheme="minorHAnsi"/>
        </w:rPr>
        <w:t>持有或承擔交易</w:t>
      </w:r>
      <w:proofErr w:type="gramStart"/>
      <w:r w:rsidRPr="00CA1A43">
        <w:rPr>
          <w:rFonts w:eastAsia="標楷體" w:cstheme="minorHAnsi"/>
        </w:rPr>
        <w:t>簿</w:t>
      </w:r>
      <w:proofErr w:type="gramEnd"/>
      <w:r w:rsidRPr="00CA1A43">
        <w:rPr>
          <w:rFonts w:eastAsia="標楷體" w:cstheme="minorHAnsi"/>
        </w:rPr>
        <w:t>權益證券部位，具有相似於權益證券市場行為的所有長、短部位</w:t>
      </w:r>
      <w:r w:rsidR="009653EE" w:rsidRPr="005834C8">
        <w:rPr>
          <w:rFonts w:eastAsia="標楷體" w:cstheme="minorHAnsi"/>
        </w:rPr>
        <w:t>工具</w:t>
      </w:r>
      <w:r w:rsidRPr="005834C8">
        <w:rPr>
          <w:rFonts w:eastAsia="標楷體" w:cstheme="minorHAnsi"/>
        </w:rPr>
        <w:t>，但不含非轉換特別股</w:t>
      </w:r>
      <w:r w:rsidRPr="005834C8">
        <w:rPr>
          <w:rFonts w:eastAsia="標楷體" w:cstheme="minorHAnsi"/>
        </w:rPr>
        <w:t>(</w:t>
      </w:r>
      <w:r w:rsidRPr="005834C8">
        <w:rPr>
          <w:rFonts w:eastAsia="標楷體" w:cstheme="minorHAnsi"/>
        </w:rPr>
        <w:t>非轉換特別股為計提利率風險資本</w:t>
      </w:r>
      <w:r w:rsidRPr="005834C8">
        <w:rPr>
          <w:rFonts w:eastAsia="標楷體" w:cstheme="minorHAnsi"/>
        </w:rPr>
        <w:t>)</w:t>
      </w:r>
      <w:r w:rsidRPr="005834C8">
        <w:rPr>
          <w:rFonts w:eastAsia="標楷體" w:cstheme="minorHAnsi"/>
        </w:rPr>
        <w:t>，同一發行人的長、短部位須以淨部位來衡量，涵蓋的</w:t>
      </w:r>
      <w:r w:rsidR="009653EE" w:rsidRPr="005834C8">
        <w:rPr>
          <w:rFonts w:eastAsia="標楷體" w:cstheme="minorHAnsi"/>
        </w:rPr>
        <w:t>工具</w:t>
      </w:r>
      <w:r w:rsidRPr="005834C8">
        <w:rPr>
          <w:rFonts w:eastAsia="標楷體" w:cstheme="minorHAnsi"/>
        </w:rPr>
        <w:t>包</w:t>
      </w:r>
      <w:r w:rsidRPr="00CA1A43">
        <w:rPr>
          <w:rFonts w:eastAsia="標楷體" w:cstheme="minorHAnsi"/>
        </w:rPr>
        <w:t>含普通股</w:t>
      </w:r>
      <w:r w:rsidRPr="00CA1A43">
        <w:rPr>
          <w:rFonts w:eastAsia="標楷體" w:cstheme="minorHAnsi"/>
        </w:rPr>
        <w:t>(</w:t>
      </w:r>
      <w:r w:rsidRPr="00CA1A43">
        <w:rPr>
          <w:rFonts w:eastAsia="標楷體" w:cstheme="minorHAnsi"/>
        </w:rPr>
        <w:t>有投票權或無投票權</w:t>
      </w:r>
      <w:r w:rsidRPr="00CA1A43">
        <w:rPr>
          <w:rFonts w:eastAsia="標楷體" w:cstheme="minorHAnsi"/>
        </w:rPr>
        <w:t>)</w:t>
      </w:r>
      <w:r w:rsidRPr="00CA1A43">
        <w:rPr>
          <w:rFonts w:eastAsia="標楷體" w:cstheme="minorHAnsi"/>
        </w:rPr>
        <w:t>、行為與權益證券相似的可轉換有價證券與買或賣權益證券有價證券的承諾。權益證券衍生性金融商品、股價指數與指數</w:t>
      </w:r>
      <w:proofErr w:type="gramStart"/>
      <w:r w:rsidRPr="00CA1A43">
        <w:rPr>
          <w:rFonts w:eastAsia="標楷體" w:cstheme="minorHAnsi"/>
        </w:rPr>
        <w:t>套利依</w:t>
      </w:r>
      <w:r w:rsidRPr="00CA1A43">
        <w:rPr>
          <w:rFonts w:eastAsia="標楷體" w:cstheme="minorHAnsi"/>
          <w:szCs w:val="24"/>
        </w:rPr>
        <w:t>第</w:t>
      </w:r>
      <w:proofErr w:type="gramEnd"/>
      <w:r w:rsidRPr="00CA1A43">
        <w:rPr>
          <w:rFonts w:eastAsia="標楷體" w:cstheme="minorHAnsi"/>
          <w:szCs w:val="24"/>
        </w:rPr>
        <w:t>(</w:t>
      </w:r>
      <w:r w:rsidRPr="00CA1A43">
        <w:rPr>
          <w:rFonts w:eastAsia="標楷體" w:cstheme="minorHAnsi"/>
          <w:szCs w:val="24"/>
        </w:rPr>
        <w:t>三</w:t>
      </w:r>
      <w:r w:rsidRPr="00CA1A43">
        <w:rPr>
          <w:rFonts w:eastAsia="標楷體" w:cstheme="minorHAnsi"/>
          <w:szCs w:val="24"/>
        </w:rPr>
        <w:t>)</w:t>
      </w:r>
      <w:r w:rsidRPr="00CA1A43">
        <w:rPr>
          <w:rFonts w:eastAsia="標楷體" w:cstheme="minorHAnsi"/>
          <w:szCs w:val="24"/>
        </w:rPr>
        <w:t>點之規定。</w:t>
      </w:r>
    </w:p>
    <w:p w14:paraId="15090C36" w14:textId="77777777" w:rsidR="0064631D" w:rsidRPr="00CA1A43" w:rsidRDefault="0064631D" w:rsidP="008C0E02">
      <w:pPr>
        <w:pStyle w:val="a7"/>
        <w:numPr>
          <w:ilvl w:val="0"/>
          <w:numId w:val="199"/>
        </w:numPr>
        <w:spacing w:beforeLines="50" w:before="180"/>
        <w:ind w:leftChars="0" w:left="737" w:hanging="737"/>
        <w:jc w:val="both"/>
        <w:rPr>
          <w:rFonts w:eastAsia="標楷體" w:cstheme="minorHAnsi"/>
          <w:szCs w:val="24"/>
        </w:rPr>
      </w:pPr>
      <w:r w:rsidRPr="00CA1A43">
        <w:rPr>
          <w:rFonts w:eastAsia="標楷體" w:cstheme="minorHAnsi"/>
          <w:szCs w:val="24"/>
        </w:rPr>
        <w:t>個別與一般市場風險</w:t>
      </w:r>
    </w:p>
    <w:p w14:paraId="17263230" w14:textId="77777777" w:rsidR="0064631D" w:rsidRPr="00CA1A43" w:rsidRDefault="0064631D" w:rsidP="0064631D">
      <w:pPr>
        <w:widowControl/>
        <w:spacing w:beforeLines="50" w:before="180"/>
        <w:ind w:left="748"/>
        <w:jc w:val="both"/>
        <w:rPr>
          <w:rFonts w:eastAsia="標楷體" w:cstheme="minorHAnsi"/>
        </w:rPr>
      </w:pPr>
      <w:r w:rsidRPr="00CA1A43">
        <w:rPr>
          <w:rFonts w:eastAsia="標楷體" w:cstheme="minorHAnsi"/>
        </w:rPr>
        <w:t>權益證券的最低資本標準區分為兩部分個別計算。持有權益證券之市場風險包括因個別權益證券市場價格變動所產生的個別風險，及因整體市場價格變動所產生的一般市場風險。</w:t>
      </w:r>
    </w:p>
    <w:p w14:paraId="2F600DC1" w14:textId="77777777" w:rsidR="0064631D" w:rsidRPr="00CA1A43" w:rsidRDefault="0064631D" w:rsidP="008C0E02">
      <w:pPr>
        <w:pStyle w:val="a7"/>
        <w:numPr>
          <w:ilvl w:val="0"/>
          <w:numId w:val="200"/>
        </w:numPr>
        <w:spacing w:beforeLines="50" w:before="180"/>
        <w:ind w:leftChars="0" w:left="964" w:hanging="482"/>
        <w:jc w:val="both"/>
        <w:rPr>
          <w:rFonts w:eastAsia="標楷體" w:cstheme="minorHAnsi"/>
          <w:szCs w:val="24"/>
          <w:u w:val="single"/>
        </w:rPr>
      </w:pPr>
      <w:r w:rsidRPr="00CA1A43">
        <w:rPr>
          <w:rFonts w:eastAsia="標楷體" w:cstheme="minorHAnsi"/>
          <w:szCs w:val="24"/>
        </w:rPr>
        <w:t>個別風險係以各個權益證券及權益證券衍生性金融商品交易</w:t>
      </w:r>
      <w:proofErr w:type="gramStart"/>
      <w:r w:rsidRPr="00CA1A43">
        <w:rPr>
          <w:rFonts w:eastAsia="標楷體" w:cstheme="minorHAnsi"/>
          <w:szCs w:val="24"/>
        </w:rPr>
        <w:t>之淨長部位</w:t>
      </w:r>
      <w:proofErr w:type="gramEnd"/>
      <w:r w:rsidRPr="00CA1A43">
        <w:rPr>
          <w:rFonts w:eastAsia="標楷體" w:cstheme="minorHAnsi"/>
          <w:szCs w:val="24"/>
        </w:rPr>
        <w:t>絕對值</w:t>
      </w:r>
      <w:proofErr w:type="gramStart"/>
      <w:r w:rsidRPr="00CA1A43">
        <w:rPr>
          <w:rFonts w:eastAsia="標楷體" w:cstheme="minorHAnsi"/>
          <w:szCs w:val="24"/>
        </w:rPr>
        <w:t>與淨短部位</w:t>
      </w:r>
      <w:proofErr w:type="gramEnd"/>
      <w:r w:rsidRPr="00CA1A43">
        <w:rPr>
          <w:rFonts w:eastAsia="標楷體" w:cstheme="minorHAnsi"/>
          <w:szCs w:val="24"/>
        </w:rPr>
        <w:t>絕對值之加總計算，其資本計提率為</w:t>
      </w:r>
      <w:r w:rsidRPr="00CA1A43">
        <w:rPr>
          <w:rFonts w:eastAsia="標楷體" w:cstheme="minorHAnsi"/>
          <w:szCs w:val="24"/>
        </w:rPr>
        <w:t>8%</w:t>
      </w:r>
      <w:r w:rsidRPr="00CA1A43">
        <w:rPr>
          <w:rFonts w:eastAsia="標楷體" w:cstheme="minorHAnsi"/>
          <w:szCs w:val="24"/>
        </w:rPr>
        <w:t>。</w:t>
      </w:r>
      <w:r w:rsidRPr="00CA1A43">
        <w:rPr>
          <w:rFonts w:eastAsia="標楷體" w:cstheme="minorHAnsi"/>
          <w:szCs w:val="24"/>
        </w:rPr>
        <w:br/>
      </w:r>
      <w:r w:rsidRPr="00CA1A43">
        <w:rPr>
          <w:rFonts w:eastAsia="標楷體" w:cstheme="minorHAnsi"/>
          <w:szCs w:val="24"/>
        </w:rPr>
        <w:t>其中屬對金融相關事業重大投資之普通股投資，且未自資本扣除部分，其資本計提率為</w:t>
      </w:r>
      <w:r w:rsidRPr="00CA1A43">
        <w:rPr>
          <w:rFonts w:eastAsia="標楷體" w:cstheme="minorHAnsi"/>
          <w:szCs w:val="24"/>
        </w:rPr>
        <w:t>20%</w:t>
      </w:r>
      <w:r w:rsidRPr="00CA1A43">
        <w:rPr>
          <w:rFonts w:eastAsia="標楷體" w:cstheme="minorHAnsi"/>
          <w:szCs w:val="24"/>
        </w:rPr>
        <w:t>，並免再計提一般市場風險之應計提資本。</w:t>
      </w:r>
    </w:p>
    <w:p w14:paraId="12FC6AB0" w14:textId="77777777" w:rsidR="0064631D" w:rsidRPr="00CA1A43" w:rsidRDefault="0064631D" w:rsidP="008C0E02">
      <w:pPr>
        <w:pStyle w:val="a7"/>
        <w:numPr>
          <w:ilvl w:val="0"/>
          <w:numId w:val="200"/>
        </w:numPr>
        <w:spacing w:beforeLines="50" w:before="180"/>
        <w:ind w:leftChars="0" w:left="964" w:hanging="482"/>
        <w:jc w:val="both"/>
        <w:rPr>
          <w:rFonts w:eastAsia="標楷體" w:cstheme="minorHAnsi"/>
          <w:b/>
          <w:sz w:val="28"/>
          <w:szCs w:val="28"/>
        </w:rPr>
      </w:pPr>
      <w:r w:rsidRPr="00CA1A43">
        <w:rPr>
          <w:rFonts w:eastAsia="標楷體" w:cstheme="minorHAnsi"/>
          <w:szCs w:val="24"/>
        </w:rPr>
        <w:t>一般市場風險係以金融機構於個別權益證券市場之整體淨部位來衡量，即以證券市場所有權益證券</w:t>
      </w:r>
      <w:proofErr w:type="gramStart"/>
      <w:r w:rsidRPr="00CA1A43">
        <w:rPr>
          <w:rFonts w:eastAsia="標楷體" w:cstheme="minorHAnsi"/>
          <w:szCs w:val="24"/>
        </w:rPr>
        <w:t>商品淨長部位</w:t>
      </w:r>
      <w:proofErr w:type="gramEnd"/>
      <w:r w:rsidRPr="00CA1A43">
        <w:rPr>
          <w:rFonts w:eastAsia="標楷體" w:cstheme="minorHAnsi"/>
          <w:szCs w:val="24"/>
        </w:rPr>
        <w:t>合計數</w:t>
      </w:r>
      <w:proofErr w:type="gramStart"/>
      <w:r w:rsidRPr="00CA1A43">
        <w:rPr>
          <w:rFonts w:eastAsia="標楷體" w:cstheme="minorHAnsi"/>
          <w:szCs w:val="24"/>
        </w:rPr>
        <w:t>與淨短部位</w:t>
      </w:r>
      <w:proofErr w:type="gramEnd"/>
      <w:r w:rsidRPr="00CA1A43">
        <w:rPr>
          <w:rFonts w:eastAsia="標楷體" w:cstheme="minorHAnsi"/>
          <w:szCs w:val="24"/>
        </w:rPr>
        <w:t>合計數之差額計算，不同證券市場之部位不得互抵，即</w:t>
      </w:r>
      <w:r w:rsidRPr="00CA1A43">
        <w:rPr>
          <w:rFonts w:eastAsia="標楷體" w:cstheme="minorHAnsi"/>
        </w:rPr>
        <w:t>須分別計算持有每一國家的市場之權益證券部位。</w:t>
      </w:r>
      <w:r w:rsidRPr="00CA1A43">
        <w:rPr>
          <w:rFonts w:eastAsia="標楷體" w:cstheme="minorHAnsi"/>
          <w:szCs w:val="24"/>
        </w:rPr>
        <w:t>一般市場風險之資本計提</w:t>
      </w:r>
      <w:proofErr w:type="gramStart"/>
      <w:r w:rsidRPr="00CA1A43">
        <w:rPr>
          <w:rFonts w:eastAsia="標楷體" w:cstheme="minorHAnsi"/>
          <w:szCs w:val="24"/>
        </w:rPr>
        <w:t>率均為</w:t>
      </w:r>
      <w:proofErr w:type="gramEnd"/>
      <w:r w:rsidRPr="00CA1A43">
        <w:rPr>
          <w:rFonts w:eastAsia="標楷體" w:cstheme="minorHAnsi"/>
          <w:szCs w:val="24"/>
        </w:rPr>
        <w:t>8%</w:t>
      </w:r>
      <w:r w:rsidRPr="00CA1A43">
        <w:rPr>
          <w:rFonts w:eastAsia="標楷體" w:cstheme="minorHAnsi"/>
          <w:szCs w:val="24"/>
        </w:rPr>
        <w:t>。</w:t>
      </w:r>
    </w:p>
    <w:p w14:paraId="78959B4B" w14:textId="77777777" w:rsidR="004708E6" w:rsidRPr="00CA1A43" w:rsidRDefault="004708E6" w:rsidP="008C0E02">
      <w:pPr>
        <w:pStyle w:val="a7"/>
        <w:numPr>
          <w:ilvl w:val="0"/>
          <w:numId w:val="199"/>
        </w:numPr>
        <w:spacing w:beforeLines="50" w:before="180"/>
        <w:ind w:leftChars="0" w:left="737" w:hanging="737"/>
        <w:jc w:val="both"/>
        <w:rPr>
          <w:rFonts w:eastAsia="標楷體" w:cstheme="minorHAnsi"/>
          <w:szCs w:val="24"/>
        </w:rPr>
      </w:pPr>
      <w:r w:rsidRPr="00CA1A43">
        <w:rPr>
          <w:rFonts w:eastAsia="標楷體" w:cstheme="minorHAnsi"/>
          <w:szCs w:val="24"/>
        </w:rPr>
        <w:t>權益證券衍生性金融商品</w:t>
      </w:r>
    </w:p>
    <w:p w14:paraId="1E737B08" w14:textId="77777777" w:rsidR="004708E6" w:rsidRPr="00CA1A43" w:rsidRDefault="004708E6" w:rsidP="008C0E02">
      <w:pPr>
        <w:pStyle w:val="a7"/>
        <w:numPr>
          <w:ilvl w:val="0"/>
          <w:numId w:val="210"/>
        </w:numPr>
        <w:spacing w:beforeLines="50" w:before="180"/>
        <w:ind w:leftChars="0" w:left="964" w:hanging="482"/>
        <w:jc w:val="both"/>
        <w:rPr>
          <w:rFonts w:eastAsia="標楷體" w:cstheme="minorHAnsi"/>
          <w:b/>
          <w:kern w:val="0"/>
          <w:szCs w:val="24"/>
        </w:rPr>
      </w:pPr>
      <w:r w:rsidRPr="00CA1A43">
        <w:rPr>
          <w:rFonts w:eastAsia="標楷體" w:cstheme="minorHAnsi"/>
          <w:szCs w:val="24"/>
        </w:rPr>
        <w:t>適用範圍</w:t>
      </w:r>
    </w:p>
    <w:p w14:paraId="4F4397A1" w14:textId="77777777" w:rsidR="004708E6" w:rsidRPr="00CA1A43" w:rsidRDefault="00D57443" w:rsidP="00D57443">
      <w:pPr>
        <w:pStyle w:val="a7"/>
        <w:spacing w:beforeLines="50" w:before="180"/>
        <w:ind w:leftChars="0" w:left="964"/>
        <w:jc w:val="both"/>
        <w:rPr>
          <w:rFonts w:eastAsia="標楷體" w:cstheme="minorHAnsi"/>
          <w:b/>
          <w:kern w:val="0"/>
          <w:szCs w:val="24"/>
        </w:rPr>
      </w:pPr>
      <w:r w:rsidRPr="00CA1A43">
        <w:rPr>
          <w:rFonts w:eastAsia="標楷體" w:cstheme="minorHAnsi"/>
          <w:szCs w:val="24"/>
        </w:rPr>
        <w:t>權益證券衍生性金融商品交易及受權益證券價格影響之表外交易</w:t>
      </w:r>
      <w:proofErr w:type="gramStart"/>
      <w:r w:rsidRPr="00CA1A43">
        <w:rPr>
          <w:rFonts w:eastAsia="標楷體" w:cstheme="minorHAnsi"/>
          <w:szCs w:val="24"/>
        </w:rPr>
        <w:t>部位均需計提</w:t>
      </w:r>
      <w:proofErr w:type="gramEnd"/>
      <w:r w:rsidRPr="00CA1A43">
        <w:rPr>
          <w:rFonts w:eastAsia="標楷體" w:cstheme="minorHAnsi"/>
          <w:szCs w:val="24"/>
        </w:rPr>
        <w:t>權益證券市場風險所需資本</w:t>
      </w:r>
      <w:r w:rsidRPr="00CA1A43">
        <w:rPr>
          <w:rStyle w:val="a5"/>
          <w:rFonts w:eastAsia="標楷體" w:cstheme="minorHAnsi"/>
          <w:szCs w:val="24"/>
        </w:rPr>
        <w:footnoteReference w:id="72"/>
      </w:r>
      <w:r w:rsidRPr="00CA1A43">
        <w:rPr>
          <w:rFonts w:eastAsia="標楷體" w:cstheme="minorHAnsi"/>
          <w:szCs w:val="24"/>
        </w:rPr>
        <w:t>，其中包括以個別權益證券及股價指數為標的之期貨及交換，但權益證券選擇權及股價指數選擇權之資本計提，應適用選擇權相關之規定。</w:t>
      </w:r>
    </w:p>
    <w:p w14:paraId="6F1CDE64" w14:textId="77777777" w:rsidR="00017FA5" w:rsidRPr="00CA1A43" w:rsidRDefault="00017FA5" w:rsidP="008C0E02">
      <w:pPr>
        <w:pStyle w:val="a7"/>
        <w:numPr>
          <w:ilvl w:val="0"/>
          <w:numId w:val="210"/>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部位之</w:t>
      </w:r>
      <w:r w:rsidRPr="00CA1A43">
        <w:rPr>
          <w:rFonts w:eastAsia="標楷體" w:cstheme="minorHAnsi"/>
          <w:szCs w:val="24"/>
        </w:rPr>
        <w:t>計算</w:t>
      </w:r>
    </w:p>
    <w:p w14:paraId="418C998A" w14:textId="77777777" w:rsidR="00017FA5" w:rsidRPr="00CA1A43" w:rsidRDefault="00D57443" w:rsidP="00D57443">
      <w:pPr>
        <w:pStyle w:val="a7"/>
        <w:spacing w:beforeLines="50" w:before="180"/>
        <w:ind w:leftChars="0" w:left="964"/>
        <w:jc w:val="both"/>
        <w:rPr>
          <w:rFonts w:eastAsia="標楷體" w:cstheme="minorHAnsi"/>
          <w:kern w:val="0"/>
          <w:szCs w:val="24"/>
        </w:rPr>
      </w:pPr>
      <w:r w:rsidRPr="00CA1A43">
        <w:rPr>
          <w:rFonts w:eastAsia="標楷體" w:cstheme="minorHAnsi"/>
          <w:szCs w:val="24"/>
        </w:rPr>
        <w:t>計算個別及一般市場風險時，除仍須適用現貨部位之相關規定外，有關權益證券衍生性金融商品之部位應依下列原則計算：</w:t>
      </w:r>
    </w:p>
    <w:p w14:paraId="49EB1CAC" w14:textId="77777777" w:rsidR="00017FA5" w:rsidRPr="00CA1A43" w:rsidRDefault="00017FA5"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szCs w:val="24"/>
        </w:rPr>
        <w:lastRenderedPageBreak/>
        <w:t>個別權益</w:t>
      </w:r>
      <w:r w:rsidRPr="00CA1A43">
        <w:rPr>
          <w:rFonts w:eastAsia="標楷體" w:cstheme="minorHAnsi"/>
          <w:kern w:val="0"/>
          <w:szCs w:val="24"/>
        </w:rPr>
        <w:t>證券</w:t>
      </w:r>
      <w:r w:rsidRPr="00CA1A43">
        <w:rPr>
          <w:rFonts w:eastAsia="標楷體" w:cstheme="minorHAnsi"/>
          <w:szCs w:val="24"/>
        </w:rPr>
        <w:t>之期貨與遠期合約應轉換成相關權益證券以市價計算。</w:t>
      </w:r>
    </w:p>
    <w:p w14:paraId="5BB7CEA5" w14:textId="77777777" w:rsidR="00017FA5" w:rsidRPr="00CA1A43" w:rsidRDefault="00017FA5"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szCs w:val="24"/>
        </w:rPr>
        <w:t>股價指數期貨</w:t>
      </w:r>
      <w:r w:rsidRPr="00CA1A43">
        <w:rPr>
          <w:rFonts w:eastAsia="標楷體" w:cstheme="minorHAnsi"/>
          <w:kern w:val="0"/>
          <w:szCs w:val="24"/>
        </w:rPr>
        <w:t>有市價者，其部位以市價計算；若無市價者，則以</w:t>
      </w:r>
      <w:r w:rsidRPr="00CA1A43">
        <w:rPr>
          <w:rFonts w:eastAsia="標楷體" w:cstheme="minorHAnsi"/>
          <w:szCs w:val="24"/>
        </w:rPr>
        <w:t>分解為組成該股價指數個股之市價計算。</w:t>
      </w:r>
    </w:p>
    <w:p w14:paraId="357F79D1" w14:textId="77777777" w:rsidR="00017FA5" w:rsidRPr="00CA1A43" w:rsidRDefault="00017FA5"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szCs w:val="24"/>
        </w:rPr>
        <w:t>權益證券交換應拆成個別權益證券之長、短二個部位計算。</w:t>
      </w:r>
      <w:r w:rsidRPr="00CA1A43">
        <w:rPr>
          <w:rStyle w:val="a5"/>
          <w:rFonts w:eastAsia="標楷體" w:cstheme="minorHAnsi"/>
          <w:szCs w:val="24"/>
        </w:rPr>
        <w:footnoteReference w:id="73"/>
      </w:r>
    </w:p>
    <w:p w14:paraId="767113A6" w14:textId="77777777" w:rsidR="00BE609F" w:rsidRPr="00CA1A43" w:rsidRDefault="00017FA5"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szCs w:val="24"/>
        </w:rPr>
        <w:t>權益證券選擇權及股價指數選擇權</w:t>
      </w:r>
      <w:r w:rsidRPr="00CA1A43">
        <w:rPr>
          <w:rFonts w:eastAsia="標楷體" w:cstheme="minorHAnsi"/>
        </w:rPr>
        <w:t>應依其標的合併處理或</w:t>
      </w:r>
      <w:r w:rsidRPr="00CA1A43">
        <w:rPr>
          <w:rFonts w:eastAsia="標楷體" w:cstheme="minorHAnsi"/>
          <w:szCs w:val="24"/>
        </w:rPr>
        <w:t>依</w:t>
      </w:r>
      <w:r w:rsidRPr="00CA1A43">
        <w:rPr>
          <w:rFonts w:eastAsia="標楷體" w:cstheme="minorHAnsi"/>
        </w:rPr>
        <w:t>敏感性分析</w:t>
      </w:r>
      <w:r w:rsidRPr="00CA1A43">
        <w:rPr>
          <w:rFonts w:eastAsia="標楷體" w:cstheme="minorHAnsi"/>
        </w:rPr>
        <w:t>(delta-plus)</w:t>
      </w:r>
      <w:r w:rsidRPr="00CA1A43">
        <w:rPr>
          <w:rFonts w:eastAsia="標楷體" w:cstheme="minorHAnsi"/>
        </w:rPr>
        <w:t>法整合到本章節所述之一般市場風險的衡量</w:t>
      </w:r>
      <w:r w:rsidRPr="00CA1A43">
        <w:rPr>
          <w:rFonts w:eastAsia="標楷體" w:cstheme="minorHAnsi"/>
          <w:szCs w:val="24"/>
        </w:rPr>
        <w:t>。</w:t>
      </w:r>
    </w:p>
    <w:p w14:paraId="6B0BC781" w14:textId="77777777" w:rsidR="00BE609F" w:rsidRPr="00CA1A43" w:rsidRDefault="00226784"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szCs w:val="24"/>
        </w:rPr>
        <w:t>計算權益證券衍生性金融商品交易之部位時，同一市場之個別權益證券或股價指數的長短部位可互抵計算淨部位，以計提個別及一般市場風險所需之資本，例如</w:t>
      </w:r>
      <w:proofErr w:type="gramStart"/>
      <w:r w:rsidRPr="00CA1A43">
        <w:rPr>
          <w:rFonts w:eastAsia="標楷體" w:cstheme="minorHAnsi"/>
          <w:szCs w:val="24"/>
        </w:rPr>
        <w:t>一</w:t>
      </w:r>
      <w:proofErr w:type="gramEnd"/>
      <w:r w:rsidRPr="00CA1A43">
        <w:rPr>
          <w:rFonts w:eastAsia="標楷體" w:cstheme="minorHAnsi"/>
          <w:szCs w:val="24"/>
        </w:rPr>
        <w:t>權益證券的期貨可與該權益證券之現貨相反部位互抵，但此期貨所產生之利率風險應列入利率風險部位，依一般市場風險規定處理。</w:t>
      </w:r>
    </w:p>
    <w:p w14:paraId="3DF197F9" w14:textId="77777777" w:rsidR="00BE609F" w:rsidRPr="00CA1A43" w:rsidRDefault="00226784"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rPr>
        <w:t>除了一般市場風險，充分分散</w:t>
      </w:r>
      <w:r w:rsidRPr="00CA1A43">
        <w:rPr>
          <w:rFonts w:eastAsia="標楷體" w:cstheme="minorHAnsi"/>
          <w:szCs w:val="24"/>
        </w:rPr>
        <w:t>權益</w:t>
      </w:r>
      <w:r w:rsidRPr="00CA1A43">
        <w:rPr>
          <w:rFonts w:eastAsia="標楷體" w:cstheme="minorHAnsi"/>
        </w:rPr>
        <w:t>證券投資組合指數合約的</w:t>
      </w:r>
      <w:proofErr w:type="gramStart"/>
      <w:r w:rsidRPr="00CA1A43">
        <w:rPr>
          <w:rFonts w:eastAsia="標楷體" w:cstheme="minorHAnsi"/>
        </w:rPr>
        <w:t>淨長或淨短</w:t>
      </w:r>
      <w:proofErr w:type="gramEnd"/>
      <w:r w:rsidRPr="00CA1A43">
        <w:rPr>
          <w:rFonts w:eastAsia="標楷體" w:cstheme="minorHAnsi"/>
        </w:rPr>
        <w:t>部位須計提</w:t>
      </w:r>
      <w:r w:rsidRPr="00CA1A43">
        <w:rPr>
          <w:rFonts w:eastAsia="標楷體" w:cstheme="minorHAnsi"/>
        </w:rPr>
        <w:t>2%</w:t>
      </w:r>
      <w:r w:rsidRPr="00CA1A43">
        <w:rPr>
          <w:rFonts w:eastAsia="標楷體" w:cstheme="minorHAnsi"/>
        </w:rPr>
        <w:t>的個別風險資本要求，而分散性不足的指數，例如產業指數則不適用。</w:t>
      </w:r>
    </w:p>
    <w:p w14:paraId="78600BE3" w14:textId="77777777" w:rsidR="00226784" w:rsidRPr="00CA1A43" w:rsidRDefault="00226784"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rPr>
        <w:t>從事以期貨相關套利策略時，若符合下列條件，則反向部位指數合約無須計提</w:t>
      </w:r>
      <w:r w:rsidRPr="00CA1A43">
        <w:rPr>
          <w:rFonts w:eastAsia="標楷體" w:cstheme="minorHAnsi"/>
        </w:rPr>
        <w:t>2%</w:t>
      </w:r>
      <w:r w:rsidRPr="00CA1A43">
        <w:rPr>
          <w:rFonts w:eastAsia="標楷體" w:cstheme="minorHAnsi"/>
        </w:rPr>
        <w:t>的個別風險資本要求：</w:t>
      </w:r>
    </w:p>
    <w:p w14:paraId="17B4FAE7" w14:textId="77777777" w:rsidR="00226784" w:rsidRPr="00CA1A43" w:rsidRDefault="00226784" w:rsidP="008C0E02">
      <w:pPr>
        <w:pStyle w:val="a7"/>
        <w:numPr>
          <w:ilvl w:val="0"/>
          <w:numId w:val="212"/>
        </w:numPr>
        <w:spacing w:beforeLines="50" w:before="180"/>
        <w:ind w:leftChars="0"/>
        <w:jc w:val="both"/>
        <w:rPr>
          <w:rFonts w:eastAsia="標楷體" w:cstheme="minorHAnsi"/>
          <w:szCs w:val="24"/>
        </w:rPr>
      </w:pPr>
      <w:r w:rsidRPr="00CA1A43">
        <w:rPr>
          <w:rFonts w:eastAsia="標楷體" w:cstheme="minorHAnsi"/>
        </w:rPr>
        <w:t>銀行持有一個不同天期或不同市場之完全相同指數的反向部位</w:t>
      </w:r>
      <w:r w:rsidRPr="00CA1A43">
        <w:rPr>
          <w:rFonts w:eastAsia="標楷體" w:cstheme="minorHAnsi"/>
          <w:szCs w:val="24"/>
        </w:rPr>
        <w:t>，</w:t>
      </w:r>
      <w:r w:rsidRPr="00CA1A43">
        <w:rPr>
          <w:rFonts w:eastAsia="標楷體" w:cstheme="minorHAnsi"/>
        </w:rPr>
        <w:t>以及</w:t>
      </w:r>
    </w:p>
    <w:p w14:paraId="150A3814" w14:textId="77777777" w:rsidR="00111C84" w:rsidRPr="00CA1A43" w:rsidRDefault="00226784" w:rsidP="008C0E02">
      <w:pPr>
        <w:pStyle w:val="a7"/>
        <w:numPr>
          <w:ilvl w:val="0"/>
          <w:numId w:val="212"/>
        </w:numPr>
        <w:spacing w:beforeLines="50" w:before="180"/>
        <w:ind w:leftChars="0"/>
        <w:jc w:val="both"/>
        <w:rPr>
          <w:rFonts w:eastAsia="標楷體" w:cstheme="minorHAnsi"/>
          <w:szCs w:val="24"/>
        </w:rPr>
      </w:pPr>
      <w:r w:rsidRPr="00CA1A43">
        <w:rPr>
          <w:rFonts w:eastAsia="標楷體" w:cstheme="minorHAnsi"/>
        </w:rPr>
        <w:t>當銀行持有反向部位合約，其有相同到期日、不同但相似的指數，且本會認可此兩</w:t>
      </w:r>
      <w:proofErr w:type="gramStart"/>
      <w:r w:rsidRPr="00CA1A43">
        <w:rPr>
          <w:rFonts w:eastAsia="標楷體" w:cstheme="minorHAnsi"/>
        </w:rPr>
        <w:t>個</w:t>
      </w:r>
      <w:proofErr w:type="gramEnd"/>
      <w:r w:rsidRPr="00CA1A43">
        <w:rPr>
          <w:rFonts w:eastAsia="標楷體" w:cstheme="minorHAnsi"/>
        </w:rPr>
        <w:t>指數包含足夠的共同成份，可證明抵銷的正當性。</w:t>
      </w:r>
    </w:p>
    <w:p w14:paraId="441607AB" w14:textId="77777777" w:rsidR="0033148C" w:rsidRPr="00CA1A43" w:rsidRDefault="0033148C" w:rsidP="008C0E02">
      <w:pPr>
        <w:pStyle w:val="a7"/>
        <w:numPr>
          <w:ilvl w:val="0"/>
          <w:numId w:val="211"/>
        </w:numPr>
        <w:spacing w:beforeLines="50" w:before="180"/>
        <w:ind w:leftChars="0" w:left="1446" w:hanging="482"/>
        <w:jc w:val="both"/>
        <w:rPr>
          <w:rFonts w:eastAsia="標楷體" w:cstheme="minorHAnsi"/>
          <w:kern w:val="0"/>
          <w:szCs w:val="24"/>
        </w:rPr>
      </w:pPr>
      <w:r w:rsidRPr="00CA1A43">
        <w:rPr>
          <w:rFonts w:eastAsia="標楷體" w:cstheme="minorHAnsi"/>
        </w:rPr>
        <w:t>從事一個</w:t>
      </w:r>
      <w:proofErr w:type="gramStart"/>
      <w:r w:rsidRPr="00CA1A43">
        <w:rPr>
          <w:rFonts w:eastAsia="標楷體" w:cstheme="minorHAnsi"/>
        </w:rPr>
        <w:t>一</w:t>
      </w:r>
      <w:proofErr w:type="gramEnd"/>
      <w:r w:rsidRPr="00CA1A43">
        <w:rPr>
          <w:rFonts w:eastAsia="標楷體" w:cstheme="minorHAnsi"/>
        </w:rPr>
        <w:t>籃子股票指數的期貨與另一成份相符之</w:t>
      </w:r>
      <w:proofErr w:type="gramStart"/>
      <w:r w:rsidRPr="00CA1A43">
        <w:rPr>
          <w:rFonts w:eastAsia="標楷體" w:cstheme="minorHAnsi"/>
        </w:rPr>
        <w:t>一</w:t>
      </w:r>
      <w:proofErr w:type="gramEnd"/>
      <w:r w:rsidRPr="00CA1A43">
        <w:rPr>
          <w:rFonts w:eastAsia="標楷體" w:cstheme="minorHAnsi"/>
        </w:rPr>
        <w:t>籃子股票的套利策略，基於以下條件簡易標準法將允許合併兩個部位：</w:t>
      </w:r>
    </w:p>
    <w:p w14:paraId="1C311200" w14:textId="77777777" w:rsidR="0033148C" w:rsidRPr="00CA1A43" w:rsidRDefault="0033148C" w:rsidP="008C0E02">
      <w:pPr>
        <w:pStyle w:val="a7"/>
        <w:numPr>
          <w:ilvl w:val="0"/>
          <w:numId w:val="213"/>
        </w:numPr>
        <w:spacing w:beforeLines="50" w:before="180"/>
        <w:ind w:leftChars="0"/>
        <w:jc w:val="both"/>
        <w:rPr>
          <w:rFonts w:eastAsia="標楷體" w:cstheme="minorHAnsi"/>
          <w:szCs w:val="24"/>
        </w:rPr>
      </w:pPr>
      <w:r w:rsidRPr="00CA1A43">
        <w:rPr>
          <w:rFonts w:eastAsia="標楷體" w:cstheme="minorHAnsi"/>
          <w:szCs w:val="24"/>
        </w:rPr>
        <w:t>該交易係謹慎地</w:t>
      </w:r>
      <w:r w:rsidRPr="00CA1A43">
        <w:rPr>
          <w:rFonts w:eastAsia="標楷體" w:cstheme="minorHAnsi"/>
        </w:rPr>
        <w:t>交易</w:t>
      </w:r>
      <w:r w:rsidRPr="00CA1A43">
        <w:rPr>
          <w:rFonts w:eastAsia="標楷體" w:cstheme="minorHAnsi"/>
          <w:szCs w:val="24"/>
        </w:rPr>
        <w:t>且分別控管，</w:t>
      </w:r>
      <w:r w:rsidRPr="00CA1A43">
        <w:rPr>
          <w:rFonts w:eastAsia="標楷體" w:cstheme="minorHAnsi"/>
        </w:rPr>
        <w:t>以及</w:t>
      </w:r>
    </w:p>
    <w:p w14:paraId="218C4C8A" w14:textId="77777777" w:rsidR="0033148C" w:rsidRPr="00CA1A43" w:rsidRDefault="0033148C" w:rsidP="008C0E02">
      <w:pPr>
        <w:pStyle w:val="a7"/>
        <w:numPr>
          <w:ilvl w:val="0"/>
          <w:numId w:val="213"/>
        </w:numPr>
        <w:spacing w:beforeLines="50" w:before="180"/>
        <w:ind w:leftChars="0"/>
        <w:jc w:val="both"/>
        <w:rPr>
          <w:rFonts w:eastAsia="標楷體" w:cstheme="minorHAnsi"/>
          <w:szCs w:val="24"/>
        </w:rPr>
      </w:pPr>
      <w:proofErr w:type="gramStart"/>
      <w:r w:rsidRPr="00CA1A43">
        <w:rPr>
          <w:rFonts w:eastAsia="標楷體" w:cstheme="minorHAnsi"/>
        </w:rPr>
        <w:t>一</w:t>
      </w:r>
      <w:proofErr w:type="gramEnd"/>
      <w:r w:rsidRPr="00CA1A43">
        <w:rPr>
          <w:rFonts w:eastAsia="標楷體" w:cstheme="minorHAnsi"/>
        </w:rPr>
        <w:t>籃子股票之組成至少代表</w:t>
      </w:r>
      <w:r w:rsidRPr="00CA1A43">
        <w:rPr>
          <w:rFonts w:eastAsia="標楷體" w:cstheme="minorHAnsi"/>
        </w:rPr>
        <w:t>90%</w:t>
      </w:r>
      <w:r w:rsidRPr="00CA1A43">
        <w:rPr>
          <w:rFonts w:eastAsia="標楷體" w:cstheme="minorHAnsi"/>
        </w:rPr>
        <w:t>的指數拆分成分。</w:t>
      </w:r>
    </w:p>
    <w:p w14:paraId="1E610900" w14:textId="77777777" w:rsidR="001E4EDD" w:rsidRPr="00CA1A43" w:rsidRDefault="0033148C" w:rsidP="0033148C">
      <w:pPr>
        <w:widowControl/>
        <w:spacing w:beforeLines="50" w:before="180"/>
        <w:ind w:left="1446"/>
        <w:jc w:val="both"/>
        <w:rPr>
          <w:rFonts w:eastAsia="標楷體" w:cstheme="minorHAnsi"/>
          <w:szCs w:val="24"/>
        </w:rPr>
      </w:pPr>
      <w:r w:rsidRPr="00CA1A43">
        <w:rPr>
          <w:rFonts w:eastAsia="標楷體" w:cstheme="minorHAnsi"/>
        </w:rPr>
        <w:lastRenderedPageBreak/>
        <w:t>此策略最低資本要求是</w:t>
      </w:r>
      <w:r w:rsidRPr="00CA1A43">
        <w:rPr>
          <w:rFonts w:eastAsia="標楷體" w:cstheme="minorHAnsi"/>
        </w:rPr>
        <w:t>4% (</w:t>
      </w:r>
      <w:r w:rsidRPr="00CA1A43">
        <w:rPr>
          <w:rFonts w:eastAsia="標楷體" w:cstheme="minorHAnsi"/>
        </w:rPr>
        <w:t>即每一邊毛部位價值的</w:t>
      </w:r>
      <w:r w:rsidRPr="00CA1A43">
        <w:rPr>
          <w:rFonts w:eastAsia="標楷體" w:cstheme="minorHAnsi"/>
        </w:rPr>
        <w:t>2%)</w:t>
      </w:r>
      <w:r w:rsidRPr="00CA1A43">
        <w:rPr>
          <w:rFonts w:eastAsia="標楷體" w:cstheme="minorHAnsi"/>
        </w:rPr>
        <w:t>以反映偏離與執行風險</w:t>
      </w:r>
      <w:r w:rsidR="00762E2A" w:rsidRPr="00CA1A43">
        <w:rPr>
          <w:rStyle w:val="a5"/>
          <w:rFonts w:eastAsia="標楷體" w:cstheme="minorHAnsi"/>
          <w:szCs w:val="24"/>
        </w:rPr>
        <w:footnoteReference w:id="74"/>
      </w:r>
      <w:r w:rsidRPr="00CA1A43">
        <w:rPr>
          <w:rFonts w:eastAsia="標楷體" w:cstheme="minorHAnsi"/>
        </w:rPr>
        <w:t>。</w:t>
      </w:r>
    </w:p>
    <w:p w14:paraId="0BA307B1" w14:textId="77777777" w:rsidR="001E4EDD" w:rsidRPr="00CA1A43" w:rsidRDefault="008A613B"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szCs w:val="24"/>
        </w:rPr>
        <w:t>金融機構於不同市場同時持有某一權益證券之存託憑證及該權益證券之相反部位的其他商品，在幣別轉換成本已充分考慮之前提下，亦即</w:t>
      </w:r>
      <w:proofErr w:type="gramStart"/>
      <w:r w:rsidRPr="00CA1A43">
        <w:rPr>
          <w:rFonts w:eastAsia="標楷體" w:cstheme="minorHAnsi"/>
          <w:szCs w:val="24"/>
        </w:rPr>
        <w:t>已將幣別</w:t>
      </w:r>
      <w:proofErr w:type="gramEnd"/>
      <w:r w:rsidRPr="00CA1A43">
        <w:rPr>
          <w:rFonts w:eastAsia="標楷體" w:cstheme="minorHAnsi"/>
          <w:szCs w:val="24"/>
        </w:rPr>
        <w:t>轉換所涉之匯率風險列入外匯風險部位計算時，此相反部位</w:t>
      </w:r>
      <w:proofErr w:type="gramStart"/>
      <w:r w:rsidRPr="00CA1A43">
        <w:rPr>
          <w:rFonts w:eastAsia="標楷體" w:cstheme="minorHAnsi"/>
          <w:szCs w:val="24"/>
        </w:rPr>
        <w:t>可予互抵</w:t>
      </w:r>
      <w:proofErr w:type="gramEnd"/>
      <w:r w:rsidRPr="00CA1A43">
        <w:rPr>
          <w:rFonts w:eastAsia="標楷體" w:cstheme="minorHAnsi"/>
          <w:szCs w:val="24"/>
        </w:rPr>
        <w:t>。</w:t>
      </w:r>
    </w:p>
    <w:p w14:paraId="086AB7BE" w14:textId="77777777" w:rsidR="00017FA5" w:rsidRPr="00CA1A43" w:rsidRDefault="002B22E6" w:rsidP="008C0E02">
      <w:pPr>
        <w:pStyle w:val="a7"/>
        <w:numPr>
          <w:ilvl w:val="0"/>
          <w:numId w:val="211"/>
        </w:numPr>
        <w:spacing w:beforeLines="50" w:before="180"/>
        <w:ind w:leftChars="0" w:left="1446" w:hanging="482"/>
        <w:jc w:val="both"/>
        <w:rPr>
          <w:rFonts w:eastAsia="標楷體" w:cstheme="minorHAnsi"/>
          <w:szCs w:val="24"/>
        </w:rPr>
      </w:pPr>
      <w:r w:rsidRPr="00CA1A43">
        <w:rPr>
          <w:rFonts w:eastAsia="標楷體" w:cstheme="minorHAnsi"/>
        </w:rPr>
        <w:t>彙總權益證券衍生性金融商品的市場風險</w:t>
      </w:r>
      <w:r w:rsidRPr="00CA1A43">
        <w:rPr>
          <w:rFonts w:eastAsia="標楷體" w:cstheme="minorHAnsi"/>
          <w:szCs w:val="24"/>
        </w:rPr>
        <w:t>資本</w:t>
      </w:r>
      <w:r w:rsidRPr="00CA1A43">
        <w:rPr>
          <w:rFonts w:eastAsia="標楷體" w:cstheme="minorHAnsi"/>
        </w:rPr>
        <w:t>計提如下表</w:t>
      </w:r>
      <w:r w:rsidR="007412A4">
        <w:rPr>
          <w:rFonts w:eastAsia="標楷體" w:cstheme="minorHAnsi" w:hint="eastAsia"/>
        </w:rPr>
        <w:t>21</w:t>
      </w:r>
    </w:p>
    <w:tbl>
      <w:tblPr>
        <w:tblW w:w="4915" w:type="pct"/>
        <w:tblInd w:w="142" w:type="dxa"/>
        <w:tblLayout w:type="fixed"/>
        <w:tblLook w:val="04A0" w:firstRow="1" w:lastRow="0" w:firstColumn="1" w:lastColumn="0" w:noHBand="0" w:noVBand="1"/>
      </w:tblPr>
      <w:tblGrid>
        <w:gridCol w:w="2977"/>
        <w:gridCol w:w="1419"/>
        <w:gridCol w:w="1871"/>
        <w:gridCol w:w="1898"/>
      </w:tblGrid>
      <w:tr w:rsidR="002B22E6" w:rsidRPr="00CA1A43" w14:paraId="30250835" w14:textId="77777777" w:rsidTr="002B22E6">
        <w:trPr>
          <w:trHeight w:val="454"/>
        </w:trPr>
        <w:tc>
          <w:tcPr>
            <w:tcW w:w="3838" w:type="pct"/>
            <w:gridSpan w:val="3"/>
            <w:tcBorders>
              <w:top w:val="single" w:sz="4" w:space="0" w:color="auto"/>
              <w:left w:val="nil"/>
              <w:bottom w:val="single" w:sz="4" w:space="0" w:color="auto"/>
              <w:right w:val="nil"/>
            </w:tcBorders>
            <w:vAlign w:val="center"/>
            <w:hideMark/>
          </w:tcPr>
          <w:p w14:paraId="0117AE79"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權益證券衍生性金融商品處理之摘要</w:t>
            </w:r>
          </w:p>
        </w:tc>
        <w:tc>
          <w:tcPr>
            <w:tcW w:w="1162" w:type="pct"/>
            <w:tcBorders>
              <w:top w:val="single" w:sz="4" w:space="0" w:color="auto"/>
              <w:left w:val="nil"/>
              <w:bottom w:val="single" w:sz="4" w:space="0" w:color="auto"/>
              <w:right w:val="nil"/>
            </w:tcBorders>
            <w:vAlign w:val="center"/>
            <w:hideMark/>
          </w:tcPr>
          <w:p w14:paraId="048CFF26" w14:textId="77777777" w:rsidR="002B22E6" w:rsidRPr="00CA1A43" w:rsidRDefault="002B22E6" w:rsidP="00A5488F">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007412A4">
              <w:rPr>
                <w:rFonts w:asciiTheme="minorHAnsi" w:hAnsiTheme="minorHAnsi" w:cstheme="minorHAnsi" w:hint="eastAsia"/>
                <w:sz w:val="24"/>
                <w:szCs w:val="24"/>
              </w:rPr>
              <w:t>21</w:t>
            </w:r>
          </w:p>
        </w:tc>
      </w:tr>
      <w:tr w:rsidR="002B22E6" w:rsidRPr="00CA1A43" w14:paraId="78A4505D" w14:textId="77777777" w:rsidTr="002B22E6">
        <w:trPr>
          <w:trHeight w:val="340"/>
        </w:trPr>
        <w:tc>
          <w:tcPr>
            <w:tcW w:w="1823" w:type="pct"/>
            <w:tcBorders>
              <w:top w:val="single" w:sz="4" w:space="0" w:color="auto"/>
              <w:left w:val="nil"/>
              <w:bottom w:val="single" w:sz="4" w:space="0" w:color="auto"/>
              <w:right w:val="single" w:sz="8" w:space="0" w:color="BFBFBF"/>
            </w:tcBorders>
            <w:vAlign w:val="center"/>
            <w:hideMark/>
          </w:tcPr>
          <w:p w14:paraId="17B8AF75" w14:textId="5E2C87BD" w:rsidR="002B22E6" w:rsidRPr="00CA1A43" w:rsidRDefault="009653EE" w:rsidP="00A5488F">
            <w:pPr>
              <w:pStyle w:val="Item"/>
              <w:jc w:val="center"/>
              <w:rPr>
                <w:rFonts w:asciiTheme="minorHAnsi" w:hAnsiTheme="minorHAnsi" w:cstheme="minorHAnsi"/>
                <w:sz w:val="24"/>
                <w:szCs w:val="24"/>
              </w:rPr>
            </w:pPr>
            <w:r w:rsidRPr="005834C8">
              <w:rPr>
                <w:rFonts w:asciiTheme="minorHAnsi" w:hAnsiTheme="minorHAnsi" w:cstheme="minorHAnsi"/>
                <w:sz w:val="24"/>
                <w:szCs w:val="24"/>
              </w:rPr>
              <w:t>工具</w:t>
            </w:r>
          </w:p>
        </w:tc>
        <w:tc>
          <w:tcPr>
            <w:tcW w:w="869" w:type="pct"/>
            <w:tcBorders>
              <w:top w:val="single" w:sz="4" w:space="0" w:color="auto"/>
              <w:left w:val="single" w:sz="8" w:space="0" w:color="BFBFBF"/>
              <w:bottom w:val="single" w:sz="4" w:space="0" w:color="auto"/>
              <w:right w:val="single" w:sz="8" w:space="0" w:color="BFBFBF"/>
            </w:tcBorders>
            <w:vAlign w:val="center"/>
            <w:hideMark/>
          </w:tcPr>
          <w:p w14:paraId="232FD9A9" w14:textId="77777777" w:rsidR="002B22E6" w:rsidRPr="00CA1A43" w:rsidRDefault="002B22E6" w:rsidP="002B22E6">
            <w:pPr>
              <w:pStyle w:val="Item"/>
              <w:jc w:val="center"/>
              <w:rPr>
                <w:rFonts w:asciiTheme="minorHAnsi" w:hAnsiTheme="minorHAnsi" w:cstheme="minorHAnsi"/>
                <w:sz w:val="24"/>
                <w:szCs w:val="24"/>
              </w:rPr>
            </w:pPr>
            <w:r w:rsidRPr="00CA1A43">
              <w:rPr>
                <w:rFonts w:asciiTheme="minorHAnsi" w:hAnsiTheme="minorHAnsi" w:cstheme="minorHAnsi"/>
                <w:sz w:val="24"/>
                <w:szCs w:val="24"/>
              </w:rPr>
              <w:t>個別風險</w:t>
            </w:r>
            <w:r w:rsidRPr="00CA1A43">
              <w:rPr>
                <w:rStyle w:val="a5"/>
                <w:rFonts w:asciiTheme="minorHAnsi" w:hAnsiTheme="minorHAnsi" w:cstheme="minorHAnsi"/>
                <w:sz w:val="24"/>
                <w:szCs w:val="24"/>
              </w:rPr>
              <w:footnoteReference w:id="75"/>
            </w:r>
          </w:p>
        </w:tc>
        <w:tc>
          <w:tcPr>
            <w:tcW w:w="2308" w:type="pct"/>
            <w:gridSpan w:val="2"/>
            <w:tcBorders>
              <w:top w:val="single" w:sz="4" w:space="0" w:color="auto"/>
              <w:left w:val="single" w:sz="8" w:space="0" w:color="BFBFBF"/>
              <w:bottom w:val="single" w:sz="4" w:space="0" w:color="auto"/>
              <w:right w:val="nil"/>
            </w:tcBorders>
            <w:vAlign w:val="center"/>
            <w:hideMark/>
          </w:tcPr>
          <w:p w14:paraId="7DBDE26C" w14:textId="77777777" w:rsidR="002B22E6" w:rsidRPr="00CA1A43" w:rsidRDefault="002B22E6"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一般市場風險</w:t>
            </w:r>
          </w:p>
        </w:tc>
      </w:tr>
      <w:tr w:rsidR="002B22E6" w:rsidRPr="00CA1A43" w14:paraId="330AB6C3" w14:textId="77777777" w:rsidTr="002B22E6">
        <w:tc>
          <w:tcPr>
            <w:tcW w:w="1823" w:type="pct"/>
            <w:tcBorders>
              <w:top w:val="single" w:sz="4" w:space="0" w:color="auto"/>
              <w:left w:val="nil"/>
              <w:bottom w:val="nil"/>
              <w:right w:val="single" w:sz="8" w:space="0" w:color="BFBFBF"/>
            </w:tcBorders>
            <w:hideMark/>
          </w:tcPr>
          <w:p w14:paraId="52AC036F"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集中市場或店頭市場期貨</w:t>
            </w:r>
          </w:p>
        </w:tc>
        <w:tc>
          <w:tcPr>
            <w:tcW w:w="869" w:type="pct"/>
            <w:tcBorders>
              <w:top w:val="nil"/>
              <w:left w:val="single" w:sz="8" w:space="0" w:color="BFBFBF"/>
              <w:bottom w:val="nil"/>
              <w:right w:val="single" w:sz="8" w:space="0" w:color="BFBFBF"/>
            </w:tcBorders>
          </w:tcPr>
          <w:p w14:paraId="2C0C98B6" w14:textId="77777777" w:rsidR="002B22E6" w:rsidRPr="00CA1A43" w:rsidRDefault="002B22E6" w:rsidP="00A5488F">
            <w:pPr>
              <w:pStyle w:val="Item"/>
              <w:jc w:val="center"/>
              <w:rPr>
                <w:rFonts w:asciiTheme="minorHAnsi" w:hAnsiTheme="minorHAnsi" w:cstheme="minorHAnsi"/>
                <w:sz w:val="24"/>
                <w:szCs w:val="24"/>
              </w:rPr>
            </w:pPr>
          </w:p>
        </w:tc>
        <w:tc>
          <w:tcPr>
            <w:tcW w:w="2308" w:type="pct"/>
            <w:gridSpan w:val="2"/>
            <w:tcBorders>
              <w:top w:val="single" w:sz="4" w:space="0" w:color="auto"/>
              <w:left w:val="single" w:sz="8" w:space="0" w:color="BFBFBF"/>
              <w:bottom w:val="nil"/>
              <w:right w:val="nil"/>
            </w:tcBorders>
            <w:vAlign w:val="center"/>
          </w:tcPr>
          <w:p w14:paraId="7A4B3A5B" w14:textId="77777777" w:rsidR="002B22E6" w:rsidRPr="00CA1A43" w:rsidRDefault="002B22E6" w:rsidP="00A5488F">
            <w:pPr>
              <w:pStyle w:val="Item"/>
              <w:rPr>
                <w:rFonts w:asciiTheme="minorHAnsi" w:hAnsiTheme="minorHAnsi" w:cstheme="minorHAnsi"/>
                <w:sz w:val="24"/>
                <w:szCs w:val="24"/>
              </w:rPr>
            </w:pPr>
          </w:p>
        </w:tc>
      </w:tr>
      <w:tr w:rsidR="002B22E6" w:rsidRPr="00CA1A43" w14:paraId="34BD630E" w14:textId="77777777" w:rsidTr="002B22E6">
        <w:tc>
          <w:tcPr>
            <w:tcW w:w="1823" w:type="pct"/>
            <w:tcBorders>
              <w:top w:val="nil"/>
              <w:left w:val="nil"/>
              <w:bottom w:val="nil"/>
              <w:right w:val="single" w:sz="8" w:space="0" w:color="BFBFBF"/>
            </w:tcBorders>
            <w:hideMark/>
          </w:tcPr>
          <w:p w14:paraId="3D121A80"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i/>
                <w:sz w:val="24"/>
                <w:szCs w:val="24"/>
              </w:rPr>
              <w:tab/>
            </w:r>
            <w:r w:rsidRPr="00CA1A43">
              <w:rPr>
                <w:rFonts w:asciiTheme="minorHAnsi" w:hAnsiTheme="minorHAnsi" w:cstheme="minorHAnsi"/>
                <w:sz w:val="24"/>
                <w:szCs w:val="24"/>
              </w:rPr>
              <w:t>個別權益證券</w:t>
            </w:r>
          </w:p>
        </w:tc>
        <w:tc>
          <w:tcPr>
            <w:tcW w:w="869" w:type="pct"/>
            <w:tcBorders>
              <w:top w:val="nil"/>
              <w:left w:val="single" w:sz="8" w:space="0" w:color="BFBFBF"/>
              <w:bottom w:val="nil"/>
              <w:right w:val="single" w:sz="8" w:space="0" w:color="BFBFBF"/>
            </w:tcBorders>
            <w:hideMark/>
          </w:tcPr>
          <w:p w14:paraId="7A8F7B29" w14:textId="77777777" w:rsidR="002B22E6" w:rsidRPr="00CA1A43" w:rsidRDefault="002B22E6"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p>
        </w:tc>
        <w:tc>
          <w:tcPr>
            <w:tcW w:w="2308" w:type="pct"/>
            <w:gridSpan w:val="2"/>
            <w:tcBorders>
              <w:top w:val="nil"/>
              <w:left w:val="single" w:sz="8" w:space="0" w:color="BFBFBF"/>
              <w:bottom w:val="nil"/>
              <w:right w:val="nil"/>
            </w:tcBorders>
            <w:vAlign w:val="center"/>
            <w:hideMark/>
          </w:tcPr>
          <w:p w14:paraId="6D74CBDA"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是，如同標的資產</w:t>
            </w:r>
          </w:p>
        </w:tc>
      </w:tr>
      <w:tr w:rsidR="002B22E6" w:rsidRPr="00CA1A43" w14:paraId="6E411403" w14:textId="77777777" w:rsidTr="002B22E6">
        <w:tc>
          <w:tcPr>
            <w:tcW w:w="1823" w:type="pct"/>
            <w:tcBorders>
              <w:top w:val="nil"/>
              <w:left w:val="nil"/>
              <w:bottom w:val="nil"/>
              <w:right w:val="single" w:sz="8" w:space="0" w:color="BFBFBF"/>
            </w:tcBorders>
            <w:hideMark/>
          </w:tcPr>
          <w:p w14:paraId="608DE979"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i/>
                <w:sz w:val="24"/>
                <w:szCs w:val="24"/>
              </w:rPr>
              <w:tab/>
            </w:r>
            <w:r w:rsidRPr="00CA1A43">
              <w:rPr>
                <w:rFonts w:asciiTheme="minorHAnsi" w:hAnsiTheme="minorHAnsi" w:cstheme="minorHAnsi"/>
                <w:sz w:val="24"/>
                <w:szCs w:val="24"/>
              </w:rPr>
              <w:t>指數</w:t>
            </w:r>
          </w:p>
        </w:tc>
        <w:tc>
          <w:tcPr>
            <w:tcW w:w="869" w:type="pct"/>
            <w:tcBorders>
              <w:top w:val="nil"/>
              <w:left w:val="single" w:sz="8" w:space="0" w:color="BFBFBF"/>
              <w:bottom w:val="nil"/>
              <w:right w:val="single" w:sz="8" w:space="0" w:color="BFBFBF"/>
            </w:tcBorders>
            <w:hideMark/>
          </w:tcPr>
          <w:p w14:paraId="3F42BB8C" w14:textId="77777777" w:rsidR="002B22E6" w:rsidRPr="00CA1A43" w:rsidRDefault="002B22E6"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2308" w:type="pct"/>
            <w:gridSpan w:val="2"/>
            <w:tcBorders>
              <w:top w:val="nil"/>
              <w:left w:val="single" w:sz="8" w:space="0" w:color="BFBFBF"/>
              <w:bottom w:val="nil"/>
              <w:right w:val="nil"/>
            </w:tcBorders>
            <w:vAlign w:val="center"/>
            <w:hideMark/>
          </w:tcPr>
          <w:p w14:paraId="7E21B59C"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是，如同標的資產</w:t>
            </w:r>
          </w:p>
        </w:tc>
      </w:tr>
      <w:tr w:rsidR="002B22E6" w:rsidRPr="00CA1A43" w14:paraId="2EC57DC2" w14:textId="77777777" w:rsidTr="002B22E6">
        <w:tc>
          <w:tcPr>
            <w:tcW w:w="1823" w:type="pct"/>
            <w:tcBorders>
              <w:top w:val="nil"/>
              <w:left w:val="nil"/>
              <w:bottom w:val="nil"/>
              <w:right w:val="single" w:sz="8" w:space="0" w:color="BFBFBF"/>
            </w:tcBorders>
            <w:hideMark/>
          </w:tcPr>
          <w:p w14:paraId="51A9981F"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選擇權</w:t>
            </w:r>
          </w:p>
        </w:tc>
        <w:tc>
          <w:tcPr>
            <w:tcW w:w="869" w:type="pct"/>
            <w:tcBorders>
              <w:top w:val="nil"/>
              <w:left w:val="single" w:sz="8" w:space="0" w:color="BFBFBF"/>
              <w:bottom w:val="nil"/>
              <w:right w:val="single" w:sz="8" w:space="0" w:color="BFBFBF"/>
            </w:tcBorders>
          </w:tcPr>
          <w:p w14:paraId="723DBFCA" w14:textId="77777777" w:rsidR="002B22E6" w:rsidRPr="00CA1A43" w:rsidRDefault="002B22E6" w:rsidP="00A5488F">
            <w:pPr>
              <w:pStyle w:val="Item"/>
              <w:jc w:val="center"/>
              <w:rPr>
                <w:rFonts w:asciiTheme="minorHAnsi" w:hAnsiTheme="minorHAnsi" w:cstheme="minorHAnsi"/>
                <w:sz w:val="24"/>
                <w:szCs w:val="24"/>
              </w:rPr>
            </w:pPr>
          </w:p>
        </w:tc>
        <w:tc>
          <w:tcPr>
            <w:tcW w:w="2308" w:type="pct"/>
            <w:gridSpan w:val="2"/>
            <w:tcBorders>
              <w:top w:val="nil"/>
              <w:left w:val="single" w:sz="8" w:space="0" w:color="BFBFBF"/>
              <w:bottom w:val="nil"/>
              <w:right w:val="nil"/>
            </w:tcBorders>
            <w:vAlign w:val="center"/>
            <w:hideMark/>
          </w:tcPr>
          <w:p w14:paraId="45F3A31E"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(a)</w:t>
            </w:r>
            <w:r w:rsidRPr="00CA1A43">
              <w:rPr>
                <w:rFonts w:asciiTheme="minorHAnsi" w:hAnsiTheme="minorHAnsi" w:cstheme="minorHAnsi"/>
                <w:sz w:val="24"/>
                <w:szCs w:val="24"/>
              </w:rPr>
              <w:t>或</w:t>
            </w:r>
            <w:r w:rsidRPr="00CA1A43">
              <w:rPr>
                <w:rFonts w:asciiTheme="minorHAnsi" w:hAnsiTheme="minorHAnsi" w:cstheme="minorHAnsi"/>
                <w:sz w:val="24"/>
                <w:szCs w:val="24"/>
              </w:rPr>
              <w:t>(b)</w:t>
            </w:r>
            <w:r w:rsidRPr="00CA1A43">
              <w:rPr>
                <w:rFonts w:asciiTheme="minorHAnsi" w:hAnsiTheme="minorHAnsi" w:cstheme="minorHAnsi"/>
                <w:sz w:val="24"/>
                <w:szCs w:val="24"/>
              </w:rPr>
              <w:t>擇</w:t>
            </w:r>
            <w:proofErr w:type="gramStart"/>
            <w:r w:rsidRPr="00CA1A43">
              <w:rPr>
                <w:rFonts w:asciiTheme="minorHAnsi" w:hAnsiTheme="minorHAnsi" w:cstheme="minorHAnsi"/>
                <w:sz w:val="24"/>
                <w:szCs w:val="24"/>
              </w:rPr>
              <w:t>一</w:t>
            </w:r>
            <w:proofErr w:type="gramEnd"/>
          </w:p>
        </w:tc>
      </w:tr>
      <w:tr w:rsidR="002B22E6" w:rsidRPr="00CA1A43" w14:paraId="23C9CA71" w14:textId="77777777" w:rsidTr="002B22E6">
        <w:tc>
          <w:tcPr>
            <w:tcW w:w="1823" w:type="pct"/>
            <w:tcBorders>
              <w:top w:val="nil"/>
              <w:left w:val="nil"/>
              <w:bottom w:val="nil"/>
              <w:right w:val="single" w:sz="8" w:space="0" w:color="BFBFBF"/>
            </w:tcBorders>
            <w:hideMark/>
          </w:tcPr>
          <w:p w14:paraId="6976365E"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i/>
                <w:sz w:val="24"/>
                <w:szCs w:val="24"/>
              </w:rPr>
              <w:tab/>
            </w:r>
            <w:r w:rsidRPr="00CA1A43">
              <w:rPr>
                <w:rFonts w:asciiTheme="minorHAnsi" w:hAnsiTheme="minorHAnsi" w:cstheme="minorHAnsi"/>
                <w:sz w:val="24"/>
                <w:szCs w:val="24"/>
              </w:rPr>
              <w:t>個別權益證券</w:t>
            </w:r>
          </w:p>
        </w:tc>
        <w:tc>
          <w:tcPr>
            <w:tcW w:w="869" w:type="pct"/>
            <w:tcBorders>
              <w:top w:val="nil"/>
              <w:left w:val="single" w:sz="8" w:space="0" w:color="BFBFBF"/>
              <w:bottom w:val="nil"/>
              <w:right w:val="single" w:sz="8" w:space="0" w:color="BFBFBF"/>
            </w:tcBorders>
            <w:hideMark/>
          </w:tcPr>
          <w:p w14:paraId="7710AB82" w14:textId="77777777" w:rsidR="002B22E6" w:rsidRPr="00CA1A43" w:rsidRDefault="002B22E6"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是</w:t>
            </w:r>
          </w:p>
        </w:tc>
        <w:tc>
          <w:tcPr>
            <w:tcW w:w="2308" w:type="pct"/>
            <w:gridSpan w:val="2"/>
            <w:tcBorders>
              <w:top w:val="nil"/>
              <w:left w:val="single" w:sz="8" w:space="0" w:color="BFBFBF"/>
              <w:bottom w:val="nil"/>
              <w:right w:val="nil"/>
            </w:tcBorders>
            <w:hideMark/>
          </w:tcPr>
          <w:p w14:paraId="559081A0"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 xml:space="preserve">(a) </w:t>
            </w:r>
            <w:r w:rsidRPr="00CA1A43">
              <w:rPr>
                <w:rFonts w:asciiTheme="minorHAnsi" w:hAnsiTheme="minorHAnsi" w:cstheme="minorHAnsi"/>
                <w:sz w:val="24"/>
                <w:szCs w:val="24"/>
              </w:rPr>
              <w:t>與相關避險部位一起合併：簡易法、情境分析法、內部模型。</w:t>
            </w:r>
          </w:p>
        </w:tc>
      </w:tr>
      <w:tr w:rsidR="002B22E6" w:rsidRPr="00CA1A43" w14:paraId="0E2F32D0" w14:textId="77777777" w:rsidTr="002B22E6">
        <w:tc>
          <w:tcPr>
            <w:tcW w:w="1823" w:type="pct"/>
            <w:tcBorders>
              <w:top w:val="nil"/>
              <w:left w:val="nil"/>
              <w:bottom w:val="single" w:sz="4" w:space="0" w:color="auto"/>
              <w:right w:val="single" w:sz="8" w:space="0" w:color="BFBFBF"/>
            </w:tcBorders>
            <w:hideMark/>
          </w:tcPr>
          <w:p w14:paraId="0F68196F"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i/>
                <w:sz w:val="24"/>
                <w:szCs w:val="24"/>
              </w:rPr>
              <w:tab/>
            </w:r>
            <w:r w:rsidRPr="00CA1A43">
              <w:rPr>
                <w:rFonts w:asciiTheme="minorHAnsi" w:hAnsiTheme="minorHAnsi" w:cstheme="minorHAnsi"/>
                <w:sz w:val="24"/>
                <w:szCs w:val="24"/>
              </w:rPr>
              <w:t>指數</w:t>
            </w:r>
          </w:p>
        </w:tc>
        <w:tc>
          <w:tcPr>
            <w:tcW w:w="869" w:type="pct"/>
            <w:tcBorders>
              <w:top w:val="nil"/>
              <w:left w:val="single" w:sz="8" w:space="0" w:color="BFBFBF"/>
              <w:bottom w:val="single" w:sz="4" w:space="0" w:color="auto"/>
              <w:right w:val="single" w:sz="8" w:space="0" w:color="BFBFBF"/>
            </w:tcBorders>
            <w:hideMark/>
          </w:tcPr>
          <w:p w14:paraId="27A47CA2" w14:textId="77777777" w:rsidR="002B22E6" w:rsidRPr="00CA1A43" w:rsidRDefault="002B22E6"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2308" w:type="pct"/>
            <w:gridSpan w:val="2"/>
            <w:tcBorders>
              <w:top w:val="nil"/>
              <w:left w:val="single" w:sz="8" w:space="0" w:color="BFBFBF"/>
              <w:bottom w:val="single" w:sz="4" w:space="0" w:color="auto"/>
              <w:right w:val="nil"/>
            </w:tcBorders>
            <w:hideMark/>
          </w:tcPr>
          <w:p w14:paraId="6C4E2D5D" w14:textId="77777777" w:rsidR="002B22E6" w:rsidRPr="00CA1A43" w:rsidRDefault="002B22E6" w:rsidP="00A5488F">
            <w:pPr>
              <w:pStyle w:val="Item"/>
              <w:rPr>
                <w:rFonts w:asciiTheme="minorHAnsi" w:hAnsiTheme="minorHAnsi" w:cstheme="minorHAnsi"/>
                <w:sz w:val="24"/>
                <w:szCs w:val="24"/>
              </w:rPr>
            </w:pPr>
            <w:r w:rsidRPr="00CA1A43">
              <w:rPr>
                <w:rFonts w:asciiTheme="minorHAnsi" w:hAnsiTheme="minorHAnsi" w:cstheme="minorHAnsi"/>
                <w:sz w:val="24"/>
                <w:szCs w:val="24"/>
              </w:rPr>
              <w:t xml:space="preserve">(b) </w:t>
            </w:r>
            <w:r w:rsidRPr="00CA1A43">
              <w:rPr>
                <w:rFonts w:asciiTheme="minorHAnsi" w:hAnsiTheme="minorHAnsi" w:cstheme="minorHAnsi"/>
                <w:sz w:val="24"/>
                <w:szCs w:val="24"/>
              </w:rPr>
              <w:t>根據敏感性分析</w:t>
            </w:r>
            <w:r w:rsidRPr="00CA1A43">
              <w:rPr>
                <w:rFonts w:asciiTheme="minorHAnsi" w:hAnsiTheme="minorHAnsi" w:cstheme="minorHAnsi"/>
                <w:sz w:val="24"/>
                <w:szCs w:val="24"/>
              </w:rPr>
              <w:t>(delta-plus)</w:t>
            </w:r>
            <w:r w:rsidRPr="00CA1A43">
              <w:rPr>
                <w:rFonts w:asciiTheme="minorHAnsi" w:hAnsiTheme="minorHAnsi" w:cstheme="minorHAnsi"/>
                <w:sz w:val="24"/>
                <w:szCs w:val="24"/>
              </w:rPr>
              <w:t>法來計提一般市場風險</w:t>
            </w:r>
            <w:r w:rsidRPr="00CA1A43">
              <w:rPr>
                <w:rFonts w:asciiTheme="minorHAnsi" w:hAnsiTheme="minorHAnsi" w:cstheme="minorHAnsi"/>
                <w:sz w:val="24"/>
                <w:szCs w:val="24"/>
              </w:rPr>
              <w:t xml:space="preserve"> (gamma</w:t>
            </w:r>
            <w:r w:rsidRPr="00CA1A43">
              <w:rPr>
                <w:rFonts w:asciiTheme="minorHAnsi" w:hAnsiTheme="minorHAnsi" w:cstheme="minorHAnsi"/>
                <w:sz w:val="24"/>
                <w:szCs w:val="24"/>
              </w:rPr>
              <w:t>與</w:t>
            </w:r>
            <w:proofErr w:type="spellStart"/>
            <w:r w:rsidRPr="00CA1A43">
              <w:rPr>
                <w:rFonts w:asciiTheme="minorHAnsi" w:hAnsiTheme="minorHAnsi" w:cstheme="minorHAnsi"/>
                <w:sz w:val="24"/>
                <w:szCs w:val="24"/>
              </w:rPr>
              <w:t>vega</w:t>
            </w:r>
            <w:proofErr w:type="spellEnd"/>
            <w:r w:rsidRPr="00CA1A43">
              <w:rPr>
                <w:rFonts w:asciiTheme="minorHAnsi" w:hAnsiTheme="minorHAnsi" w:cstheme="minorHAnsi"/>
                <w:sz w:val="24"/>
                <w:szCs w:val="24"/>
              </w:rPr>
              <w:t>應取得個別資本要求</w:t>
            </w:r>
            <w:r w:rsidRPr="00CA1A43">
              <w:rPr>
                <w:rFonts w:asciiTheme="minorHAnsi" w:hAnsiTheme="minorHAnsi" w:cstheme="minorHAnsi"/>
                <w:sz w:val="24"/>
                <w:szCs w:val="24"/>
              </w:rPr>
              <w:t>)</w:t>
            </w:r>
            <w:r w:rsidRPr="00CA1A43">
              <w:rPr>
                <w:rFonts w:asciiTheme="minorHAnsi" w:hAnsiTheme="minorHAnsi" w:cstheme="minorHAnsi"/>
                <w:sz w:val="24"/>
                <w:szCs w:val="24"/>
              </w:rPr>
              <w:t>。</w:t>
            </w:r>
          </w:p>
        </w:tc>
      </w:tr>
    </w:tbl>
    <w:p w14:paraId="43BD09F0" w14:textId="77777777" w:rsidR="005173A9" w:rsidRPr="00CA1A43" w:rsidRDefault="005173A9" w:rsidP="002410C6">
      <w:pPr>
        <w:pStyle w:val="a7"/>
        <w:numPr>
          <w:ilvl w:val="0"/>
          <w:numId w:val="180"/>
        </w:numPr>
        <w:spacing w:beforeLines="50" w:before="180"/>
        <w:ind w:leftChars="0" w:left="567" w:hanging="567"/>
        <w:jc w:val="both"/>
        <w:outlineLvl w:val="0"/>
        <w:rPr>
          <w:rFonts w:eastAsia="標楷體" w:cstheme="minorHAnsi"/>
          <w:szCs w:val="24"/>
        </w:rPr>
      </w:pPr>
      <w:bookmarkStart w:id="18" w:name="_Toc67992458"/>
      <w:r w:rsidRPr="00CA1A43">
        <w:rPr>
          <w:rFonts w:eastAsia="標楷體" w:cstheme="minorHAnsi"/>
          <w:szCs w:val="24"/>
        </w:rPr>
        <w:t>外匯風險</w:t>
      </w:r>
      <w:r w:rsidRPr="00CA1A43">
        <w:rPr>
          <w:rFonts w:eastAsia="標楷體" w:cstheme="minorHAnsi"/>
          <w:szCs w:val="24"/>
        </w:rPr>
        <w:t>(</w:t>
      </w:r>
      <w:r w:rsidRPr="00CA1A43">
        <w:rPr>
          <w:rFonts w:eastAsia="標楷體" w:cstheme="minorHAnsi"/>
          <w:szCs w:val="24"/>
        </w:rPr>
        <w:t>含黃金</w:t>
      </w:r>
      <w:r w:rsidRPr="00CA1A43">
        <w:rPr>
          <w:rFonts w:eastAsia="標楷體" w:cstheme="minorHAnsi"/>
          <w:szCs w:val="24"/>
        </w:rPr>
        <w:t>)</w:t>
      </w:r>
      <w:bookmarkEnd w:id="18"/>
    </w:p>
    <w:p w14:paraId="463314C1" w14:textId="77777777" w:rsidR="005173A9" w:rsidRPr="00CA1A43" w:rsidRDefault="005173A9" w:rsidP="008C0E02">
      <w:pPr>
        <w:pStyle w:val="a7"/>
        <w:numPr>
          <w:ilvl w:val="0"/>
          <w:numId w:val="214"/>
        </w:numPr>
        <w:spacing w:beforeLines="50" w:before="180"/>
        <w:ind w:leftChars="0" w:left="737" w:hanging="737"/>
        <w:jc w:val="both"/>
        <w:rPr>
          <w:rFonts w:eastAsia="標楷體" w:cstheme="minorHAnsi"/>
          <w:i/>
          <w:szCs w:val="24"/>
          <w:lang w:eastAsia="zh-HK"/>
        </w:rPr>
      </w:pPr>
      <w:r w:rsidRPr="00CA1A43">
        <w:rPr>
          <w:rFonts w:eastAsia="標楷體" w:cstheme="minorHAnsi"/>
          <w:szCs w:val="24"/>
        </w:rPr>
        <w:t>計算範圍</w:t>
      </w:r>
      <w:r w:rsidRPr="00CA1A43">
        <w:rPr>
          <w:rFonts w:eastAsia="標楷體" w:cstheme="minorHAnsi"/>
          <w:szCs w:val="24"/>
        </w:rPr>
        <w:br/>
      </w:r>
      <w:r w:rsidRPr="00CA1A43">
        <w:rPr>
          <w:rFonts w:eastAsia="標楷體" w:cstheme="minorHAnsi"/>
        </w:rPr>
        <w:t>持有或承擔外匯部位</w:t>
      </w:r>
      <w:r w:rsidRPr="00CA1A43">
        <w:rPr>
          <w:rFonts w:eastAsia="標楷體" w:cstheme="minorHAnsi"/>
        </w:rPr>
        <w:t>(</w:t>
      </w:r>
      <w:r w:rsidRPr="00CA1A43">
        <w:rPr>
          <w:rFonts w:eastAsia="標楷體" w:cstheme="minorHAnsi"/>
        </w:rPr>
        <w:t>包含黃金</w:t>
      </w:r>
      <w:r w:rsidRPr="00CA1A43">
        <w:rPr>
          <w:rFonts w:eastAsia="標楷體" w:cstheme="minorHAnsi"/>
        </w:rPr>
        <w:t>)</w:t>
      </w:r>
      <w:r w:rsidRPr="00CA1A43">
        <w:rPr>
          <w:rFonts w:eastAsia="標楷體" w:cstheme="minorHAnsi"/>
        </w:rPr>
        <w:t>的風險。</w:t>
      </w:r>
    </w:p>
    <w:p w14:paraId="30AFFE6A" w14:textId="77777777" w:rsidR="002410C6" w:rsidRPr="00CA1A43" w:rsidRDefault="002410C6" w:rsidP="008C0E02">
      <w:pPr>
        <w:pStyle w:val="a7"/>
        <w:numPr>
          <w:ilvl w:val="0"/>
          <w:numId w:val="214"/>
        </w:numPr>
        <w:spacing w:beforeLines="50" w:before="180"/>
        <w:ind w:leftChars="0" w:left="737" w:hanging="737"/>
        <w:jc w:val="both"/>
        <w:rPr>
          <w:rFonts w:eastAsia="標楷體" w:cstheme="minorHAnsi"/>
          <w:kern w:val="0"/>
          <w:szCs w:val="24"/>
        </w:rPr>
      </w:pPr>
      <w:r w:rsidRPr="00CA1A43">
        <w:rPr>
          <w:rFonts w:eastAsia="標楷體" w:cstheme="minorHAnsi"/>
          <w:kern w:val="0"/>
          <w:szCs w:val="24"/>
        </w:rPr>
        <w:t>計算過程</w:t>
      </w:r>
      <w:r w:rsidRPr="00CA1A43">
        <w:rPr>
          <w:rFonts w:eastAsia="標楷體" w:cstheme="minorHAnsi"/>
          <w:kern w:val="0"/>
          <w:szCs w:val="24"/>
        </w:rPr>
        <w:br/>
      </w:r>
      <w:r w:rsidRPr="00CA1A43">
        <w:rPr>
          <w:rFonts w:eastAsia="標楷體" w:cstheme="minorHAnsi"/>
          <w:szCs w:val="24"/>
        </w:rPr>
        <w:t>先衡量單一</w:t>
      </w:r>
      <w:proofErr w:type="gramStart"/>
      <w:r w:rsidRPr="00CA1A43">
        <w:rPr>
          <w:rFonts w:eastAsia="標楷體" w:cstheme="minorHAnsi"/>
          <w:szCs w:val="24"/>
        </w:rPr>
        <w:t>貨幣暴險部位</w:t>
      </w:r>
      <w:proofErr w:type="gramEnd"/>
      <w:r w:rsidRPr="00CA1A43">
        <w:rPr>
          <w:rFonts w:eastAsia="標楷體" w:cstheme="minorHAnsi"/>
          <w:szCs w:val="24"/>
        </w:rPr>
        <w:t>，再換算為本國貨幣，計算各種幣別</w:t>
      </w:r>
      <w:proofErr w:type="gramStart"/>
      <w:r w:rsidRPr="00CA1A43">
        <w:rPr>
          <w:rFonts w:eastAsia="標楷體" w:cstheme="minorHAnsi"/>
          <w:szCs w:val="24"/>
        </w:rPr>
        <w:t>之</w:t>
      </w:r>
      <w:proofErr w:type="gramEnd"/>
      <w:r w:rsidRPr="00CA1A43">
        <w:rPr>
          <w:rFonts w:eastAsia="標楷體" w:cstheme="minorHAnsi"/>
          <w:szCs w:val="24"/>
        </w:rPr>
        <w:t>長、短部位；其次衡量不同外幣組合及黃金組合其所需計提資本。有關銀行計提外匯風險所需資本之方式，分別說明如下：</w:t>
      </w:r>
    </w:p>
    <w:p w14:paraId="6ABFFB3A" w14:textId="77777777" w:rsidR="002410C6" w:rsidRPr="00CA1A43" w:rsidRDefault="002410C6" w:rsidP="008C0E02">
      <w:pPr>
        <w:pStyle w:val="a7"/>
        <w:numPr>
          <w:ilvl w:val="0"/>
          <w:numId w:val="215"/>
        </w:numPr>
        <w:spacing w:beforeLines="50" w:before="180"/>
        <w:ind w:leftChars="0" w:left="964" w:hanging="482"/>
        <w:jc w:val="both"/>
        <w:rPr>
          <w:rFonts w:eastAsia="標楷體" w:cstheme="minorHAnsi"/>
          <w:kern w:val="0"/>
          <w:szCs w:val="24"/>
        </w:rPr>
      </w:pPr>
      <w:r w:rsidRPr="00CA1A43">
        <w:rPr>
          <w:rFonts w:eastAsia="標楷體" w:cstheme="minorHAnsi"/>
          <w:szCs w:val="24"/>
        </w:rPr>
        <w:t>衡量單一幣</w:t>
      </w:r>
      <w:proofErr w:type="gramStart"/>
      <w:r w:rsidRPr="00CA1A43">
        <w:rPr>
          <w:rFonts w:eastAsia="標楷體" w:cstheme="minorHAnsi"/>
          <w:szCs w:val="24"/>
        </w:rPr>
        <w:t>別暴險</w:t>
      </w:r>
      <w:proofErr w:type="gramEnd"/>
      <w:r w:rsidRPr="00CA1A43">
        <w:rPr>
          <w:rFonts w:eastAsia="標楷體" w:cstheme="minorHAnsi"/>
          <w:szCs w:val="24"/>
        </w:rPr>
        <w:t>部位</w:t>
      </w:r>
    </w:p>
    <w:p w14:paraId="6215CE4A" w14:textId="77777777" w:rsidR="002410C6" w:rsidRPr="00CA1A43" w:rsidRDefault="002410C6" w:rsidP="001437B7">
      <w:pPr>
        <w:pStyle w:val="a7"/>
        <w:spacing w:beforeLines="50" w:before="180"/>
        <w:ind w:leftChars="0" w:left="964"/>
        <w:jc w:val="both"/>
        <w:rPr>
          <w:rFonts w:eastAsia="標楷體" w:cstheme="minorHAnsi"/>
          <w:szCs w:val="24"/>
        </w:rPr>
      </w:pPr>
      <w:r w:rsidRPr="00CA1A43">
        <w:rPr>
          <w:rFonts w:eastAsia="標楷體" w:cstheme="minorHAnsi"/>
          <w:szCs w:val="24"/>
        </w:rPr>
        <w:t>銀行應計算每一種貨幣</w:t>
      </w:r>
      <w:r w:rsidRPr="00CA1A43">
        <w:rPr>
          <w:rFonts w:eastAsia="標楷體" w:cstheme="minorHAnsi"/>
          <w:szCs w:val="24"/>
        </w:rPr>
        <w:t>(</w:t>
      </w:r>
      <w:r w:rsidRPr="00CA1A43">
        <w:rPr>
          <w:rFonts w:eastAsia="標楷體" w:cstheme="minorHAnsi"/>
          <w:szCs w:val="24"/>
        </w:rPr>
        <w:t>除本國貨幣</w:t>
      </w:r>
      <w:r w:rsidRPr="00CA1A43">
        <w:rPr>
          <w:rFonts w:eastAsia="標楷體" w:cstheme="minorHAnsi"/>
        </w:rPr>
        <w:t>)</w:t>
      </w:r>
      <w:r w:rsidRPr="00CA1A43">
        <w:rPr>
          <w:rFonts w:eastAsia="標楷體" w:cstheme="minorHAnsi"/>
          <w:szCs w:val="24"/>
        </w:rPr>
        <w:t>之</w:t>
      </w:r>
      <w:proofErr w:type="gramStart"/>
      <w:r w:rsidRPr="00CA1A43">
        <w:rPr>
          <w:rFonts w:eastAsia="標楷體" w:cstheme="minorHAnsi"/>
          <w:szCs w:val="24"/>
        </w:rPr>
        <w:t>下列淨</w:t>
      </w:r>
      <w:proofErr w:type="gramEnd"/>
      <w:r w:rsidRPr="00CA1A43">
        <w:rPr>
          <w:rFonts w:eastAsia="標楷體" w:cstheme="minorHAnsi"/>
          <w:szCs w:val="24"/>
        </w:rPr>
        <w:t>開放部位</w:t>
      </w:r>
      <w:r w:rsidRPr="00CA1A43">
        <w:rPr>
          <w:rFonts w:eastAsia="標楷體" w:cstheme="minorHAnsi"/>
          <w:szCs w:val="24"/>
        </w:rPr>
        <w:t>(net open position</w:t>
      </w:r>
      <w:r w:rsidRPr="00CA1A43">
        <w:rPr>
          <w:rFonts w:eastAsia="標楷體" w:cstheme="minorHAnsi"/>
        </w:rPr>
        <w:t>)</w:t>
      </w:r>
      <w:r w:rsidRPr="00CA1A43">
        <w:rPr>
          <w:rFonts w:eastAsia="標楷體" w:cstheme="minorHAnsi"/>
          <w:szCs w:val="24"/>
        </w:rPr>
        <w:t>：</w:t>
      </w:r>
    </w:p>
    <w:p w14:paraId="7997CE23" w14:textId="77777777" w:rsidR="002410C6" w:rsidRPr="00CA1A43" w:rsidRDefault="002410C6" w:rsidP="008C0E02">
      <w:pPr>
        <w:pStyle w:val="a7"/>
        <w:numPr>
          <w:ilvl w:val="0"/>
          <w:numId w:val="216"/>
        </w:numPr>
        <w:spacing w:beforeLines="50" w:before="180"/>
        <w:ind w:leftChars="0" w:left="1446" w:hanging="482"/>
        <w:jc w:val="both"/>
        <w:rPr>
          <w:rFonts w:eastAsia="標楷體" w:cstheme="minorHAnsi"/>
          <w:szCs w:val="24"/>
        </w:rPr>
      </w:pPr>
      <w:proofErr w:type="gramStart"/>
      <w:r w:rsidRPr="00CA1A43">
        <w:rPr>
          <w:rFonts w:eastAsia="標楷體" w:cstheme="minorHAnsi"/>
          <w:szCs w:val="24"/>
        </w:rPr>
        <w:t>即期淨</w:t>
      </w:r>
      <w:r w:rsidRPr="00CA1A43">
        <w:rPr>
          <w:rFonts w:eastAsia="標楷體" w:cstheme="minorHAnsi"/>
        </w:rPr>
        <w:t>部位</w:t>
      </w:r>
      <w:proofErr w:type="gramEnd"/>
      <w:r w:rsidRPr="00CA1A43">
        <w:rPr>
          <w:rFonts w:eastAsia="標楷體" w:cstheme="minorHAnsi"/>
          <w:szCs w:val="24"/>
        </w:rPr>
        <w:br/>
      </w:r>
      <w:r w:rsidRPr="00CA1A43">
        <w:rPr>
          <w:rFonts w:eastAsia="標楷體" w:cstheme="minorHAnsi"/>
          <w:szCs w:val="24"/>
        </w:rPr>
        <w:t>指所有即期外匯開放部位，即所有資產項目減所有負債項目，包括</w:t>
      </w:r>
      <w:r w:rsidRPr="00CA1A43">
        <w:rPr>
          <w:rFonts w:eastAsia="標楷體" w:cstheme="minorHAnsi"/>
          <w:szCs w:val="24"/>
        </w:rPr>
        <w:lastRenderedPageBreak/>
        <w:t>幣別計價之損益項目。</w:t>
      </w:r>
    </w:p>
    <w:p w14:paraId="4FCC0C13" w14:textId="77777777" w:rsidR="002410C6" w:rsidRPr="00CA1A43" w:rsidRDefault="002410C6" w:rsidP="008C0E02">
      <w:pPr>
        <w:pStyle w:val="a7"/>
        <w:numPr>
          <w:ilvl w:val="0"/>
          <w:numId w:val="216"/>
        </w:numPr>
        <w:spacing w:beforeLines="50" w:before="180"/>
        <w:ind w:leftChars="0" w:left="1446" w:hanging="482"/>
        <w:jc w:val="both"/>
        <w:rPr>
          <w:rFonts w:eastAsia="標楷體" w:cstheme="minorHAnsi"/>
          <w:kern w:val="0"/>
          <w:szCs w:val="24"/>
        </w:rPr>
      </w:pPr>
      <w:r w:rsidRPr="00CA1A43">
        <w:rPr>
          <w:rFonts w:eastAsia="標楷體" w:cstheme="minorHAnsi"/>
          <w:szCs w:val="24"/>
        </w:rPr>
        <w:t>遠期淨部位</w:t>
      </w:r>
      <w:r w:rsidRPr="00CA1A43">
        <w:rPr>
          <w:rFonts w:eastAsia="標楷體" w:cstheme="minorHAnsi"/>
          <w:szCs w:val="24"/>
        </w:rPr>
        <w:br/>
      </w:r>
      <w:r w:rsidRPr="00CA1A43">
        <w:rPr>
          <w:rFonts w:eastAsia="標楷體" w:cstheme="minorHAnsi"/>
          <w:szCs w:val="24"/>
        </w:rPr>
        <w:t>即在遠期外匯交易下所有收到的數量減去所有支付的數量，包括外匯期貨與外匯交換的本金，但不含即期部位的本金。</w:t>
      </w:r>
    </w:p>
    <w:p w14:paraId="61F81C60" w14:textId="2735A7FB" w:rsidR="002410C6" w:rsidRPr="00CA1A43" w:rsidRDefault="002410C6" w:rsidP="008C0E02">
      <w:pPr>
        <w:pStyle w:val="a7"/>
        <w:numPr>
          <w:ilvl w:val="0"/>
          <w:numId w:val="216"/>
        </w:numPr>
        <w:spacing w:beforeLines="50" w:before="180"/>
        <w:ind w:leftChars="0" w:left="1446" w:hanging="482"/>
        <w:jc w:val="both"/>
        <w:rPr>
          <w:rFonts w:eastAsia="標楷體" w:cstheme="minorHAnsi"/>
          <w:kern w:val="0"/>
          <w:szCs w:val="24"/>
        </w:rPr>
      </w:pPr>
      <w:r w:rsidRPr="00CA1A43">
        <w:rPr>
          <w:rFonts w:eastAsia="標楷體" w:cstheme="minorHAnsi"/>
        </w:rPr>
        <w:t>保證</w:t>
      </w:r>
      <w:r w:rsidRPr="00CA1A43">
        <w:rPr>
          <w:rFonts w:eastAsia="標楷體" w:cstheme="minorHAnsi"/>
          <w:szCs w:val="24"/>
        </w:rPr>
        <w:br/>
      </w:r>
      <w:r w:rsidRPr="00CA1A43">
        <w:rPr>
          <w:rFonts w:eastAsia="標楷體" w:cstheme="minorHAnsi"/>
          <w:szCs w:val="24"/>
        </w:rPr>
        <w:t>已確定會被執行而且撤銷的可能性不大者之保證</w:t>
      </w:r>
      <w:r w:rsidRPr="00CA1A43">
        <w:rPr>
          <w:rFonts w:eastAsia="標楷體" w:cstheme="minorHAnsi"/>
        </w:rPr>
        <w:t>(</w:t>
      </w:r>
      <w:r w:rsidRPr="00CA1A43">
        <w:rPr>
          <w:rFonts w:eastAsia="標楷體" w:cstheme="minorHAnsi"/>
          <w:szCs w:val="24"/>
        </w:rPr>
        <w:t>及類似</w:t>
      </w:r>
      <w:r w:rsidRPr="005834C8">
        <w:rPr>
          <w:rFonts w:eastAsia="標楷體" w:cstheme="minorHAnsi"/>
          <w:szCs w:val="24"/>
        </w:rPr>
        <w:t>之</w:t>
      </w:r>
      <w:r w:rsidR="009653EE" w:rsidRPr="005834C8">
        <w:rPr>
          <w:rFonts w:eastAsia="標楷體" w:cstheme="minorHAnsi"/>
          <w:szCs w:val="24"/>
        </w:rPr>
        <w:t>工具</w:t>
      </w:r>
      <w:r w:rsidRPr="005834C8">
        <w:rPr>
          <w:rFonts w:eastAsia="標楷體" w:cstheme="minorHAnsi"/>
        </w:rPr>
        <w:t>)</w:t>
      </w:r>
      <w:r w:rsidRPr="00CA1A43">
        <w:rPr>
          <w:rFonts w:eastAsia="標楷體" w:cstheme="minorHAnsi"/>
          <w:szCs w:val="24"/>
        </w:rPr>
        <w:t>。</w:t>
      </w:r>
    </w:p>
    <w:p w14:paraId="06658929" w14:textId="77777777" w:rsidR="002410C6" w:rsidRPr="00CA1A43" w:rsidRDefault="002410C6" w:rsidP="008C0E02">
      <w:pPr>
        <w:pStyle w:val="a7"/>
        <w:numPr>
          <w:ilvl w:val="0"/>
          <w:numId w:val="216"/>
        </w:numPr>
        <w:spacing w:beforeLines="50" w:before="180"/>
        <w:ind w:leftChars="0" w:left="1446" w:hanging="482"/>
        <w:jc w:val="both"/>
        <w:rPr>
          <w:rFonts w:eastAsia="標楷體" w:cstheme="minorHAnsi"/>
          <w:kern w:val="0"/>
          <w:szCs w:val="24"/>
        </w:rPr>
      </w:pPr>
      <w:r w:rsidRPr="00CA1A43">
        <w:rPr>
          <w:rFonts w:eastAsia="標楷體" w:cstheme="minorHAnsi"/>
        </w:rPr>
        <w:t>尚未計入但</w:t>
      </w:r>
      <w:r w:rsidRPr="00CA1A43">
        <w:rPr>
          <w:rFonts w:eastAsia="標楷體" w:cstheme="minorHAnsi"/>
          <w:szCs w:val="24"/>
        </w:rPr>
        <w:t>已避險之淨收入或費用</w:t>
      </w:r>
      <w:r w:rsidRPr="00CA1A43">
        <w:rPr>
          <w:rFonts w:eastAsia="標楷體" w:cstheme="minorHAnsi"/>
          <w:szCs w:val="24"/>
        </w:rPr>
        <w:br/>
      </w:r>
      <w:r w:rsidRPr="00CA1A43">
        <w:rPr>
          <w:rFonts w:eastAsia="標楷體" w:cstheme="minorHAnsi"/>
          <w:szCs w:val="24"/>
        </w:rPr>
        <w:t>未來之淨收入或費用雖未依權責發生制</w:t>
      </w:r>
      <w:proofErr w:type="gramStart"/>
      <w:r w:rsidRPr="00CA1A43">
        <w:rPr>
          <w:rFonts w:eastAsia="標楷體" w:cstheme="minorHAnsi"/>
          <w:szCs w:val="24"/>
        </w:rPr>
        <w:t>入帳</w:t>
      </w:r>
      <w:proofErr w:type="gramEnd"/>
      <w:r w:rsidRPr="00CA1A43">
        <w:rPr>
          <w:rFonts w:eastAsia="標楷體" w:cstheme="minorHAnsi"/>
          <w:szCs w:val="24"/>
        </w:rPr>
        <w:t>，但銀行已針對其現金流量完全避險者。</w:t>
      </w:r>
    </w:p>
    <w:p w14:paraId="004BAE29" w14:textId="77777777" w:rsidR="002410C6" w:rsidRPr="00CA1A43" w:rsidRDefault="002410C6" w:rsidP="008C0E02">
      <w:pPr>
        <w:pStyle w:val="a7"/>
        <w:numPr>
          <w:ilvl w:val="0"/>
          <w:numId w:val="216"/>
        </w:numPr>
        <w:spacing w:beforeLines="50" w:before="180"/>
        <w:ind w:leftChars="0" w:left="1446" w:hanging="482"/>
        <w:jc w:val="both"/>
        <w:rPr>
          <w:rFonts w:eastAsia="標楷體" w:cstheme="minorHAnsi"/>
          <w:szCs w:val="24"/>
        </w:rPr>
      </w:pPr>
      <w:r w:rsidRPr="00CA1A43">
        <w:rPr>
          <w:rFonts w:eastAsia="標楷體" w:cstheme="minorHAnsi"/>
          <w:szCs w:val="24"/>
        </w:rPr>
        <w:t>外匯選擇權之</w:t>
      </w:r>
      <w:proofErr w:type="gramStart"/>
      <w:r w:rsidRPr="00CA1A43">
        <w:rPr>
          <w:rFonts w:eastAsia="標楷體" w:cstheme="minorHAnsi"/>
          <w:szCs w:val="24"/>
        </w:rPr>
        <w:t>全部簿別的</w:t>
      </w:r>
      <w:proofErr w:type="gramEnd"/>
      <w:r w:rsidRPr="00CA1A43">
        <w:rPr>
          <w:rFonts w:eastAsia="標楷體" w:cstheme="minorHAnsi"/>
          <w:szCs w:val="24"/>
        </w:rPr>
        <w:t>淨</w:t>
      </w:r>
      <w:r w:rsidRPr="00CA1A43">
        <w:rPr>
          <w:rFonts w:eastAsia="標楷體" w:cstheme="minorHAnsi"/>
          <w:szCs w:val="24"/>
        </w:rPr>
        <w:t>Delta</w:t>
      </w:r>
      <w:r w:rsidRPr="00CA1A43">
        <w:rPr>
          <w:rFonts w:eastAsia="標楷體" w:cstheme="minorHAnsi"/>
          <w:szCs w:val="24"/>
        </w:rPr>
        <w:t>約當部位</w:t>
      </w:r>
      <w:r w:rsidRPr="00CA1A43">
        <w:rPr>
          <w:rStyle w:val="a5"/>
          <w:rFonts w:eastAsia="標楷體" w:cstheme="minorHAnsi"/>
          <w:szCs w:val="24"/>
        </w:rPr>
        <w:footnoteReference w:id="76"/>
      </w:r>
      <w:r w:rsidRPr="00CA1A43">
        <w:rPr>
          <w:rFonts w:eastAsia="標楷體" w:cstheme="minorHAnsi"/>
          <w:szCs w:val="24"/>
        </w:rPr>
        <w:t>。</w:t>
      </w:r>
    </w:p>
    <w:p w14:paraId="7264FA36" w14:textId="77777777" w:rsidR="002410C6" w:rsidRPr="00CA1A43" w:rsidRDefault="002410C6" w:rsidP="008C0E02">
      <w:pPr>
        <w:pStyle w:val="a7"/>
        <w:numPr>
          <w:ilvl w:val="0"/>
          <w:numId w:val="215"/>
        </w:numPr>
        <w:spacing w:beforeLines="50" w:before="180"/>
        <w:ind w:leftChars="0" w:left="964" w:hanging="482"/>
        <w:jc w:val="both"/>
        <w:rPr>
          <w:rFonts w:eastAsia="標楷體" w:cstheme="minorHAnsi"/>
          <w:kern w:val="0"/>
          <w:szCs w:val="24"/>
        </w:rPr>
      </w:pPr>
      <w:r w:rsidRPr="00CA1A43">
        <w:rPr>
          <w:rFonts w:eastAsia="標楷體" w:cstheme="minorHAnsi"/>
          <w:szCs w:val="24"/>
        </w:rPr>
        <w:t>一籃貨幣之部位</w:t>
      </w:r>
    </w:p>
    <w:p w14:paraId="26DFE6FA" w14:textId="77777777" w:rsidR="002410C6" w:rsidRPr="00CA1A43" w:rsidRDefault="002410C6" w:rsidP="001437B7">
      <w:pPr>
        <w:pStyle w:val="a7"/>
        <w:spacing w:beforeLines="50" w:before="180"/>
        <w:ind w:leftChars="0" w:left="964"/>
        <w:jc w:val="both"/>
        <w:rPr>
          <w:rFonts w:eastAsia="標楷體" w:cstheme="minorHAnsi"/>
          <w:i/>
          <w:szCs w:val="24"/>
          <w:lang w:eastAsia="zh-HK"/>
        </w:rPr>
      </w:pPr>
      <w:r w:rsidRPr="00CA1A43">
        <w:rPr>
          <w:rFonts w:eastAsia="標楷體" w:cstheme="minorHAnsi"/>
          <w:szCs w:val="24"/>
        </w:rPr>
        <w:t>一籃貨幣的部位在衡量銀行的開放部位時，可以當作一個單獨的貨幣，或依其組成的成份分開計算，但其處理需一致性</w:t>
      </w:r>
      <w:r w:rsidRPr="00CA1A43">
        <w:rPr>
          <w:rFonts w:eastAsia="標楷體" w:cstheme="minorHAnsi"/>
        </w:rPr>
        <w:t>。</w:t>
      </w:r>
    </w:p>
    <w:p w14:paraId="76ACC255" w14:textId="77777777" w:rsidR="002410C6" w:rsidRPr="00CA1A43" w:rsidRDefault="002410C6" w:rsidP="008C0E02">
      <w:pPr>
        <w:pStyle w:val="a7"/>
        <w:numPr>
          <w:ilvl w:val="0"/>
          <w:numId w:val="215"/>
        </w:numPr>
        <w:spacing w:beforeLines="50" w:before="180"/>
        <w:ind w:leftChars="0" w:left="964" w:hanging="482"/>
        <w:jc w:val="both"/>
        <w:rPr>
          <w:rFonts w:eastAsia="標楷體" w:cstheme="minorHAnsi"/>
          <w:kern w:val="0"/>
          <w:szCs w:val="24"/>
        </w:rPr>
      </w:pPr>
      <w:r w:rsidRPr="00CA1A43">
        <w:rPr>
          <w:rFonts w:eastAsia="標楷體" w:cstheme="minorHAnsi"/>
          <w:szCs w:val="24"/>
        </w:rPr>
        <w:t>當黃金是遠期契約的一部份時，契約如涉及利率或遠期外匯等，則依利率、匯率等相關規定計算</w:t>
      </w:r>
      <w:proofErr w:type="gramStart"/>
      <w:r w:rsidRPr="00CA1A43">
        <w:rPr>
          <w:rFonts w:eastAsia="標楷體" w:cstheme="minorHAnsi"/>
          <w:szCs w:val="24"/>
        </w:rPr>
        <w:t>其暴險</w:t>
      </w:r>
      <w:proofErr w:type="gramEnd"/>
      <w:r w:rsidRPr="00CA1A43">
        <w:rPr>
          <w:rFonts w:eastAsia="標楷體" w:cstheme="minorHAnsi"/>
          <w:szCs w:val="24"/>
        </w:rPr>
        <w:t>。另外匯及黃金選擇權交易應依選擇權相關規定計算。</w:t>
      </w:r>
    </w:p>
    <w:p w14:paraId="5CA83BF3" w14:textId="77777777" w:rsidR="001437B7" w:rsidRPr="00CA1A43" w:rsidRDefault="001437B7" w:rsidP="008C0E02">
      <w:pPr>
        <w:pStyle w:val="a7"/>
        <w:numPr>
          <w:ilvl w:val="0"/>
          <w:numId w:val="215"/>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利息及其他收入與費用之處理</w:t>
      </w:r>
    </w:p>
    <w:p w14:paraId="3D10C9E5" w14:textId="77777777" w:rsidR="001437B7" w:rsidRPr="00CA1A43" w:rsidRDefault="001437B7" w:rsidP="001437B7">
      <w:pPr>
        <w:pStyle w:val="a7"/>
        <w:spacing w:beforeLines="50" w:before="180"/>
        <w:ind w:leftChars="0" w:left="964"/>
        <w:jc w:val="both"/>
        <w:rPr>
          <w:rFonts w:eastAsia="標楷體" w:cstheme="minorHAnsi"/>
          <w:kern w:val="0"/>
          <w:szCs w:val="24"/>
        </w:rPr>
      </w:pPr>
      <w:r w:rsidRPr="00CA1A43">
        <w:rPr>
          <w:rFonts w:eastAsia="標楷體" w:cstheme="minorHAnsi"/>
          <w:kern w:val="0"/>
          <w:szCs w:val="24"/>
        </w:rPr>
        <w:t>應收利息</w:t>
      </w:r>
      <w:r w:rsidRPr="00CA1A43">
        <w:rPr>
          <w:rFonts w:eastAsia="標楷體" w:cstheme="minorHAnsi"/>
          <w:szCs w:val="24"/>
          <w:lang w:eastAsia="zh-HK"/>
        </w:rPr>
        <w:t>(</w:t>
      </w:r>
      <w:r w:rsidRPr="00CA1A43">
        <w:rPr>
          <w:rFonts w:eastAsia="標楷體" w:cstheme="minorHAnsi"/>
          <w:kern w:val="0"/>
          <w:szCs w:val="24"/>
        </w:rPr>
        <w:t>即已賺取但</w:t>
      </w:r>
      <w:proofErr w:type="gramStart"/>
      <w:r w:rsidRPr="00CA1A43">
        <w:rPr>
          <w:rFonts w:eastAsia="標楷體" w:cstheme="minorHAnsi"/>
          <w:kern w:val="0"/>
          <w:szCs w:val="24"/>
        </w:rPr>
        <w:t>尚未收妥</w:t>
      </w:r>
      <w:proofErr w:type="gramEnd"/>
      <w:r w:rsidRPr="00CA1A43">
        <w:rPr>
          <w:rFonts w:eastAsia="標楷體" w:cstheme="minorHAnsi"/>
          <w:szCs w:val="24"/>
          <w:lang w:eastAsia="zh-HK"/>
        </w:rPr>
        <w:t>)</w:t>
      </w:r>
      <w:r w:rsidRPr="00CA1A43">
        <w:rPr>
          <w:rFonts w:eastAsia="標楷體" w:cstheme="minorHAnsi"/>
          <w:kern w:val="0"/>
          <w:szCs w:val="24"/>
        </w:rPr>
        <w:t>應包括在部位之內，應付費用亦同。尚未賺取的預期未來之利息及費用</w:t>
      </w:r>
      <w:proofErr w:type="gramStart"/>
      <w:r w:rsidRPr="00CA1A43">
        <w:rPr>
          <w:rFonts w:eastAsia="標楷體" w:cstheme="minorHAnsi"/>
          <w:kern w:val="0"/>
          <w:szCs w:val="24"/>
        </w:rPr>
        <w:t>不予計</w:t>
      </w:r>
      <w:proofErr w:type="gramEnd"/>
      <w:r w:rsidRPr="00CA1A43">
        <w:rPr>
          <w:rFonts w:eastAsia="標楷體" w:cstheme="minorHAnsi"/>
          <w:kern w:val="0"/>
          <w:szCs w:val="24"/>
        </w:rPr>
        <w:t>入，除非金額已確定且銀行也對其現金流量加以避險。如果銀行部位包括未來之收入及費用者，應具有持續性及一致性，不得僅選擇有助於降低其部位風險之收入及費用。</w:t>
      </w:r>
    </w:p>
    <w:p w14:paraId="481E3041" w14:textId="77777777" w:rsidR="00BB7661" w:rsidRPr="00CA1A43" w:rsidRDefault="00BB7661" w:rsidP="008C0E02">
      <w:pPr>
        <w:pStyle w:val="a7"/>
        <w:numPr>
          <w:ilvl w:val="0"/>
          <w:numId w:val="215"/>
        </w:numPr>
        <w:spacing w:beforeLines="50" w:before="180"/>
        <w:ind w:leftChars="0" w:left="964" w:hanging="482"/>
        <w:jc w:val="both"/>
        <w:rPr>
          <w:rFonts w:eastAsia="標楷體" w:cstheme="minorHAnsi"/>
          <w:kern w:val="0"/>
          <w:szCs w:val="24"/>
        </w:rPr>
      </w:pPr>
      <w:r w:rsidRPr="00CA1A43">
        <w:rPr>
          <w:rFonts w:eastAsia="標楷體" w:cstheme="minorHAnsi"/>
          <w:szCs w:val="24"/>
        </w:rPr>
        <w:t>遠期外匯及黃金部位之衡量</w:t>
      </w:r>
      <w:r w:rsidRPr="00CA1A43">
        <w:rPr>
          <w:rFonts w:eastAsia="標楷體" w:cstheme="minorHAnsi"/>
          <w:szCs w:val="24"/>
        </w:rPr>
        <w:br/>
      </w:r>
      <w:r w:rsidRPr="00CA1A43">
        <w:rPr>
          <w:rFonts w:eastAsia="標楷體" w:cstheme="minorHAnsi"/>
          <w:szCs w:val="24"/>
        </w:rPr>
        <w:t>遠期外匯及黃金的部位應以計算基準日之即期匯率評估。</w:t>
      </w:r>
    </w:p>
    <w:p w14:paraId="492E1431" w14:textId="77777777" w:rsidR="00BB7661" w:rsidRPr="00CA1A43" w:rsidRDefault="00BB7661" w:rsidP="008C0E02">
      <w:pPr>
        <w:pStyle w:val="a7"/>
        <w:numPr>
          <w:ilvl w:val="0"/>
          <w:numId w:val="215"/>
        </w:numPr>
        <w:spacing w:beforeLines="50" w:before="180"/>
        <w:ind w:leftChars="0" w:left="964" w:hanging="482"/>
        <w:jc w:val="both"/>
        <w:rPr>
          <w:rFonts w:eastAsia="標楷體" w:cstheme="minorHAnsi"/>
          <w:kern w:val="0"/>
          <w:szCs w:val="24"/>
        </w:rPr>
      </w:pPr>
      <w:r w:rsidRPr="00CA1A43">
        <w:rPr>
          <w:rFonts w:eastAsia="標楷體" w:cstheme="minorHAnsi"/>
          <w:szCs w:val="24"/>
        </w:rPr>
        <w:t>衡量外匯組合部位</w:t>
      </w:r>
      <w:r w:rsidRPr="00CA1A43">
        <w:rPr>
          <w:rFonts w:eastAsia="標楷體" w:cstheme="minorHAnsi"/>
          <w:szCs w:val="24"/>
        </w:rPr>
        <w:t>(</w:t>
      </w:r>
      <w:r w:rsidRPr="00CA1A43">
        <w:rPr>
          <w:rFonts w:eastAsia="標楷體" w:cstheme="minorHAnsi"/>
          <w:szCs w:val="24"/>
        </w:rPr>
        <w:t>含黃金</w:t>
      </w:r>
      <w:r w:rsidRPr="00CA1A43">
        <w:rPr>
          <w:rFonts w:eastAsia="標楷體" w:cstheme="minorHAnsi"/>
          <w:szCs w:val="24"/>
        </w:rPr>
        <w:t>)</w:t>
      </w:r>
      <w:r w:rsidRPr="00CA1A43">
        <w:rPr>
          <w:rFonts w:eastAsia="標楷體" w:cstheme="minorHAnsi"/>
          <w:szCs w:val="24"/>
        </w:rPr>
        <w:t>的外匯風險計提衡量方法</w:t>
      </w:r>
      <w:r w:rsidRPr="00CA1A43">
        <w:rPr>
          <w:rFonts w:eastAsia="標楷體" w:cstheme="minorHAnsi"/>
          <w:szCs w:val="24"/>
        </w:rPr>
        <w:br/>
      </w:r>
      <w:r w:rsidRPr="00CA1A43">
        <w:rPr>
          <w:rFonts w:eastAsia="標楷體" w:cstheme="minorHAnsi"/>
          <w:szCs w:val="24"/>
        </w:rPr>
        <w:t>銀行未被本會核准使用內部模型法者，必須對所有幣別使用以下方法：</w:t>
      </w:r>
    </w:p>
    <w:p w14:paraId="07C968D5" w14:textId="77777777" w:rsidR="00BB7661" w:rsidRPr="00CA1A43" w:rsidRDefault="00BB7661" w:rsidP="008C0E02">
      <w:pPr>
        <w:pStyle w:val="a7"/>
        <w:numPr>
          <w:ilvl w:val="0"/>
          <w:numId w:val="217"/>
        </w:numPr>
        <w:spacing w:beforeLines="50" w:before="180"/>
        <w:ind w:leftChars="0" w:left="1446" w:hanging="482"/>
        <w:jc w:val="both"/>
        <w:rPr>
          <w:rFonts w:eastAsia="標楷體" w:cstheme="minorHAnsi"/>
          <w:kern w:val="0"/>
          <w:szCs w:val="24"/>
        </w:rPr>
      </w:pPr>
      <w:r w:rsidRPr="00CA1A43">
        <w:rPr>
          <w:rFonts w:eastAsia="標楷體" w:cstheme="minorHAnsi"/>
          <w:kern w:val="0"/>
          <w:szCs w:val="24"/>
        </w:rPr>
        <w:t>每一種外幣名目本金</w:t>
      </w:r>
      <w:r w:rsidRPr="00CA1A43">
        <w:rPr>
          <w:rFonts w:eastAsia="標楷體" w:cstheme="minorHAnsi"/>
          <w:kern w:val="0"/>
          <w:szCs w:val="24"/>
        </w:rPr>
        <w:t>(</w:t>
      </w:r>
      <w:r w:rsidRPr="00CA1A43">
        <w:rPr>
          <w:rFonts w:eastAsia="標楷體" w:cstheme="minorHAnsi"/>
          <w:kern w:val="0"/>
          <w:szCs w:val="24"/>
        </w:rPr>
        <w:t>或淨現值</w:t>
      </w:r>
      <w:r w:rsidRPr="00CA1A43">
        <w:rPr>
          <w:rFonts w:eastAsia="標楷體" w:cstheme="minorHAnsi"/>
          <w:kern w:val="0"/>
          <w:szCs w:val="24"/>
        </w:rPr>
        <w:t>)</w:t>
      </w:r>
      <w:r w:rsidRPr="00CA1A43">
        <w:rPr>
          <w:rFonts w:eastAsia="標楷體" w:cstheme="minorHAnsi"/>
          <w:kern w:val="0"/>
          <w:szCs w:val="24"/>
        </w:rPr>
        <w:t>應以即期匯率轉換為本國貨幣</w:t>
      </w:r>
      <w:r w:rsidR="009B4AFF" w:rsidRPr="00CA1A43">
        <w:rPr>
          <w:rStyle w:val="a5"/>
          <w:rFonts w:eastAsia="標楷體" w:cstheme="minorHAnsi"/>
          <w:szCs w:val="24"/>
        </w:rPr>
        <w:footnoteReference w:id="77"/>
      </w:r>
      <w:r w:rsidRPr="00CA1A43">
        <w:rPr>
          <w:rFonts w:eastAsia="標楷體" w:cstheme="minorHAnsi"/>
          <w:kern w:val="0"/>
          <w:szCs w:val="24"/>
        </w:rPr>
        <w:t>。</w:t>
      </w:r>
    </w:p>
    <w:p w14:paraId="54C75C5D" w14:textId="77777777" w:rsidR="00BB7661" w:rsidRPr="00CA1A43" w:rsidRDefault="00BB7661" w:rsidP="008C0E02">
      <w:pPr>
        <w:pStyle w:val="a7"/>
        <w:numPr>
          <w:ilvl w:val="0"/>
          <w:numId w:val="217"/>
        </w:numPr>
        <w:spacing w:beforeLines="50" w:before="180"/>
        <w:ind w:leftChars="0" w:left="1446" w:hanging="482"/>
        <w:jc w:val="both"/>
        <w:rPr>
          <w:rFonts w:eastAsia="標楷體" w:cstheme="minorHAnsi"/>
          <w:kern w:val="0"/>
          <w:szCs w:val="24"/>
        </w:rPr>
      </w:pPr>
      <w:r w:rsidRPr="00CA1A43">
        <w:rPr>
          <w:rFonts w:eastAsia="標楷體" w:cstheme="minorHAnsi"/>
          <w:kern w:val="0"/>
          <w:szCs w:val="24"/>
        </w:rPr>
        <w:lastRenderedPageBreak/>
        <w:t>總體淨部位為下列之合計：</w:t>
      </w:r>
    </w:p>
    <w:p w14:paraId="7F2F4355" w14:textId="77777777" w:rsidR="00BB7661" w:rsidRPr="00CA1A43" w:rsidRDefault="00BB7661" w:rsidP="008C0E02">
      <w:pPr>
        <w:pStyle w:val="a7"/>
        <w:numPr>
          <w:ilvl w:val="0"/>
          <w:numId w:val="218"/>
        </w:numPr>
        <w:spacing w:beforeLines="50" w:before="180"/>
        <w:ind w:leftChars="0"/>
        <w:jc w:val="both"/>
        <w:rPr>
          <w:rFonts w:eastAsia="標楷體" w:cstheme="minorHAnsi"/>
          <w:kern w:val="0"/>
          <w:szCs w:val="24"/>
        </w:rPr>
      </w:pPr>
      <w:proofErr w:type="gramStart"/>
      <w:r w:rsidRPr="00CA1A43">
        <w:rPr>
          <w:rFonts w:eastAsia="標楷體" w:cstheme="minorHAnsi"/>
          <w:kern w:val="0"/>
          <w:szCs w:val="24"/>
        </w:rPr>
        <w:t>淨短部位</w:t>
      </w:r>
      <w:proofErr w:type="gramEnd"/>
      <w:r w:rsidRPr="00CA1A43">
        <w:rPr>
          <w:rFonts w:eastAsia="標楷體" w:cstheme="minorHAnsi"/>
        </w:rPr>
        <w:t>合計</w:t>
      </w:r>
      <w:proofErr w:type="gramStart"/>
      <w:r w:rsidRPr="00CA1A43">
        <w:rPr>
          <w:rFonts w:eastAsia="標楷體" w:cstheme="minorHAnsi"/>
          <w:kern w:val="0"/>
          <w:szCs w:val="24"/>
        </w:rPr>
        <w:t>或淨長部位</w:t>
      </w:r>
      <w:proofErr w:type="gramEnd"/>
      <w:r w:rsidRPr="00CA1A43">
        <w:rPr>
          <w:rFonts w:eastAsia="標楷體" w:cstheme="minorHAnsi"/>
          <w:kern w:val="0"/>
          <w:szCs w:val="24"/>
        </w:rPr>
        <w:t>合計，取其較大者</w:t>
      </w:r>
      <w:r w:rsidR="009B4AFF" w:rsidRPr="00CA1A43">
        <w:rPr>
          <w:rStyle w:val="a5"/>
          <w:rFonts w:eastAsia="標楷體" w:cstheme="minorHAnsi"/>
          <w:szCs w:val="24"/>
        </w:rPr>
        <w:footnoteReference w:id="78"/>
      </w:r>
      <w:r w:rsidRPr="00CA1A43">
        <w:rPr>
          <w:rFonts w:eastAsia="標楷體" w:cstheme="minorHAnsi"/>
          <w:kern w:val="0"/>
          <w:szCs w:val="24"/>
        </w:rPr>
        <w:t>，加上</w:t>
      </w:r>
    </w:p>
    <w:p w14:paraId="53371521" w14:textId="77777777" w:rsidR="00BB7661" w:rsidRPr="00CA1A43" w:rsidRDefault="00BB7661" w:rsidP="008C0E02">
      <w:pPr>
        <w:pStyle w:val="a7"/>
        <w:numPr>
          <w:ilvl w:val="0"/>
          <w:numId w:val="218"/>
        </w:numPr>
        <w:spacing w:beforeLines="50" w:before="180"/>
        <w:ind w:leftChars="0"/>
        <w:jc w:val="both"/>
        <w:rPr>
          <w:rFonts w:eastAsia="標楷體" w:cstheme="minorHAnsi"/>
          <w:szCs w:val="24"/>
        </w:rPr>
      </w:pPr>
      <w:r w:rsidRPr="00CA1A43">
        <w:rPr>
          <w:rFonts w:eastAsia="標楷體" w:cstheme="minorHAnsi"/>
          <w:kern w:val="0"/>
          <w:szCs w:val="24"/>
        </w:rPr>
        <w:t>黃金淨</w:t>
      </w:r>
      <w:r w:rsidRPr="00CA1A43">
        <w:rPr>
          <w:rFonts w:eastAsia="標楷體" w:cstheme="minorHAnsi"/>
        </w:rPr>
        <w:t>部位</w:t>
      </w:r>
      <w:r w:rsidRPr="00CA1A43">
        <w:rPr>
          <w:rFonts w:eastAsia="標楷體" w:cstheme="minorHAnsi"/>
          <w:kern w:val="0"/>
          <w:szCs w:val="24"/>
        </w:rPr>
        <w:t>(</w:t>
      </w:r>
      <w:proofErr w:type="gramStart"/>
      <w:r w:rsidRPr="00CA1A43">
        <w:rPr>
          <w:rFonts w:eastAsia="標楷體" w:cstheme="minorHAnsi"/>
          <w:kern w:val="0"/>
          <w:szCs w:val="24"/>
        </w:rPr>
        <w:t>短或長</w:t>
      </w:r>
      <w:proofErr w:type="gramEnd"/>
      <w:r w:rsidRPr="00CA1A43">
        <w:rPr>
          <w:rFonts w:eastAsia="標楷體" w:cstheme="minorHAnsi"/>
          <w:kern w:val="0"/>
          <w:szCs w:val="24"/>
        </w:rPr>
        <w:t>)</w:t>
      </w:r>
      <w:r w:rsidRPr="00CA1A43">
        <w:rPr>
          <w:rFonts w:eastAsia="標楷體" w:cstheme="minorHAnsi"/>
          <w:kern w:val="0"/>
          <w:szCs w:val="24"/>
        </w:rPr>
        <w:t>，不管其正負號。</w:t>
      </w:r>
    </w:p>
    <w:p w14:paraId="03327992" w14:textId="77777777" w:rsidR="00017FA5" w:rsidRPr="00CA1A43" w:rsidRDefault="00AF0459" w:rsidP="008C0E02">
      <w:pPr>
        <w:pStyle w:val="a7"/>
        <w:numPr>
          <w:ilvl w:val="0"/>
          <w:numId w:val="217"/>
        </w:numPr>
        <w:spacing w:beforeLines="50" w:before="180"/>
        <w:ind w:leftChars="0" w:left="1446" w:hanging="482"/>
        <w:jc w:val="both"/>
        <w:rPr>
          <w:rFonts w:eastAsia="標楷體" w:cstheme="minorHAnsi"/>
          <w:szCs w:val="24"/>
        </w:rPr>
      </w:pPr>
      <w:r w:rsidRPr="00CA1A43">
        <w:rPr>
          <w:rFonts w:eastAsia="標楷體" w:cstheme="minorHAnsi"/>
          <w:szCs w:val="24"/>
        </w:rPr>
        <w:t>資本計提為總體淨開放部位之</w:t>
      </w:r>
      <w:r w:rsidRPr="00CA1A43">
        <w:rPr>
          <w:rFonts w:eastAsia="標楷體" w:cstheme="minorHAnsi"/>
          <w:kern w:val="0"/>
          <w:szCs w:val="24"/>
        </w:rPr>
        <w:t>百分之八</w:t>
      </w:r>
      <w:r w:rsidRPr="00CA1A43">
        <w:rPr>
          <w:rFonts w:eastAsia="標楷體" w:cstheme="minorHAnsi"/>
          <w:szCs w:val="24"/>
        </w:rPr>
        <w:t>。</w:t>
      </w:r>
    </w:p>
    <w:p w14:paraId="426E7CB4" w14:textId="77777777" w:rsidR="00017FA5" w:rsidRPr="00CA1A43" w:rsidRDefault="00AF0459" w:rsidP="008C0E02">
      <w:pPr>
        <w:pStyle w:val="a7"/>
        <w:numPr>
          <w:ilvl w:val="0"/>
          <w:numId w:val="215"/>
        </w:numPr>
        <w:spacing w:beforeLines="50" w:before="180"/>
        <w:ind w:leftChars="0" w:left="964" w:hanging="482"/>
        <w:jc w:val="both"/>
        <w:rPr>
          <w:rFonts w:eastAsia="標楷體" w:cstheme="minorHAnsi"/>
          <w:szCs w:val="24"/>
        </w:rPr>
      </w:pPr>
      <w:r w:rsidRPr="00CA1A43">
        <w:rPr>
          <w:rFonts w:eastAsia="標楷體" w:cstheme="minorHAnsi"/>
          <w:szCs w:val="24"/>
        </w:rPr>
        <w:t>茲以範例列示計算方法如下：</w:t>
      </w:r>
    </w:p>
    <w:tbl>
      <w:tblPr>
        <w:tblW w:w="4573" w:type="pct"/>
        <w:tblInd w:w="709"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992"/>
        <w:gridCol w:w="994"/>
        <w:gridCol w:w="992"/>
        <w:gridCol w:w="992"/>
        <w:gridCol w:w="992"/>
        <w:gridCol w:w="933"/>
      </w:tblGrid>
      <w:tr w:rsidR="00AF0459" w:rsidRPr="00CA1A43" w14:paraId="5509F0CD" w14:textId="77777777" w:rsidTr="00AF0459">
        <w:trPr>
          <w:trHeight w:val="454"/>
        </w:trPr>
        <w:tc>
          <w:tcPr>
            <w:tcW w:w="4386" w:type="pct"/>
            <w:gridSpan w:val="6"/>
            <w:tcBorders>
              <w:top w:val="single" w:sz="4" w:space="0" w:color="auto"/>
              <w:left w:val="nil"/>
              <w:bottom w:val="single" w:sz="4" w:space="0" w:color="auto"/>
              <w:right w:val="nil"/>
            </w:tcBorders>
            <w:vAlign w:val="center"/>
            <w:hideMark/>
          </w:tcPr>
          <w:p w14:paraId="23B2D4BE" w14:textId="77777777" w:rsidR="00AF0459" w:rsidRPr="00CA1A43" w:rsidRDefault="00AF0459" w:rsidP="00A5488F">
            <w:pPr>
              <w:pStyle w:val="Item"/>
              <w:jc w:val="both"/>
              <w:rPr>
                <w:rFonts w:asciiTheme="minorHAnsi" w:hAnsiTheme="minorHAnsi" w:cstheme="minorHAnsi"/>
                <w:sz w:val="24"/>
                <w:szCs w:val="24"/>
              </w:rPr>
            </w:pPr>
            <w:r w:rsidRPr="00CA1A43">
              <w:rPr>
                <w:rFonts w:asciiTheme="minorHAnsi" w:hAnsiTheme="minorHAnsi" w:cstheme="minorHAnsi"/>
                <w:sz w:val="24"/>
                <w:szCs w:val="24"/>
              </w:rPr>
              <w:t>外匯風險衡量的範例</w:t>
            </w:r>
            <w:r w:rsidRPr="00CA1A43">
              <w:rPr>
                <w:rFonts w:asciiTheme="minorHAnsi" w:hAnsiTheme="minorHAnsi" w:cstheme="minorHAnsi"/>
                <w:sz w:val="24"/>
                <w:szCs w:val="24"/>
              </w:rPr>
              <w:t xml:space="preserve">                                         </w:t>
            </w:r>
          </w:p>
        </w:tc>
        <w:tc>
          <w:tcPr>
            <w:tcW w:w="614" w:type="pct"/>
            <w:tcBorders>
              <w:top w:val="single" w:sz="4" w:space="0" w:color="auto"/>
              <w:left w:val="nil"/>
              <w:bottom w:val="single" w:sz="4" w:space="0" w:color="auto"/>
              <w:right w:val="nil"/>
            </w:tcBorders>
            <w:vAlign w:val="center"/>
            <w:hideMark/>
          </w:tcPr>
          <w:p w14:paraId="1E985537" w14:textId="77777777" w:rsidR="00AF0459" w:rsidRPr="00CA1A43" w:rsidRDefault="00AF0459" w:rsidP="00A5488F">
            <w:pPr>
              <w:pStyle w:val="Item"/>
              <w:jc w:val="right"/>
              <w:rPr>
                <w:rFonts w:asciiTheme="minorHAnsi" w:hAnsiTheme="minorHAnsi" w:cstheme="minorHAnsi"/>
                <w:sz w:val="24"/>
                <w:szCs w:val="24"/>
              </w:rPr>
            </w:pPr>
            <w:r w:rsidRPr="00CA1A43">
              <w:rPr>
                <w:rFonts w:asciiTheme="minorHAnsi" w:hAnsiTheme="minorHAnsi" w:cstheme="minorHAnsi"/>
                <w:sz w:val="24"/>
                <w:szCs w:val="24"/>
              </w:rPr>
              <w:t>表</w:t>
            </w:r>
            <w:r w:rsidR="007412A4">
              <w:rPr>
                <w:rFonts w:asciiTheme="minorHAnsi" w:hAnsiTheme="minorHAnsi" w:cstheme="minorHAnsi" w:hint="eastAsia"/>
                <w:sz w:val="24"/>
                <w:szCs w:val="24"/>
              </w:rPr>
              <w:t>22</w:t>
            </w:r>
          </w:p>
        </w:tc>
      </w:tr>
      <w:tr w:rsidR="00AF0459" w:rsidRPr="00CA1A43" w14:paraId="128533B4" w14:textId="77777777" w:rsidTr="00AF0459">
        <w:tc>
          <w:tcPr>
            <w:tcW w:w="1120" w:type="pct"/>
            <w:tcBorders>
              <w:top w:val="single" w:sz="4" w:space="0" w:color="auto"/>
              <w:left w:val="nil"/>
              <w:bottom w:val="single" w:sz="4" w:space="0" w:color="auto"/>
              <w:right w:val="single" w:sz="4" w:space="0" w:color="auto"/>
            </w:tcBorders>
          </w:tcPr>
          <w:p w14:paraId="7967CFCC" w14:textId="77777777" w:rsidR="00AF0459" w:rsidRPr="00CA1A43" w:rsidRDefault="00AF0459" w:rsidP="00A5488F">
            <w:pPr>
              <w:pStyle w:val="Item"/>
              <w:jc w:val="center"/>
              <w:rPr>
                <w:rFonts w:asciiTheme="minorHAnsi" w:hAnsiTheme="minorHAnsi" w:cstheme="minorHAnsi"/>
                <w:sz w:val="24"/>
                <w:szCs w:val="24"/>
              </w:rPr>
            </w:pPr>
          </w:p>
        </w:tc>
        <w:tc>
          <w:tcPr>
            <w:tcW w:w="653" w:type="pct"/>
            <w:tcBorders>
              <w:top w:val="single" w:sz="4" w:space="0" w:color="auto"/>
              <w:left w:val="single" w:sz="4" w:space="0" w:color="auto"/>
              <w:bottom w:val="single" w:sz="4" w:space="0" w:color="auto"/>
              <w:right w:val="single" w:sz="8" w:space="0" w:color="BFBFBF"/>
            </w:tcBorders>
            <w:vAlign w:val="center"/>
            <w:hideMark/>
          </w:tcPr>
          <w:p w14:paraId="1E9BB175"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JPY</w:t>
            </w:r>
          </w:p>
        </w:tc>
        <w:tc>
          <w:tcPr>
            <w:tcW w:w="654" w:type="pct"/>
            <w:tcBorders>
              <w:top w:val="single" w:sz="4" w:space="0" w:color="auto"/>
              <w:left w:val="single" w:sz="8" w:space="0" w:color="BFBFBF"/>
              <w:bottom w:val="single" w:sz="4" w:space="0" w:color="auto"/>
              <w:right w:val="single" w:sz="8" w:space="0" w:color="BFBFBF"/>
            </w:tcBorders>
            <w:vAlign w:val="center"/>
            <w:hideMark/>
          </w:tcPr>
          <w:p w14:paraId="55F3A228"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EUR</w:t>
            </w:r>
          </w:p>
        </w:tc>
        <w:tc>
          <w:tcPr>
            <w:tcW w:w="653" w:type="pct"/>
            <w:tcBorders>
              <w:top w:val="single" w:sz="4" w:space="0" w:color="auto"/>
              <w:left w:val="single" w:sz="8" w:space="0" w:color="BFBFBF"/>
              <w:bottom w:val="single" w:sz="4" w:space="0" w:color="auto"/>
              <w:right w:val="single" w:sz="8" w:space="0" w:color="BFBFBF"/>
            </w:tcBorders>
            <w:vAlign w:val="center"/>
            <w:hideMark/>
          </w:tcPr>
          <w:p w14:paraId="7EA0AB66"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GBP</w:t>
            </w:r>
          </w:p>
        </w:tc>
        <w:tc>
          <w:tcPr>
            <w:tcW w:w="653" w:type="pct"/>
            <w:tcBorders>
              <w:top w:val="single" w:sz="4" w:space="0" w:color="auto"/>
              <w:left w:val="single" w:sz="8" w:space="0" w:color="BFBFBF"/>
              <w:bottom w:val="single" w:sz="4" w:space="0" w:color="auto"/>
              <w:right w:val="single" w:sz="8" w:space="0" w:color="BFBFBF"/>
            </w:tcBorders>
            <w:vAlign w:val="center"/>
            <w:hideMark/>
          </w:tcPr>
          <w:p w14:paraId="74DC6435"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CAD</w:t>
            </w:r>
          </w:p>
        </w:tc>
        <w:tc>
          <w:tcPr>
            <w:tcW w:w="653" w:type="pct"/>
            <w:tcBorders>
              <w:top w:val="single" w:sz="4" w:space="0" w:color="auto"/>
              <w:left w:val="single" w:sz="8" w:space="0" w:color="BFBFBF"/>
              <w:bottom w:val="single" w:sz="4" w:space="0" w:color="auto"/>
              <w:right w:val="single" w:sz="8" w:space="0" w:color="BFBFBF"/>
            </w:tcBorders>
            <w:vAlign w:val="center"/>
            <w:hideMark/>
          </w:tcPr>
          <w:p w14:paraId="45FD44B5"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USD</w:t>
            </w:r>
          </w:p>
        </w:tc>
        <w:tc>
          <w:tcPr>
            <w:tcW w:w="614" w:type="pct"/>
            <w:tcBorders>
              <w:top w:val="single" w:sz="4" w:space="0" w:color="auto"/>
              <w:left w:val="single" w:sz="8" w:space="0" w:color="BFBFBF"/>
              <w:bottom w:val="single" w:sz="4" w:space="0" w:color="auto"/>
              <w:right w:val="nil"/>
            </w:tcBorders>
            <w:vAlign w:val="center"/>
            <w:hideMark/>
          </w:tcPr>
          <w:p w14:paraId="2041AC8C"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黃金</w:t>
            </w:r>
          </w:p>
        </w:tc>
      </w:tr>
      <w:tr w:rsidR="00AF0459" w:rsidRPr="00CA1A43" w14:paraId="76C5293C" w14:textId="77777777" w:rsidTr="00AF0459">
        <w:tc>
          <w:tcPr>
            <w:tcW w:w="1120" w:type="pct"/>
            <w:tcBorders>
              <w:top w:val="single" w:sz="4" w:space="0" w:color="auto"/>
              <w:left w:val="nil"/>
              <w:bottom w:val="single" w:sz="8" w:space="0" w:color="BFBFBF"/>
              <w:right w:val="single" w:sz="8" w:space="0" w:color="BFBFBF"/>
            </w:tcBorders>
            <w:vAlign w:val="center"/>
            <w:hideMark/>
          </w:tcPr>
          <w:p w14:paraId="1B1D46C0" w14:textId="77777777" w:rsidR="00AF0459" w:rsidRPr="00CA1A43" w:rsidRDefault="00AF0459" w:rsidP="00A5488F">
            <w:pPr>
              <w:pStyle w:val="Item"/>
              <w:jc w:val="both"/>
              <w:rPr>
                <w:rFonts w:asciiTheme="minorHAnsi" w:hAnsiTheme="minorHAnsi" w:cstheme="minorHAnsi"/>
                <w:sz w:val="24"/>
                <w:szCs w:val="24"/>
              </w:rPr>
            </w:pPr>
            <w:proofErr w:type="gramStart"/>
            <w:r w:rsidRPr="00CA1A43">
              <w:rPr>
                <w:rFonts w:asciiTheme="minorHAnsi" w:hAnsiTheme="minorHAnsi" w:cstheme="minorHAnsi"/>
                <w:sz w:val="24"/>
                <w:szCs w:val="24"/>
              </w:rPr>
              <w:t>每幣別淨</w:t>
            </w:r>
            <w:proofErr w:type="gramEnd"/>
            <w:r w:rsidRPr="00CA1A43">
              <w:rPr>
                <w:rFonts w:asciiTheme="minorHAnsi" w:hAnsiTheme="minorHAnsi" w:cstheme="minorHAnsi"/>
                <w:sz w:val="24"/>
                <w:szCs w:val="24"/>
              </w:rPr>
              <w:t>部位</w:t>
            </w:r>
          </w:p>
        </w:tc>
        <w:tc>
          <w:tcPr>
            <w:tcW w:w="653" w:type="pct"/>
            <w:tcBorders>
              <w:top w:val="single" w:sz="4" w:space="0" w:color="auto"/>
              <w:left w:val="single" w:sz="8" w:space="0" w:color="BFBFBF"/>
              <w:bottom w:val="single" w:sz="8" w:space="0" w:color="BFBFBF"/>
              <w:right w:val="single" w:sz="8" w:space="0" w:color="BFBFBF"/>
            </w:tcBorders>
            <w:vAlign w:val="center"/>
            <w:hideMark/>
          </w:tcPr>
          <w:p w14:paraId="4D2FFCBB"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+50</w:t>
            </w:r>
          </w:p>
        </w:tc>
        <w:tc>
          <w:tcPr>
            <w:tcW w:w="654" w:type="pct"/>
            <w:tcBorders>
              <w:top w:val="single" w:sz="4" w:space="0" w:color="auto"/>
              <w:left w:val="single" w:sz="8" w:space="0" w:color="BFBFBF"/>
              <w:bottom w:val="single" w:sz="8" w:space="0" w:color="BFBFBF"/>
              <w:right w:val="single" w:sz="8" w:space="0" w:color="BFBFBF"/>
            </w:tcBorders>
            <w:vAlign w:val="center"/>
            <w:hideMark/>
          </w:tcPr>
          <w:p w14:paraId="44FF68A0"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+100</w:t>
            </w:r>
          </w:p>
        </w:tc>
        <w:tc>
          <w:tcPr>
            <w:tcW w:w="653" w:type="pct"/>
            <w:tcBorders>
              <w:top w:val="single" w:sz="4" w:space="0" w:color="auto"/>
              <w:left w:val="single" w:sz="8" w:space="0" w:color="BFBFBF"/>
              <w:bottom w:val="single" w:sz="8" w:space="0" w:color="BFBFBF"/>
              <w:right w:val="single" w:sz="8" w:space="0" w:color="BFBFBF"/>
            </w:tcBorders>
            <w:vAlign w:val="center"/>
            <w:hideMark/>
          </w:tcPr>
          <w:p w14:paraId="155DA209"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+150</w:t>
            </w:r>
          </w:p>
        </w:tc>
        <w:tc>
          <w:tcPr>
            <w:tcW w:w="653" w:type="pct"/>
            <w:tcBorders>
              <w:top w:val="single" w:sz="4" w:space="0" w:color="auto"/>
              <w:left w:val="single" w:sz="8" w:space="0" w:color="BFBFBF"/>
              <w:bottom w:val="single" w:sz="8" w:space="0" w:color="BFBFBF"/>
              <w:right w:val="single" w:sz="8" w:space="0" w:color="BFBFBF"/>
            </w:tcBorders>
            <w:vAlign w:val="center"/>
            <w:hideMark/>
          </w:tcPr>
          <w:p w14:paraId="441DF9ED"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c>
          <w:tcPr>
            <w:tcW w:w="653" w:type="pct"/>
            <w:tcBorders>
              <w:top w:val="single" w:sz="4" w:space="0" w:color="auto"/>
              <w:left w:val="single" w:sz="8" w:space="0" w:color="BFBFBF"/>
              <w:bottom w:val="single" w:sz="8" w:space="0" w:color="BFBFBF"/>
              <w:right w:val="single" w:sz="8" w:space="0" w:color="BFBFBF"/>
            </w:tcBorders>
            <w:vAlign w:val="center"/>
            <w:hideMark/>
          </w:tcPr>
          <w:p w14:paraId="4D09DDF3"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-180</w:t>
            </w:r>
          </w:p>
        </w:tc>
        <w:tc>
          <w:tcPr>
            <w:tcW w:w="614" w:type="pct"/>
            <w:tcBorders>
              <w:top w:val="single" w:sz="4" w:space="0" w:color="auto"/>
              <w:left w:val="single" w:sz="8" w:space="0" w:color="BFBFBF"/>
              <w:bottom w:val="single" w:sz="8" w:space="0" w:color="BFBFBF"/>
              <w:right w:val="nil"/>
            </w:tcBorders>
            <w:vAlign w:val="center"/>
            <w:hideMark/>
          </w:tcPr>
          <w:p w14:paraId="0E949FDA"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r w:rsidR="00AF0459" w:rsidRPr="00CA1A43" w14:paraId="392326FE" w14:textId="77777777" w:rsidTr="00AF0459">
        <w:tc>
          <w:tcPr>
            <w:tcW w:w="1120" w:type="pct"/>
            <w:tcBorders>
              <w:top w:val="single" w:sz="8" w:space="0" w:color="BFBFBF"/>
              <w:left w:val="nil"/>
              <w:bottom w:val="single" w:sz="4" w:space="0" w:color="auto"/>
              <w:right w:val="single" w:sz="8" w:space="0" w:color="BFBFBF"/>
            </w:tcBorders>
            <w:vAlign w:val="center"/>
            <w:hideMark/>
          </w:tcPr>
          <w:p w14:paraId="04CBE819" w14:textId="77777777" w:rsidR="00AF0459" w:rsidRPr="00CA1A43" w:rsidRDefault="00AF0459" w:rsidP="00A5488F">
            <w:pPr>
              <w:pStyle w:val="Item"/>
              <w:jc w:val="both"/>
              <w:rPr>
                <w:rFonts w:asciiTheme="minorHAnsi" w:hAnsiTheme="minorHAnsi" w:cstheme="minorHAnsi"/>
                <w:sz w:val="24"/>
                <w:szCs w:val="24"/>
              </w:rPr>
            </w:pPr>
            <w:r w:rsidRPr="00CA1A43">
              <w:rPr>
                <w:rFonts w:asciiTheme="minorHAnsi" w:hAnsiTheme="minorHAnsi" w:cstheme="minorHAnsi"/>
                <w:sz w:val="24"/>
                <w:szCs w:val="24"/>
              </w:rPr>
              <w:t>淨開放部位</w:t>
            </w:r>
          </w:p>
        </w:tc>
        <w:tc>
          <w:tcPr>
            <w:tcW w:w="1960" w:type="pct"/>
            <w:gridSpan w:val="3"/>
            <w:tcBorders>
              <w:top w:val="single" w:sz="8" w:space="0" w:color="BFBFBF"/>
              <w:left w:val="single" w:sz="8" w:space="0" w:color="BFBFBF"/>
              <w:bottom w:val="single" w:sz="4" w:space="0" w:color="BFBFBF"/>
              <w:right w:val="single" w:sz="8" w:space="0" w:color="BFBFBF"/>
            </w:tcBorders>
            <w:shd w:val="clear" w:color="auto" w:fill="BFBFBF"/>
            <w:vAlign w:val="center"/>
            <w:hideMark/>
          </w:tcPr>
          <w:p w14:paraId="1D93BFF4"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+300</w:t>
            </w:r>
          </w:p>
        </w:tc>
        <w:tc>
          <w:tcPr>
            <w:tcW w:w="1306" w:type="pct"/>
            <w:gridSpan w:val="2"/>
            <w:tcBorders>
              <w:top w:val="single" w:sz="8" w:space="0" w:color="BFBFBF"/>
              <w:left w:val="single" w:sz="8" w:space="0" w:color="BFBFBF"/>
              <w:bottom w:val="single" w:sz="4" w:space="0" w:color="BFBFBF"/>
              <w:right w:val="single" w:sz="8" w:space="0" w:color="BFBFBF"/>
            </w:tcBorders>
            <w:vAlign w:val="center"/>
            <w:hideMark/>
          </w:tcPr>
          <w:p w14:paraId="4837C84F"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-200</w:t>
            </w:r>
          </w:p>
        </w:tc>
        <w:tc>
          <w:tcPr>
            <w:tcW w:w="614" w:type="pct"/>
            <w:tcBorders>
              <w:top w:val="single" w:sz="8" w:space="0" w:color="BFBFBF"/>
              <w:left w:val="single" w:sz="8" w:space="0" w:color="BFBFBF"/>
              <w:bottom w:val="single" w:sz="4" w:space="0" w:color="auto"/>
              <w:right w:val="nil"/>
            </w:tcBorders>
            <w:shd w:val="clear" w:color="auto" w:fill="BFBFBF"/>
            <w:vAlign w:val="center"/>
            <w:hideMark/>
          </w:tcPr>
          <w:p w14:paraId="1F0C6248" w14:textId="77777777" w:rsidR="00AF0459" w:rsidRPr="00CA1A43" w:rsidRDefault="00AF0459"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-35</w:t>
            </w:r>
          </w:p>
        </w:tc>
      </w:tr>
    </w:tbl>
    <w:p w14:paraId="149BB904" w14:textId="77777777" w:rsidR="00017FA5" w:rsidRPr="00CA1A43" w:rsidRDefault="00AF0459" w:rsidP="00AF0459">
      <w:pPr>
        <w:widowControl/>
        <w:spacing w:beforeLines="50" w:before="180"/>
        <w:ind w:left="964"/>
        <w:jc w:val="both"/>
        <w:rPr>
          <w:rFonts w:eastAsia="標楷體" w:cstheme="minorHAnsi"/>
          <w:szCs w:val="24"/>
        </w:rPr>
      </w:pPr>
      <w:r w:rsidRPr="00CA1A43">
        <w:rPr>
          <w:rFonts w:eastAsia="標楷體" w:cstheme="minorHAnsi"/>
          <w:szCs w:val="24"/>
        </w:rPr>
        <w:t>資本計提為</w:t>
      </w:r>
      <w:proofErr w:type="gramStart"/>
      <w:r w:rsidRPr="00CA1A43">
        <w:rPr>
          <w:rFonts w:eastAsia="標楷體" w:cstheme="minorHAnsi"/>
          <w:szCs w:val="24"/>
        </w:rPr>
        <w:t>外匯淨長部位或淨短部位</w:t>
      </w:r>
      <w:proofErr w:type="gramEnd"/>
      <w:r w:rsidRPr="00CA1A43">
        <w:rPr>
          <w:rFonts w:eastAsia="標楷體" w:cstheme="minorHAnsi"/>
          <w:szCs w:val="24"/>
        </w:rPr>
        <w:t>較高者</w:t>
      </w:r>
      <w:r w:rsidRPr="00CA1A43">
        <w:rPr>
          <w:rFonts w:eastAsia="標楷體" w:cstheme="minorHAnsi"/>
        </w:rPr>
        <w:t>(</w:t>
      </w:r>
      <w:r w:rsidRPr="00CA1A43">
        <w:rPr>
          <w:rFonts w:eastAsia="標楷體" w:cstheme="minorHAnsi"/>
          <w:szCs w:val="24"/>
        </w:rPr>
        <w:t>即</w:t>
      </w:r>
      <w:r w:rsidRPr="00CA1A43">
        <w:rPr>
          <w:rFonts w:eastAsia="標楷體" w:cstheme="minorHAnsi"/>
          <w:szCs w:val="24"/>
        </w:rPr>
        <w:t>300</w:t>
      </w:r>
      <w:r w:rsidRPr="00CA1A43">
        <w:rPr>
          <w:rFonts w:eastAsia="標楷體" w:cstheme="minorHAnsi"/>
          <w:szCs w:val="24"/>
        </w:rPr>
        <w:t>千元</w:t>
      </w:r>
      <w:r w:rsidRPr="00CA1A43">
        <w:rPr>
          <w:rFonts w:eastAsia="標楷體" w:cstheme="minorHAnsi"/>
        </w:rPr>
        <w:t>)</w:t>
      </w:r>
      <w:r w:rsidRPr="00CA1A43">
        <w:rPr>
          <w:rFonts w:eastAsia="標楷體" w:cstheme="minorHAnsi"/>
          <w:szCs w:val="24"/>
        </w:rPr>
        <w:t>及淨黃金部位</w:t>
      </w:r>
      <w:r w:rsidRPr="00CA1A43">
        <w:rPr>
          <w:rFonts w:eastAsia="標楷體" w:cstheme="minorHAnsi"/>
        </w:rPr>
        <w:t>(</w:t>
      </w:r>
      <w:r w:rsidRPr="00CA1A43">
        <w:rPr>
          <w:rFonts w:eastAsia="標楷體" w:cstheme="minorHAnsi"/>
          <w:szCs w:val="24"/>
        </w:rPr>
        <w:t>35</w:t>
      </w:r>
      <w:r w:rsidRPr="00CA1A43">
        <w:rPr>
          <w:rFonts w:eastAsia="標楷體" w:cstheme="minorHAnsi"/>
          <w:szCs w:val="24"/>
        </w:rPr>
        <w:t>千元</w:t>
      </w:r>
      <w:r w:rsidRPr="00CA1A43">
        <w:rPr>
          <w:rFonts w:eastAsia="標楷體" w:cstheme="minorHAnsi"/>
        </w:rPr>
        <w:t>)</w:t>
      </w:r>
      <w:r w:rsidRPr="00CA1A43">
        <w:rPr>
          <w:rFonts w:eastAsia="標楷體" w:cstheme="minorHAnsi"/>
          <w:szCs w:val="24"/>
        </w:rPr>
        <w:t>之</w:t>
      </w:r>
      <w:r w:rsidRPr="00CA1A43">
        <w:rPr>
          <w:rFonts w:eastAsia="標楷體" w:cstheme="minorHAnsi"/>
          <w:szCs w:val="24"/>
        </w:rPr>
        <w:t>8%</w:t>
      </w:r>
      <w:r w:rsidRPr="00CA1A43">
        <w:rPr>
          <w:rFonts w:eastAsia="標楷體" w:cstheme="minorHAnsi"/>
          <w:szCs w:val="24"/>
        </w:rPr>
        <w:t>，即</w:t>
      </w:r>
      <w:r w:rsidRPr="00CA1A43">
        <w:rPr>
          <w:rFonts w:eastAsia="標楷體" w:cstheme="minorHAnsi"/>
          <w:szCs w:val="24"/>
        </w:rPr>
        <w:t>335</w:t>
      </w:r>
      <w:r w:rsidRPr="00CA1A43">
        <w:rPr>
          <w:rFonts w:eastAsia="標楷體" w:cstheme="minorHAnsi"/>
          <w:szCs w:val="24"/>
        </w:rPr>
        <w:t>千元</w:t>
      </w:r>
      <w:r w:rsidRPr="00CA1A43">
        <w:rPr>
          <w:rFonts w:eastAsia="標楷體" w:cstheme="minorHAnsi"/>
          <w:szCs w:val="24"/>
        </w:rPr>
        <w:t>×8%=26.8</w:t>
      </w:r>
      <w:r w:rsidRPr="00CA1A43">
        <w:rPr>
          <w:rFonts w:eastAsia="標楷體" w:cstheme="minorHAnsi"/>
          <w:szCs w:val="24"/>
        </w:rPr>
        <w:t>千元。</w:t>
      </w:r>
    </w:p>
    <w:p w14:paraId="351580A8" w14:textId="77777777" w:rsidR="004C275F" w:rsidRPr="00CA1A43" w:rsidRDefault="004C275F" w:rsidP="008C0E02">
      <w:pPr>
        <w:pStyle w:val="a7"/>
        <w:numPr>
          <w:ilvl w:val="0"/>
          <w:numId w:val="215"/>
        </w:numPr>
        <w:spacing w:beforeLines="50" w:before="180"/>
        <w:ind w:leftChars="0" w:left="964" w:hanging="482"/>
        <w:jc w:val="both"/>
        <w:rPr>
          <w:rFonts w:eastAsia="標楷體" w:cstheme="minorHAnsi"/>
          <w:szCs w:val="24"/>
        </w:rPr>
      </w:pPr>
      <w:r w:rsidRPr="00CA1A43">
        <w:rPr>
          <w:rFonts w:eastAsia="標楷體" w:cstheme="minorHAnsi"/>
        </w:rPr>
        <w:t>若銀行的外匯業務是不顯著且並未在帳上承擔外匯部位，在符合下列條件下，銀行可向本會申請，經核准後可將這些部位排除於資本要求：</w:t>
      </w:r>
    </w:p>
    <w:p w14:paraId="14F57B56" w14:textId="77777777" w:rsidR="004C275F" w:rsidRPr="00CA1A43" w:rsidRDefault="004C275F" w:rsidP="008C0E02">
      <w:pPr>
        <w:pStyle w:val="a7"/>
        <w:numPr>
          <w:ilvl w:val="0"/>
          <w:numId w:val="219"/>
        </w:numPr>
        <w:spacing w:beforeLines="50" w:before="180"/>
        <w:ind w:leftChars="0" w:left="1446" w:hanging="482"/>
        <w:jc w:val="both"/>
        <w:rPr>
          <w:rFonts w:eastAsia="標楷體" w:cstheme="minorHAnsi"/>
        </w:rPr>
      </w:pPr>
      <w:r w:rsidRPr="00CA1A43">
        <w:rPr>
          <w:rFonts w:eastAsia="標楷體" w:cstheme="minorHAnsi"/>
        </w:rPr>
        <w:t>銀行的外匯業務，定義為所有幣別的毛長部位加總</w:t>
      </w:r>
      <w:proofErr w:type="gramStart"/>
      <w:r w:rsidRPr="00CA1A43">
        <w:rPr>
          <w:rFonts w:eastAsia="標楷體" w:cstheme="minorHAnsi"/>
        </w:rPr>
        <w:t>與毛短</w:t>
      </w:r>
      <w:proofErr w:type="gramEnd"/>
      <w:r w:rsidRPr="00CA1A43">
        <w:rPr>
          <w:rFonts w:eastAsia="標楷體" w:cstheme="minorHAnsi"/>
        </w:rPr>
        <w:t>部位</w:t>
      </w:r>
      <w:proofErr w:type="gramStart"/>
      <w:r w:rsidRPr="00CA1A43">
        <w:rPr>
          <w:rFonts w:eastAsia="標楷體" w:cstheme="minorHAnsi"/>
        </w:rPr>
        <w:t>加總取大</w:t>
      </w:r>
      <w:proofErr w:type="gramEnd"/>
      <w:r w:rsidRPr="00CA1A43">
        <w:rPr>
          <w:rFonts w:eastAsia="標楷體" w:cstheme="minorHAnsi"/>
        </w:rPr>
        <w:t>者，不超過本計提規範定義合格資本之</w:t>
      </w:r>
      <w:r w:rsidRPr="00CA1A43">
        <w:rPr>
          <w:rFonts w:eastAsia="標楷體" w:cstheme="minorHAnsi"/>
        </w:rPr>
        <w:t>100%</w:t>
      </w:r>
      <w:r w:rsidRPr="00CA1A43">
        <w:rPr>
          <w:rFonts w:eastAsia="標楷體" w:cstheme="minorHAnsi"/>
        </w:rPr>
        <w:t>，且</w:t>
      </w:r>
    </w:p>
    <w:p w14:paraId="28893E9A" w14:textId="77777777" w:rsidR="004C275F" w:rsidRPr="00CA1A43" w:rsidRDefault="004C275F" w:rsidP="008C0E02">
      <w:pPr>
        <w:pStyle w:val="a7"/>
        <w:numPr>
          <w:ilvl w:val="0"/>
          <w:numId w:val="219"/>
        </w:numPr>
        <w:spacing w:beforeLines="50" w:before="180"/>
        <w:ind w:leftChars="0" w:left="1446" w:hanging="482"/>
        <w:jc w:val="both"/>
        <w:rPr>
          <w:rFonts w:eastAsia="標楷體" w:cstheme="minorHAnsi"/>
          <w:szCs w:val="24"/>
        </w:rPr>
      </w:pPr>
      <w:r w:rsidRPr="00CA1A43">
        <w:rPr>
          <w:rFonts w:eastAsia="標楷體" w:cstheme="minorHAnsi"/>
        </w:rPr>
        <w:t>依前述第</w:t>
      </w:r>
      <w:r w:rsidRPr="00CA1A43">
        <w:rPr>
          <w:rFonts w:eastAsia="標楷體" w:cstheme="minorHAnsi"/>
        </w:rPr>
        <w:t>6</w:t>
      </w:r>
      <w:r w:rsidRPr="00CA1A43">
        <w:rPr>
          <w:rFonts w:eastAsia="標楷體" w:cstheme="minorHAnsi"/>
        </w:rPr>
        <w:t>項計算之銀行整體淨開放部位，不超過本計提規範定義合格資本的</w:t>
      </w:r>
      <w:r w:rsidRPr="00CA1A43">
        <w:rPr>
          <w:rFonts w:eastAsia="標楷體" w:cstheme="minorHAnsi"/>
        </w:rPr>
        <w:t>2%</w:t>
      </w:r>
      <w:r w:rsidRPr="00CA1A43">
        <w:rPr>
          <w:rFonts w:eastAsia="標楷體" w:cstheme="minorHAnsi"/>
        </w:rPr>
        <w:t>。</w:t>
      </w:r>
    </w:p>
    <w:p w14:paraId="343361CD" w14:textId="77777777" w:rsidR="00AA50F2" w:rsidRPr="00CA1A43" w:rsidRDefault="00AA50F2" w:rsidP="00AA50F2">
      <w:pPr>
        <w:pStyle w:val="a7"/>
        <w:numPr>
          <w:ilvl w:val="0"/>
          <w:numId w:val="180"/>
        </w:numPr>
        <w:spacing w:beforeLines="50" w:before="180"/>
        <w:ind w:leftChars="0" w:left="567" w:hanging="567"/>
        <w:jc w:val="both"/>
        <w:outlineLvl w:val="0"/>
        <w:rPr>
          <w:rFonts w:eastAsia="標楷體" w:cstheme="minorHAnsi"/>
          <w:szCs w:val="24"/>
        </w:rPr>
      </w:pPr>
      <w:bookmarkStart w:id="19" w:name="_Toc67992459"/>
      <w:r w:rsidRPr="00CA1A43">
        <w:rPr>
          <w:rFonts w:eastAsia="標楷體" w:cstheme="minorHAnsi"/>
          <w:szCs w:val="24"/>
        </w:rPr>
        <w:t>商品風險</w:t>
      </w:r>
      <w:bookmarkEnd w:id="19"/>
    </w:p>
    <w:p w14:paraId="323BD6BB" w14:textId="77777777" w:rsidR="00AA50F2" w:rsidRPr="00CA1A43" w:rsidRDefault="00AA50F2" w:rsidP="008C0E02">
      <w:pPr>
        <w:pStyle w:val="a7"/>
        <w:numPr>
          <w:ilvl w:val="0"/>
          <w:numId w:val="220"/>
        </w:numPr>
        <w:spacing w:beforeLines="50" w:before="180"/>
        <w:ind w:leftChars="0" w:left="737" w:hanging="737"/>
        <w:jc w:val="both"/>
        <w:rPr>
          <w:rFonts w:eastAsia="標楷體" w:cstheme="minorHAnsi"/>
          <w:kern w:val="0"/>
          <w:szCs w:val="24"/>
        </w:rPr>
      </w:pPr>
      <w:r w:rsidRPr="00CA1A43">
        <w:rPr>
          <w:rFonts w:eastAsia="標楷體" w:cstheme="minorHAnsi"/>
          <w:kern w:val="0"/>
          <w:szCs w:val="24"/>
        </w:rPr>
        <w:t>計算</w:t>
      </w:r>
      <w:r w:rsidRPr="00CA1A43">
        <w:rPr>
          <w:rFonts w:eastAsia="標楷體" w:cstheme="minorHAnsi"/>
        </w:rPr>
        <w:t>範圍</w:t>
      </w:r>
      <w:r w:rsidRPr="00CA1A43">
        <w:rPr>
          <w:rFonts w:eastAsia="標楷體" w:cstheme="minorHAnsi"/>
          <w:szCs w:val="24"/>
        </w:rPr>
        <w:br/>
      </w:r>
      <w:r w:rsidRPr="00CA1A43">
        <w:rPr>
          <w:rFonts w:eastAsia="標楷體" w:cstheme="minorHAnsi"/>
        </w:rPr>
        <w:t>商品定義為可在次級市場交易的實體商品，如農產品、礦產品</w:t>
      </w:r>
      <w:r w:rsidRPr="00CA1A43">
        <w:rPr>
          <w:rFonts w:eastAsia="標楷體" w:cstheme="minorHAnsi"/>
        </w:rPr>
        <w:t>(</w:t>
      </w:r>
      <w:r w:rsidRPr="00CA1A43">
        <w:rPr>
          <w:rFonts w:eastAsia="標楷體" w:cstheme="minorHAnsi"/>
        </w:rPr>
        <w:t>包含油</w:t>
      </w:r>
      <w:r w:rsidRPr="00CA1A43">
        <w:rPr>
          <w:rFonts w:eastAsia="標楷體" w:cstheme="minorHAnsi"/>
        </w:rPr>
        <w:t xml:space="preserve">) </w:t>
      </w:r>
      <w:r w:rsidRPr="00CA1A43">
        <w:rPr>
          <w:rFonts w:eastAsia="標楷體" w:cstheme="minorHAnsi"/>
        </w:rPr>
        <w:t>與貴金屬，但不包括黃金。</w:t>
      </w:r>
    </w:p>
    <w:p w14:paraId="3CA994EE" w14:textId="77777777" w:rsidR="00AA50F2" w:rsidRPr="00CA1A43" w:rsidRDefault="00AA50F2" w:rsidP="008C0E02">
      <w:pPr>
        <w:pStyle w:val="a7"/>
        <w:numPr>
          <w:ilvl w:val="0"/>
          <w:numId w:val="220"/>
        </w:numPr>
        <w:spacing w:beforeLines="50" w:before="180"/>
        <w:ind w:leftChars="0" w:left="737" w:hanging="737"/>
        <w:jc w:val="both"/>
        <w:rPr>
          <w:rFonts w:eastAsia="標楷體" w:cstheme="minorHAnsi"/>
          <w:kern w:val="0"/>
          <w:szCs w:val="24"/>
        </w:rPr>
      </w:pPr>
      <w:r w:rsidRPr="00CA1A43">
        <w:rPr>
          <w:rFonts w:eastAsia="標楷體" w:cstheme="minorHAnsi"/>
        </w:rPr>
        <w:t>商品的風險包含下述風險：</w:t>
      </w:r>
    </w:p>
    <w:p w14:paraId="50C355DC" w14:textId="77777777" w:rsidR="00AA50F2" w:rsidRPr="00CA1A43" w:rsidRDefault="00AA50F2" w:rsidP="008C0E02">
      <w:pPr>
        <w:pStyle w:val="a7"/>
        <w:numPr>
          <w:ilvl w:val="0"/>
          <w:numId w:val="221"/>
        </w:numPr>
        <w:spacing w:beforeLines="50" w:before="180"/>
        <w:ind w:leftChars="0" w:left="964" w:hanging="482"/>
        <w:jc w:val="both"/>
        <w:rPr>
          <w:rFonts w:eastAsia="標楷體" w:cstheme="minorHAnsi"/>
        </w:rPr>
      </w:pPr>
      <w:r w:rsidRPr="00CA1A43">
        <w:rPr>
          <w:rFonts w:eastAsia="標楷體" w:cstheme="minorHAnsi"/>
        </w:rPr>
        <w:t>對於現貨或實體交易，因現貨價格變化產生方向性的風險是最重要的風險。</w:t>
      </w:r>
    </w:p>
    <w:p w14:paraId="70C1CC3C" w14:textId="77777777" w:rsidR="00AA50F2" w:rsidRPr="00CA1A43" w:rsidRDefault="00AA50F2" w:rsidP="008C0E02">
      <w:pPr>
        <w:pStyle w:val="a7"/>
        <w:numPr>
          <w:ilvl w:val="0"/>
          <w:numId w:val="221"/>
        </w:numPr>
        <w:spacing w:beforeLines="50" w:before="180"/>
        <w:ind w:leftChars="0" w:left="964" w:hanging="482"/>
        <w:jc w:val="both"/>
        <w:rPr>
          <w:rFonts w:eastAsia="標楷體" w:cstheme="minorHAnsi"/>
          <w:szCs w:val="24"/>
        </w:rPr>
      </w:pPr>
      <w:r w:rsidRPr="00CA1A43">
        <w:rPr>
          <w:rFonts w:eastAsia="標楷體" w:cstheme="minorHAnsi"/>
        </w:rPr>
        <w:t>銀行使用包含遠期與衍生性合約的組合策略會暴露於各種附加風險，該風險也許會大於現貨價格變化的風險。這些包含：</w:t>
      </w:r>
    </w:p>
    <w:p w14:paraId="55C5088A" w14:textId="77777777" w:rsidR="00AA50F2" w:rsidRPr="00CA1A43" w:rsidRDefault="00AA50F2" w:rsidP="008C0E02">
      <w:pPr>
        <w:pStyle w:val="a7"/>
        <w:numPr>
          <w:ilvl w:val="0"/>
          <w:numId w:val="222"/>
        </w:numPr>
        <w:spacing w:beforeLines="50" w:before="180"/>
        <w:ind w:leftChars="0" w:left="1446" w:hanging="482"/>
        <w:jc w:val="both"/>
        <w:rPr>
          <w:rFonts w:eastAsia="標楷體" w:cstheme="minorHAnsi"/>
        </w:rPr>
      </w:pPr>
      <w:proofErr w:type="gramStart"/>
      <w:r w:rsidRPr="00CA1A43">
        <w:rPr>
          <w:rFonts w:eastAsia="標楷體" w:cstheme="minorHAnsi"/>
        </w:rPr>
        <w:t>基差風險</w:t>
      </w:r>
      <w:proofErr w:type="gramEnd"/>
      <w:r w:rsidRPr="00CA1A43">
        <w:rPr>
          <w:rFonts w:eastAsia="標楷體" w:cstheme="minorHAnsi"/>
        </w:rPr>
        <w:t>(</w:t>
      </w:r>
      <w:r w:rsidRPr="00CA1A43">
        <w:rPr>
          <w:rFonts w:eastAsia="標楷體" w:cstheme="minorHAnsi"/>
        </w:rPr>
        <w:t>相似商品的價格關係隨時間變動的風險</w:t>
      </w:r>
      <w:r w:rsidRPr="00CA1A43">
        <w:rPr>
          <w:rFonts w:eastAsia="標楷體" w:cstheme="minorHAnsi"/>
        </w:rPr>
        <w:t>)</w:t>
      </w:r>
      <w:r w:rsidRPr="00CA1A43">
        <w:rPr>
          <w:rFonts w:eastAsia="標楷體" w:cstheme="minorHAnsi"/>
        </w:rPr>
        <w:t>。</w:t>
      </w:r>
    </w:p>
    <w:p w14:paraId="02E581F5" w14:textId="77777777" w:rsidR="00AA50F2" w:rsidRPr="00CA1A43" w:rsidRDefault="00AA50F2" w:rsidP="008C0E02">
      <w:pPr>
        <w:pStyle w:val="a7"/>
        <w:numPr>
          <w:ilvl w:val="0"/>
          <w:numId w:val="222"/>
        </w:numPr>
        <w:spacing w:beforeLines="50" w:before="180"/>
        <w:ind w:leftChars="0" w:left="1446" w:hanging="482"/>
        <w:jc w:val="both"/>
        <w:rPr>
          <w:rFonts w:eastAsia="標楷體" w:cstheme="minorHAnsi"/>
          <w:szCs w:val="24"/>
        </w:rPr>
      </w:pPr>
      <w:r w:rsidRPr="00CA1A43">
        <w:rPr>
          <w:rFonts w:eastAsia="標楷體" w:cstheme="minorHAnsi"/>
        </w:rPr>
        <w:t>利率風險</w:t>
      </w:r>
      <w:r w:rsidRPr="00CA1A43">
        <w:rPr>
          <w:rFonts w:eastAsia="標楷體" w:cstheme="minorHAnsi"/>
        </w:rPr>
        <w:t>(</w:t>
      </w:r>
      <w:r w:rsidRPr="00CA1A43">
        <w:rPr>
          <w:rFonts w:eastAsia="標楷體" w:cstheme="minorHAnsi"/>
        </w:rPr>
        <w:t>遠期部位和選擇權持有成本改變的風險</w:t>
      </w:r>
      <w:r w:rsidRPr="00CA1A43">
        <w:rPr>
          <w:rFonts w:eastAsia="標楷體" w:cstheme="minorHAnsi"/>
        </w:rPr>
        <w:t>)</w:t>
      </w:r>
      <w:r w:rsidRPr="00CA1A43">
        <w:rPr>
          <w:rFonts w:eastAsia="標楷體" w:cstheme="minorHAnsi"/>
        </w:rPr>
        <w:t>。</w:t>
      </w:r>
    </w:p>
    <w:p w14:paraId="39B75617" w14:textId="77777777" w:rsidR="00AA50F2" w:rsidRPr="00CA1A43" w:rsidRDefault="00AA50F2" w:rsidP="008C0E02">
      <w:pPr>
        <w:pStyle w:val="a7"/>
        <w:numPr>
          <w:ilvl w:val="0"/>
          <w:numId w:val="222"/>
        </w:numPr>
        <w:spacing w:beforeLines="50" w:before="180"/>
        <w:ind w:leftChars="0" w:left="1446" w:hanging="482"/>
        <w:jc w:val="both"/>
        <w:rPr>
          <w:rFonts w:eastAsia="標楷體" w:cstheme="minorHAnsi"/>
          <w:szCs w:val="24"/>
        </w:rPr>
      </w:pPr>
      <w:r w:rsidRPr="00CA1A43">
        <w:rPr>
          <w:rFonts w:eastAsia="標楷體" w:cstheme="minorHAnsi"/>
        </w:rPr>
        <w:lastRenderedPageBreak/>
        <w:t>遠期缺口風險</w:t>
      </w:r>
      <w:r w:rsidRPr="00CA1A43">
        <w:rPr>
          <w:rFonts w:eastAsia="標楷體" w:cstheme="minorHAnsi"/>
        </w:rPr>
        <w:t>(</w:t>
      </w:r>
      <w:r w:rsidRPr="00CA1A43">
        <w:rPr>
          <w:rFonts w:eastAsia="標楷體" w:cstheme="minorHAnsi"/>
        </w:rPr>
        <w:t>遠期價格因利率改變以外的原因而改變的風險</w:t>
      </w:r>
      <w:r w:rsidRPr="00CA1A43">
        <w:rPr>
          <w:rFonts w:eastAsia="標楷體" w:cstheme="minorHAnsi"/>
        </w:rPr>
        <w:t>)</w:t>
      </w:r>
      <w:r w:rsidRPr="00CA1A43">
        <w:rPr>
          <w:rFonts w:eastAsia="標楷體" w:cstheme="minorHAnsi"/>
        </w:rPr>
        <w:t>。</w:t>
      </w:r>
    </w:p>
    <w:p w14:paraId="496E9224" w14:textId="77777777" w:rsidR="00AA50F2" w:rsidRPr="00CA1A43" w:rsidRDefault="00AA50F2" w:rsidP="008C0E02">
      <w:pPr>
        <w:pStyle w:val="a7"/>
        <w:numPr>
          <w:ilvl w:val="0"/>
          <w:numId w:val="221"/>
        </w:numPr>
        <w:spacing w:beforeLines="50" w:before="180"/>
        <w:ind w:leftChars="0" w:left="964" w:hanging="482"/>
        <w:jc w:val="both"/>
        <w:rPr>
          <w:rFonts w:eastAsia="標楷體" w:cstheme="minorHAnsi"/>
          <w:kern w:val="0"/>
          <w:szCs w:val="24"/>
        </w:rPr>
      </w:pPr>
      <w:r w:rsidRPr="00CA1A43">
        <w:rPr>
          <w:rFonts w:eastAsia="標楷體" w:cstheme="minorHAnsi"/>
          <w:szCs w:val="24"/>
        </w:rPr>
        <w:t>店頭市場衍生性商品應依「信用風險標準法」之規定再計提交易對手信用風險。</w:t>
      </w:r>
    </w:p>
    <w:p w14:paraId="31E93B22" w14:textId="77777777" w:rsidR="00AA50F2" w:rsidRPr="00CA1A43" w:rsidRDefault="00AA50F2" w:rsidP="008C0E02">
      <w:pPr>
        <w:pStyle w:val="a7"/>
        <w:numPr>
          <w:ilvl w:val="0"/>
          <w:numId w:val="221"/>
        </w:numPr>
        <w:spacing w:beforeLines="50" w:before="180"/>
        <w:ind w:leftChars="0" w:left="964" w:hanging="482"/>
        <w:jc w:val="both"/>
        <w:rPr>
          <w:rFonts w:eastAsia="標楷體" w:cstheme="minorHAnsi"/>
          <w:szCs w:val="24"/>
        </w:rPr>
      </w:pPr>
      <w:r w:rsidRPr="00CA1A43">
        <w:rPr>
          <w:rFonts w:eastAsia="標楷體" w:cstheme="minorHAnsi"/>
        </w:rPr>
        <w:t>商品部位的融資也許會使銀行產生利率或</w:t>
      </w:r>
      <w:proofErr w:type="gramStart"/>
      <w:r w:rsidRPr="00CA1A43">
        <w:rPr>
          <w:rFonts w:eastAsia="標楷體" w:cstheme="minorHAnsi"/>
        </w:rPr>
        <w:t>外匯暴險</w:t>
      </w:r>
      <w:proofErr w:type="gramEnd"/>
      <w:r w:rsidRPr="00CA1A43">
        <w:rPr>
          <w:rFonts w:eastAsia="標楷體" w:cstheme="minorHAnsi"/>
        </w:rPr>
        <w:t>，若是如此，相關部位應被包含於利率與匯率風險的衡量，分別於利率風險資本計提與外匯風險資本計提規定計算。</w:t>
      </w:r>
      <w:r w:rsidR="00C75FD6" w:rsidRPr="00CA1A43">
        <w:rPr>
          <w:rStyle w:val="a5"/>
          <w:rFonts w:eastAsia="標楷體" w:cstheme="minorHAnsi"/>
          <w:szCs w:val="24"/>
        </w:rPr>
        <w:footnoteReference w:id="79"/>
      </w:r>
    </w:p>
    <w:p w14:paraId="5B8E48D6" w14:textId="77777777" w:rsidR="00C23903" w:rsidRPr="00CA1A43" w:rsidRDefault="00C23903" w:rsidP="008C0E02">
      <w:pPr>
        <w:pStyle w:val="a7"/>
        <w:numPr>
          <w:ilvl w:val="0"/>
          <w:numId w:val="220"/>
        </w:numPr>
        <w:spacing w:beforeLines="50" w:before="180"/>
        <w:ind w:leftChars="0" w:left="737" w:hanging="737"/>
        <w:jc w:val="both"/>
        <w:rPr>
          <w:rFonts w:eastAsia="標楷體" w:cstheme="minorHAnsi"/>
          <w:szCs w:val="24"/>
        </w:rPr>
      </w:pPr>
      <w:r w:rsidRPr="00CA1A43">
        <w:rPr>
          <w:rFonts w:eastAsia="標楷體" w:cstheme="minorHAnsi"/>
        </w:rPr>
        <w:t>計算方法</w:t>
      </w:r>
    </w:p>
    <w:p w14:paraId="7C8D3080" w14:textId="77777777" w:rsidR="00C23903" w:rsidRPr="00CA1A43" w:rsidRDefault="00C23903" w:rsidP="00C23903">
      <w:pPr>
        <w:pStyle w:val="a7"/>
        <w:spacing w:beforeLines="50" w:before="180"/>
        <w:ind w:leftChars="0" w:left="737"/>
        <w:jc w:val="both"/>
        <w:rPr>
          <w:rFonts w:eastAsia="標楷體" w:cstheme="minorHAnsi"/>
          <w:szCs w:val="24"/>
        </w:rPr>
      </w:pPr>
      <w:r w:rsidRPr="00CA1A43">
        <w:rPr>
          <w:rFonts w:eastAsia="標楷體" w:cstheme="minorHAnsi"/>
          <w:szCs w:val="24"/>
        </w:rPr>
        <w:t>衡量商品部位之市場風險，在簡易標準法下可使用期限別法及簡易法，每</w:t>
      </w:r>
      <w:proofErr w:type="gramStart"/>
      <w:r w:rsidRPr="00CA1A43">
        <w:rPr>
          <w:rFonts w:eastAsia="標楷體" w:cstheme="minorHAnsi"/>
          <w:szCs w:val="24"/>
        </w:rPr>
        <w:t>個</w:t>
      </w:r>
      <w:proofErr w:type="gramEnd"/>
      <w:r w:rsidRPr="00CA1A43">
        <w:rPr>
          <w:rFonts w:eastAsia="標楷體" w:cstheme="minorHAnsi"/>
          <w:szCs w:val="24"/>
        </w:rPr>
        <w:t>商品的長短部位可以互抵後的淨額為基礎。除彼此可以替代交割者外，不同商品之長短部位不可互抵。所謂可以替代係指經過至少一年之觀察期，其價格變動相關係數</w:t>
      </w:r>
      <w:r w:rsidRPr="00CA1A43">
        <w:rPr>
          <w:rFonts w:eastAsia="標楷體" w:cstheme="minorHAnsi"/>
          <w:szCs w:val="24"/>
        </w:rPr>
        <w:t>(correlation</w:t>
      </w:r>
      <w:r w:rsidRPr="00CA1A43">
        <w:rPr>
          <w:rFonts w:eastAsia="標楷體" w:cstheme="minorHAnsi"/>
          <w:szCs w:val="20"/>
        </w:rPr>
        <w:t>)</w:t>
      </w:r>
      <w:r w:rsidRPr="00CA1A43">
        <w:rPr>
          <w:rFonts w:eastAsia="標楷體" w:cstheme="minorHAnsi"/>
          <w:szCs w:val="24"/>
        </w:rPr>
        <w:t>為</w:t>
      </w:r>
      <w:r w:rsidRPr="00CA1A43">
        <w:rPr>
          <w:rFonts w:eastAsia="標楷體" w:cstheme="minorHAnsi"/>
          <w:szCs w:val="24"/>
        </w:rPr>
        <w:t>0.9</w:t>
      </w:r>
      <w:r w:rsidRPr="00CA1A43">
        <w:rPr>
          <w:rFonts w:eastAsia="標楷體" w:cstheme="minorHAnsi"/>
          <w:szCs w:val="24"/>
        </w:rPr>
        <w:t>以上者。銀行基於此相關係數計算商品資本計提，需事先取得本會之核准。</w:t>
      </w:r>
      <w:r w:rsidRPr="00CA1A43">
        <w:rPr>
          <w:rFonts w:eastAsia="標楷體" w:cstheme="minorHAnsi"/>
          <w:szCs w:val="24"/>
        </w:rPr>
        <w:br/>
      </w:r>
      <w:r w:rsidRPr="00CA1A43">
        <w:rPr>
          <w:rFonts w:eastAsia="標楷體" w:cstheme="minorHAnsi"/>
        </w:rPr>
        <w:t>不同</w:t>
      </w:r>
      <w:proofErr w:type="gramStart"/>
      <w:r w:rsidRPr="00CA1A43">
        <w:rPr>
          <w:rFonts w:eastAsia="標楷體" w:cstheme="minorHAnsi"/>
        </w:rPr>
        <w:t>商品間的部位</w:t>
      </w:r>
      <w:proofErr w:type="gramEnd"/>
      <w:r w:rsidRPr="00CA1A43">
        <w:rPr>
          <w:rFonts w:eastAsia="標楷體" w:cstheme="minorHAnsi"/>
        </w:rPr>
        <w:t>在一般原則下是不可互抵的。儘管如此，在每一個次分類的</w:t>
      </w:r>
      <w:proofErr w:type="gramStart"/>
      <w:r w:rsidRPr="00CA1A43">
        <w:rPr>
          <w:rFonts w:eastAsia="標楷體" w:cstheme="minorHAnsi"/>
        </w:rPr>
        <w:t>商品間可相互</w:t>
      </w:r>
      <w:proofErr w:type="gramEnd"/>
      <w:r w:rsidRPr="00CA1A43">
        <w:rPr>
          <w:rFonts w:eastAsia="標楷體" w:cstheme="minorHAnsi"/>
        </w:rPr>
        <w:t>交付的情況下，經本會核准後允許同一商品下不同次分類</w:t>
      </w:r>
      <w:r w:rsidRPr="00CA1A43">
        <w:rPr>
          <w:rStyle w:val="a5"/>
          <w:rFonts w:eastAsia="標楷體" w:cstheme="minorHAnsi"/>
          <w:szCs w:val="24"/>
        </w:rPr>
        <w:footnoteReference w:id="80"/>
      </w:r>
      <w:r w:rsidRPr="00CA1A43">
        <w:rPr>
          <w:rFonts w:eastAsia="標楷體" w:cstheme="minorHAnsi"/>
        </w:rPr>
        <w:t>的抵銷。</w:t>
      </w:r>
    </w:p>
    <w:p w14:paraId="4F8A9AE1" w14:textId="77777777" w:rsidR="008F764C" w:rsidRPr="00CA1A43" w:rsidRDefault="008F764C" w:rsidP="008C0E02">
      <w:pPr>
        <w:pStyle w:val="a7"/>
        <w:numPr>
          <w:ilvl w:val="0"/>
          <w:numId w:val="225"/>
        </w:numPr>
        <w:spacing w:beforeLines="50" w:before="180"/>
        <w:ind w:leftChars="0" w:left="964" w:hanging="482"/>
        <w:jc w:val="both"/>
        <w:rPr>
          <w:rFonts w:eastAsia="標楷體" w:cstheme="minorHAnsi"/>
          <w:szCs w:val="24"/>
        </w:rPr>
      </w:pPr>
      <w:r w:rsidRPr="00CA1A43">
        <w:rPr>
          <w:rFonts w:eastAsia="標楷體" w:cstheme="minorHAnsi"/>
        </w:rPr>
        <w:t>期限</w:t>
      </w:r>
      <w:r w:rsidRPr="00CA1A43">
        <w:rPr>
          <w:rFonts w:eastAsia="標楷體" w:cstheme="minorHAnsi"/>
          <w:szCs w:val="24"/>
        </w:rPr>
        <w:t>別法</w:t>
      </w:r>
      <w:r w:rsidRPr="00CA1A43">
        <w:rPr>
          <w:rFonts w:eastAsia="標楷體" w:cstheme="minorHAnsi"/>
          <w:szCs w:val="24"/>
        </w:rPr>
        <w:t xml:space="preserve"> </w:t>
      </w:r>
    </w:p>
    <w:p w14:paraId="136497A9" w14:textId="77777777" w:rsidR="00017FA5" w:rsidRPr="00CA1A43" w:rsidRDefault="008F764C" w:rsidP="008C0E02">
      <w:pPr>
        <w:pStyle w:val="a7"/>
        <w:numPr>
          <w:ilvl w:val="0"/>
          <w:numId w:val="223"/>
        </w:numPr>
        <w:spacing w:beforeLines="50" w:before="180"/>
        <w:ind w:leftChars="0" w:left="1446" w:hanging="482"/>
        <w:jc w:val="both"/>
        <w:rPr>
          <w:rFonts w:eastAsia="標楷體" w:cstheme="minorHAnsi"/>
          <w:szCs w:val="24"/>
        </w:rPr>
      </w:pPr>
      <w:r w:rsidRPr="00CA1A43">
        <w:rPr>
          <w:rFonts w:eastAsia="標楷體" w:cstheme="minorHAnsi"/>
          <w:szCs w:val="24"/>
        </w:rPr>
        <w:t>銀行首先應依照每種</w:t>
      </w:r>
      <w:r w:rsidRPr="00CA1A43">
        <w:rPr>
          <w:rFonts w:eastAsia="標楷體" w:cstheme="minorHAnsi"/>
        </w:rPr>
        <w:t>商品</w:t>
      </w:r>
      <w:r w:rsidRPr="00CA1A43">
        <w:rPr>
          <w:rFonts w:eastAsia="標楷體" w:cstheme="minorHAnsi"/>
          <w:szCs w:val="24"/>
        </w:rPr>
        <w:t>的標準計量單位</w:t>
      </w:r>
      <w:r w:rsidRPr="00CA1A43">
        <w:rPr>
          <w:rFonts w:eastAsia="標楷體" w:cstheme="minorHAnsi"/>
          <w:szCs w:val="24"/>
        </w:rPr>
        <w:t>(</w:t>
      </w:r>
      <w:proofErr w:type="gramStart"/>
      <w:r w:rsidRPr="00CA1A43">
        <w:rPr>
          <w:rFonts w:eastAsia="標楷體" w:cstheme="minorHAnsi"/>
          <w:szCs w:val="24"/>
        </w:rPr>
        <w:t>如桶</w:t>
      </w:r>
      <w:proofErr w:type="gramEnd"/>
      <w:r w:rsidRPr="00CA1A43">
        <w:rPr>
          <w:rFonts w:eastAsia="標楷體" w:cstheme="minorHAnsi"/>
          <w:szCs w:val="24"/>
        </w:rPr>
        <w:t>、公斤、克等</w:t>
      </w:r>
      <w:r w:rsidRPr="00CA1A43">
        <w:rPr>
          <w:rFonts w:eastAsia="標楷體" w:cstheme="minorHAnsi"/>
          <w:szCs w:val="20"/>
        </w:rPr>
        <w:t>)</w:t>
      </w:r>
      <w:r w:rsidRPr="00CA1A43">
        <w:rPr>
          <w:rFonts w:eastAsia="標楷體" w:cstheme="minorHAnsi"/>
          <w:szCs w:val="24"/>
        </w:rPr>
        <w:t>列出其部位，每種商品的淨部位再按現貨價格換算為本國貨幣。</w:t>
      </w:r>
    </w:p>
    <w:p w14:paraId="151AF3C8" w14:textId="77777777" w:rsidR="008F764C" w:rsidRPr="00CA1A43" w:rsidRDefault="008F764C" w:rsidP="008C0E02">
      <w:pPr>
        <w:pStyle w:val="a7"/>
        <w:numPr>
          <w:ilvl w:val="0"/>
          <w:numId w:val="223"/>
        </w:numPr>
        <w:spacing w:beforeLines="50" w:before="180"/>
        <w:ind w:leftChars="0" w:left="1446" w:hanging="482"/>
        <w:jc w:val="both"/>
        <w:rPr>
          <w:rFonts w:eastAsia="標楷體" w:cstheme="minorHAnsi"/>
          <w:szCs w:val="24"/>
        </w:rPr>
      </w:pPr>
      <w:r w:rsidRPr="00CA1A43">
        <w:rPr>
          <w:rFonts w:eastAsia="標楷體" w:cstheme="minorHAnsi"/>
        </w:rPr>
        <w:t>計算</w:t>
      </w:r>
      <w:r w:rsidRPr="00CA1A43">
        <w:rPr>
          <w:rFonts w:eastAsia="標楷體" w:cstheme="minorHAnsi"/>
          <w:szCs w:val="24"/>
        </w:rPr>
        <w:t>方法</w:t>
      </w:r>
      <w:r w:rsidRPr="00CA1A43">
        <w:rPr>
          <w:rFonts w:eastAsia="標楷體" w:cstheme="minorHAnsi"/>
        </w:rPr>
        <w:t>的理論類似於利率風險的資本計提</w:t>
      </w:r>
      <w:r w:rsidRPr="00CA1A43">
        <w:rPr>
          <w:rFonts w:eastAsia="標楷體" w:cstheme="minorHAnsi"/>
          <w:szCs w:val="24"/>
        </w:rPr>
        <w:t>。</w:t>
      </w:r>
      <w:r w:rsidRPr="00CA1A43">
        <w:rPr>
          <w:rFonts w:eastAsia="標楷體" w:cstheme="minorHAnsi"/>
        </w:rPr>
        <w:t>不同商品</w:t>
      </w:r>
      <w:r w:rsidR="00FF2428" w:rsidRPr="00CA1A43">
        <w:rPr>
          <w:rStyle w:val="a5"/>
          <w:rFonts w:eastAsia="標楷體" w:cstheme="minorHAnsi"/>
          <w:szCs w:val="24"/>
        </w:rPr>
        <w:footnoteReference w:id="81"/>
      </w:r>
      <w:r w:rsidRPr="00CA1A43">
        <w:rPr>
          <w:rFonts w:eastAsia="標楷體" w:cstheme="minorHAnsi"/>
        </w:rPr>
        <w:t>部位應分</w:t>
      </w:r>
      <w:proofErr w:type="gramStart"/>
      <w:r w:rsidRPr="00CA1A43">
        <w:rPr>
          <w:rFonts w:eastAsia="標楷體" w:cstheme="minorHAnsi"/>
        </w:rPr>
        <w:t>別依表</w:t>
      </w:r>
      <w:proofErr w:type="gramEnd"/>
      <w:r w:rsidR="007412A4">
        <w:rPr>
          <w:rFonts w:eastAsia="標楷體" w:cstheme="minorHAnsi" w:hint="eastAsia"/>
        </w:rPr>
        <w:t>23</w:t>
      </w:r>
      <w:r w:rsidRPr="00CA1A43">
        <w:rPr>
          <w:rFonts w:eastAsia="標楷體" w:cstheme="minorHAnsi"/>
        </w:rPr>
        <w:t>所列之期限別</w:t>
      </w:r>
      <w:r w:rsidRPr="00CA1A43">
        <w:rPr>
          <w:rFonts w:eastAsia="標楷體" w:cstheme="minorHAnsi"/>
        </w:rPr>
        <w:t>(</w:t>
      </w:r>
      <w:r w:rsidRPr="00CA1A43">
        <w:rPr>
          <w:rFonts w:eastAsia="標楷體" w:cstheme="minorHAnsi"/>
        </w:rPr>
        <w:t>時間帶</w:t>
      </w:r>
      <w:r w:rsidRPr="00CA1A43">
        <w:rPr>
          <w:rFonts w:eastAsia="標楷體" w:cstheme="minorHAnsi"/>
        </w:rPr>
        <w:t>)</w:t>
      </w:r>
      <w:r w:rsidRPr="00CA1A43">
        <w:rPr>
          <w:rFonts w:eastAsia="標楷體" w:cstheme="minorHAnsi"/>
        </w:rPr>
        <w:t>歸類，現貨宜歸入第一個時間帶。</w:t>
      </w:r>
    </w:p>
    <w:tbl>
      <w:tblPr>
        <w:tblW w:w="4146" w:type="pct"/>
        <w:tblInd w:w="141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1376"/>
        <w:gridCol w:w="1541"/>
      </w:tblGrid>
      <w:tr w:rsidR="008F764C" w:rsidRPr="00CA1A43" w14:paraId="7335BD6A" w14:textId="77777777" w:rsidTr="008F764C">
        <w:trPr>
          <w:trHeight w:val="454"/>
        </w:trPr>
        <w:tc>
          <w:tcPr>
            <w:tcW w:w="3881" w:type="pct"/>
            <w:gridSpan w:val="2"/>
            <w:tcBorders>
              <w:top w:val="single" w:sz="4" w:space="0" w:color="auto"/>
              <w:left w:val="nil"/>
              <w:bottom w:val="single" w:sz="4" w:space="0" w:color="auto"/>
              <w:right w:val="nil"/>
            </w:tcBorders>
            <w:vAlign w:val="center"/>
            <w:hideMark/>
          </w:tcPr>
          <w:p w14:paraId="4606FAC6" w14:textId="77777777" w:rsidR="008F764C" w:rsidRPr="00CA1A43" w:rsidRDefault="008F764C" w:rsidP="00A5488F">
            <w:pPr>
              <w:pStyle w:val="Item"/>
              <w:jc w:val="both"/>
              <w:rPr>
                <w:rFonts w:asciiTheme="minorHAnsi" w:hAnsiTheme="minorHAnsi" w:cstheme="minorHAnsi"/>
                <w:sz w:val="24"/>
                <w:szCs w:val="24"/>
              </w:rPr>
            </w:pPr>
            <w:r w:rsidRPr="00CA1A43">
              <w:rPr>
                <w:rFonts w:asciiTheme="minorHAnsi" w:hAnsiTheme="minorHAnsi" w:cstheme="minorHAnsi"/>
                <w:sz w:val="24"/>
                <w:szCs w:val="24"/>
              </w:rPr>
              <w:t>時間帶與差價率</w:t>
            </w:r>
          </w:p>
        </w:tc>
        <w:tc>
          <w:tcPr>
            <w:tcW w:w="1119" w:type="pct"/>
            <w:tcBorders>
              <w:top w:val="single" w:sz="4" w:space="0" w:color="auto"/>
              <w:left w:val="nil"/>
              <w:bottom w:val="single" w:sz="4" w:space="0" w:color="auto"/>
              <w:right w:val="nil"/>
            </w:tcBorders>
            <w:vAlign w:val="center"/>
            <w:hideMark/>
          </w:tcPr>
          <w:p w14:paraId="14CF63D6" w14:textId="77777777" w:rsidR="008F764C" w:rsidRPr="00CA1A43" w:rsidRDefault="008F764C" w:rsidP="00A5488F">
            <w:pPr>
              <w:pStyle w:val="Item"/>
              <w:ind w:left="292"/>
              <w:jc w:val="right"/>
              <w:rPr>
                <w:rFonts w:asciiTheme="minorHAnsi" w:hAnsiTheme="minorHAnsi" w:cstheme="minorHAnsi"/>
                <w:sz w:val="24"/>
                <w:szCs w:val="24"/>
              </w:rPr>
            </w:pPr>
            <w:r w:rsidRPr="00CA1A43">
              <w:rPr>
                <w:rFonts w:asciiTheme="minorHAnsi" w:hAnsiTheme="minorHAnsi" w:cstheme="minorHAnsi"/>
                <w:sz w:val="24"/>
                <w:szCs w:val="24"/>
              </w:rPr>
              <w:t>表</w:t>
            </w:r>
            <w:r w:rsidR="007412A4">
              <w:rPr>
                <w:rFonts w:asciiTheme="minorHAnsi" w:hAnsiTheme="minorHAnsi" w:cstheme="minorHAnsi" w:hint="eastAsia"/>
                <w:sz w:val="24"/>
                <w:szCs w:val="24"/>
              </w:rPr>
              <w:t>23</w:t>
            </w:r>
          </w:p>
        </w:tc>
      </w:tr>
      <w:tr w:rsidR="008F764C" w:rsidRPr="00CA1A43" w14:paraId="08386BC2" w14:textId="77777777" w:rsidTr="008F764C">
        <w:tc>
          <w:tcPr>
            <w:tcW w:w="2882" w:type="pct"/>
            <w:tcBorders>
              <w:top w:val="single" w:sz="4" w:space="0" w:color="auto"/>
              <w:left w:val="nil"/>
              <w:bottom w:val="single" w:sz="4" w:space="0" w:color="auto"/>
              <w:right w:val="single" w:sz="8" w:space="0" w:color="BFBFBF"/>
            </w:tcBorders>
            <w:hideMark/>
          </w:tcPr>
          <w:p w14:paraId="6FB07FF2"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時間帶</w:t>
            </w:r>
          </w:p>
        </w:tc>
        <w:tc>
          <w:tcPr>
            <w:tcW w:w="2118" w:type="pct"/>
            <w:gridSpan w:val="2"/>
            <w:tcBorders>
              <w:top w:val="single" w:sz="4" w:space="0" w:color="auto"/>
              <w:left w:val="single" w:sz="8" w:space="0" w:color="BFBFBF"/>
              <w:bottom w:val="single" w:sz="4" w:space="0" w:color="auto"/>
              <w:right w:val="nil"/>
            </w:tcBorders>
            <w:hideMark/>
          </w:tcPr>
          <w:p w14:paraId="61294B3E"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差價率</w:t>
            </w:r>
          </w:p>
        </w:tc>
      </w:tr>
      <w:tr w:rsidR="008F764C" w:rsidRPr="00CA1A43" w14:paraId="3FF1EB34" w14:textId="77777777" w:rsidTr="008F764C">
        <w:tc>
          <w:tcPr>
            <w:tcW w:w="2882" w:type="pct"/>
            <w:tcBorders>
              <w:top w:val="single" w:sz="4" w:space="0" w:color="auto"/>
              <w:left w:val="nil"/>
              <w:bottom w:val="single" w:sz="8" w:space="0" w:color="BFBFBF"/>
              <w:right w:val="single" w:sz="8" w:space="0" w:color="BFBFBF"/>
            </w:tcBorders>
            <w:vAlign w:val="center"/>
            <w:hideMark/>
          </w:tcPr>
          <w:p w14:paraId="778AA9F8"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0</w:t>
            </w:r>
            <w:r w:rsidRPr="00CA1A43">
              <w:rPr>
                <w:rFonts w:asciiTheme="minorHAnsi" w:hAnsiTheme="minorHAnsi" w:cstheme="minorHAnsi"/>
                <w:sz w:val="24"/>
                <w:szCs w:val="24"/>
              </w:rPr>
              <w:t>至</w:t>
            </w:r>
            <w:r w:rsidRPr="00CA1A43">
              <w:rPr>
                <w:rFonts w:asciiTheme="minorHAnsi" w:hAnsiTheme="minorHAnsi" w:cstheme="minorHAnsi"/>
                <w:sz w:val="24"/>
                <w:szCs w:val="24"/>
              </w:rPr>
              <w:t>1</w:t>
            </w:r>
            <w:r w:rsidRPr="00CA1A43">
              <w:rPr>
                <w:rFonts w:asciiTheme="minorHAnsi" w:hAnsiTheme="minorHAnsi" w:cstheme="minorHAnsi"/>
                <w:sz w:val="24"/>
                <w:szCs w:val="24"/>
              </w:rPr>
              <w:t>個月</w:t>
            </w:r>
          </w:p>
        </w:tc>
        <w:tc>
          <w:tcPr>
            <w:tcW w:w="2118" w:type="pct"/>
            <w:gridSpan w:val="2"/>
            <w:tcBorders>
              <w:top w:val="single" w:sz="4" w:space="0" w:color="auto"/>
              <w:left w:val="single" w:sz="8" w:space="0" w:color="BFBFBF"/>
              <w:bottom w:val="single" w:sz="8" w:space="0" w:color="BFBFBF"/>
              <w:right w:val="nil"/>
            </w:tcBorders>
            <w:vAlign w:val="center"/>
            <w:hideMark/>
          </w:tcPr>
          <w:p w14:paraId="1DA78DA6"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764C" w:rsidRPr="00CA1A43" w14:paraId="61C1ADD4" w14:textId="77777777" w:rsidTr="008F764C">
        <w:tc>
          <w:tcPr>
            <w:tcW w:w="2882" w:type="pct"/>
            <w:tcBorders>
              <w:top w:val="single" w:sz="8" w:space="0" w:color="BFBFBF"/>
              <w:left w:val="nil"/>
              <w:bottom w:val="single" w:sz="8" w:space="0" w:color="BFBFBF"/>
              <w:right w:val="single" w:sz="8" w:space="0" w:color="BFBFBF"/>
            </w:tcBorders>
            <w:vAlign w:val="center"/>
            <w:hideMark/>
          </w:tcPr>
          <w:p w14:paraId="3ED8F1D2"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至</w:t>
            </w:r>
            <w:r w:rsidRPr="00CA1A43">
              <w:rPr>
                <w:rFonts w:asciiTheme="minorHAnsi" w:hAnsiTheme="minorHAnsi" w:cstheme="minorHAnsi"/>
                <w:sz w:val="24"/>
                <w:szCs w:val="24"/>
              </w:rPr>
              <w:t>3</w:t>
            </w:r>
            <w:r w:rsidRPr="00CA1A43">
              <w:rPr>
                <w:rFonts w:asciiTheme="minorHAnsi" w:hAnsiTheme="minorHAnsi" w:cstheme="minorHAnsi"/>
                <w:sz w:val="24"/>
                <w:szCs w:val="24"/>
              </w:rPr>
              <w:t>個月</w:t>
            </w:r>
          </w:p>
        </w:tc>
        <w:tc>
          <w:tcPr>
            <w:tcW w:w="2118" w:type="pct"/>
            <w:gridSpan w:val="2"/>
            <w:tcBorders>
              <w:top w:val="single" w:sz="8" w:space="0" w:color="BFBFBF"/>
              <w:left w:val="single" w:sz="8" w:space="0" w:color="BFBFBF"/>
              <w:bottom w:val="single" w:sz="8" w:space="0" w:color="BFBFBF"/>
              <w:right w:val="nil"/>
            </w:tcBorders>
            <w:vAlign w:val="center"/>
            <w:hideMark/>
          </w:tcPr>
          <w:p w14:paraId="23C1ED84"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764C" w:rsidRPr="00CA1A43" w14:paraId="57A3467C" w14:textId="77777777" w:rsidTr="008F764C">
        <w:tc>
          <w:tcPr>
            <w:tcW w:w="2882" w:type="pct"/>
            <w:tcBorders>
              <w:top w:val="single" w:sz="8" w:space="0" w:color="BFBFBF"/>
              <w:left w:val="nil"/>
              <w:bottom w:val="single" w:sz="8" w:space="0" w:color="BFBFBF"/>
              <w:right w:val="single" w:sz="8" w:space="0" w:color="BFBFBF"/>
            </w:tcBorders>
            <w:vAlign w:val="center"/>
            <w:hideMark/>
          </w:tcPr>
          <w:p w14:paraId="5E3685CA"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r w:rsidRPr="00CA1A43">
              <w:rPr>
                <w:rFonts w:asciiTheme="minorHAnsi" w:hAnsiTheme="minorHAnsi" w:cstheme="minorHAnsi"/>
                <w:sz w:val="24"/>
                <w:szCs w:val="24"/>
              </w:rPr>
              <w:t>至</w:t>
            </w:r>
            <w:r w:rsidRPr="00CA1A43">
              <w:rPr>
                <w:rFonts w:asciiTheme="minorHAnsi" w:hAnsiTheme="minorHAnsi" w:cstheme="minorHAnsi"/>
                <w:sz w:val="24"/>
                <w:szCs w:val="24"/>
              </w:rPr>
              <w:t>6</w:t>
            </w:r>
            <w:r w:rsidRPr="00CA1A43">
              <w:rPr>
                <w:rFonts w:asciiTheme="minorHAnsi" w:hAnsiTheme="minorHAnsi" w:cstheme="minorHAnsi"/>
                <w:sz w:val="24"/>
                <w:szCs w:val="24"/>
              </w:rPr>
              <w:t>個月</w:t>
            </w:r>
          </w:p>
        </w:tc>
        <w:tc>
          <w:tcPr>
            <w:tcW w:w="2118" w:type="pct"/>
            <w:gridSpan w:val="2"/>
            <w:tcBorders>
              <w:top w:val="single" w:sz="8" w:space="0" w:color="BFBFBF"/>
              <w:left w:val="single" w:sz="8" w:space="0" w:color="BFBFBF"/>
              <w:bottom w:val="single" w:sz="8" w:space="0" w:color="BFBFBF"/>
              <w:right w:val="nil"/>
            </w:tcBorders>
            <w:vAlign w:val="center"/>
            <w:hideMark/>
          </w:tcPr>
          <w:p w14:paraId="6CB7862C"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764C" w:rsidRPr="00CA1A43" w14:paraId="303AC53E" w14:textId="77777777" w:rsidTr="008F764C">
        <w:tc>
          <w:tcPr>
            <w:tcW w:w="2882" w:type="pct"/>
            <w:tcBorders>
              <w:top w:val="single" w:sz="8" w:space="0" w:color="BFBFBF"/>
              <w:left w:val="nil"/>
              <w:bottom w:val="single" w:sz="8" w:space="0" w:color="BFBFBF"/>
              <w:right w:val="single" w:sz="8" w:space="0" w:color="BFBFBF"/>
            </w:tcBorders>
            <w:vAlign w:val="center"/>
            <w:hideMark/>
          </w:tcPr>
          <w:p w14:paraId="2DD3F0AB"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6</w:t>
            </w:r>
            <w:r w:rsidRPr="00CA1A43">
              <w:rPr>
                <w:rFonts w:asciiTheme="minorHAnsi" w:hAnsiTheme="minorHAnsi" w:cstheme="minorHAnsi"/>
                <w:sz w:val="24"/>
                <w:szCs w:val="24"/>
              </w:rPr>
              <w:t>至</w:t>
            </w:r>
            <w:r w:rsidRPr="00CA1A43">
              <w:rPr>
                <w:rFonts w:asciiTheme="minorHAnsi" w:hAnsiTheme="minorHAnsi" w:cstheme="minorHAnsi"/>
                <w:sz w:val="24"/>
                <w:szCs w:val="24"/>
              </w:rPr>
              <w:t>12</w:t>
            </w:r>
            <w:r w:rsidRPr="00CA1A43">
              <w:rPr>
                <w:rFonts w:asciiTheme="minorHAnsi" w:hAnsiTheme="minorHAnsi" w:cstheme="minorHAnsi"/>
                <w:sz w:val="24"/>
                <w:szCs w:val="24"/>
              </w:rPr>
              <w:t>個月</w:t>
            </w:r>
          </w:p>
        </w:tc>
        <w:tc>
          <w:tcPr>
            <w:tcW w:w="2118" w:type="pct"/>
            <w:gridSpan w:val="2"/>
            <w:tcBorders>
              <w:top w:val="single" w:sz="8" w:space="0" w:color="BFBFBF"/>
              <w:left w:val="single" w:sz="8" w:space="0" w:color="BFBFBF"/>
              <w:bottom w:val="single" w:sz="8" w:space="0" w:color="BFBFBF"/>
              <w:right w:val="nil"/>
            </w:tcBorders>
            <w:vAlign w:val="center"/>
            <w:hideMark/>
          </w:tcPr>
          <w:p w14:paraId="36C49FFF"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764C" w:rsidRPr="00CA1A43" w14:paraId="4F752675" w14:textId="77777777" w:rsidTr="008F764C">
        <w:tc>
          <w:tcPr>
            <w:tcW w:w="2882" w:type="pct"/>
            <w:tcBorders>
              <w:top w:val="single" w:sz="8" w:space="0" w:color="BFBFBF"/>
              <w:left w:val="nil"/>
              <w:bottom w:val="single" w:sz="8" w:space="0" w:color="BFBFBF"/>
              <w:right w:val="single" w:sz="8" w:space="0" w:color="BFBFBF"/>
            </w:tcBorders>
            <w:vAlign w:val="center"/>
            <w:hideMark/>
          </w:tcPr>
          <w:p w14:paraId="59AD9990"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r w:rsidRPr="00CA1A43">
              <w:rPr>
                <w:rFonts w:asciiTheme="minorHAnsi" w:hAnsiTheme="minorHAnsi" w:cstheme="minorHAnsi"/>
                <w:sz w:val="24"/>
                <w:szCs w:val="24"/>
              </w:rPr>
              <w:t>至</w:t>
            </w:r>
            <w:r w:rsidRPr="00CA1A43">
              <w:rPr>
                <w:rFonts w:asciiTheme="minorHAnsi" w:hAnsiTheme="minorHAnsi" w:cstheme="minorHAnsi"/>
                <w:sz w:val="24"/>
                <w:szCs w:val="24"/>
              </w:rPr>
              <w:t>2</w:t>
            </w:r>
            <w:r w:rsidRPr="00CA1A43">
              <w:rPr>
                <w:rFonts w:asciiTheme="minorHAnsi" w:hAnsiTheme="minorHAnsi" w:cstheme="minorHAnsi"/>
                <w:sz w:val="24"/>
                <w:szCs w:val="24"/>
              </w:rPr>
              <w:t>年</w:t>
            </w:r>
          </w:p>
        </w:tc>
        <w:tc>
          <w:tcPr>
            <w:tcW w:w="2118" w:type="pct"/>
            <w:gridSpan w:val="2"/>
            <w:tcBorders>
              <w:top w:val="single" w:sz="8" w:space="0" w:color="BFBFBF"/>
              <w:left w:val="single" w:sz="8" w:space="0" w:color="BFBFBF"/>
              <w:bottom w:val="single" w:sz="8" w:space="0" w:color="BFBFBF"/>
              <w:right w:val="nil"/>
            </w:tcBorders>
            <w:vAlign w:val="center"/>
            <w:hideMark/>
          </w:tcPr>
          <w:p w14:paraId="73E9126F"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764C" w:rsidRPr="00CA1A43" w14:paraId="46ED0598" w14:textId="77777777" w:rsidTr="008F764C">
        <w:trPr>
          <w:trHeight w:val="240"/>
        </w:trPr>
        <w:tc>
          <w:tcPr>
            <w:tcW w:w="2882" w:type="pct"/>
            <w:tcBorders>
              <w:top w:val="single" w:sz="8" w:space="0" w:color="BFBFBF"/>
              <w:left w:val="nil"/>
              <w:bottom w:val="single" w:sz="8" w:space="0" w:color="BFBFBF"/>
              <w:right w:val="single" w:sz="8" w:space="0" w:color="BFBFBF"/>
            </w:tcBorders>
            <w:vAlign w:val="center"/>
            <w:hideMark/>
          </w:tcPr>
          <w:p w14:paraId="5C513357"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lastRenderedPageBreak/>
              <w:t>2</w:t>
            </w:r>
            <w:r w:rsidRPr="00CA1A43">
              <w:rPr>
                <w:rFonts w:asciiTheme="minorHAnsi" w:hAnsiTheme="minorHAnsi" w:cstheme="minorHAnsi"/>
                <w:sz w:val="24"/>
                <w:szCs w:val="24"/>
              </w:rPr>
              <w:t>至</w:t>
            </w:r>
            <w:r w:rsidRPr="00CA1A43">
              <w:rPr>
                <w:rFonts w:asciiTheme="minorHAnsi" w:hAnsiTheme="minorHAnsi" w:cstheme="minorHAnsi"/>
                <w:sz w:val="24"/>
                <w:szCs w:val="24"/>
              </w:rPr>
              <w:t>3</w:t>
            </w:r>
            <w:r w:rsidRPr="00CA1A43">
              <w:rPr>
                <w:rFonts w:asciiTheme="minorHAnsi" w:hAnsiTheme="minorHAnsi" w:cstheme="minorHAnsi"/>
                <w:sz w:val="24"/>
                <w:szCs w:val="24"/>
              </w:rPr>
              <w:t>年</w:t>
            </w:r>
          </w:p>
        </w:tc>
        <w:tc>
          <w:tcPr>
            <w:tcW w:w="2118" w:type="pct"/>
            <w:gridSpan w:val="2"/>
            <w:tcBorders>
              <w:top w:val="single" w:sz="8" w:space="0" w:color="BFBFBF"/>
              <w:left w:val="single" w:sz="8" w:space="0" w:color="BFBFBF"/>
              <w:bottom w:val="single" w:sz="8" w:space="0" w:color="BFBFBF"/>
              <w:right w:val="nil"/>
            </w:tcBorders>
            <w:vAlign w:val="center"/>
            <w:hideMark/>
          </w:tcPr>
          <w:p w14:paraId="322B6C78"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r w:rsidR="008F764C" w:rsidRPr="00CA1A43" w14:paraId="77D0CABA" w14:textId="77777777" w:rsidTr="008F764C">
        <w:trPr>
          <w:trHeight w:val="225"/>
        </w:trPr>
        <w:tc>
          <w:tcPr>
            <w:tcW w:w="2882" w:type="pct"/>
            <w:tcBorders>
              <w:top w:val="single" w:sz="8" w:space="0" w:color="BFBFBF"/>
              <w:left w:val="nil"/>
              <w:bottom w:val="single" w:sz="4" w:space="0" w:color="auto"/>
              <w:right w:val="single" w:sz="8" w:space="0" w:color="BFBFBF"/>
            </w:tcBorders>
            <w:vAlign w:val="center"/>
            <w:hideMark/>
          </w:tcPr>
          <w:p w14:paraId="0DFC756F"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超過</w:t>
            </w:r>
            <w:r w:rsidRPr="00CA1A43">
              <w:rPr>
                <w:rFonts w:asciiTheme="minorHAnsi" w:hAnsiTheme="minorHAnsi" w:cstheme="minorHAnsi"/>
                <w:sz w:val="24"/>
                <w:szCs w:val="24"/>
              </w:rPr>
              <w:t>3</w:t>
            </w:r>
            <w:r w:rsidRPr="00CA1A43">
              <w:rPr>
                <w:rFonts w:asciiTheme="minorHAnsi" w:hAnsiTheme="minorHAnsi" w:cstheme="minorHAnsi"/>
                <w:sz w:val="24"/>
                <w:szCs w:val="24"/>
              </w:rPr>
              <w:t>年</w:t>
            </w:r>
          </w:p>
        </w:tc>
        <w:tc>
          <w:tcPr>
            <w:tcW w:w="2118" w:type="pct"/>
            <w:gridSpan w:val="2"/>
            <w:tcBorders>
              <w:top w:val="single" w:sz="8" w:space="0" w:color="BFBFBF"/>
              <w:left w:val="single" w:sz="8" w:space="0" w:color="BFBFBF"/>
              <w:bottom w:val="single" w:sz="4" w:space="0" w:color="auto"/>
              <w:right w:val="nil"/>
            </w:tcBorders>
            <w:vAlign w:val="center"/>
            <w:hideMark/>
          </w:tcPr>
          <w:p w14:paraId="2931D54E" w14:textId="77777777" w:rsidR="008F764C" w:rsidRPr="00CA1A43" w:rsidRDefault="008F764C"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1.5%</w:t>
            </w:r>
          </w:p>
        </w:tc>
      </w:tr>
    </w:tbl>
    <w:p w14:paraId="1FFE4705" w14:textId="77777777" w:rsidR="00FF2428" w:rsidRPr="00CA1A43" w:rsidRDefault="00FF2428" w:rsidP="008C0E02">
      <w:pPr>
        <w:pStyle w:val="a7"/>
        <w:numPr>
          <w:ilvl w:val="0"/>
          <w:numId w:val="223"/>
        </w:numPr>
        <w:spacing w:beforeLines="50" w:before="180"/>
        <w:ind w:leftChars="0" w:left="1446" w:hanging="482"/>
        <w:jc w:val="both"/>
        <w:rPr>
          <w:rFonts w:eastAsia="標楷體" w:cstheme="minorHAnsi"/>
          <w:szCs w:val="24"/>
        </w:rPr>
      </w:pPr>
      <w:r w:rsidRPr="00CA1A43">
        <w:rPr>
          <w:rFonts w:eastAsia="標楷體" w:cstheme="minorHAnsi"/>
          <w:szCs w:val="24"/>
        </w:rPr>
        <w:t>每</w:t>
      </w:r>
      <w:proofErr w:type="gramStart"/>
      <w:r w:rsidRPr="00CA1A43">
        <w:rPr>
          <w:rFonts w:eastAsia="標楷體" w:cstheme="minorHAnsi"/>
          <w:szCs w:val="24"/>
        </w:rPr>
        <w:t>個</w:t>
      </w:r>
      <w:proofErr w:type="gramEnd"/>
      <w:r w:rsidRPr="00CA1A43">
        <w:rPr>
          <w:rFonts w:eastAsia="標楷體" w:cstheme="minorHAnsi"/>
        </w:rPr>
        <w:t>時間</w:t>
      </w:r>
      <w:r w:rsidRPr="00CA1A43">
        <w:rPr>
          <w:rFonts w:eastAsia="標楷體" w:cstheme="minorHAnsi"/>
          <w:szCs w:val="24"/>
        </w:rPr>
        <w:t>帶內之長、短部位搭配</w:t>
      </w:r>
      <w:r w:rsidRPr="00CA1A43">
        <w:rPr>
          <w:rFonts w:eastAsia="標楷體" w:cstheme="minorHAnsi"/>
        </w:rPr>
        <w:t>(</w:t>
      </w:r>
      <w:r w:rsidRPr="00CA1A43">
        <w:rPr>
          <w:rFonts w:eastAsia="標楷體" w:cstheme="minorHAnsi"/>
          <w:szCs w:val="24"/>
        </w:rPr>
        <w:t>matched</w:t>
      </w:r>
      <w:r w:rsidRPr="00CA1A43">
        <w:rPr>
          <w:rFonts w:eastAsia="標楷體" w:cstheme="minorHAnsi"/>
          <w:szCs w:val="20"/>
        </w:rPr>
        <w:t>)</w:t>
      </w:r>
      <w:r w:rsidRPr="00CA1A43">
        <w:rPr>
          <w:rFonts w:eastAsia="標楷體" w:cstheme="minorHAnsi"/>
          <w:szCs w:val="24"/>
        </w:rPr>
        <w:t>部分，以該搭配部分之長部位、短部位合計數</w:t>
      </w:r>
      <w:r w:rsidRPr="00CA1A43">
        <w:rPr>
          <w:rFonts w:eastAsia="標楷體" w:cstheme="minorHAnsi"/>
        </w:rPr>
        <w:t>首先乘以商品的即期價格</w:t>
      </w:r>
      <w:r w:rsidRPr="00CA1A43">
        <w:rPr>
          <w:rFonts w:eastAsia="標楷體" w:cstheme="minorHAnsi"/>
          <w:szCs w:val="24"/>
        </w:rPr>
        <w:t>，</w:t>
      </w:r>
      <w:r w:rsidRPr="00CA1A43">
        <w:rPr>
          <w:rFonts w:eastAsia="標楷體" w:cstheme="minorHAnsi"/>
        </w:rPr>
        <w:t>然後再乘以</w:t>
      </w:r>
      <w:r w:rsidRPr="00CA1A43">
        <w:rPr>
          <w:rFonts w:eastAsia="標楷體" w:cstheme="minorHAnsi"/>
          <w:szCs w:val="24"/>
        </w:rPr>
        <w:t>差價率</w:t>
      </w:r>
      <w:r w:rsidRPr="00CA1A43">
        <w:rPr>
          <w:rFonts w:eastAsia="標楷體" w:cstheme="minorHAnsi"/>
        </w:rPr>
        <w:t>(</w:t>
      </w:r>
      <w:r w:rsidRPr="00CA1A43">
        <w:rPr>
          <w:rFonts w:eastAsia="標楷體" w:cstheme="minorHAnsi"/>
          <w:szCs w:val="24"/>
        </w:rPr>
        <w:t>spread rate</w:t>
      </w:r>
      <w:r w:rsidRPr="00CA1A43">
        <w:rPr>
          <w:rFonts w:eastAsia="標楷體" w:cstheme="minorHAnsi"/>
          <w:szCs w:val="20"/>
        </w:rPr>
        <w:t>)</w:t>
      </w:r>
      <w:r w:rsidRPr="00CA1A43">
        <w:rPr>
          <w:rFonts w:eastAsia="標楷體" w:cstheme="minorHAnsi"/>
          <w:szCs w:val="24"/>
        </w:rPr>
        <w:t>1.5%</w:t>
      </w:r>
      <w:r w:rsidRPr="00CA1A43">
        <w:rPr>
          <w:rFonts w:eastAsia="標楷體" w:cstheme="minorHAnsi"/>
          <w:szCs w:val="24"/>
        </w:rPr>
        <w:t>計提資本。</w:t>
      </w:r>
      <w:r w:rsidRPr="00CA1A43">
        <w:rPr>
          <w:rFonts w:eastAsia="標楷體" w:cstheme="minorHAnsi"/>
        </w:rPr>
        <w:t>從較接近</w:t>
      </w:r>
      <w:proofErr w:type="gramStart"/>
      <w:r w:rsidRPr="00CA1A43">
        <w:rPr>
          <w:rFonts w:eastAsia="標楷體" w:cstheme="minorHAnsi"/>
        </w:rPr>
        <w:t>時間帶</w:t>
      </w:r>
      <w:r w:rsidRPr="00CA1A43">
        <w:rPr>
          <w:rFonts w:eastAsia="標楷體" w:cstheme="minorHAnsi"/>
          <w:szCs w:val="24"/>
        </w:rPr>
        <w:t>依剩餘</w:t>
      </w:r>
      <w:proofErr w:type="gramEnd"/>
      <w:r w:rsidRPr="00CA1A43">
        <w:rPr>
          <w:rFonts w:eastAsia="標楷體" w:cstheme="minorHAnsi"/>
          <w:szCs w:val="24"/>
        </w:rPr>
        <w:t>之淨部位在</w:t>
      </w:r>
      <w:proofErr w:type="gramStart"/>
      <w:r w:rsidRPr="00CA1A43">
        <w:rPr>
          <w:rFonts w:eastAsia="標楷體" w:cstheme="minorHAnsi"/>
          <w:szCs w:val="24"/>
        </w:rPr>
        <w:t>往下互抵</w:t>
      </w:r>
      <w:proofErr w:type="gramEnd"/>
      <w:r w:rsidRPr="00CA1A43">
        <w:rPr>
          <w:rFonts w:eastAsia="標楷體" w:cstheme="minorHAnsi"/>
          <w:szCs w:val="24"/>
        </w:rPr>
        <w:t>以前先依所跨越之時間帶數目，每一</w:t>
      </w:r>
      <w:proofErr w:type="gramStart"/>
      <w:r w:rsidRPr="00CA1A43">
        <w:rPr>
          <w:rFonts w:eastAsia="標楷體" w:cstheme="minorHAnsi"/>
          <w:szCs w:val="24"/>
        </w:rPr>
        <w:t>時間帶多計提</w:t>
      </w:r>
      <w:proofErr w:type="gramEnd"/>
      <w:r w:rsidRPr="00CA1A43">
        <w:rPr>
          <w:rFonts w:eastAsia="標楷體" w:cstheme="minorHAnsi"/>
          <w:szCs w:val="24"/>
        </w:rPr>
        <w:t>0.6%</w:t>
      </w:r>
      <w:r w:rsidRPr="00CA1A43">
        <w:rPr>
          <w:rFonts w:eastAsia="標楷體" w:cstheme="minorHAnsi"/>
          <w:szCs w:val="24"/>
        </w:rPr>
        <w:t>之資本。</w:t>
      </w:r>
    </w:p>
    <w:p w14:paraId="78F7519F" w14:textId="77777777" w:rsidR="008F764C" w:rsidRPr="00CA1A43" w:rsidRDefault="00FF2428" w:rsidP="008C0E02">
      <w:pPr>
        <w:pStyle w:val="a7"/>
        <w:numPr>
          <w:ilvl w:val="0"/>
          <w:numId w:val="223"/>
        </w:numPr>
        <w:spacing w:beforeLines="50" w:before="180"/>
        <w:ind w:leftChars="0" w:left="1446" w:hanging="482"/>
        <w:jc w:val="both"/>
        <w:rPr>
          <w:rFonts w:eastAsia="標楷體" w:cstheme="minorHAnsi"/>
          <w:szCs w:val="24"/>
        </w:rPr>
      </w:pPr>
      <w:r w:rsidRPr="00CA1A43">
        <w:rPr>
          <w:rFonts w:eastAsia="標楷體" w:cstheme="minorHAnsi"/>
        </w:rPr>
        <w:t>鄰近時間</w:t>
      </w:r>
      <w:r w:rsidRPr="00CA1A43">
        <w:rPr>
          <w:rFonts w:eastAsia="標楷體" w:cstheme="minorHAnsi"/>
          <w:szCs w:val="24"/>
        </w:rPr>
        <w:t>帶之</w:t>
      </w:r>
      <w:r w:rsidRPr="00CA1A43">
        <w:rPr>
          <w:rFonts w:eastAsia="標楷體" w:cstheme="minorHAnsi"/>
        </w:rPr>
        <w:t>剩餘</w:t>
      </w:r>
      <w:r w:rsidRPr="00CA1A43">
        <w:rPr>
          <w:rFonts w:eastAsia="標楷體" w:cstheme="minorHAnsi"/>
          <w:szCs w:val="24"/>
        </w:rPr>
        <w:t>淨部位可以繼續</w:t>
      </w:r>
      <w:proofErr w:type="gramStart"/>
      <w:r w:rsidRPr="00CA1A43">
        <w:rPr>
          <w:rFonts w:eastAsia="標楷體" w:cstheme="minorHAnsi"/>
          <w:szCs w:val="24"/>
        </w:rPr>
        <w:t>往下互抵</w:t>
      </w:r>
      <w:proofErr w:type="gramEnd"/>
      <w:r w:rsidRPr="00CA1A43">
        <w:rPr>
          <w:rFonts w:eastAsia="標楷體" w:cstheme="minorHAnsi"/>
          <w:szCs w:val="24"/>
        </w:rPr>
        <w:t>。最後剩餘無法</w:t>
      </w:r>
      <w:proofErr w:type="gramStart"/>
      <w:r w:rsidRPr="00CA1A43">
        <w:rPr>
          <w:rFonts w:eastAsia="標楷體" w:cstheme="minorHAnsi"/>
          <w:szCs w:val="24"/>
        </w:rPr>
        <w:t>往下互抵</w:t>
      </w:r>
      <w:proofErr w:type="gramEnd"/>
      <w:r w:rsidRPr="00CA1A43">
        <w:rPr>
          <w:rFonts w:eastAsia="標楷體" w:cstheme="minorHAnsi"/>
          <w:szCs w:val="24"/>
        </w:rPr>
        <w:t>之淨部位，須計提</w:t>
      </w:r>
      <w:r w:rsidRPr="00CA1A43">
        <w:rPr>
          <w:rFonts w:eastAsia="標楷體" w:cstheme="minorHAnsi"/>
          <w:szCs w:val="24"/>
        </w:rPr>
        <w:t>15%</w:t>
      </w:r>
      <w:r w:rsidRPr="00CA1A43">
        <w:rPr>
          <w:rFonts w:eastAsia="標楷體" w:cstheme="minorHAnsi"/>
          <w:szCs w:val="24"/>
        </w:rPr>
        <w:t>之資本。</w:t>
      </w:r>
    </w:p>
    <w:p w14:paraId="4303338D" w14:textId="77777777" w:rsidR="00B32FBA" w:rsidRPr="00CA1A43" w:rsidRDefault="00B32FBA" w:rsidP="008C0E02">
      <w:pPr>
        <w:pStyle w:val="a7"/>
        <w:numPr>
          <w:ilvl w:val="0"/>
          <w:numId w:val="223"/>
        </w:numPr>
        <w:spacing w:beforeLines="50" w:before="180"/>
        <w:ind w:leftChars="0" w:left="1446" w:hanging="482"/>
        <w:jc w:val="both"/>
        <w:rPr>
          <w:rFonts w:eastAsia="標楷體" w:cstheme="minorHAnsi"/>
          <w:szCs w:val="24"/>
        </w:rPr>
      </w:pPr>
      <w:r w:rsidRPr="00CA1A43">
        <w:rPr>
          <w:rFonts w:eastAsia="標楷體" w:cstheme="minorHAnsi"/>
          <w:szCs w:val="24"/>
        </w:rPr>
        <w:t>衍生性金融商品及表外交易項目</w:t>
      </w:r>
      <w:r w:rsidRPr="00CA1A43">
        <w:rPr>
          <w:rFonts w:eastAsia="標楷體" w:cstheme="minorHAnsi"/>
          <w:szCs w:val="24"/>
        </w:rPr>
        <w:t>(</w:t>
      </w:r>
      <w:r w:rsidRPr="00CA1A43">
        <w:rPr>
          <w:rFonts w:eastAsia="標楷體" w:cstheme="minorHAnsi"/>
          <w:szCs w:val="24"/>
        </w:rPr>
        <w:t>包含</w:t>
      </w:r>
      <w:r w:rsidRPr="00CA1A43">
        <w:rPr>
          <w:rFonts w:eastAsia="標楷體" w:cstheme="minorHAnsi"/>
        </w:rPr>
        <w:t>商品期貨、商品交換及使用</w:t>
      </w:r>
      <w:r w:rsidRPr="00CA1A43">
        <w:rPr>
          <w:rFonts w:eastAsia="標楷體" w:cstheme="minorHAnsi"/>
          <w:kern w:val="0"/>
          <w:szCs w:val="24"/>
        </w:rPr>
        <w:t>敏感性分析</w:t>
      </w:r>
      <w:r w:rsidRPr="00CA1A43">
        <w:rPr>
          <w:rFonts w:eastAsia="標楷體" w:cstheme="minorHAnsi"/>
        </w:rPr>
        <w:t>(delta-plus)</w:t>
      </w:r>
      <w:r w:rsidRPr="00CA1A43">
        <w:rPr>
          <w:rFonts w:eastAsia="標楷體" w:cstheme="minorHAnsi"/>
        </w:rPr>
        <w:t>法的選擇權</w:t>
      </w:r>
      <w:r w:rsidRPr="00CA1A43">
        <w:rPr>
          <w:rStyle w:val="a5"/>
          <w:rFonts w:eastAsia="標楷體" w:cstheme="minorHAnsi"/>
          <w:szCs w:val="24"/>
        </w:rPr>
        <w:footnoteReference w:id="82"/>
      </w:r>
      <w:r w:rsidRPr="00CA1A43">
        <w:rPr>
          <w:rFonts w:eastAsia="標楷體" w:cstheme="minorHAnsi"/>
          <w:szCs w:val="24"/>
        </w:rPr>
        <w:t>)</w:t>
      </w:r>
      <w:r w:rsidRPr="00CA1A43">
        <w:rPr>
          <w:rFonts w:eastAsia="標楷體" w:cstheme="minorHAnsi"/>
          <w:szCs w:val="24"/>
        </w:rPr>
        <w:t>其名目本金部位到期日之認定：</w:t>
      </w:r>
    </w:p>
    <w:p w14:paraId="6CDD8C8D" w14:textId="77777777" w:rsidR="00B32FBA" w:rsidRPr="00CA1A43" w:rsidRDefault="00B32FBA" w:rsidP="008C0E02">
      <w:pPr>
        <w:pStyle w:val="a7"/>
        <w:numPr>
          <w:ilvl w:val="0"/>
          <w:numId w:val="224"/>
        </w:numPr>
        <w:spacing w:beforeLines="50" w:before="180"/>
        <w:ind w:leftChars="0"/>
        <w:jc w:val="both"/>
        <w:rPr>
          <w:rFonts w:eastAsia="標楷體" w:cstheme="minorHAnsi"/>
          <w:szCs w:val="24"/>
        </w:rPr>
      </w:pPr>
      <w:r w:rsidRPr="00CA1A43">
        <w:rPr>
          <w:rFonts w:eastAsia="標楷體" w:cstheme="minorHAnsi"/>
          <w:szCs w:val="24"/>
        </w:rPr>
        <w:t>個別</w:t>
      </w:r>
      <w:r w:rsidRPr="00CA1A43">
        <w:rPr>
          <w:rFonts w:eastAsia="標楷體" w:cstheme="minorHAnsi"/>
          <w:kern w:val="0"/>
          <w:szCs w:val="24"/>
        </w:rPr>
        <w:t>商品</w:t>
      </w:r>
      <w:r w:rsidRPr="00CA1A43">
        <w:rPr>
          <w:rFonts w:eastAsia="標楷體" w:cstheme="minorHAnsi"/>
          <w:szCs w:val="24"/>
        </w:rPr>
        <w:t>之期貨與遠期契約的名目本金是以其計量單位如公斤、</w:t>
      </w:r>
      <w:proofErr w:type="gramStart"/>
      <w:r w:rsidRPr="00CA1A43">
        <w:rPr>
          <w:rFonts w:eastAsia="標楷體" w:cstheme="minorHAnsi"/>
          <w:szCs w:val="24"/>
        </w:rPr>
        <w:t>桶等乘</w:t>
      </w:r>
      <w:proofErr w:type="gramEnd"/>
      <w:r w:rsidRPr="00CA1A43">
        <w:rPr>
          <w:rFonts w:eastAsia="標楷體" w:cstheme="minorHAnsi"/>
          <w:szCs w:val="24"/>
        </w:rPr>
        <w:t>以單位之價格表示，而其到期日為契約之有效日</w:t>
      </w:r>
      <w:r w:rsidRPr="00CA1A43">
        <w:rPr>
          <w:rFonts w:eastAsia="標楷體" w:cstheme="minorHAnsi"/>
          <w:szCs w:val="24"/>
        </w:rPr>
        <w:t>(expiry date)</w:t>
      </w:r>
      <w:r w:rsidRPr="00CA1A43">
        <w:rPr>
          <w:rFonts w:eastAsia="標楷體" w:cstheme="minorHAnsi"/>
          <w:szCs w:val="24"/>
        </w:rPr>
        <w:t>。</w:t>
      </w:r>
    </w:p>
    <w:p w14:paraId="0A65DF62" w14:textId="77777777" w:rsidR="00B32FBA" w:rsidRPr="00CA1A43" w:rsidRDefault="00B32FBA" w:rsidP="008C0E02">
      <w:pPr>
        <w:pStyle w:val="a7"/>
        <w:numPr>
          <w:ilvl w:val="0"/>
          <w:numId w:val="224"/>
        </w:numPr>
        <w:spacing w:beforeLines="50" w:before="180"/>
        <w:ind w:leftChars="0"/>
        <w:jc w:val="both"/>
        <w:rPr>
          <w:rFonts w:eastAsia="標楷體" w:cstheme="minorHAnsi"/>
          <w:szCs w:val="24"/>
        </w:rPr>
      </w:pPr>
      <w:r w:rsidRPr="00CA1A43">
        <w:rPr>
          <w:rFonts w:eastAsia="標楷體" w:cstheme="minorHAnsi"/>
          <w:szCs w:val="24"/>
        </w:rPr>
        <w:t>商品交換之一邊為固定價格，另一邊為浮動價格之一系列現金流量者，分別以應支付之日期為到期日</w:t>
      </w:r>
      <w:r w:rsidRPr="00CA1A43">
        <w:rPr>
          <w:rFonts w:eastAsia="標楷體" w:cstheme="minorHAnsi"/>
        </w:rPr>
        <w:t>歸入時間帶</w:t>
      </w:r>
      <w:r w:rsidRPr="00CA1A43">
        <w:rPr>
          <w:rFonts w:eastAsia="標楷體" w:cstheme="minorHAnsi"/>
          <w:szCs w:val="24"/>
        </w:rPr>
        <w:t>，部位為合約之名目本金，銀行如支付固定同時收取浮動價格者，以長部位處理，相反地，銀行如收取固定同時支付浮動價格者，以短部位處理</w:t>
      </w:r>
      <w:r w:rsidRPr="00CA1A43">
        <w:rPr>
          <w:rStyle w:val="a5"/>
          <w:rFonts w:eastAsia="標楷體" w:cstheme="minorHAnsi"/>
          <w:szCs w:val="24"/>
        </w:rPr>
        <w:footnoteReference w:id="83"/>
      </w:r>
      <w:r w:rsidRPr="00CA1A43">
        <w:rPr>
          <w:rFonts w:eastAsia="標楷體" w:cstheme="minorHAnsi"/>
          <w:szCs w:val="24"/>
        </w:rPr>
        <w:t>。</w:t>
      </w:r>
    </w:p>
    <w:p w14:paraId="01376448" w14:textId="77777777" w:rsidR="00B32FBA" w:rsidRPr="00CA1A43" w:rsidRDefault="00B32FBA" w:rsidP="008C0E02">
      <w:pPr>
        <w:pStyle w:val="a7"/>
        <w:numPr>
          <w:ilvl w:val="0"/>
          <w:numId w:val="224"/>
        </w:numPr>
        <w:spacing w:beforeLines="50" w:before="180"/>
        <w:ind w:leftChars="0"/>
        <w:jc w:val="both"/>
        <w:rPr>
          <w:rFonts w:eastAsia="標楷體" w:cstheme="minorHAnsi"/>
          <w:szCs w:val="24"/>
        </w:rPr>
      </w:pPr>
      <w:r w:rsidRPr="00CA1A43">
        <w:rPr>
          <w:rFonts w:eastAsia="標楷體" w:cstheme="minorHAnsi"/>
          <w:szCs w:val="24"/>
        </w:rPr>
        <w:t>商品交換的另一邊為不同商品時，應分別計算不得抵銷。</w:t>
      </w:r>
      <w:r w:rsidRPr="00CA1A43">
        <w:rPr>
          <w:rFonts w:eastAsia="標楷體" w:cstheme="minorHAnsi"/>
        </w:rPr>
        <w:t>除了該商品屬於上述本會核准為相同的次分類群組，才會允許抵銷。</w:t>
      </w:r>
    </w:p>
    <w:p w14:paraId="450EE20B" w14:textId="77777777" w:rsidR="000E3BC1" w:rsidRPr="00CA1A43" w:rsidRDefault="000E3BC1" w:rsidP="008C0E02">
      <w:pPr>
        <w:pStyle w:val="a7"/>
        <w:numPr>
          <w:ilvl w:val="0"/>
          <w:numId w:val="225"/>
        </w:numPr>
        <w:spacing w:beforeLines="50" w:before="180"/>
        <w:ind w:leftChars="0" w:left="964" w:hanging="482"/>
        <w:jc w:val="both"/>
        <w:rPr>
          <w:rFonts w:eastAsia="標楷體" w:cstheme="minorHAnsi"/>
          <w:szCs w:val="24"/>
        </w:rPr>
      </w:pPr>
      <w:r w:rsidRPr="00CA1A43">
        <w:rPr>
          <w:rFonts w:eastAsia="標楷體" w:cstheme="minorHAnsi"/>
          <w:szCs w:val="24"/>
        </w:rPr>
        <w:t>簡易法</w:t>
      </w:r>
    </w:p>
    <w:p w14:paraId="67028933" w14:textId="77777777" w:rsidR="000E3BC1" w:rsidRPr="00CA1A43" w:rsidRDefault="000E3BC1" w:rsidP="008C0E02">
      <w:pPr>
        <w:pStyle w:val="a7"/>
        <w:numPr>
          <w:ilvl w:val="0"/>
          <w:numId w:val="226"/>
        </w:numPr>
        <w:spacing w:beforeLines="50" w:before="180"/>
        <w:ind w:leftChars="0" w:left="1446" w:hanging="482"/>
        <w:jc w:val="both"/>
        <w:rPr>
          <w:rFonts w:eastAsia="標楷體" w:cstheme="minorHAnsi"/>
        </w:rPr>
      </w:pPr>
      <w:r w:rsidRPr="00CA1A43">
        <w:rPr>
          <w:rFonts w:eastAsia="標楷體" w:cstheme="minorHAnsi"/>
        </w:rPr>
        <w:t>首先銀行應以每種商品淨部位乘以</w:t>
      </w:r>
      <w:r w:rsidRPr="00CA1A43">
        <w:rPr>
          <w:rFonts w:eastAsia="標楷體" w:cstheme="minorHAnsi"/>
        </w:rPr>
        <w:t>15%</w:t>
      </w:r>
      <w:r w:rsidRPr="00CA1A43">
        <w:rPr>
          <w:rFonts w:eastAsia="標楷體" w:cstheme="minorHAnsi"/>
        </w:rPr>
        <w:t>為應計提資本。</w:t>
      </w:r>
    </w:p>
    <w:p w14:paraId="67566096" w14:textId="77777777" w:rsidR="000E3BC1" w:rsidRPr="00CA1A43" w:rsidRDefault="000E3BC1" w:rsidP="008C0E02">
      <w:pPr>
        <w:pStyle w:val="a7"/>
        <w:numPr>
          <w:ilvl w:val="0"/>
          <w:numId w:val="226"/>
        </w:numPr>
        <w:spacing w:beforeLines="50" w:before="180"/>
        <w:ind w:leftChars="0" w:left="1446" w:hanging="482"/>
        <w:jc w:val="both"/>
        <w:rPr>
          <w:rFonts w:eastAsia="標楷體" w:cstheme="minorHAnsi"/>
        </w:rPr>
      </w:pPr>
      <w:r w:rsidRPr="00CA1A43">
        <w:rPr>
          <w:rFonts w:eastAsia="標楷體" w:cstheme="minorHAnsi"/>
        </w:rPr>
        <w:t>另外為</w:t>
      </w:r>
      <w:proofErr w:type="gramStart"/>
      <w:r w:rsidRPr="00CA1A43">
        <w:rPr>
          <w:rFonts w:eastAsia="標楷體" w:cstheme="minorHAnsi"/>
        </w:rPr>
        <w:t>規避基差風險</w:t>
      </w:r>
      <w:proofErr w:type="gramEnd"/>
      <w:r w:rsidRPr="00CA1A43">
        <w:rPr>
          <w:rFonts w:eastAsia="標楷體" w:cstheme="minorHAnsi"/>
        </w:rPr>
        <w:t>、利率風險及遠期缺口風險，每種商品應額外計提之資本，</w:t>
      </w:r>
      <w:proofErr w:type="gramStart"/>
      <w:r w:rsidRPr="00CA1A43">
        <w:rPr>
          <w:rFonts w:eastAsia="標楷體" w:cstheme="minorHAnsi"/>
        </w:rPr>
        <w:t>為其毛部位</w:t>
      </w:r>
      <w:proofErr w:type="gramEnd"/>
      <w:r w:rsidRPr="00CA1A43">
        <w:rPr>
          <w:rFonts w:eastAsia="標楷體" w:cstheme="minorHAnsi"/>
        </w:rPr>
        <w:t>(gross position</w:t>
      </w:r>
      <w:r w:rsidRPr="00CA1A43">
        <w:rPr>
          <w:rFonts w:eastAsia="標楷體" w:cstheme="minorHAnsi"/>
        </w:rPr>
        <w:t>，即長部位加上短部位</w:t>
      </w:r>
      <w:r w:rsidRPr="00CA1A43">
        <w:rPr>
          <w:rFonts w:eastAsia="標楷體" w:cstheme="minorHAnsi"/>
        </w:rPr>
        <w:t>)</w:t>
      </w:r>
      <w:r w:rsidRPr="00CA1A43">
        <w:rPr>
          <w:rFonts w:eastAsia="標楷體" w:cstheme="minorHAnsi"/>
        </w:rPr>
        <w:t>之</w:t>
      </w:r>
      <w:r w:rsidRPr="00CA1A43">
        <w:rPr>
          <w:rFonts w:eastAsia="標楷體" w:cstheme="minorHAnsi"/>
        </w:rPr>
        <w:t>3%</w:t>
      </w:r>
      <w:r w:rsidRPr="00CA1A43">
        <w:rPr>
          <w:rFonts w:eastAsia="標楷體" w:cstheme="minorHAnsi"/>
        </w:rPr>
        <w:t>。</w:t>
      </w:r>
    </w:p>
    <w:p w14:paraId="77C44C61" w14:textId="77777777" w:rsidR="008F764C" w:rsidRPr="00CA1A43" w:rsidRDefault="000E3BC1" w:rsidP="008C0E02">
      <w:pPr>
        <w:pStyle w:val="a7"/>
        <w:numPr>
          <w:ilvl w:val="0"/>
          <w:numId w:val="226"/>
        </w:numPr>
        <w:spacing w:beforeLines="50" w:before="180"/>
        <w:ind w:leftChars="0" w:left="1446" w:hanging="482"/>
        <w:jc w:val="both"/>
        <w:rPr>
          <w:rFonts w:eastAsia="標楷體" w:cstheme="minorHAnsi"/>
          <w:szCs w:val="24"/>
        </w:rPr>
      </w:pPr>
      <w:r w:rsidRPr="00CA1A43">
        <w:rPr>
          <w:rFonts w:eastAsia="標楷體" w:cstheme="minorHAnsi"/>
        </w:rPr>
        <w:t>衍生性金融商品毛部位之計算，應使用目前的現貨價格。</w:t>
      </w:r>
    </w:p>
    <w:p w14:paraId="40B3290A" w14:textId="77777777" w:rsidR="00AB431C" w:rsidRPr="00CA1A43" w:rsidRDefault="00AB431C" w:rsidP="00AB431C">
      <w:pPr>
        <w:pStyle w:val="a7"/>
        <w:numPr>
          <w:ilvl w:val="0"/>
          <w:numId w:val="180"/>
        </w:numPr>
        <w:spacing w:beforeLines="50" w:before="180"/>
        <w:ind w:leftChars="0" w:left="567" w:hanging="567"/>
        <w:jc w:val="both"/>
        <w:outlineLvl w:val="0"/>
        <w:rPr>
          <w:rFonts w:eastAsia="標楷體" w:cstheme="minorHAnsi"/>
          <w:szCs w:val="24"/>
        </w:rPr>
      </w:pPr>
      <w:bookmarkStart w:id="20" w:name="_Toc67992460"/>
      <w:r w:rsidRPr="00CA1A43">
        <w:rPr>
          <w:rFonts w:eastAsia="標楷體" w:cstheme="minorHAnsi"/>
          <w:szCs w:val="24"/>
        </w:rPr>
        <w:t>選擇權之處理</w:t>
      </w:r>
      <w:bookmarkEnd w:id="20"/>
    </w:p>
    <w:p w14:paraId="343A2B97" w14:textId="77777777" w:rsidR="00AB431C" w:rsidRPr="00CA1A43" w:rsidRDefault="00AB431C" w:rsidP="008C0E02">
      <w:pPr>
        <w:pStyle w:val="a7"/>
        <w:numPr>
          <w:ilvl w:val="0"/>
          <w:numId w:val="228"/>
        </w:numPr>
        <w:spacing w:beforeLines="50" w:before="180"/>
        <w:ind w:leftChars="0" w:left="737" w:hanging="737"/>
        <w:jc w:val="both"/>
        <w:rPr>
          <w:rFonts w:eastAsia="標楷體" w:cstheme="minorHAnsi"/>
          <w:szCs w:val="24"/>
        </w:rPr>
      </w:pPr>
      <w:r w:rsidRPr="00CA1A43">
        <w:rPr>
          <w:rFonts w:eastAsia="標楷體" w:cstheme="minorHAnsi"/>
        </w:rPr>
        <w:lastRenderedPageBreak/>
        <w:t>前言</w:t>
      </w:r>
    </w:p>
    <w:p w14:paraId="36A71A38" w14:textId="77777777" w:rsidR="00AB431C" w:rsidRPr="00CA1A43" w:rsidRDefault="00AB431C" w:rsidP="008C0E02">
      <w:pPr>
        <w:pStyle w:val="a7"/>
        <w:numPr>
          <w:ilvl w:val="0"/>
          <w:numId w:val="227"/>
        </w:numPr>
        <w:spacing w:beforeLines="50" w:before="180"/>
        <w:ind w:leftChars="0" w:left="964" w:hanging="482"/>
        <w:jc w:val="both"/>
        <w:rPr>
          <w:rFonts w:eastAsia="標楷體" w:cstheme="minorHAnsi"/>
          <w:szCs w:val="24"/>
        </w:rPr>
      </w:pPr>
      <w:r w:rsidRPr="00CA1A43">
        <w:rPr>
          <w:rFonts w:eastAsia="標楷體" w:cstheme="minorHAnsi"/>
          <w:szCs w:val="24"/>
        </w:rPr>
        <w:t>在簡易標準法下，選擇權交易可採用簡易法、敏感性分析</w:t>
      </w:r>
      <w:r w:rsidRPr="00CA1A43">
        <w:rPr>
          <w:rFonts w:eastAsia="標楷體" w:cstheme="minorHAnsi"/>
          <w:szCs w:val="24"/>
        </w:rPr>
        <w:t>(delta-plus)</w:t>
      </w:r>
      <w:r w:rsidRPr="00CA1A43">
        <w:rPr>
          <w:rFonts w:eastAsia="標楷體" w:cstheme="minorHAnsi"/>
          <w:szCs w:val="24"/>
        </w:rPr>
        <w:t>法或情境法。</w:t>
      </w:r>
    </w:p>
    <w:p w14:paraId="43A5B26E" w14:textId="77777777" w:rsidR="00AB431C" w:rsidRPr="00CA1A43" w:rsidRDefault="00AB431C" w:rsidP="008C0E02">
      <w:pPr>
        <w:pStyle w:val="a7"/>
        <w:numPr>
          <w:ilvl w:val="0"/>
          <w:numId w:val="227"/>
        </w:numPr>
        <w:spacing w:beforeLines="50" w:before="180"/>
        <w:ind w:leftChars="0" w:left="964" w:hanging="482"/>
        <w:jc w:val="both"/>
        <w:rPr>
          <w:rFonts w:eastAsia="標楷體" w:cstheme="minorHAnsi"/>
          <w:szCs w:val="24"/>
          <w:lang w:eastAsia="zh-HK"/>
        </w:rPr>
      </w:pPr>
      <w:r w:rsidRPr="00CA1A43">
        <w:rPr>
          <w:rFonts w:eastAsia="標楷體" w:cstheme="minorHAnsi"/>
          <w:szCs w:val="24"/>
        </w:rPr>
        <w:t>簡易法適用於僅買入選擇權</w:t>
      </w:r>
      <w:r w:rsidRPr="00CA1A43">
        <w:rPr>
          <w:rStyle w:val="a5"/>
          <w:rFonts w:eastAsia="標楷體" w:cstheme="minorHAnsi"/>
          <w:szCs w:val="24"/>
        </w:rPr>
        <w:footnoteReference w:id="84"/>
      </w:r>
      <w:r w:rsidRPr="00CA1A43">
        <w:rPr>
          <w:rFonts w:eastAsia="標楷體" w:cstheme="minorHAnsi"/>
          <w:szCs w:val="24"/>
        </w:rPr>
        <w:t>的銀行，</w:t>
      </w:r>
      <w:r w:rsidRPr="00CA1A43">
        <w:rPr>
          <w:rFonts w:eastAsia="標楷體" w:cstheme="minorHAnsi"/>
          <w:szCs w:val="24"/>
          <w:lang w:eastAsia="zh-HK"/>
        </w:rPr>
        <w:t>除非賣出選擇權部位以長部位完全搭配</w:t>
      </w:r>
      <w:r w:rsidRPr="00CA1A43">
        <w:rPr>
          <w:rFonts w:eastAsia="標楷體" w:cstheme="minorHAnsi"/>
          <w:szCs w:val="24"/>
        </w:rPr>
        <w:t>進行</w:t>
      </w:r>
      <w:r w:rsidRPr="00CA1A43">
        <w:rPr>
          <w:rFonts w:eastAsia="標楷體" w:cstheme="minorHAnsi"/>
          <w:szCs w:val="24"/>
          <w:lang w:eastAsia="zh-HK"/>
        </w:rPr>
        <w:t>避險</w:t>
      </w:r>
      <w:r w:rsidRPr="00CA1A43">
        <w:rPr>
          <w:rFonts w:eastAsia="標楷體" w:cstheme="minorHAnsi"/>
          <w:szCs w:val="24"/>
        </w:rPr>
        <w:t>(</w:t>
      </w:r>
      <w:r w:rsidRPr="00CA1A43">
        <w:rPr>
          <w:rFonts w:eastAsia="標楷體" w:cstheme="minorHAnsi"/>
          <w:szCs w:val="24"/>
          <w:lang w:eastAsia="zh-HK"/>
        </w:rPr>
        <w:t>在此情況下無須計提市場風險資本</w:t>
      </w:r>
      <w:r w:rsidRPr="00CA1A43">
        <w:rPr>
          <w:rFonts w:eastAsia="標楷體" w:cstheme="minorHAnsi"/>
          <w:szCs w:val="24"/>
        </w:rPr>
        <w:t>)</w:t>
      </w:r>
      <w:r w:rsidRPr="00CA1A43">
        <w:rPr>
          <w:rFonts w:eastAsia="標楷體" w:cstheme="minorHAnsi"/>
          <w:szCs w:val="24"/>
          <w:lang w:eastAsia="zh-HK"/>
        </w:rPr>
        <w:t>。</w:t>
      </w:r>
    </w:p>
    <w:p w14:paraId="46BB08DE" w14:textId="77777777" w:rsidR="00AB431C" w:rsidRPr="00CA1A43" w:rsidRDefault="00AB431C" w:rsidP="008C0E02">
      <w:pPr>
        <w:pStyle w:val="a7"/>
        <w:numPr>
          <w:ilvl w:val="0"/>
          <w:numId w:val="227"/>
        </w:numPr>
        <w:spacing w:beforeLines="50" w:before="180"/>
        <w:ind w:leftChars="0" w:left="964" w:hanging="482"/>
        <w:jc w:val="both"/>
        <w:rPr>
          <w:rFonts w:eastAsia="標楷體" w:cstheme="minorHAnsi"/>
          <w:szCs w:val="24"/>
        </w:rPr>
      </w:pPr>
      <w:r w:rsidRPr="00CA1A43">
        <w:rPr>
          <w:rFonts w:eastAsia="標楷體" w:cstheme="minorHAnsi"/>
        </w:rPr>
        <w:t>賣出</w:t>
      </w:r>
      <w:r w:rsidRPr="00CA1A43">
        <w:rPr>
          <w:rFonts w:eastAsia="標楷體" w:cstheme="minorHAnsi"/>
          <w:szCs w:val="24"/>
        </w:rPr>
        <w:t>選擇</w:t>
      </w:r>
      <w:r w:rsidRPr="00CA1A43">
        <w:rPr>
          <w:rFonts w:eastAsia="標楷體" w:cstheme="minorHAnsi"/>
        </w:rPr>
        <w:t>權的銀行應採用</w:t>
      </w:r>
      <w:r w:rsidRPr="00CA1A43">
        <w:rPr>
          <w:rFonts w:eastAsia="標楷體" w:cstheme="minorHAnsi"/>
          <w:szCs w:val="24"/>
        </w:rPr>
        <w:t>敏感性分析</w:t>
      </w:r>
      <w:r w:rsidRPr="00CA1A43">
        <w:rPr>
          <w:rFonts w:eastAsia="標楷體" w:cstheme="minorHAnsi"/>
        </w:rPr>
        <w:t>(delta-plus)</w:t>
      </w:r>
      <w:r w:rsidRPr="00CA1A43">
        <w:rPr>
          <w:rFonts w:eastAsia="標楷體" w:cstheme="minorHAnsi"/>
          <w:szCs w:val="24"/>
        </w:rPr>
        <w:t>法</w:t>
      </w:r>
      <w:r w:rsidRPr="00CA1A43">
        <w:rPr>
          <w:rFonts w:eastAsia="標楷體" w:cstheme="minorHAnsi"/>
        </w:rPr>
        <w:t>或情境法，</w:t>
      </w:r>
      <w:r w:rsidRPr="00CA1A43">
        <w:rPr>
          <w:rFonts w:eastAsia="標楷體" w:cstheme="minorHAnsi"/>
          <w:szCs w:val="24"/>
        </w:rPr>
        <w:t>銀行從事選擇權交易量大者，</w:t>
      </w:r>
      <w:r w:rsidRPr="00CA1A43">
        <w:rPr>
          <w:rFonts w:eastAsia="標楷體" w:cstheme="minorHAnsi"/>
          <w:szCs w:val="24"/>
          <w:lang w:eastAsia="zh-HK"/>
        </w:rPr>
        <w:t>宜採用</w:t>
      </w:r>
      <w:r w:rsidRPr="00CA1A43">
        <w:rPr>
          <w:rFonts w:eastAsia="標楷體" w:cstheme="minorHAnsi"/>
          <w:lang w:eastAsia="zh-HK"/>
        </w:rPr>
        <w:t>標準法或</w:t>
      </w:r>
      <w:r w:rsidRPr="00CA1A43">
        <w:rPr>
          <w:rFonts w:eastAsia="標楷體" w:cstheme="minorHAnsi"/>
          <w:szCs w:val="24"/>
          <w:lang w:eastAsia="zh-HK"/>
        </w:rPr>
        <w:t>內部模型</w:t>
      </w:r>
      <w:r w:rsidRPr="00CA1A43">
        <w:rPr>
          <w:rFonts w:eastAsia="標楷體" w:cstheme="minorHAnsi"/>
        </w:rPr>
        <w:t>法</w:t>
      </w:r>
      <w:r w:rsidRPr="00CA1A43">
        <w:rPr>
          <w:rFonts w:eastAsia="標楷體" w:cstheme="minorHAnsi"/>
          <w:szCs w:val="24"/>
        </w:rPr>
        <w:t>衡量市場風險。</w:t>
      </w:r>
    </w:p>
    <w:p w14:paraId="104FFD80" w14:textId="77777777" w:rsidR="00593F94" w:rsidRPr="00CA1A43" w:rsidRDefault="00593F94" w:rsidP="008C0E02">
      <w:pPr>
        <w:pStyle w:val="a7"/>
        <w:numPr>
          <w:ilvl w:val="0"/>
          <w:numId w:val="228"/>
        </w:numPr>
        <w:spacing w:beforeLines="50" w:before="180"/>
        <w:ind w:leftChars="0" w:left="737" w:hanging="737"/>
        <w:jc w:val="both"/>
        <w:rPr>
          <w:rFonts w:eastAsia="標楷體" w:cstheme="minorHAnsi"/>
          <w:kern w:val="0"/>
          <w:szCs w:val="24"/>
        </w:rPr>
      </w:pPr>
      <w:r w:rsidRPr="00CA1A43">
        <w:rPr>
          <w:rFonts w:eastAsia="標楷體" w:cstheme="minorHAnsi"/>
          <w:szCs w:val="24"/>
        </w:rPr>
        <w:t>簡易法</w:t>
      </w:r>
    </w:p>
    <w:p w14:paraId="67BCCA99" w14:textId="77777777" w:rsidR="008F764C" w:rsidRPr="00CA1A43" w:rsidRDefault="00593F94" w:rsidP="008C0E02">
      <w:pPr>
        <w:pStyle w:val="a7"/>
        <w:numPr>
          <w:ilvl w:val="0"/>
          <w:numId w:val="229"/>
        </w:numPr>
        <w:spacing w:beforeLines="50" w:before="180"/>
        <w:ind w:leftChars="0" w:left="964" w:hanging="482"/>
        <w:jc w:val="both"/>
        <w:rPr>
          <w:rFonts w:eastAsia="標楷體" w:cstheme="minorHAnsi"/>
          <w:szCs w:val="24"/>
        </w:rPr>
      </w:pPr>
      <w:r w:rsidRPr="00CA1A43">
        <w:rPr>
          <w:rFonts w:eastAsia="標楷體" w:cstheme="minorHAnsi"/>
          <w:szCs w:val="24"/>
        </w:rPr>
        <w:t>採用簡易法時，買入選擇權、現貨及與其搭配之選擇權，應分別計算其所需之</w:t>
      </w:r>
      <w:r w:rsidRPr="00CA1A43">
        <w:rPr>
          <w:rFonts w:eastAsia="標楷體" w:cstheme="minorHAnsi"/>
        </w:rPr>
        <w:t>一般市場風險與個別風險的資本</w:t>
      </w:r>
      <w:r w:rsidRPr="00CA1A43">
        <w:rPr>
          <w:rFonts w:eastAsia="標楷體" w:cstheme="minorHAnsi"/>
          <w:szCs w:val="24"/>
        </w:rPr>
        <w:t>，再將此資本計提加到前述</w:t>
      </w:r>
      <w:r w:rsidRPr="00CA1A43">
        <w:rPr>
          <w:rFonts w:eastAsia="標楷體" w:cstheme="minorHAnsi"/>
        </w:rPr>
        <w:t>相關風險分類的資本要求</w:t>
      </w:r>
      <w:r w:rsidRPr="00CA1A43">
        <w:rPr>
          <w:rFonts w:eastAsia="標楷體" w:cstheme="minorHAnsi"/>
        </w:rPr>
        <w:t>(</w:t>
      </w:r>
      <w:r w:rsidRPr="00CA1A43">
        <w:rPr>
          <w:rFonts w:eastAsia="標楷體" w:cstheme="minorHAnsi"/>
        </w:rPr>
        <w:t>即</w:t>
      </w:r>
      <w:r w:rsidRPr="00CA1A43">
        <w:rPr>
          <w:rFonts w:eastAsia="標楷體" w:cstheme="minorHAnsi"/>
          <w:szCs w:val="24"/>
        </w:rPr>
        <w:t>利率、權益證券、外匯及商品</w:t>
      </w:r>
      <w:r w:rsidRPr="00CA1A43">
        <w:rPr>
          <w:rFonts w:eastAsia="標楷體" w:cstheme="minorHAnsi"/>
          <w:szCs w:val="24"/>
        </w:rPr>
        <w:t>)</w:t>
      </w:r>
      <w:r w:rsidRPr="00CA1A43">
        <w:rPr>
          <w:rFonts w:eastAsia="標楷體" w:cstheme="minorHAnsi"/>
          <w:szCs w:val="24"/>
        </w:rPr>
        <w:t>。</w:t>
      </w:r>
    </w:p>
    <w:p w14:paraId="50B54B23" w14:textId="60F4CCF2" w:rsidR="00593F94" w:rsidRPr="00CA1A43" w:rsidRDefault="00593F94" w:rsidP="008C0E02">
      <w:pPr>
        <w:pStyle w:val="a7"/>
        <w:numPr>
          <w:ilvl w:val="0"/>
          <w:numId w:val="229"/>
        </w:numPr>
        <w:spacing w:beforeLines="50" w:before="180"/>
        <w:ind w:leftChars="0" w:left="964" w:hanging="482"/>
        <w:jc w:val="both"/>
        <w:rPr>
          <w:rFonts w:eastAsia="標楷體" w:cstheme="minorHAnsi"/>
          <w:szCs w:val="24"/>
        </w:rPr>
      </w:pPr>
      <w:r w:rsidRPr="00CA1A43">
        <w:rPr>
          <w:rFonts w:eastAsia="標楷體" w:cstheme="minorHAnsi"/>
          <w:szCs w:val="24"/>
        </w:rPr>
        <w:t>有限度買入選擇權的銀行可使用簡易法參照表</w:t>
      </w:r>
      <w:r w:rsidR="007412A4">
        <w:rPr>
          <w:rFonts w:eastAsia="標楷體" w:cstheme="minorHAnsi" w:hint="eastAsia"/>
          <w:szCs w:val="24"/>
        </w:rPr>
        <w:t>24</w:t>
      </w:r>
      <w:r w:rsidRPr="00CA1A43">
        <w:rPr>
          <w:rFonts w:eastAsia="標楷體" w:cstheme="minorHAnsi"/>
          <w:szCs w:val="24"/>
        </w:rPr>
        <w:t>。例如，如何計算假設持有</w:t>
      </w:r>
      <w:r w:rsidRPr="00CA1A43">
        <w:rPr>
          <w:rFonts w:eastAsia="標楷體" w:cstheme="minorHAnsi"/>
          <w:szCs w:val="24"/>
        </w:rPr>
        <w:t>100</w:t>
      </w:r>
      <w:r w:rsidRPr="00CA1A43">
        <w:rPr>
          <w:rFonts w:eastAsia="標楷體" w:cstheme="minorHAnsi"/>
          <w:szCs w:val="24"/>
        </w:rPr>
        <w:t>股每股現值</w:t>
      </w:r>
      <w:r w:rsidRPr="00CA1A43">
        <w:rPr>
          <w:rFonts w:eastAsia="標楷體" w:cstheme="minorHAnsi"/>
          <w:szCs w:val="24"/>
        </w:rPr>
        <w:t>10</w:t>
      </w:r>
      <w:r w:rsidRPr="00CA1A43">
        <w:rPr>
          <w:rFonts w:eastAsia="標楷體" w:cstheme="minorHAnsi"/>
          <w:szCs w:val="24"/>
        </w:rPr>
        <w:t>美元的持有者，持有履約價格為</w:t>
      </w:r>
      <w:r w:rsidRPr="00CA1A43">
        <w:rPr>
          <w:rFonts w:eastAsia="標楷體" w:cstheme="minorHAnsi"/>
          <w:szCs w:val="24"/>
        </w:rPr>
        <w:t>11</w:t>
      </w:r>
      <w:r w:rsidRPr="00CA1A43">
        <w:rPr>
          <w:rFonts w:eastAsia="標楷體" w:cstheme="minorHAnsi"/>
          <w:szCs w:val="24"/>
        </w:rPr>
        <w:t>美元相同部位的賣權，其資本要求計算如下：</w:t>
      </w:r>
      <w:r w:rsidRPr="00CA1A43">
        <w:rPr>
          <w:rFonts w:eastAsia="標楷體" w:cstheme="minorHAnsi"/>
          <w:szCs w:val="24"/>
        </w:rPr>
        <w:t>USD 1,000*16% (</w:t>
      </w:r>
      <w:r w:rsidRPr="00CA1A43">
        <w:rPr>
          <w:rFonts w:eastAsia="標楷體" w:cstheme="minorHAnsi"/>
          <w:szCs w:val="24"/>
        </w:rPr>
        <w:t>即</w:t>
      </w:r>
      <w:r w:rsidRPr="00CA1A43">
        <w:rPr>
          <w:rFonts w:eastAsia="標楷體" w:cstheme="minorHAnsi"/>
          <w:szCs w:val="24"/>
        </w:rPr>
        <w:t>8%</w:t>
      </w:r>
      <w:r w:rsidRPr="00CA1A43">
        <w:rPr>
          <w:rFonts w:eastAsia="標楷體" w:cstheme="minorHAnsi"/>
          <w:szCs w:val="24"/>
        </w:rPr>
        <w:t>的個別風險與</w:t>
      </w:r>
      <w:r w:rsidRPr="00CA1A43">
        <w:rPr>
          <w:rFonts w:eastAsia="標楷體" w:cstheme="minorHAnsi"/>
          <w:szCs w:val="24"/>
        </w:rPr>
        <w:t>8%</w:t>
      </w:r>
      <w:r w:rsidRPr="00CA1A43">
        <w:rPr>
          <w:rFonts w:eastAsia="標楷體" w:cstheme="minorHAnsi"/>
          <w:szCs w:val="24"/>
        </w:rPr>
        <w:t>的一般市場風險</w:t>
      </w:r>
      <w:r w:rsidRPr="00CA1A43">
        <w:rPr>
          <w:rFonts w:eastAsia="標楷體" w:cstheme="minorHAnsi"/>
          <w:szCs w:val="24"/>
        </w:rPr>
        <w:t>) = USD 160</w:t>
      </w:r>
      <w:r w:rsidRPr="00CA1A43">
        <w:rPr>
          <w:rFonts w:eastAsia="標楷體" w:cstheme="minorHAnsi"/>
          <w:szCs w:val="24"/>
        </w:rPr>
        <w:t>，減去</w:t>
      </w:r>
      <w:proofErr w:type="gramStart"/>
      <w:r w:rsidRPr="00CA1A43">
        <w:rPr>
          <w:rFonts w:eastAsia="標楷體" w:cstheme="minorHAnsi"/>
          <w:szCs w:val="24"/>
        </w:rPr>
        <w:t>選擇權價內</w:t>
      </w:r>
      <w:proofErr w:type="gramEnd"/>
      <w:r w:rsidRPr="00CA1A43">
        <w:rPr>
          <w:rFonts w:eastAsia="標楷體" w:cstheme="minorHAnsi"/>
          <w:szCs w:val="24"/>
        </w:rPr>
        <w:t>金額</w:t>
      </w:r>
      <w:r w:rsidRPr="00CA1A43">
        <w:rPr>
          <w:rFonts w:eastAsia="標楷體" w:cstheme="minorHAnsi"/>
          <w:szCs w:val="24"/>
        </w:rPr>
        <w:t xml:space="preserve"> (USD 11 </w:t>
      </w:r>
      <w:proofErr w:type="gramStart"/>
      <w:r w:rsidRPr="00CA1A43">
        <w:rPr>
          <w:rFonts w:eastAsia="標楷體" w:cstheme="minorHAnsi"/>
          <w:szCs w:val="24"/>
        </w:rPr>
        <w:t>–</w:t>
      </w:r>
      <w:proofErr w:type="gramEnd"/>
      <w:r w:rsidRPr="00CA1A43">
        <w:rPr>
          <w:rFonts w:eastAsia="標楷體" w:cstheme="minorHAnsi"/>
          <w:szCs w:val="24"/>
        </w:rPr>
        <w:t xml:space="preserve"> USD 10)*100 = USD 100</w:t>
      </w:r>
      <w:r w:rsidRPr="00CA1A43">
        <w:rPr>
          <w:rFonts w:eastAsia="標楷體" w:cstheme="minorHAnsi"/>
          <w:szCs w:val="24"/>
        </w:rPr>
        <w:t>，即資本要求將是</w:t>
      </w:r>
      <w:r w:rsidRPr="00CA1A43">
        <w:rPr>
          <w:rFonts w:eastAsia="標楷體" w:cstheme="minorHAnsi"/>
          <w:szCs w:val="24"/>
        </w:rPr>
        <w:t>60</w:t>
      </w:r>
      <w:r w:rsidRPr="00CA1A43">
        <w:rPr>
          <w:rFonts w:eastAsia="標楷體" w:cstheme="minorHAnsi"/>
          <w:szCs w:val="24"/>
        </w:rPr>
        <w:t>美元。相似的方法論可應用於標的是外匯、利率相關</w:t>
      </w:r>
      <w:r w:rsidR="009653EE" w:rsidRPr="00B75418">
        <w:rPr>
          <w:rFonts w:eastAsia="標楷體" w:cstheme="minorHAnsi"/>
          <w:szCs w:val="24"/>
        </w:rPr>
        <w:t>工具</w:t>
      </w:r>
      <w:r w:rsidRPr="00CA1A43">
        <w:rPr>
          <w:rFonts w:eastAsia="標楷體" w:cstheme="minorHAnsi"/>
          <w:szCs w:val="24"/>
        </w:rPr>
        <w:t>或商品的選擇權。</w:t>
      </w:r>
    </w:p>
    <w:tbl>
      <w:tblPr>
        <w:tblW w:w="4402" w:type="pct"/>
        <w:tblInd w:w="99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921"/>
        <w:gridCol w:w="1841"/>
      </w:tblGrid>
      <w:tr w:rsidR="00EA4E25" w:rsidRPr="00CA1A43" w14:paraId="723C65F4" w14:textId="77777777" w:rsidTr="00EA4E25">
        <w:trPr>
          <w:trHeight w:val="454"/>
        </w:trPr>
        <w:tc>
          <w:tcPr>
            <w:tcW w:w="3741" w:type="pct"/>
            <w:gridSpan w:val="2"/>
            <w:tcBorders>
              <w:top w:val="single" w:sz="4" w:space="0" w:color="auto"/>
              <w:left w:val="nil"/>
              <w:bottom w:val="single" w:sz="4" w:space="0" w:color="auto"/>
              <w:right w:val="nil"/>
            </w:tcBorders>
            <w:vAlign w:val="center"/>
            <w:hideMark/>
          </w:tcPr>
          <w:p w14:paraId="56106BB5" w14:textId="77777777" w:rsidR="00EA4E25" w:rsidRPr="00CA1A43" w:rsidRDefault="00EA4E25" w:rsidP="00A5488F">
            <w:pPr>
              <w:pStyle w:val="Item"/>
              <w:jc w:val="both"/>
              <w:rPr>
                <w:rFonts w:asciiTheme="minorHAnsi" w:hAnsiTheme="minorHAnsi" w:cstheme="minorHAnsi"/>
                <w:sz w:val="24"/>
                <w:szCs w:val="24"/>
              </w:rPr>
            </w:pPr>
            <w:r w:rsidRPr="00CA1A43">
              <w:rPr>
                <w:rFonts w:asciiTheme="minorHAnsi" w:hAnsiTheme="minorHAnsi" w:cstheme="minorHAnsi"/>
                <w:sz w:val="24"/>
                <w:szCs w:val="24"/>
              </w:rPr>
              <w:t>簡易法：資本要求處理</w:t>
            </w:r>
          </w:p>
        </w:tc>
        <w:tc>
          <w:tcPr>
            <w:tcW w:w="1259" w:type="pct"/>
            <w:tcBorders>
              <w:top w:val="single" w:sz="4" w:space="0" w:color="auto"/>
              <w:left w:val="nil"/>
              <w:bottom w:val="single" w:sz="4" w:space="0" w:color="auto"/>
              <w:right w:val="nil"/>
            </w:tcBorders>
            <w:vAlign w:val="center"/>
            <w:hideMark/>
          </w:tcPr>
          <w:p w14:paraId="4F00F178" w14:textId="77777777" w:rsidR="00EA4E25" w:rsidRPr="00CA1A43" w:rsidRDefault="00EA4E25" w:rsidP="00A5488F">
            <w:pPr>
              <w:pStyle w:val="Item"/>
              <w:ind w:left="59"/>
              <w:jc w:val="right"/>
              <w:rPr>
                <w:rFonts w:asciiTheme="minorHAnsi" w:hAnsiTheme="minorHAnsi" w:cstheme="minorHAnsi"/>
                <w:sz w:val="24"/>
                <w:szCs w:val="24"/>
              </w:rPr>
            </w:pPr>
            <w:r w:rsidRPr="00CA1A43">
              <w:rPr>
                <w:rFonts w:asciiTheme="minorHAnsi" w:hAnsiTheme="minorHAnsi" w:cstheme="minorHAnsi"/>
                <w:sz w:val="24"/>
                <w:szCs w:val="24"/>
              </w:rPr>
              <w:t>表</w:t>
            </w:r>
            <w:r w:rsidR="007412A4">
              <w:rPr>
                <w:rFonts w:asciiTheme="minorHAnsi" w:hAnsiTheme="minorHAnsi" w:cstheme="minorHAnsi" w:hint="eastAsia"/>
                <w:sz w:val="24"/>
                <w:szCs w:val="24"/>
              </w:rPr>
              <w:t>24</w:t>
            </w:r>
          </w:p>
        </w:tc>
      </w:tr>
      <w:tr w:rsidR="00EA4E25" w:rsidRPr="00CA1A43" w14:paraId="2EC4792C" w14:textId="77777777" w:rsidTr="00EA4E25">
        <w:trPr>
          <w:trHeight w:val="195"/>
        </w:trPr>
        <w:tc>
          <w:tcPr>
            <w:tcW w:w="1744" w:type="pct"/>
            <w:tcBorders>
              <w:top w:val="single" w:sz="4" w:space="0" w:color="auto"/>
              <w:left w:val="nil"/>
              <w:bottom w:val="single" w:sz="4" w:space="0" w:color="auto"/>
              <w:right w:val="single" w:sz="8" w:space="0" w:color="BFBFBF"/>
            </w:tcBorders>
            <w:vAlign w:val="center"/>
            <w:hideMark/>
          </w:tcPr>
          <w:p w14:paraId="122027EC" w14:textId="77777777" w:rsidR="00EA4E25" w:rsidRPr="00CA1A43" w:rsidRDefault="00EA4E25" w:rsidP="00A5488F">
            <w:pPr>
              <w:pStyle w:val="Item"/>
              <w:tabs>
                <w:tab w:val="left" w:pos="954"/>
              </w:tabs>
              <w:jc w:val="center"/>
              <w:rPr>
                <w:rFonts w:asciiTheme="minorHAnsi" w:hAnsiTheme="minorHAnsi" w:cstheme="minorHAnsi"/>
                <w:sz w:val="24"/>
                <w:szCs w:val="24"/>
              </w:rPr>
            </w:pPr>
            <w:r w:rsidRPr="00CA1A43">
              <w:rPr>
                <w:rFonts w:asciiTheme="minorHAnsi" w:hAnsiTheme="minorHAnsi" w:cstheme="minorHAnsi"/>
                <w:sz w:val="24"/>
                <w:szCs w:val="24"/>
              </w:rPr>
              <w:t>部位</w:t>
            </w:r>
          </w:p>
        </w:tc>
        <w:tc>
          <w:tcPr>
            <w:tcW w:w="3256" w:type="pct"/>
            <w:gridSpan w:val="2"/>
            <w:tcBorders>
              <w:top w:val="single" w:sz="4" w:space="0" w:color="auto"/>
              <w:left w:val="single" w:sz="8" w:space="0" w:color="BFBFBF"/>
              <w:bottom w:val="single" w:sz="4" w:space="0" w:color="auto"/>
              <w:right w:val="nil"/>
            </w:tcBorders>
            <w:vAlign w:val="center"/>
            <w:hideMark/>
          </w:tcPr>
          <w:p w14:paraId="76A839F6" w14:textId="77777777" w:rsidR="00EA4E25" w:rsidRPr="00CA1A43" w:rsidRDefault="00EA4E25"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處理</w:t>
            </w:r>
          </w:p>
        </w:tc>
      </w:tr>
      <w:tr w:rsidR="00EA4E25" w:rsidRPr="00CA1A43" w14:paraId="56CC44E2" w14:textId="77777777" w:rsidTr="00EA4E25">
        <w:trPr>
          <w:trHeight w:val="947"/>
        </w:trPr>
        <w:tc>
          <w:tcPr>
            <w:tcW w:w="1744" w:type="pct"/>
            <w:tcBorders>
              <w:top w:val="single" w:sz="4" w:space="0" w:color="auto"/>
              <w:left w:val="nil"/>
              <w:bottom w:val="single" w:sz="8" w:space="0" w:color="BFBFBF"/>
              <w:right w:val="single" w:sz="8" w:space="0" w:color="BFBFBF"/>
            </w:tcBorders>
            <w:vAlign w:val="center"/>
            <w:hideMark/>
          </w:tcPr>
          <w:p w14:paraId="4269488D" w14:textId="77777777" w:rsidR="00EA4E25" w:rsidRPr="00CA1A43" w:rsidRDefault="00EA4E25"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做多現貨與買入賣權</w:t>
            </w:r>
          </w:p>
          <w:p w14:paraId="5C113292" w14:textId="77777777" w:rsidR="00EA4E25" w:rsidRPr="00CA1A43" w:rsidRDefault="00EA4E25"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或</w:t>
            </w:r>
          </w:p>
          <w:p w14:paraId="1ACDF3B7" w14:textId="77777777" w:rsidR="00EA4E25" w:rsidRPr="00CA1A43" w:rsidRDefault="00EA4E25"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做空現貨與買入買權</w:t>
            </w:r>
          </w:p>
        </w:tc>
        <w:tc>
          <w:tcPr>
            <w:tcW w:w="3256" w:type="pct"/>
            <w:gridSpan w:val="2"/>
            <w:tcBorders>
              <w:top w:val="single" w:sz="4" w:space="0" w:color="auto"/>
              <w:left w:val="single" w:sz="8" w:space="0" w:color="BFBFBF"/>
              <w:bottom w:val="single" w:sz="8" w:space="0" w:color="BFBFBF"/>
              <w:right w:val="nil"/>
            </w:tcBorders>
            <w:vAlign w:val="center"/>
            <w:hideMark/>
          </w:tcPr>
          <w:p w14:paraId="6A0B83CD" w14:textId="77777777" w:rsidR="00EA4E25" w:rsidRPr="00CA1A43" w:rsidRDefault="00EA4E25" w:rsidP="006E7485">
            <w:pPr>
              <w:pStyle w:val="Item"/>
              <w:jc w:val="both"/>
              <w:rPr>
                <w:rFonts w:asciiTheme="minorHAnsi" w:hAnsiTheme="minorHAnsi" w:cstheme="minorHAnsi"/>
                <w:sz w:val="24"/>
                <w:szCs w:val="24"/>
              </w:rPr>
            </w:pPr>
            <w:r w:rsidRPr="00CA1A43">
              <w:rPr>
                <w:rFonts w:asciiTheme="minorHAnsi" w:hAnsiTheme="minorHAnsi" w:cstheme="minorHAnsi"/>
                <w:sz w:val="24"/>
                <w:szCs w:val="24"/>
              </w:rPr>
              <w:t>資本要求將是標的有價證券市值</w:t>
            </w:r>
            <w:r w:rsidR="006E7485" w:rsidRPr="00CA1A43">
              <w:rPr>
                <w:rStyle w:val="a5"/>
                <w:rFonts w:asciiTheme="minorHAnsi" w:hAnsiTheme="minorHAnsi" w:cstheme="minorHAnsi"/>
                <w:sz w:val="24"/>
                <w:szCs w:val="24"/>
              </w:rPr>
              <w:footnoteReference w:id="85"/>
            </w:r>
            <w:r w:rsidRPr="00CA1A43">
              <w:rPr>
                <w:rFonts w:asciiTheme="minorHAnsi" w:hAnsiTheme="minorHAnsi" w:cstheme="minorHAnsi"/>
                <w:sz w:val="24"/>
                <w:szCs w:val="24"/>
              </w:rPr>
              <w:t>乘以標的個別與一般市場風險計提</w:t>
            </w:r>
            <w:r w:rsidR="006E7485" w:rsidRPr="00CA1A43">
              <w:rPr>
                <w:rStyle w:val="a5"/>
                <w:rFonts w:asciiTheme="minorHAnsi" w:hAnsiTheme="minorHAnsi" w:cstheme="minorHAnsi"/>
                <w:sz w:val="24"/>
                <w:szCs w:val="24"/>
              </w:rPr>
              <w:footnoteReference w:id="86"/>
            </w:r>
            <w:r w:rsidRPr="00CA1A43">
              <w:rPr>
                <w:rFonts w:asciiTheme="minorHAnsi" w:hAnsiTheme="minorHAnsi" w:cstheme="minorHAnsi"/>
                <w:sz w:val="24"/>
                <w:szCs w:val="24"/>
              </w:rPr>
              <w:t>加總，減去選擇</w:t>
            </w:r>
            <w:proofErr w:type="gramStart"/>
            <w:r w:rsidRPr="00CA1A43">
              <w:rPr>
                <w:rFonts w:asciiTheme="minorHAnsi" w:hAnsiTheme="minorHAnsi" w:cstheme="minorHAnsi"/>
                <w:sz w:val="24"/>
                <w:szCs w:val="24"/>
              </w:rPr>
              <w:t>權價內值</w:t>
            </w:r>
            <w:proofErr w:type="gramEnd"/>
            <w:r w:rsidRPr="00CA1A43">
              <w:rPr>
                <w:rFonts w:asciiTheme="minorHAnsi" w:hAnsiTheme="minorHAnsi" w:cstheme="minorHAnsi"/>
                <w:sz w:val="24"/>
                <w:szCs w:val="24"/>
              </w:rPr>
              <w:t>(</w:t>
            </w:r>
            <w:r w:rsidRPr="00CA1A43">
              <w:rPr>
                <w:rFonts w:asciiTheme="minorHAnsi" w:hAnsiTheme="minorHAnsi" w:cstheme="minorHAnsi"/>
                <w:sz w:val="24"/>
                <w:szCs w:val="24"/>
              </w:rPr>
              <w:t>如果有的話</w:t>
            </w:r>
            <w:r w:rsidRPr="00CA1A43">
              <w:rPr>
                <w:rFonts w:asciiTheme="minorHAnsi" w:hAnsiTheme="minorHAnsi" w:cstheme="minorHAnsi"/>
                <w:sz w:val="24"/>
                <w:szCs w:val="24"/>
              </w:rPr>
              <w:t>)</w:t>
            </w:r>
            <w:r w:rsidRPr="00CA1A43">
              <w:rPr>
                <w:rFonts w:asciiTheme="minorHAnsi" w:hAnsiTheme="minorHAnsi" w:cstheme="minorHAnsi"/>
                <w:sz w:val="24"/>
                <w:szCs w:val="24"/>
              </w:rPr>
              <w:t>最低至零</w:t>
            </w:r>
            <w:r w:rsidR="006E7485" w:rsidRPr="00CA1A43">
              <w:rPr>
                <w:rStyle w:val="a5"/>
                <w:rFonts w:asciiTheme="minorHAnsi" w:hAnsiTheme="minorHAnsi" w:cstheme="minorHAnsi"/>
                <w:sz w:val="24"/>
                <w:szCs w:val="24"/>
              </w:rPr>
              <w:footnoteReference w:id="87"/>
            </w:r>
            <w:r w:rsidRPr="00CA1A43">
              <w:rPr>
                <w:rFonts w:asciiTheme="minorHAnsi" w:hAnsiTheme="minorHAnsi" w:cstheme="minorHAnsi"/>
                <w:sz w:val="24"/>
                <w:szCs w:val="24"/>
              </w:rPr>
              <w:t>。</w:t>
            </w:r>
          </w:p>
        </w:tc>
      </w:tr>
      <w:tr w:rsidR="00EA4E25" w:rsidRPr="00CA1A43" w14:paraId="2F049A2D" w14:textId="77777777" w:rsidTr="00EA4E25">
        <w:trPr>
          <w:trHeight w:val="947"/>
        </w:trPr>
        <w:tc>
          <w:tcPr>
            <w:tcW w:w="1744" w:type="pct"/>
            <w:tcBorders>
              <w:top w:val="single" w:sz="8" w:space="0" w:color="BFBFBF"/>
              <w:left w:val="nil"/>
              <w:bottom w:val="single" w:sz="4" w:space="0" w:color="auto"/>
              <w:right w:val="single" w:sz="8" w:space="0" w:color="BFBFBF"/>
            </w:tcBorders>
            <w:vAlign w:val="center"/>
            <w:hideMark/>
          </w:tcPr>
          <w:p w14:paraId="757B8424" w14:textId="77777777" w:rsidR="00EA4E25" w:rsidRPr="00CA1A43" w:rsidRDefault="00EA4E25"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買入買權</w:t>
            </w:r>
          </w:p>
          <w:p w14:paraId="1E894474" w14:textId="77777777" w:rsidR="00EA4E25" w:rsidRPr="00CA1A43" w:rsidRDefault="00EA4E25"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或</w:t>
            </w:r>
          </w:p>
          <w:p w14:paraId="1313D4DC" w14:textId="77777777" w:rsidR="00EA4E25" w:rsidRPr="00CA1A43" w:rsidRDefault="00EA4E25" w:rsidP="00A5488F">
            <w:pPr>
              <w:pStyle w:val="Item"/>
              <w:jc w:val="center"/>
              <w:rPr>
                <w:rFonts w:asciiTheme="minorHAnsi" w:hAnsiTheme="minorHAnsi" w:cstheme="minorHAnsi"/>
                <w:sz w:val="24"/>
                <w:szCs w:val="24"/>
              </w:rPr>
            </w:pPr>
            <w:r w:rsidRPr="00CA1A43">
              <w:rPr>
                <w:rFonts w:asciiTheme="minorHAnsi" w:hAnsiTheme="minorHAnsi" w:cstheme="minorHAnsi"/>
                <w:sz w:val="24"/>
                <w:szCs w:val="24"/>
              </w:rPr>
              <w:t>買入賣權</w:t>
            </w:r>
          </w:p>
        </w:tc>
        <w:tc>
          <w:tcPr>
            <w:tcW w:w="3256" w:type="pct"/>
            <w:gridSpan w:val="2"/>
            <w:tcBorders>
              <w:top w:val="single" w:sz="8" w:space="0" w:color="BFBFBF"/>
              <w:left w:val="single" w:sz="8" w:space="0" w:color="BFBFBF"/>
              <w:bottom w:val="single" w:sz="4" w:space="0" w:color="auto"/>
              <w:right w:val="nil"/>
            </w:tcBorders>
            <w:vAlign w:val="center"/>
            <w:hideMark/>
          </w:tcPr>
          <w:p w14:paraId="7AD9B0AB" w14:textId="77777777" w:rsidR="00EA4E25" w:rsidRPr="00CA1A43" w:rsidRDefault="00EA4E25" w:rsidP="00A5488F">
            <w:pPr>
              <w:pStyle w:val="Item"/>
              <w:jc w:val="both"/>
              <w:rPr>
                <w:rFonts w:asciiTheme="minorHAnsi" w:hAnsiTheme="minorHAnsi" w:cstheme="minorHAnsi"/>
                <w:sz w:val="24"/>
                <w:szCs w:val="24"/>
              </w:rPr>
            </w:pPr>
            <w:r w:rsidRPr="00CA1A43">
              <w:rPr>
                <w:rFonts w:asciiTheme="minorHAnsi" w:hAnsiTheme="minorHAnsi" w:cstheme="minorHAnsi"/>
                <w:sz w:val="24"/>
                <w:szCs w:val="24"/>
              </w:rPr>
              <w:t>資本要求將是兩者較小者</w:t>
            </w:r>
          </w:p>
          <w:p w14:paraId="0C5B8B88" w14:textId="77777777" w:rsidR="00EA4E25" w:rsidRPr="00CA1A43" w:rsidRDefault="00EA4E25" w:rsidP="006E7485">
            <w:pPr>
              <w:pStyle w:val="Item"/>
              <w:jc w:val="both"/>
              <w:rPr>
                <w:rFonts w:asciiTheme="minorHAnsi" w:hAnsiTheme="minorHAnsi" w:cstheme="minorHAnsi"/>
                <w:sz w:val="24"/>
                <w:szCs w:val="24"/>
              </w:rPr>
            </w:pPr>
            <w:r w:rsidRPr="00CA1A43">
              <w:rPr>
                <w:rFonts w:asciiTheme="minorHAnsi" w:hAnsiTheme="minorHAnsi" w:cstheme="minorHAnsi"/>
                <w:sz w:val="24"/>
                <w:szCs w:val="24"/>
              </w:rPr>
              <w:lastRenderedPageBreak/>
              <w:t>(</w:t>
            </w:r>
            <w:proofErr w:type="spellStart"/>
            <w:r w:rsidRPr="00CA1A43">
              <w:rPr>
                <w:rFonts w:asciiTheme="minorHAnsi" w:hAnsiTheme="minorHAnsi" w:cstheme="minorHAnsi"/>
                <w:sz w:val="24"/>
                <w:szCs w:val="24"/>
              </w:rPr>
              <w:t>i</w:t>
            </w:r>
            <w:proofErr w:type="spellEnd"/>
            <w:r w:rsidRPr="00CA1A43">
              <w:rPr>
                <w:rFonts w:asciiTheme="minorHAnsi" w:hAnsiTheme="minorHAnsi" w:cstheme="minorHAnsi"/>
                <w:sz w:val="24"/>
                <w:szCs w:val="24"/>
              </w:rPr>
              <w:t xml:space="preserve">) </w:t>
            </w:r>
            <w:r w:rsidRPr="00CA1A43">
              <w:rPr>
                <w:rFonts w:asciiTheme="minorHAnsi" w:hAnsiTheme="minorHAnsi" w:cstheme="minorHAnsi"/>
                <w:sz w:val="24"/>
                <w:szCs w:val="24"/>
              </w:rPr>
              <w:t>資本要求將是標的有價證券市值乘以標的個別與一般市場風險計提加總</w:t>
            </w:r>
            <w:r w:rsidRPr="00CA1A43">
              <w:rPr>
                <w:rFonts w:asciiTheme="minorHAnsi" w:hAnsiTheme="minorHAnsi" w:cstheme="minorHAnsi"/>
                <w:sz w:val="24"/>
                <w:szCs w:val="24"/>
              </w:rPr>
              <w:t xml:space="preserve"> (ii) </w:t>
            </w:r>
            <w:r w:rsidRPr="00CA1A43">
              <w:rPr>
                <w:rFonts w:asciiTheme="minorHAnsi" w:hAnsiTheme="minorHAnsi" w:cstheme="minorHAnsi"/>
                <w:sz w:val="24"/>
                <w:szCs w:val="24"/>
              </w:rPr>
              <w:t>選擇權市值</w:t>
            </w:r>
            <w:r w:rsidR="006E7485" w:rsidRPr="00CA1A43">
              <w:rPr>
                <w:rStyle w:val="a5"/>
                <w:rFonts w:asciiTheme="minorHAnsi" w:hAnsiTheme="minorHAnsi" w:cstheme="minorHAnsi"/>
                <w:sz w:val="24"/>
                <w:szCs w:val="24"/>
              </w:rPr>
              <w:footnoteReference w:id="88"/>
            </w:r>
          </w:p>
        </w:tc>
      </w:tr>
    </w:tbl>
    <w:p w14:paraId="5E9B8BE9" w14:textId="77777777" w:rsidR="008560A1" w:rsidRPr="00CA1A43" w:rsidRDefault="008560A1" w:rsidP="008C0E02">
      <w:pPr>
        <w:pStyle w:val="a7"/>
        <w:numPr>
          <w:ilvl w:val="0"/>
          <w:numId w:val="228"/>
        </w:numPr>
        <w:spacing w:beforeLines="50" w:before="180"/>
        <w:ind w:leftChars="0" w:left="737" w:hanging="737"/>
        <w:jc w:val="both"/>
        <w:rPr>
          <w:rFonts w:eastAsia="標楷體" w:cstheme="minorHAnsi"/>
          <w:szCs w:val="24"/>
        </w:rPr>
      </w:pPr>
      <w:r w:rsidRPr="00CA1A43">
        <w:rPr>
          <w:rFonts w:eastAsia="標楷體" w:cstheme="minorHAnsi"/>
          <w:szCs w:val="24"/>
        </w:rPr>
        <w:lastRenderedPageBreak/>
        <w:t>敏感性</w:t>
      </w:r>
      <w:r w:rsidRPr="00CA1A43">
        <w:rPr>
          <w:rFonts w:eastAsia="標楷體" w:cstheme="minorHAnsi"/>
          <w:kern w:val="0"/>
          <w:szCs w:val="24"/>
        </w:rPr>
        <w:t>分析</w:t>
      </w:r>
      <w:r w:rsidRPr="00CA1A43">
        <w:rPr>
          <w:rFonts w:eastAsia="標楷體" w:cstheme="minorHAnsi"/>
          <w:szCs w:val="24"/>
        </w:rPr>
        <w:t>(delta-plus)</w:t>
      </w:r>
      <w:r w:rsidRPr="00CA1A43">
        <w:rPr>
          <w:rFonts w:eastAsia="標楷體" w:cstheme="minorHAnsi"/>
          <w:szCs w:val="24"/>
        </w:rPr>
        <w:t>法</w:t>
      </w:r>
    </w:p>
    <w:p w14:paraId="10534223" w14:textId="77777777" w:rsidR="0007321C" w:rsidRPr="00CA1A43" w:rsidRDefault="0007321C" w:rsidP="0007321C">
      <w:pPr>
        <w:pStyle w:val="a7"/>
        <w:spacing w:beforeLines="50" w:before="180"/>
        <w:ind w:leftChars="0" w:left="737"/>
        <w:jc w:val="both"/>
        <w:rPr>
          <w:rFonts w:eastAsia="標楷體" w:cstheme="minorHAnsi"/>
          <w:szCs w:val="24"/>
        </w:rPr>
      </w:pPr>
      <w:r w:rsidRPr="00CA1A43">
        <w:rPr>
          <w:rFonts w:eastAsia="標楷體" w:cstheme="minorHAnsi"/>
          <w:szCs w:val="24"/>
        </w:rPr>
        <w:t>當銀行選擇使用敏感性分析法計提市場風險資本時，至少需計提</w:t>
      </w:r>
      <w:r w:rsidRPr="00CA1A43">
        <w:rPr>
          <w:rFonts w:eastAsia="標楷體" w:cstheme="minorHAnsi"/>
          <w:szCs w:val="24"/>
        </w:rPr>
        <w:t>Delta</w:t>
      </w:r>
      <w:r w:rsidRPr="00CA1A43">
        <w:rPr>
          <w:rFonts w:eastAsia="標楷體" w:cstheme="minorHAnsi"/>
          <w:szCs w:val="24"/>
        </w:rPr>
        <w:t>風險、</w:t>
      </w:r>
      <w:r w:rsidRPr="00CA1A43">
        <w:rPr>
          <w:rFonts w:eastAsia="標楷體" w:cstheme="minorHAnsi"/>
          <w:szCs w:val="24"/>
        </w:rPr>
        <w:t>Gamma</w:t>
      </w:r>
      <w:r w:rsidRPr="00CA1A43">
        <w:rPr>
          <w:rFonts w:eastAsia="標楷體" w:cstheme="minorHAnsi"/>
          <w:szCs w:val="24"/>
        </w:rPr>
        <w:t>風險，以及</w:t>
      </w:r>
      <w:r w:rsidRPr="00CA1A43">
        <w:rPr>
          <w:rFonts w:eastAsia="標楷體" w:cstheme="minorHAnsi"/>
          <w:szCs w:val="24"/>
        </w:rPr>
        <w:t>Vega</w:t>
      </w:r>
      <w:r w:rsidRPr="00CA1A43">
        <w:rPr>
          <w:rFonts w:eastAsia="標楷體" w:cstheme="minorHAnsi"/>
          <w:szCs w:val="24"/>
        </w:rPr>
        <w:t>風險之資本要求。</w:t>
      </w:r>
    </w:p>
    <w:p w14:paraId="651D000B" w14:textId="77777777" w:rsidR="008560A1" w:rsidRPr="00CA1A43" w:rsidRDefault="008560A1" w:rsidP="008C0E02">
      <w:pPr>
        <w:pStyle w:val="a7"/>
        <w:numPr>
          <w:ilvl w:val="0"/>
          <w:numId w:val="233"/>
        </w:numPr>
        <w:spacing w:beforeLines="50" w:before="180"/>
        <w:ind w:leftChars="0" w:left="964" w:hanging="482"/>
        <w:jc w:val="both"/>
        <w:rPr>
          <w:rFonts w:eastAsia="標楷體" w:cstheme="minorHAnsi"/>
          <w:szCs w:val="24"/>
        </w:rPr>
      </w:pPr>
      <w:r w:rsidRPr="00CA1A43">
        <w:rPr>
          <w:rFonts w:eastAsia="標楷體" w:cstheme="minorHAnsi"/>
          <w:szCs w:val="24"/>
        </w:rPr>
        <w:t>Delta</w:t>
      </w:r>
      <w:r w:rsidRPr="00CA1A43">
        <w:rPr>
          <w:rFonts w:eastAsia="標楷體" w:cstheme="minorHAnsi"/>
          <w:szCs w:val="24"/>
        </w:rPr>
        <w:t>風險</w:t>
      </w:r>
      <w:r w:rsidRPr="00CA1A43">
        <w:rPr>
          <w:rFonts w:eastAsia="標楷體" w:cstheme="minorHAnsi"/>
          <w:szCs w:val="24"/>
        </w:rPr>
        <w:t>(</w:t>
      </w:r>
      <w:r w:rsidRPr="00CA1A43">
        <w:rPr>
          <w:rFonts w:eastAsia="標楷體" w:cstheme="minorHAnsi"/>
          <w:szCs w:val="24"/>
        </w:rPr>
        <w:t>價格風險</w:t>
      </w:r>
      <w:r w:rsidRPr="00CA1A43">
        <w:rPr>
          <w:rFonts w:eastAsia="標楷體" w:cstheme="minorHAnsi"/>
          <w:szCs w:val="24"/>
        </w:rPr>
        <w:t>)</w:t>
      </w:r>
    </w:p>
    <w:p w14:paraId="2497A334" w14:textId="2C8203AC" w:rsidR="008F764C" w:rsidRPr="00CA1A43" w:rsidRDefault="0007321C" w:rsidP="0007321C">
      <w:pPr>
        <w:pStyle w:val="a7"/>
        <w:spacing w:beforeLines="50" w:before="180"/>
        <w:ind w:leftChars="0" w:left="964"/>
        <w:jc w:val="both"/>
        <w:rPr>
          <w:rFonts w:eastAsia="標楷體" w:cstheme="minorHAnsi"/>
          <w:szCs w:val="24"/>
        </w:rPr>
      </w:pPr>
      <w:r w:rsidRPr="00CA1A43">
        <w:rPr>
          <w:rFonts w:eastAsia="標楷體" w:cstheme="minorHAnsi"/>
          <w:sz w:val="23"/>
          <w:szCs w:val="23"/>
        </w:rPr>
        <w:t>將選擇權</w:t>
      </w:r>
      <w:r w:rsidRPr="00CA1A43">
        <w:rPr>
          <w:rFonts w:eastAsia="標楷體" w:cstheme="minorHAnsi"/>
          <w:szCs w:val="24"/>
        </w:rPr>
        <w:t>Delta</w:t>
      </w:r>
      <w:r w:rsidRPr="00CA1A43">
        <w:rPr>
          <w:rFonts w:eastAsia="標楷體" w:cstheme="minorHAnsi"/>
          <w:sz w:val="23"/>
          <w:szCs w:val="23"/>
        </w:rPr>
        <w:t>加權部位</w:t>
      </w:r>
      <w:r w:rsidRPr="00CA1A43">
        <w:rPr>
          <w:rFonts w:eastAsia="標楷體" w:cstheme="minorHAnsi"/>
          <w:sz w:val="23"/>
          <w:szCs w:val="23"/>
        </w:rPr>
        <w:t>(</w:t>
      </w:r>
      <w:r w:rsidRPr="00CA1A43">
        <w:rPr>
          <w:rFonts w:eastAsia="標楷體" w:cstheme="minorHAnsi"/>
          <w:szCs w:val="24"/>
        </w:rPr>
        <w:t>衡量選擇權之約當部位，即為選擇權標的市值乘以</w:t>
      </w:r>
      <w:r w:rsidRPr="00CA1A43">
        <w:rPr>
          <w:rFonts w:eastAsia="標楷體" w:cstheme="minorHAnsi"/>
          <w:szCs w:val="24"/>
        </w:rPr>
        <w:t>Delta</w:t>
      </w:r>
      <w:r w:rsidRPr="00CA1A43">
        <w:rPr>
          <w:rFonts w:eastAsia="標楷體" w:cstheme="minorHAnsi"/>
          <w:sz w:val="23"/>
          <w:szCs w:val="23"/>
        </w:rPr>
        <w:t>)</w:t>
      </w:r>
      <w:r w:rsidRPr="00CA1A43">
        <w:rPr>
          <w:rFonts w:eastAsia="標楷體" w:cstheme="minorHAnsi"/>
          <w:sz w:val="23"/>
          <w:szCs w:val="23"/>
        </w:rPr>
        <w:t>乘以利率風險、權益證券風險、外匯風險及商品風險等標的</w:t>
      </w:r>
      <w:r w:rsidR="009653EE" w:rsidRPr="00B75418">
        <w:rPr>
          <w:rFonts w:eastAsia="標楷體" w:cstheme="minorHAnsi"/>
          <w:sz w:val="23"/>
          <w:szCs w:val="23"/>
        </w:rPr>
        <w:t>工具</w:t>
      </w:r>
      <w:r w:rsidRPr="00B75418">
        <w:rPr>
          <w:rFonts w:eastAsia="標楷體" w:cstheme="minorHAnsi"/>
          <w:sz w:val="23"/>
          <w:szCs w:val="23"/>
        </w:rPr>
        <w:t>所訂之</w:t>
      </w:r>
      <w:r w:rsidRPr="00CA1A43">
        <w:rPr>
          <w:rFonts w:eastAsia="標楷體" w:cstheme="minorHAnsi"/>
          <w:sz w:val="23"/>
          <w:szCs w:val="23"/>
        </w:rPr>
        <w:t>個別與一般市場風險資本計提率</w:t>
      </w:r>
      <w:r w:rsidRPr="00CA1A43">
        <w:rPr>
          <w:rFonts w:eastAsia="標楷體" w:cstheme="minorHAnsi"/>
          <w:szCs w:val="24"/>
        </w:rPr>
        <w:t>(</w:t>
      </w:r>
      <w:r w:rsidRPr="00CA1A43">
        <w:rPr>
          <w:rFonts w:eastAsia="標楷體" w:cstheme="minorHAnsi"/>
          <w:sz w:val="23"/>
          <w:szCs w:val="23"/>
        </w:rPr>
        <w:t>僅利率風險及權益證券風險有個別風險</w:t>
      </w:r>
      <w:r w:rsidRPr="00CA1A43">
        <w:rPr>
          <w:rFonts w:eastAsia="標楷體" w:cstheme="minorHAnsi"/>
          <w:szCs w:val="24"/>
        </w:rPr>
        <w:t>)</w:t>
      </w:r>
      <w:r w:rsidRPr="00CA1A43">
        <w:rPr>
          <w:rFonts w:eastAsia="標楷體" w:cstheme="minorHAnsi"/>
          <w:sz w:val="23"/>
          <w:szCs w:val="23"/>
        </w:rPr>
        <w:t>。</w:t>
      </w:r>
    </w:p>
    <w:p w14:paraId="685CC95F" w14:textId="77777777" w:rsidR="0007321C" w:rsidRPr="00CA1A43" w:rsidRDefault="0007321C" w:rsidP="0007321C">
      <w:pPr>
        <w:pStyle w:val="a7"/>
        <w:spacing w:beforeLines="50" w:before="180"/>
        <w:ind w:leftChars="0" w:left="964"/>
        <w:jc w:val="both"/>
        <w:rPr>
          <w:rFonts w:eastAsia="標楷體" w:cstheme="minorHAnsi"/>
          <w:szCs w:val="24"/>
        </w:rPr>
      </w:pPr>
      <w:r w:rsidRPr="00CA1A43">
        <w:rPr>
          <w:rFonts w:eastAsia="標楷體" w:cstheme="minorHAnsi"/>
          <w:szCs w:val="24"/>
        </w:rPr>
        <w:t>茲就各風險類別之計算方法釋示如下：</w:t>
      </w:r>
    </w:p>
    <w:p w14:paraId="4AA6264A" w14:textId="77777777" w:rsidR="0007321C" w:rsidRPr="00CA1A43" w:rsidRDefault="0007321C" w:rsidP="008C0E02">
      <w:pPr>
        <w:pStyle w:val="a7"/>
        <w:numPr>
          <w:ilvl w:val="0"/>
          <w:numId w:val="232"/>
        </w:numPr>
        <w:spacing w:beforeLines="50" w:before="180"/>
        <w:ind w:leftChars="0" w:left="1446" w:hanging="482"/>
        <w:jc w:val="both"/>
        <w:rPr>
          <w:rFonts w:eastAsia="標楷體" w:cstheme="minorHAnsi"/>
        </w:rPr>
      </w:pPr>
      <w:r w:rsidRPr="00CA1A43">
        <w:rPr>
          <w:rFonts w:eastAsia="標楷體" w:cstheme="minorHAnsi"/>
        </w:rPr>
        <w:t>利率或債券為標的之選擇權：</w:t>
      </w:r>
    </w:p>
    <w:p w14:paraId="6317CA7C" w14:textId="77777777" w:rsidR="0007321C" w:rsidRPr="00CA1A43" w:rsidRDefault="0007321C" w:rsidP="0007321C">
      <w:pPr>
        <w:pStyle w:val="a7"/>
        <w:spacing w:beforeLines="50" w:before="180"/>
        <w:ind w:leftChars="0" w:left="1446"/>
        <w:jc w:val="both"/>
        <w:rPr>
          <w:rFonts w:eastAsia="標楷體" w:cstheme="minorHAnsi"/>
        </w:rPr>
      </w:pPr>
      <w:r w:rsidRPr="00CA1A43">
        <w:rPr>
          <w:rFonts w:eastAsia="標楷體" w:cstheme="minorHAnsi"/>
        </w:rPr>
        <w:t>個別風險＝</w:t>
      </w:r>
      <w:r w:rsidRPr="00CA1A43">
        <w:rPr>
          <w:rFonts w:eastAsia="標楷體" w:cstheme="minorHAnsi"/>
        </w:rPr>
        <w:t>Delta</w:t>
      </w:r>
      <w:r w:rsidRPr="00CA1A43">
        <w:rPr>
          <w:rFonts w:eastAsia="標楷體" w:cstheme="minorHAnsi"/>
        </w:rPr>
        <w:t>加權部位</w:t>
      </w:r>
      <w:r w:rsidRPr="00CA1A43">
        <w:rPr>
          <w:rFonts w:eastAsia="標楷體" w:cstheme="minorHAnsi"/>
        </w:rPr>
        <w:t>×</w:t>
      </w:r>
      <w:r w:rsidRPr="00CA1A43">
        <w:rPr>
          <w:rFonts w:eastAsia="標楷體" w:cstheme="minorHAnsi"/>
        </w:rPr>
        <w:t>個別風險資本計提率。</w:t>
      </w:r>
      <w:r w:rsidRPr="00CA1A43">
        <w:rPr>
          <w:rFonts w:eastAsia="標楷體" w:cstheme="minorHAnsi"/>
        </w:rPr>
        <w:t>(</w:t>
      </w:r>
      <w:r w:rsidRPr="00CA1A43">
        <w:rPr>
          <w:rFonts w:eastAsia="標楷體" w:cstheme="minorHAnsi"/>
        </w:rPr>
        <w:t>與其他利率風險部位一起計提個別風險</w:t>
      </w:r>
      <w:r w:rsidRPr="00CA1A43">
        <w:rPr>
          <w:rFonts w:eastAsia="標楷體" w:cstheme="minorHAnsi"/>
        </w:rPr>
        <w:t>)</w:t>
      </w:r>
      <w:r w:rsidRPr="00CA1A43">
        <w:rPr>
          <w:rFonts w:eastAsia="標楷體" w:cstheme="minorHAnsi"/>
        </w:rPr>
        <w:t>。</w:t>
      </w:r>
    </w:p>
    <w:p w14:paraId="22BFDC94" w14:textId="77777777" w:rsidR="0007321C" w:rsidRPr="00CA1A43" w:rsidRDefault="0007321C" w:rsidP="0007321C">
      <w:pPr>
        <w:pStyle w:val="a7"/>
        <w:spacing w:beforeLines="50" w:before="180"/>
        <w:ind w:leftChars="0" w:left="1446"/>
        <w:jc w:val="both"/>
        <w:rPr>
          <w:rFonts w:eastAsia="標楷體" w:cstheme="minorHAnsi"/>
        </w:rPr>
      </w:pPr>
      <w:r w:rsidRPr="00CA1A43">
        <w:rPr>
          <w:rFonts w:eastAsia="標楷體" w:cstheme="minorHAnsi"/>
        </w:rPr>
        <w:t>一般市場風險：以</w:t>
      </w:r>
      <w:r w:rsidRPr="00CA1A43">
        <w:rPr>
          <w:rFonts w:eastAsia="標楷體" w:cstheme="minorHAnsi"/>
        </w:rPr>
        <w:t>Delta</w:t>
      </w:r>
      <w:r w:rsidRPr="00CA1A43">
        <w:rPr>
          <w:rFonts w:eastAsia="標楷體" w:cstheme="minorHAnsi"/>
        </w:rPr>
        <w:t>加權部位歸入利率風險之時間帶</w:t>
      </w:r>
      <w:r w:rsidRPr="00CA1A43">
        <w:rPr>
          <w:rFonts w:eastAsia="標楷體" w:cstheme="minorHAnsi"/>
        </w:rPr>
        <w:t>(</w:t>
      </w:r>
      <w:r w:rsidRPr="00CA1A43">
        <w:rPr>
          <w:rFonts w:eastAsia="標楷體" w:cstheme="minorHAnsi"/>
        </w:rPr>
        <w:t>依選用到期法或存續期間法之不同歸入不同時間帶</w:t>
      </w:r>
      <w:r w:rsidRPr="00CA1A43">
        <w:rPr>
          <w:rFonts w:eastAsia="標楷體" w:cstheme="minorHAnsi"/>
        </w:rPr>
        <w:t>)</w:t>
      </w:r>
      <w:r w:rsidRPr="00CA1A43">
        <w:rPr>
          <w:rFonts w:eastAsia="標楷體" w:cstheme="minorHAnsi"/>
        </w:rPr>
        <w:t>，並併入計提一般市場風險之方法。</w:t>
      </w:r>
    </w:p>
    <w:p w14:paraId="357DD1F6" w14:textId="77777777" w:rsidR="0007321C" w:rsidRPr="00CA1A43" w:rsidRDefault="0007321C" w:rsidP="008C0E02">
      <w:pPr>
        <w:pStyle w:val="a7"/>
        <w:numPr>
          <w:ilvl w:val="0"/>
          <w:numId w:val="230"/>
        </w:numPr>
        <w:spacing w:beforeLines="50" w:before="180"/>
        <w:ind w:leftChars="0"/>
        <w:jc w:val="both"/>
        <w:rPr>
          <w:rFonts w:eastAsia="標楷體" w:cstheme="minorHAnsi"/>
        </w:rPr>
      </w:pPr>
      <w:r w:rsidRPr="00CA1A43">
        <w:rPr>
          <w:rFonts w:eastAsia="標楷體" w:cstheme="minorHAnsi"/>
        </w:rPr>
        <w:t>衍生性金融商品者計提係</w:t>
      </w:r>
      <w:proofErr w:type="gramStart"/>
      <w:r w:rsidRPr="00CA1A43">
        <w:rPr>
          <w:rFonts w:eastAsia="標楷體" w:cstheme="minorHAnsi"/>
        </w:rPr>
        <w:t>採</w:t>
      </w:r>
      <w:proofErr w:type="gramEnd"/>
      <w:r w:rsidRPr="00CA1A43">
        <w:rPr>
          <w:rFonts w:eastAsia="標楷體" w:cstheme="minorHAnsi"/>
        </w:rPr>
        <w:t>雙部位法，一個部位為契約生效日，另一個部位為契約到期日。例如</w:t>
      </w:r>
      <w:r w:rsidRPr="00CA1A43">
        <w:rPr>
          <w:rFonts w:eastAsia="標楷體" w:cstheme="minorHAnsi"/>
          <w:sz w:val="23"/>
          <w:szCs w:val="23"/>
        </w:rPr>
        <w:t>利率期貨選擇權</w:t>
      </w:r>
      <w:r w:rsidRPr="00CA1A43">
        <w:rPr>
          <w:rFonts w:eastAsia="標楷體" w:cstheme="minorHAnsi"/>
        </w:rPr>
        <w:t>，四月買進一個六月交割之三個月期利率期貨之買權，其拆成兩個</w:t>
      </w:r>
      <w:r w:rsidRPr="00CA1A43">
        <w:rPr>
          <w:rFonts w:eastAsia="標楷體" w:cstheme="minorHAnsi"/>
        </w:rPr>
        <w:t>Delta</w:t>
      </w:r>
      <w:r w:rsidRPr="00CA1A43">
        <w:rPr>
          <w:rFonts w:eastAsia="標楷體" w:cstheme="minorHAnsi"/>
        </w:rPr>
        <w:t>加權部位，一個為期限五個月之長部位，另一個為期限兩個月之短部位。</w:t>
      </w:r>
    </w:p>
    <w:p w14:paraId="36ECAD0C" w14:textId="77777777" w:rsidR="0007321C" w:rsidRPr="00CA1A43" w:rsidRDefault="0007321C" w:rsidP="008C0E02">
      <w:pPr>
        <w:pStyle w:val="a7"/>
        <w:numPr>
          <w:ilvl w:val="0"/>
          <w:numId w:val="230"/>
        </w:numPr>
        <w:spacing w:beforeLines="50" w:before="180"/>
        <w:ind w:leftChars="0"/>
        <w:jc w:val="both"/>
        <w:rPr>
          <w:rFonts w:eastAsia="標楷體" w:cstheme="minorHAnsi"/>
        </w:rPr>
      </w:pPr>
      <w:r w:rsidRPr="00CA1A43">
        <w:rPr>
          <w:rFonts w:eastAsia="標楷體" w:cstheme="minorHAnsi"/>
          <w:lang w:eastAsia="zh-HK"/>
        </w:rPr>
        <w:t>標的為債券期貨的兩個月</w:t>
      </w:r>
      <w:r w:rsidRPr="00CA1A43">
        <w:rPr>
          <w:rFonts w:eastAsia="標楷體" w:cstheme="minorHAnsi"/>
        </w:rPr>
        <w:t>期</w:t>
      </w:r>
      <w:r w:rsidRPr="00CA1A43">
        <w:rPr>
          <w:rFonts w:eastAsia="標楷體" w:cstheme="minorHAnsi"/>
          <w:lang w:eastAsia="zh-HK"/>
        </w:rPr>
        <w:t>買權，債券交割發生於九月，在四月時將被視為做多債券與做空五個月存款，兩</w:t>
      </w:r>
      <w:r w:rsidRPr="00CA1A43">
        <w:rPr>
          <w:rFonts w:eastAsia="標楷體" w:cstheme="minorHAnsi"/>
        </w:rPr>
        <w:t>個</w:t>
      </w:r>
      <w:r w:rsidRPr="00CA1A43">
        <w:rPr>
          <w:rFonts w:eastAsia="標楷體" w:cstheme="minorHAnsi"/>
          <w:lang w:eastAsia="zh-HK"/>
        </w:rPr>
        <w:t>皆為</w:t>
      </w:r>
      <w:r w:rsidRPr="00CA1A43">
        <w:rPr>
          <w:rFonts w:eastAsia="標楷體" w:cstheme="minorHAnsi"/>
        </w:rPr>
        <w:t>D</w:t>
      </w:r>
      <w:r w:rsidRPr="00CA1A43">
        <w:rPr>
          <w:rFonts w:eastAsia="標楷體" w:cstheme="minorHAnsi"/>
          <w:lang w:eastAsia="zh-HK"/>
        </w:rPr>
        <w:t>elta</w:t>
      </w:r>
      <w:r w:rsidRPr="00CA1A43">
        <w:rPr>
          <w:rFonts w:eastAsia="標楷體" w:cstheme="minorHAnsi"/>
          <w:lang w:eastAsia="zh-HK"/>
        </w:rPr>
        <w:t>加權部位。</w:t>
      </w:r>
    </w:p>
    <w:p w14:paraId="30B787AB" w14:textId="19753A18" w:rsidR="0007321C" w:rsidRPr="00CA1A43" w:rsidRDefault="0007321C" w:rsidP="008C0E02">
      <w:pPr>
        <w:pStyle w:val="a7"/>
        <w:numPr>
          <w:ilvl w:val="0"/>
          <w:numId w:val="230"/>
        </w:numPr>
        <w:spacing w:beforeLines="50" w:before="180"/>
        <w:ind w:leftChars="0"/>
        <w:jc w:val="both"/>
        <w:rPr>
          <w:rFonts w:eastAsia="標楷體" w:cstheme="minorHAnsi"/>
        </w:rPr>
      </w:pPr>
      <w:r w:rsidRPr="00CA1A43">
        <w:rPr>
          <w:rFonts w:eastAsia="標楷體" w:cstheme="minorHAnsi"/>
        </w:rPr>
        <w:t>有利率上限與利率下限的浮動利率</w:t>
      </w:r>
      <w:r w:rsidR="009653EE" w:rsidRPr="00B75418">
        <w:rPr>
          <w:rFonts w:eastAsia="標楷體" w:cstheme="minorHAnsi"/>
        </w:rPr>
        <w:t>工具</w:t>
      </w:r>
      <w:r w:rsidRPr="00CA1A43">
        <w:rPr>
          <w:rFonts w:eastAsia="標楷體" w:cstheme="minorHAnsi"/>
        </w:rPr>
        <w:t>將被視為浮動利率有價證券與一系列歐式選擇權的組合。例如，持有三年期浮動利率債券，其指數為六個月</w:t>
      </w:r>
      <w:r w:rsidRPr="00CA1A43">
        <w:rPr>
          <w:rFonts w:eastAsia="標楷體" w:cstheme="minorHAnsi"/>
        </w:rPr>
        <w:t>LIBOR</w:t>
      </w:r>
      <w:r w:rsidRPr="00CA1A43">
        <w:rPr>
          <w:rFonts w:eastAsia="標楷體" w:cstheme="minorHAnsi"/>
        </w:rPr>
        <w:t>且上限為</w:t>
      </w:r>
      <w:r w:rsidRPr="00CA1A43">
        <w:rPr>
          <w:rFonts w:eastAsia="標楷體" w:cstheme="minorHAnsi"/>
        </w:rPr>
        <w:t>15%</w:t>
      </w:r>
      <w:r w:rsidRPr="00CA1A43">
        <w:rPr>
          <w:rFonts w:eastAsia="標楷體" w:cstheme="minorHAnsi"/>
        </w:rPr>
        <w:t>，將被視為：</w:t>
      </w:r>
    </w:p>
    <w:p w14:paraId="0BDC6A97" w14:textId="77777777" w:rsidR="0007321C" w:rsidRPr="00CA1A43" w:rsidRDefault="0007321C" w:rsidP="008C0E02">
      <w:pPr>
        <w:pStyle w:val="a7"/>
        <w:numPr>
          <w:ilvl w:val="0"/>
          <w:numId w:val="231"/>
        </w:numPr>
        <w:spacing w:beforeLines="50" w:before="180"/>
        <w:ind w:leftChars="0" w:left="2421" w:hanging="493"/>
        <w:jc w:val="both"/>
        <w:rPr>
          <w:rFonts w:eastAsia="標楷體" w:cstheme="minorHAnsi"/>
          <w:szCs w:val="24"/>
        </w:rPr>
      </w:pPr>
      <w:r w:rsidRPr="00CA1A43">
        <w:rPr>
          <w:rFonts w:eastAsia="標楷體" w:cstheme="minorHAnsi"/>
        </w:rPr>
        <w:t>一個</w:t>
      </w:r>
      <w:r w:rsidRPr="00CA1A43">
        <w:rPr>
          <w:rFonts w:eastAsia="標楷體" w:cstheme="minorHAnsi"/>
          <w:szCs w:val="24"/>
        </w:rPr>
        <w:t>每六</w:t>
      </w:r>
      <w:proofErr w:type="gramStart"/>
      <w:r w:rsidRPr="00CA1A43">
        <w:rPr>
          <w:rFonts w:eastAsia="標楷體" w:cstheme="minorHAnsi"/>
        </w:rPr>
        <w:t>個</w:t>
      </w:r>
      <w:proofErr w:type="gramEnd"/>
      <w:r w:rsidRPr="00CA1A43">
        <w:rPr>
          <w:rFonts w:eastAsia="標楷體" w:cstheme="minorHAnsi"/>
        </w:rPr>
        <w:t>月重訂價的債務有價證券，與</w:t>
      </w:r>
    </w:p>
    <w:p w14:paraId="21F1D090" w14:textId="77777777" w:rsidR="008F764C" w:rsidRPr="00CA1A43" w:rsidRDefault="0007321C" w:rsidP="008C0E02">
      <w:pPr>
        <w:pStyle w:val="a7"/>
        <w:numPr>
          <w:ilvl w:val="0"/>
          <w:numId w:val="231"/>
        </w:numPr>
        <w:spacing w:beforeLines="50" w:before="180"/>
        <w:ind w:leftChars="0" w:left="2421" w:hanging="493"/>
        <w:jc w:val="both"/>
        <w:rPr>
          <w:rFonts w:eastAsia="標楷體" w:cstheme="minorHAnsi"/>
          <w:szCs w:val="24"/>
        </w:rPr>
      </w:pPr>
      <w:r w:rsidRPr="00CA1A43">
        <w:rPr>
          <w:rFonts w:eastAsia="標楷體" w:cstheme="minorHAnsi"/>
        </w:rPr>
        <w:lastRenderedPageBreak/>
        <w:t>一系列的五個賣出買權，標的為遠期利率協定且參考利率為</w:t>
      </w:r>
      <w:r w:rsidRPr="00CA1A43">
        <w:rPr>
          <w:rFonts w:eastAsia="標楷體" w:cstheme="minorHAnsi"/>
        </w:rPr>
        <w:t>15%</w:t>
      </w:r>
      <w:r w:rsidRPr="00CA1A43">
        <w:rPr>
          <w:rFonts w:eastAsia="標楷體" w:cstheme="minorHAnsi"/>
        </w:rPr>
        <w:t>，</w:t>
      </w:r>
      <w:proofErr w:type="gramStart"/>
      <w:r w:rsidRPr="00CA1A43">
        <w:rPr>
          <w:rFonts w:eastAsia="標楷體" w:cstheme="minorHAnsi"/>
        </w:rPr>
        <w:t>當標的</w:t>
      </w:r>
      <w:proofErr w:type="gramEnd"/>
      <w:r w:rsidRPr="00CA1A43">
        <w:rPr>
          <w:rFonts w:eastAsia="標楷體" w:cstheme="minorHAnsi"/>
        </w:rPr>
        <w:t>遠期利率協定生效時，每一個買權為負號，</w:t>
      </w:r>
      <w:proofErr w:type="gramStart"/>
      <w:r w:rsidRPr="00CA1A43">
        <w:rPr>
          <w:rFonts w:eastAsia="標楷體" w:cstheme="minorHAnsi"/>
        </w:rPr>
        <w:t>當標的</w:t>
      </w:r>
      <w:proofErr w:type="gramEnd"/>
      <w:r w:rsidRPr="00CA1A43">
        <w:rPr>
          <w:rFonts w:eastAsia="標楷體" w:cstheme="minorHAnsi"/>
        </w:rPr>
        <w:t>遠期利率協定到期時，每一個買權為正號</w:t>
      </w:r>
      <w:r w:rsidR="00290B61" w:rsidRPr="00CA1A43">
        <w:rPr>
          <w:rStyle w:val="a5"/>
          <w:rFonts w:eastAsia="標楷體" w:cstheme="minorHAnsi"/>
          <w:szCs w:val="24"/>
        </w:rPr>
        <w:footnoteReference w:id="89"/>
      </w:r>
      <w:r w:rsidRPr="00CA1A43">
        <w:rPr>
          <w:rFonts w:eastAsia="標楷體" w:cstheme="minorHAnsi"/>
        </w:rPr>
        <w:t>。</w:t>
      </w:r>
    </w:p>
    <w:p w14:paraId="54DAF682" w14:textId="77777777" w:rsidR="00290B61" w:rsidRPr="00CA1A43" w:rsidRDefault="00290B61" w:rsidP="008C0E02">
      <w:pPr>
        <w:pStyle w:val="a7"/>
        <w:numPr>
          <w:ilvl w:val="0"/>
          <w:numId w:val="232"/>
        </w:numPr>
        <w:spacing w:beforeLines="50" w:before="180"/>
        <w:ind w:leftChars="0" w:left="1446" w:hanging="482"/>
        <w:jc w:val="both"/>
        <w:rPr>
          <w:rFonts w:eastAsia="標楷體" w:cstheme="minorHAnsi"/>
        </w:rPr>
      </w:pPr>
      <w:r w:rsidRPr="00CA1A43">
        <w:rPr>
          <w:rFonts w:eastAsia="標楷體" w:cstheme="minorHAnsi"/>
        </w:rPr>
        <w:t>權益證券為標的之選擇權：</w:t>
      </w:r>
      <w:r w:rsidRPr="00CA1A43">
        <w:rPr>
          <w:rFonts w:eastAsia="標楷體" w:cstheme="minorHAnsi"/>
        </w:rPr>
        <w:br/>
      </w:r>
      <w:r w:rsidRPr="00CA1A43">
        <w:rPr>
          <w:rFonts w:eastAsia="標楷體" w:cstheme="minorHAnsi"/>
        </w:rPr>
        <w:t>選擇權資本計提也將根據</w:t>
      </w:r>
      <w:r w:rsidRPr="00CA1A43">
        <w:rPr>
          <w:rFonts w:eastAsia="標楷體" w:cstheme="minorHAnsi"/>
        </w:rPr>
        <w:t>Delta</w:t>
      </w:r>
      <w:r w:rsidRPr="00CA1A43">
        <w:rPr>
          <w:rFonts w:eastAsia="標楷體" w:cstheme="minorHAnsi"/>
        </w:rPr>
        <w:t>加權部位被併入權益證券風險計提規範一起計提個別風險及一般市場風險，且依每國家市場分別計算。</w:t>
      </w:r>
    </w:p>
    <w:p w14:paraId="6F2FBD07" w14:textId="77777777" w:rsidR="00290B61" w:rsidRPr="00CA1A43" w:rsidRDefault="00290B61" w:rsidP="008C0E02">
      <w:pPr>
        <w:pStyle w:val="a7"/>
        <w:numPr>
          <w:ilvl w:val="0"/>
          <w:numId w:val="232"/>
        </w:numPr>
        <w:spacing w:beforeLines="50" w:before="180"/>
        <w:ind w:leftChars="0" w:left="1446" w:hanging="482"/>
        <w:jc w:val="both"/>
        <w:rPr>
          <w:rFonts w:eastAsia="標楷體" w:cstheme="minorHAnsi"/>
        </w:rPr>
      </w:pPr>
      <w:r w:rsidRPr="00CA1A43">
        <w:rPr>
          <w:rFonts w:eastAsia="標楷體" w:cstheme="minorHAnsi"/>
        </w:rPr>
        <w:t>外匯及黃金為標的之選擇權</w:t>
      </w:r>
      <w:r w:rsidRPr="00CA1A43">
        <w:rPr>
          <w:rFonts w:eastAsia="標楷體" w:cstheme="minorHAnsi"/>
        </w:rPr>
        <w:br/>
      </w:r>
      <w:r w:rsidRPr="00CA1A43">
        <w:rPr>
          <w:rFonts w:eastAsia="標楷體" w:cstheme="minorHAnsi"/>
          <w:sz w:val="23"/>
          <w:szCs w:val="23"/>
        </w:rPr>
        <w:t>以</w:t>
      </w:r>
      <w:proofErr w:type="gramStart"/>
      <w:r w:rsidRPr="00CA1A43">
        <w:rPr>
          <w:rFonts w:eastAsia="標楷體" w:cstheme="minorHAnsi"/>
          <w:sz w:val="23"/>
          <w:szCs w:val="23"/>
        </w:rPr>
        <w:t>選擇權淨</w:t>
      </w:r>
      <w:proofErr w:type="gramEnd"/>
      <w:r w:rsidRPr="00CA1A43">
        <w:rPr>
          <w:rFonts w:eastAsia="標楷體" w:cstheme="minorHAnsi"/>
          <w:sz w:val="23"/>
          <w:szCs w:val="23"/>
        </w:rPr>
        <w:t>Delta</w:t>
      </w:r>
      <w:r w:rsidRPr="00CA1A43">
        <w:rPr>
          <w:rFonts w:eastAsia="標楷體" w:cstheme="minorHAnsi"/>
          <w:sz w:val="23"/>
          <w:szCs w:val="23"/>
        </w:rPr>
        <w:t>加權部位</w:t>
      </w:r>
      <w:r w:rsidRPr="00CA1A43">
        <w:rPr>
          <w:rFonts w:eastAsia="標楷體" w:cstheme="minorHAnsi"/>
        </w:rPr>
        <w:t>(</w:t>
      </w:r>
      <w:r w:rsidRPr="00CA1A43">
        <w:rPr>
          <w:rFonts w:eastAsia="標楷體" w:cstheme="minorHAnsi"/>
          <w:sz w:val="23"/>
          <w:szCs w:val="23"/>
        </w:rPr>
        <w:t>長短部位互抵</w:t>
      </w:r>
      <w:r w:rsidRPr="00CA1A43">
        <w:rPr>
          <w:rFonts w:eastAsia="標楷體" w:cstheme="minorHAnsi"/>
          <w:szCs w:val="20"/>
        </w:rPr>
        <w:t>)</w:t>
      </w:r>
      <w:r w:rsidRPr="00CA1A43">
        <w:rPr>
          <w:rFonts w:eastAsia="標楷體" w:cstheme="minorHAnsi"/>
          <w:sz w:val="23"/>
          <w:szCs w:val="23"/>
        </w:rPr>
        <w:t>為基礎，併入外匯</w:t>
      </w:r>
      <w:r w:rsidRPr="00CA1A43">
        <w:rPr>
          <w:rFonts w:eastAsia="標楷體" w:cstheme="minorHAnsi"/>
        </w:rPr>
        <w:t>(</w:t>
      </w:r>
      <w:r w:rsidRPr="00CA1A43">
        <w:rPr>
          <w:rFonts w:eastAsia="標楷體" w:cstheme="minorHAnsi"/>
          <w:sz w:val="23"/>
          <w:szCs w:val="23"/>
        </w:rPr>
        <w:t>或黃金</w:t>
      </w:r>
      <w:r w:rsidRPr="00CA1A43">
        <w:rPr>
          <w:rFonts w:eastAsia="標楷體" w:cstheme="minorHAnsi"/>
          <w:szCs w:val="20"/>
        </w:rPr>
        <w:t>)</w:t>
      </w:r>
      <w:r w:rsidRPr="00CA1A43">
        <w:rPr>
          <w:rFonts w:eastAsia="標楷體" w:cstheme="minorHAnsi"/>
          <w:sz w:val="23"/>
          <w:szCs w:val="23"/>
        </w:rPr>
        <w:t>風險計提資本。</w:t>
      </w:r>
    </w:p>
    <w:p w14:paraId="1573B3A6" w14:textId="77777777" w:rsidR="00017FA5" w:rsidRPr="00CA1A43" w:rsidRDefault="00290B61" w:rsidP="008C0E02">
      <w:pPr>
        <w:pStyle w:val="a7"/>
        <w:numPr>
          <w:ilvl w:val="0"/>
          <w:numId w:val="232"/>
        </w:numPr>
        <w:spacing w:beforeLines="50" w:before="180"/>
        <w:ind w:leftChars="0" w:left="1446" w:hanging="482"/>
        <w:jc w:val="both"/>
        <w:rPr>
          <w:rFonts w:eastAsia="標楷體" w:cstheme="minorHAnsi"/>
          <w:szCs w:val="24"/>
        </w:rPr>
      </w:pPr>
      <w:r w:rsidRPr="00CA1A43">
        <w:rPr>
          <w:rFonts w:eastAsia="標楷體" w:cstheme="minorHAnsi"/>
          <w:sz w:val="23"/>
          <w:szCs w:val="23"/>
        </w:rPr>
        <w:t>商品為標的之選擇權：</w:t>
      </w:r>
      <w:r w:rsidRPr="00CA1A43">
        <w:rPr>
          <w:rFonts w:eastAsia="標楷體" w:cstheme="minorHAnsi"/>
          <w:sz w:val="23"/>
          <w:szCs w:val="23"/>
        </w:rPr>
        <w:br/>
      </w:r>
      <w:r w:rsidRPr="00CA1A43">
        <w:rPr>
          <w:rFonts w:eastAsia="標楷體" w:cstheme="minorHAnsi"/>
          <w:sz w:val="23"/>
          <w:szCs w:val="23"/>
        </w:rPr>
        <w:t>以選擇權</w:t>
      </w:r>
      <w:r w:rsidRPr="00CA1A43">
        <w:rPr>
          <w:rFonts w:eastAsia="標楷體" w:cstheme="minorHAnsi"/>
          <w:sz w:val="23"/>
          <w:szCs w:val="23"/>
        </w:rPr>
        <w:t>Delta</w:t>
      </w:r>
      <w:r w:rsidRPr="00CA1A43">
        <w:rPr>
          <w:rFonts w:eastAsia="標楷體" w:cstheme="minorHAnsi"/>
          <w:sz w:val="23"/>
          <w:szCs w:val="23"/>
        </w:rPr>
        <w:t>加權部位為基礎，併入商品部位所訂之期限別法或簡易法計提資本。</w:t>
      </w:r>
    </w:p>
    <w:p w14:paraId="12BFB5C2" w14:textId="15FBC959" w:rsidR="00125FB9" w:rsidRPr="00CA1A43" w:rsidRDefault="00125FB9" w:rsidP="008C0E02">
      <w:pPr>
        <w:pStyle w:val="a7"/>
        <w:numPr>
          <w:ilvl w:val="0"/>
          <w:numId w:val="233"/>
        </w:numPr>
        <w:spacing w:beforeLines="50" w:before="180"/>
        <w:ind w:leftChars="0" w:left="964" w:hanging="482"/>
        <w:jc w:val="both"/>
        <w:rPr>
          <w:rFonts w:eastAsia="標楷體" w:cstheme="minorHAnsi"/>
          <w:szCs w:val="24"/>
        </w:rPr>
      </w:pPr>
      <w:r w:rsidRPr="00CA1A43">
        <w:rPr>
          <w:rFonts w:eastAsia="標楷體" w:cstheme="minorHAnsi"/>
          <w:szCs w:val="24"/>
        </w:rPr>
        <w:t>Gamma</w:t>
      </w:r>
      <w:r w:rsidRPr="00CA1A43">
        <w:rPr>
          <w:rFonts w:eastAsia="標楷體" w:cstheme="minorHAnsi"/>
          <w:szCs w:val="24"/>
        </w:rPr>
        <w:t>風險</w:t>
      </w:r>
      <w:r w:rsidRPr="00CA1A43">
        <w:rPr>
          <w:rFonts w:eastAsia="標楷體" w:cstheme="minorHAnsi"/>
          <w:szCs w:val="24"/>
        </w:rPr>
        <w:br/>
      </w:r>
      <w:r w:rsidRPr="00CA1A43">
        <w:rPr>
          <w:rFonts w:eastAsia="標楷體" w:cstheme="minorHAnsi"/>
        </w:rPr>
        <w:t>就每一個別選擇權，</w:t>
      </w:r>
      <w:r w:rsidRPr="00CA1A43">
        <w:rPr>
          <w:rFonts w:eastAsia="標楷體" w:cstheme="minorHAnsi"/>
        </w:rPr>
        <w:t>Gamma</w:t>
      </w:r>
      <w:r w:rsidRPr="00CA1A43">
        <w:rPr>
          <w:rFonts w:eastAsia="標楷體" w:cstheme="minorHAnsi"/>
        </w:rPr>
        <w:t>衝擊應根據泰勒展開式來計算如下，其中</w:t>
      </w:r>
      <w:r w:rsidRPr="00CA1A43">
        <w:rPr>
          <w:rFonts w:eastAsia="標楷體" w:cstheme="minorHAnsi"/>
        </w:rPr>
        <w:t>VU</w:t>
      </w:r>
      <w:r w:rsidRPr="00CA1A43">
        <w:rPr>
          <w:rFonts w:eastAsia="標楷體" w:cstheme="minorHAnsi"/>
        </w:rPr>
        <w:t>是選擇權標的</w:t>
      </w:r>
      <w:r w:rsidR="009653EE" w:rsidRPr="00B75418">
        <w:rPr>
          <w:rFonts w:eastAsia="標楷體" w:cstheme="minorHAnsi"/>
        </w:rPr>
        <w:t>工具</w:t>
      </w:r>
      <w:r w:rsidRPr="00B75418">
        <w:rPr>
          <w:rFonts w:eastAsia="標楷體" w:cstheme="minorHAnsi"/>
        </w:rPr>
        <w:t>的</w:t>
      </w:r>
      <w:r w:rsidRPr="00CA1A43">
        <w:rPr>
          <w:rFonts w:eastAsia="標楷體" w:cstheme="minorHAnsi"/>
        </w:rPr>
        <w:t>變動。</w:t>
      </w:r>
    </w:p>
    <w:p w14:paraId="5FAC8DC5" w14:textId="77777777" w:rsidR="00125FB9" w:rsidRPr="00CA1A43" w:rsidRDefault="00125FB9" w:rsidP="00125FB9">
      <w:pPr>
        <w:pStyle w:val="a7"/>
        <w:spacing w:beforeLines="50" w:before="180"/>
        <w:ind w:leftChars="0" w:left="964"/>
        <w:jc w:val="both"/>
        <w:rPr>
          <w:rFonts w:eastAsia="標楷體" w:cstheme="minorHAnsi"/>
          <w:szCs w:val="24"/>
        </w:rPr>
      </w:pPr>
      <m:oMathPara>
        <m:oMath>
          <m:r>
            <w:rPr>
              <w:rFonts w:ascii="Cambria Math" w:eastAsia="標楷體" w:hAnsi="Cambria Math" w:cstheme="minorHAnsi"/>
              <w:szCs w:val="24"/>
            </w:rPr>
            <m:t>Gamma</m:t>
          </m:r>
          <m:r>
            <m:rPr>
              <m:sty m:val="p"/>
            </m:rPr>
            <w:rPr>
              <w:rFonts w:ascii="Cambria Math" w:eastAsia="標楷體" w:hAnsi="Cambria Math" w:cstheme="minorHAnsi"/>
              <w:szCs w:val="24"/>
            </w:rPr>
            <m:t>衝擊</m:t>
          </m:r>
          <m:r>
            <m:rPr>
              <m:sty m:val="p"/>
            </m:rPr>
            <w:rPr>
              <w:rFonts w:ascii="Cambria Math" w:eastAsia="標楷體" w:hAnsi="Cambria Math" w:cstheme="minorHAnsi"/>
              <w:szCs w:val="24"/>
            </w:rPr>
            <m:t xml:space="preserve">= </m:t>
          </m:r>
          <m:f>
            <m:fPr>
              <m:ctrlPr>
                <w:rPr>
                  <w:rFonts w:ascii="Cambria Math" w:eastAsia="標楷體" w:hAnsi="Cambria Math" w:cstheme="minorHAnsi"/>
                  <w:szCs w:val="24"/>
                </w:rPr>
              </m:ctrlPr>
            </m:fPr>
            <m:num>
              <m:r>
                <w:rPr>
                  <w:rFonts w:ascii="Cambria Math" w:eastAsia="標楷體" w:hAnsi="Cambria Math" w:cstheme="minorHAnsi"/>
                  <w:szCs w:val="24"/>
                </w:rPr>
                <m:t>1</m:t>
              </m:r>
            </m:num>
            <m:den>
              <m:r>
                <w:rPr>
                  <w:rFonts w:ascii="Cambria Math" w:eastAsia="標楷體" w:hAnsi="Cambria Math" w:cstheme="minorHAnsi"/>
                  <w:szCs w:val="24"/>
                </w:rPr>
                <m:t>2</m:t>
              </m:r>
            </m:den>
          </m:f>
          <m:r>
            <w:rPr>
              <w:rFonts w:ascii="Cambria Math" w:eastAsia="標楷體" w:hAnsi="Cambria Math" w:cstheme="minorHAnsi"/>
              <w:szCs w:val="24"/>
            </w:rPr>
            <m:t>×Gamma</m:t>
          </m:r>
          <m:r>
            <m:rPr>
              <m:sty m:val="p"/>
            </m:rPr>
            <w:rPr>
              <w:rFonts w:ascii="Cambria Math" w:eastAsia="標楷體" w:hAnsi="Cambria Math" w:cstheme="minorHAnsi"/>
              <w:szCs w:val="24"/>
            </w:rPr>
            <m:t>×</m:t>
          </m:r>
          <m:r>
            <w:rPr>
              <w:rFonts w:ascii="Cambria Math" w:eastAsia="標楷體" w:hAnsi="Cambria Math" w:cstheme="minorHAnsi"/>
              <w:szCs w:val="24"/>
            </w:rPr>
            <m:t>V</m:t>
          </m:r>
          <m:sSup>
            <m:sSupPr>
              <m:ctrlPr>
                <w:rPr>
                  <w:rFonts w:ascii="Cambria Math" w:eastAsia="標楷體" w:hAnsi="Cambria Math" w:cstheme="minorHAnsi"/>
                  <w:szCs w:val="24"/>
                </w:rPr>
              </m:ctrlPr>
            </m:sSupPr>
            <m:e>
              <m:r>
                <w:rPr>
                  <w:rFonts w:ascii="Cambria Math" w:eastAsia="標楷體" w:hAnsi="Cambria Math" w:cstheme="minorHAnsi"/>
                  <w:szCs w:val="24"/>
                </w:rPr>
                <m:t>U</m:t>
              </m:r>
            </m:e>
            <m:sup>
              <m:r>
                <w:rPr>
                  <w:rFonts w:ascii="Cambria Math" w:eastAsia="標楷體" w:hAnsi="Cambria Math" w:cstheme="minorHAnsi"/>
                  <w:szCs w:val="24"/>
                </w:rPr>
                <m:t>2</m:t>
              </m:r>
            </m:sup>
          </m:sSup>
        </m:oMath>
      </m:oMathPara>
    </w:p>
    <w:p w14:paraId="79C7A48A" w14:textId="77777777" w:rsidR="00125FB9" w:rsidRPr="00CA1A43" w:rsidRDefault="00125FB9" w:rsidP="008C0E02">
      <w:pPr>
        <w:pStyle w:val="a7"/>
        <w:numPr>
          <w:ilvl w:val="0"/>
          <w:numId w:val="236"/>
        </w:numPr>
        <w:spacing w:beforeLines="50" w:before="180"/>
        <w:ind w:leftChars="0" w:left="1446" w:hanging="482"/>
        <w:jc w:val="both"/>
        <w:rPr>
          <w:rFonts w:eastAsia="標楷體" w:cstheme="minorHAnsi"/>
          <w:szCs w:val="24"/>
        </w:rPr>
      </w:pPr>
      <w:r w:rsidRPr="00CA1A43">
        <w:rPr>
          <w:rFonts w:eastAsia="標楷體" w:cstheme="minorHAnsi"/>
        </w:rPr>
        <w:t>VU</w:t>
      </w:r>
      <w:r w:rsidRPr="00CA1A43">
        <w:rPr>
          <w:rFonts w:eastAsia="標楷體" w:cstheme="minorHAnsi"/>
          <w:sz w:val="23"/>
          <w:szCs w:val="23"/>
        </w:rPr>
        <w:t>計算</w:t>
      </w:r>
      <w:r w:rsidRPr="00CA1A43">
        <w:rPr>
          <w:rFonts w:eastAsia="標楷體" w:cstheme="minorHAnsi"/>
          <w:kern w:val="0"/>
          <w:szCs w:val="24"/>
        </w:rPr>
        <w:t>如下</w:t>
      </w:r>
      <w:r w:rsidRPr="00CA1A43">
        <w:rPr>
          <w:rFonts w:eastAsia="標楷體" w:cstheme="minorHAnsi"/>
        </w:rPr>
        <w:t>：</w:t>
      </w:r>
    </w:p>
    <w:p w14:paraId="7B004A80" w14:textId="77777777" w:rsidR="00125FB9" w:rsidRPr="00CA1A43" w:rsidRDefault="00125FB9" w:rsidP="008C0E02">
      <w:pPr>
        <w:pStyle w:val="a7"/>
        <w:numPr>
          <w:ilvl w:val="0"/>
          <w:numId w:val="234"/>
        </w:numPr>
        <w:spacing w:beforeLines="50" w:before="180"/>
        <w:ind w:leftChars="0"/>
        <w:jc w:val="both"/>
        <w:rPr>
          <w:rFonts w:eastAsia="標楷體" w:cstheme="minorHAnsi"/>
        </w:rPr>
      </w:pPr>
      <w:r w:rsidRPr="00CA1A43">
        <w:rPr>
          <w:rFonts w:eastAsia="標楷體" w:cstheme="minorHAnsi"/>
        </w:rPr>
        <w:t>利率選擇權</w:t>
      </w:r>
    </w:p>
    <w:p w14:paraId="553700D1" w14:textId="77777777" w:rsidR="00125FB9" w:rsidRPr="00CA1A43" w:rsidRDefault="00125FB9" w:rsidP="008C0E02">
      <w:pPr>
        <w:pStyle w:val="a7"/>
        <w:numPr>
          <w:ilvl w:val="0"/>
          <w:numId w:val="235"/>
        </w:numPr>
        <w:spacing w:beforeLines="50" w:before="180"/>
        <w:ind w:leftChars="0" w:left="2421" w:hanging="493"/>
        <w:jc w:val="both"/>
        <w:rPr>
          <w:rFonts w:eastAsia="標楷體" w:cstheme="minorHAnsi"/>
          <w:szCs w:val="24"/>
        </w:rPr>
      </w:pPr>
      <w:proofErr w:type="gramStart"/>
      <w:r w:rsidRPr="00CA1A43">
        <w:rPr>
          <w:rFonts w:eastAsia="標楷體" w:cstheme="minorHAnsi"/>
          <w:szCs w:val="24"/>
        </w:rPr>
        <w:t>當標的</w:t>
      </w:r>
      <w:proofErr w:type="gramEnd"/>
      <w:r w:rsidRPr="00CA1A43">
        <w:rPr>
          <w:rFonts w:eastAsia="標楷體" w:cstheme="minorHAnsi"/>
          <w:szCs w:val="24"/>
        </w:rPr>
        <w:t>資產為債券時，以其標的資產市場價值乘以利率風險所訂之一般市場風險資本計提率。</w:t>
      </w:r>
    </w:p>
    <w:p w14:paraId="3A27368E" w14:textId="77777777" w:rsidR="00125FB9" w:rsidRPr="00CA1A43" w:rsidRDefault="00125FB9" w:rsidP="008C0E02">
      <w:pPr>
        <w:pStyle w:val="a7"/>
        <w:numPr>
          <w:ilvl w:val="0"/>
          <w:numId w:val="235"/>
        </w:numPr>
        <w:spacing w:beforeLines="50" w:before="180"/>
        <w:ind w:leftChars="0" w:left="2421" w:hanging="493"/>
        <w:jc w:val="both"/>
        <w:rPr>
          <w:rFonts w:eastAsia="標楷體" w:cstheme="minorHAnsi"/>
          <w:kern w:val="0"/>
          <w:szCs w:val="24"/>
        </w:rPr>
      </w:pPr>
      <w:proofErr w:type="gramStart"/>
      <w:r w:rsidRPr="00CA1A43">
        <w:rPr>
          <w:rFonts w:eastAsia="標楷體" w:cstheme="minorHAnsi"/>
          <w:szCs w:val="24"/>
        </w:rPr>
        <w:t>當標的</w:t>
      </w:r>
      <w:proofErr w:type="gramEnd"/>
      <w:r w:rsidRPr="00CA1A43">
        <w:rPr>
          <w:rFonts w:eastAsia="標楷體" w:cstheme="minorHAnsi"/>
          <w:szCs w:val="24"/>
        </w:rPr>
        <w:t>資產為利率時，以其契約名目本金</w:t>
      </w:r>
      <w:r w:rsidR="00711373" w:rsidRPr="00CA1A43">
        <w:rPr>
          <w:rStyle w:val="a5"/>
          <w:rFonts w:eastAsia="標楷體" w:cstheme="minorHAnsi"/>
          <w:szCs w:val="24"/>
        </w:rPr>
        <w:footnoteReference w:id="90"/>
      </w:r>
      <w:r w:rsidRPr="00CA1A43">
        <w:rPr>
          <w:rFonts w:eastAsia="標楷體" w:cstheme="minorHAnsi"/>
          <w:szCs w:val="24"/>
        </w:rPr>
        <w:t>乘以利率風險所訂之一般市場風險資本計提率</w:t>
      </w:r>
      <w:r w:rsidRPr="00CA1A43">
        <w:rPr>
          <w:rFonts w:eastAsia="標楷體" w:cstheme="minorHAnsi"/>
          <w:szCs w:val="24"/>
        </w:rPr>
        <w:t>(</w:t>
      </w:r>
      <w:r w:rsidRPr="00CA1A43">
        <w:rPr>
          <w:rFonts w:eastAsia="標楷體" w:cstheme="minorHAnsi"/>
          <w:szCs w:val="24"/>
        </w:rPr>
        <w:t>即對應</w:t>
      </w:r>
      <w:proofErr w:type="gramStart"/>
      <w:r w:rsidRPr="00CA1A43">
        <w:rPr>
          <w:rFonts w:eastAsia="標楷體" w:cstheme="minorHAnsi"/>
          <w:szCs w:val="24"/>
        </w:rPr>
        <w:t>殖</w:t>
      </w:r>
      <w:proofErr w:type="gramEnd"/>
      <w:r w:rsidRPr="00CA1A43">
        <w:rPr>
          <w:rFonts w:eastAsia="標楷體" w:cstheme="minorHAnsi"/>
          <w:szCs w:val="24"/>
        </w:rPr>
        <w:t>利率假設的變化幅度</w:t>
      </w:r>
      <w:r w:rsidRPr="00CA1A43">
        <w:rPr>
          <w:rFonts w:eastAsia="標楷體" w:cstheme="minorHAnsi"/>
          <w:szCs w:val="24"/>
        </w:rPr>
        <w:t>)</w:t>
      </w:r>
      <w:r w:rsidRPr="00CA1A43">
        <w:rPr>
          <w:rFonts w:eastAsia="標楷體" w:cstheme="minorHAnsi"/>
          <w:szCs w:val="24"/>
        </w:rPr>
        <w:t>。</w:t>
      </w:r>
    </w:p>
    <w:p w14:paraId="0D64BD41" w14:textId="77777777" w:rsidR="003635E9" w:rsidRPr="00CA1A43" w:rsidRDefault="003635E9" w:rsidP="008C0E02">
      <w:pPr>
        <w:pStyle w:val="a7"/>
        <w:numPr>
          <w:ilvl w:val="0"/>
          <w:numId w:val="234"/>
        </w:numPr>
        <w:spacing w:beforeLines="50" w:before="180"/>
        <w:ind w:leftChars="0"/>
        <w:jc w:val="both"/>
        <w:rPr>
          <w:rFonts w:eastAsia="標楷體" w:cstheme="minorHAnsi"/>
          <w:kern w:val="0"/>
          <w:szCs w:val="24"/>
        </w:rPr>
      </w:pPr>
      <w:r w:rsidRPr="00CA1A43">
        <w:rPr>
          <w:rFonts w:eastAsia="標楷體" w:cstheme="minorHAnsi"/>
          <w:szCs w:val="24"/>
        </w:rPr>
        <w:t>權益</w:t>
      </w:r>
      <w:r w:rsidRPr="00CA1A43">
        <w:rPr>
          <w:rFonts w:eastAsia="標楷體" w:cstheme="minorHAnsi"/>
        </w:rPr>
        <w:t>證券</w:t>
      </w:r>
      <w:r w:rsidRPr="00CA1A43">
        <w:rPr>
          <w:rFonts w:eastAsia="標楷體" w:cstheme="minorHAnsi"/>
          <w:szCs w:val="24"/>
        </w:rPr>
        <w:t>及其指數選擇權：</w:t>
      </w:r>
    </w:p>
    <w:p w14:paraId="6CBD2E04" w14:textId="77777777" w:rsidR="003635E9" w:rsidRPr="00CA1A43" w:rsidRDefault="00EB3650" w:rsidP="00EB3650">
      <w:pPr>
        <w:pStyle w:val="a7"/>
        <w:spacing w:beforeLines="50" w:before="180"/>
        <w:ind w:leftChars="0" w:left="1941"/>
        <w:jc w:val="both"/>
        <w:rPr>
          <w:rFonts w:eastAsia="標楷體" w:cstheme="minorHAnsi"/>
          <w:kern w:val="0"/>
          <w:szCs w:val="24"/>
        </w:rPr>
      </w:pPr>
      <w:r w:rsidRPr="00CA1A43">
        <w:rPr>
          <w:rFonts w:eastAsia="標楷體" w:cstheme="minorHAnsi"/>
          <w:szCs w:val="24"/>
        </w:rPr>
        <w:t>以標的資產市場價值乘以</w:t>
      </w:r>
      <w:r w:rsidRPr="00CA1A43">
        <w:rPr>
          <w:rFonts w:eastAsia="標楷體" w:cstheme="minorHAnsi"/>
          <w:szCs w:val="24"/>
        </w:rPr>
        <w:t>8%</w:t>
      </w:r>
      <w:r w:rsidRPr="00CA1A43">
        <w:rPr>
          <w:rStyle w:val="a5"/>
          <w:rFonts w:eastAsia="標楷體" w:cstheme="minorHAnsi"/>
          <w:szCs w:val="24"/>
        </w:rPr>
        <w:footnoteReference w:id="91"/>
      </w:r>
      <w:r w:rsidRPr="00CA1A43">
        <w:rPr>
          <w:rFonts w:eastAsia="標楷體" w:cstheme="minorHAnsi"/>
          <w:szCs w:val="24"/>
        </w:rPr>
        <w:t>。</w:t>
      </w:r>
    </w:p>
    <w:p w14:paraId="309B53A1" w14:textId="77777777" w:rsidR="003635E9" w:rsidRPr="00CA1A43" w:rsidRDefault="003635E9" w:rsidP="008C0E02">
      <w:pPr>
        <w:pStyle w:val="a7"/>
        <w:numPr>
          <w:ilvl w:val="0"/>
          <w:numId w:val="234"/>
        </w:numPr>
        <w:spacing w:beforeLines="50" w:before="180"/>
        <w:ind w:leftChars="0"/>
        <w:jc w:val="both"/>
        <w:rPr>
          <w:rFonts w:eastAsia="標楷體" w:cstheme="minorHAnsi"/>
          <w:kern w:val="0"/>
          <w:szCs w:val="24"/>
        </w:rPr>
      </w:pPr>
      <w:r w:rsidRPr="00CA1A43">
        <w:rPr>
          <w:rFonts w:eastAsia="標楷體" w:cstheme="minorHAnsi"/>
          <w:kern w:val="0"/>
          <w:szCs w:val="24"/>
        </w:rPr>
        <w:t>外匯交易及黃金選擇權</w:t>
      </w:r>
    </w:p>
    <w:p w14:paraId="51E40AD9" w14:textId="77777777" w:rsidR="003635E9" w:rsidRPr="00CA1A43" w:rsidRDefault="003635E9" w:rsidP="00EB3650">
      <w:pPr>
        <w:pStyle w:val="a7"/>
        <w:spacing w:beforeLines="50" w:before="180"/>
        <w:ind w:leftChars="0" w:left="1941"/>
        <w:jc w:val="both"/>
        <w:rPr>
          <w:rFonts w:eastAsia="標楷體" w:cstheme="minorHAnsi"/>
          <w:szCs w:val="24"/>
        </w:rPr>
      </w:pPr>
      <w:r w:rsidRPr="00CA1A43">
        <w:rPr>
          <w:rFonts w:eastAsia="標楷體" w:cstheme="minorHAnsi"/>
          <w:szCs w:val="24"/>
        </w:rPr>
        <w:t>以標的資產市場價值乘以</w:t>
      </w:r>
      <w:r w:rsidRPr="00CA1A43">
        <w:rPr>
          <w:rFonts w:eastAsia="標楷體" w:cstheme="minorHAnsi"/>
          <w:szCs w:val="24"/>
        </w:rPr>
        <w:t>8%</w:t>
      </w:r>
      <w:r w:rsidRPr="00CA1A43">
        <w:rPr>
          <w:rFonts w:eastAsia="標楷體" w:cstheme="minorHAnsi"/>
          <w:szCs w:val="24"/>
        </w:rPr>
        <w:t>。</w:t>
      </w:r>
    </w:p>
    <w:p w14:paraId="34810BFC" w14:textId="77777777" w:rsidR="003635E9" w:rsidRPr="00CA1A43" w:rsidRDefault="003635E9" w:rsidP="008C0E02">
      <w:pPr>
        <w:pStyle w:val="a7"/>
        <w:numPr>
          <w:ilvl w:val="0"/>
          <w:numId w:val="234"/>
        </w:numPr>
        <w:spacing w:beforeLines="50" w:before="180"/>
        <w:ind w:leftChars="0"/>
        <w:jc w:val="both"/>
        <w:rPr>
          <w:rFonts w:eastAsia="標楷體" w:cstheme="minorHAnsi"/>
          <w:kern w:val="0"/>
          <w:szCs w:val="24"/>
        </w:rPr>
      </w:pPr>
      <w:r w:rsidRPr="00CA1A43">
        <w:rPr>
          <w:rFonts w:eastAsia="標楷體" w:cstheme="minorHAnsi"/>
          <w:szCs w:val="24"/>
        </w:rPr>
        <w:lastRenderedPageBreak/>
        <w:t>商品選擇權</w:t>
      </w:r>
    </w:p>
    <w:p w14:paraId="55B5A4A1" w14:textId="77777777" w:rsidR="003635E9" w:rsidRPr="00CA1A43" w:rsidRDefault="003635E9" w:rsidP="00EB3650">
      <w:pPr>
        <w:pStyle w:val="a7"/>
        <w:spacing w:beforeLines="50" w:before="180"/>
        <w:ind w:leftChars="0" w:left="1941"/>
        <w:jc w:val="both"/>
        <w:rPr>
          <w:rFonts w:eastAsia="標楷體" w:cstheme="minorHAnsi"/>
          <w:szCs w:val="24"/>
        </w:rPr>
      </w:pPr>
      <w:r w:rsidRPr="00CA1A43">
        <w:rPr>
          <w:rFonts w:eastAsia="標楷體" w:cstheme="minorHAnsi"/>
          <w:szCs w:val="24"/>
        </w:rPr>
        <w:t>以標的資產市場價值乘以</w:t>
      </w:r>
      <w:r w:rsidRPr="00CA1A43">
        <w:rPr>
          <w:rFonts w:eastAsia="標楷體" w:cstheme="minorHAnsi"/>
          <w:szCs w:val="24"/>
        </w:rPr>
        <w:t>15%</w:t>
      </w:r>
      <w:r w:rsidRPr="00CA1A43">
        <w:rPr>
          <w:rFonts w:eastAsia="標楷體" w:cstheme="minorHAnsi"/>
          <w:szCs w:val="24"/>
        </w:rPr>
        <w:t>。</w:t>
      </w:r>
    </w:p>
    <w:p w14:paraId="34798569" w14:textId="2091F113" w:rsidR="003635E9" w:rsidRPr="00CA1A43" w:rsidRDefault="003635E9" w:rsidP="008C0E02">
      <w:pPr>
        <w:pStyle w:val="a7"/>
        <w:numPr>
          <w:ilvl w:val="0"/>
          <w:numId w:val="236"/>
        </w:numPr>
        <w:spacing w:beforeLines="50" w:before="180"/>
        <w:ind w:leftChars="0" w:left="1446" w:hanging="482"/>
        <w:jc w:val="both"/>
        <w:rPr>
          <w:rFonts w:eastAsia="標楷體" w:cstheme="minorHAnsi"/>
          <w:kern w:val="0"/>
          <w:szCs w:val="24"/>
        </w:rPr>
      </w:pPr>
      <w:r w:rsidRPr="00CA1A43">
        <w:rPr>
          <w:rFonts w:eastAsia="標楷體" w:cstheme="minorHAnsi"/>
          <w:kern w:val="0"/>
          <w:szCs w:val="24"/>
        </w:rPr>
        <w:t>為計算之便利，下列部位視為「同一標</w:t>
      </w:r>
      <w:r w:rsidRPr="00B75418">
        <w:rPr>
          <w:rFonts w:eastAsia="標楷體" w:cstheme="minorHAnsi"/>
          <w:kern w:val="0"/>
          <w:szCs w:val="24"/>
        </w:rPr>
        <w:t>的</w:t>
      </w:r>
      <w:r w:rsidR="009653EE" w:rsidRPr="00B75418">
        <w:rPr>
          <w:rFonts w:eastAsia="標楷體" w:cstheme="minorHAnsi"/>
          <w:kern w:val="0"/>
          <w:szCs w:val="24"/>
        </w:rPr>
        <w:t>工具</w:t>
      </w:r>
      <w:r w:rsidRPr="00B75418">
        <w:rPr>
          <w:rFonts w:eastAsia="標楷體" w:cstheme="minorHAnsi"/>
          <w:kern w:val="0"/>
          <w:szCs w:val="24"/>
        </w:rPr>
        <w:t>」</w:t>
      </w:r>
      <w:r w:rsidRPr="00B75418">
        <w:rPr>
          <w:rFonts w:eastAsia="標楷體" w:cstheme="minorHAnsi"/>
          <w:kern w:val="0"/>
          <w:szCs w:val="24"/>
        </w:rPr>
        <w:t>(the same underlying)</w:t>
      </w:r>
      <w:r w:rsidRPr="00B75418">
        <w:rPr>
          <w:rFonts w:eastAsia="標楷體" w:cstheme="minorHAnsi"/>
          <w:kern w:val="0"/>
          <w:szCs w:val="24"/>
        </w:rPr>
        <w:t>，於計算「</w:t>
      </w:r>
      <w:proofErr w:type="gramStart"/>
      <w:r w:rsidRPr="00B75418">
        <w:rPr>
          <w:rFonts w:eastAsia="標楷體" w:cstheme="minorHAnsi"/>
          <w:kern w:val="0"/>
          <w:szCs w:val="24"/>
        </w:rPr>
        <w:t>淨負</w:t>
      </w:r>
      <w:proofErr w:type="gramEnd"/>
      <w:r w:rsidRPr="00B75418">
        <w:rPr>
          <w:rFonts w:eastAsia="標楷體" w:cstheme="minorHAnsi"/>
          <w:kern w:val="0"/>
          <w:szCs w:val="24"/>
        </w:rPr>
        <w:t>Gamma</w:t>
      </w:r>
      <w:r w:rsidRPr="00B75418">
        <w:rPr>
          <w:rFonts w:eastAsia="標楷體" w:cstheme="minorHAnsi"/>
          <w:kern w:val="0"/>
          <w:szCs w:val="24"/>
        </w:rPr>
        <w:t>衝擊」時視為同一標的</w:t>
      </w:r>
      <w:r w:rsidR="009653EE" w:rsidRPr="00B75418">
        <w:rPr>
          <w:rFonts w:eastAsia="標楷體" w:cstheme="minorHAnsi"/>
          <w:kern w:val="0"/>
          <w:szCs w:val="24"/>
        </w:rPr>
        <w:t>工具</w:t>
      </w:r>
      <w:r w:rsidRPr="00B75418">
        <w:rPr>
          <w:rFonts w:eastAsia="標楷體" w:cstheme="minorHAnsi"/>
          <w:kern w:val="0"/>
          <w:szCs w:val="24"/>
        </w:rPr>
        <w:t>，其</w:t>
      </w:r>
      <w:r w:rsidRPr="00CA1A43">
        <w:rPr>
          <w:rFonts w:eastAsia="標楷體" w:cstheme="minorHAnsi"/>
          <w:kern w:val="0"/>
          <w:szCs w:val="24"/>
        </w:rPr>
        <w:t>定義說明如下：</w:t>
      </w:r>
    </w:p>
    <w:p w14:paraId="34FFED94" w14:textId="62BE255C" w:rsidR="003635E9" w:rsidRPr="00B75418" w:rsidRDefault="003635E9" w:rsidP="008C0E02">
      <w:pPr>
        <w:pStyle w:val="a7"/>
        <w:numPr>
          <w:ilvl w:val="0"/>
          <w:numId w:val="237"/>
        </w:numPr>
        <w:spacing w:beforeLines="50" w:before="180"/>
        <w:ind w:leftChars="0"/>
        <w:jc w:val="both"/>
        <w:rPr>
          <w:rFonts w:eastAsia="標楷體" w:cstheme="minorHAnsi"/>
          <w:kern w:val="0"/>
          <w:szCs w:val="24"/>
        </w:rPr>
      </w:pPr>
      <w:r w:rsidRPr="00CA1A43">
        <w:rPr>
          <w:rFonts w:eastAsia="標楷體" w:cstheme="minorHAnsi"/>
          <w:kern w:val="0"/>
          <w:szCs w:val="24"/>
        </w:rPr>
        <w:t>利率風險</w:t>
      </w:r>
      <w:r w:rsidR="00EB3650" w:rsidRPr="00CA1A43">
        <w:rPr>
          <w:rStyle w:val="a5"/>
          <w:rFonts w:eastAsia="標楷體" w:cstheme="minorHAnsi"/>
          <w:szCs w:val="24"/>
        </w:rPr>
        <w:footnoteReference w:id="92"/>
      </w:r>
      <w:r w:rsidRPr="00CA1A43">
        <w:rPr>
          <w:rFonts w:eastAsia="標楷體" w:cstheme="minorHAnsi"/>
          <w:kern w:val="0"/>
          <w:szCs w:val="24"/>
        </w:rPr>
        <w:t>：屬同一幣別、同一時間帶之各選擇權交易，即為同一標</w:t>
      </w:r>
      <w:r w:rsidRPr="00B75418">
        <w:rPr>
          <w:rFonts w:eastAsia="標楷體" w:cstheme="minorHAnsi"/>
          <w:kern w:val="0"/>
          <w:szCs w:val="24"/>
        </w:rPr>
        <w:t>的</w:t>
      </w:r>
      <w:r w:rsidR="009653EE" w:rsidRPr="00B75418">
        <w:rPr>
          <w:rFonts w:eastAsia="標楷體" w:cstheme="minorHAnsi"/>
          <w:kern w:val="0"/>
          <w:szCs w:val="24"/>
        </w:rPr>
        <w:t>工具</w:t>
      </w:r>
      <w:r w:rsidRPr="00B75418">
        <w:rPr>
          <w:rFonts w:eastAsia="標楷體" w:cstheme="minorHAnsi"/>
          <w:kern w:val="0"/>
          <w:szCs w:val="24"/>
        </w:rPr>
        <w:t>。</w:t>
      </w:r>
    </w:p>
    <w:p w14:paraId="594A17D6" w14:textId="6F499534" w:rsidR="003635E9" w:rsidRPr="00B75418" w:rsidRDefault="003635E9" w:rsidP="008C0E02">
      <w:pPr>
        <w:pStyle w:val="a7"/>
        <w:numPr>
          <w:ilvl w:val="0"/>
          <w:numId w:val="237"/>
        </w:numPr>
        <w:spacing w:beforeLines="50" w:before="180"/>
        <w:ind w:leftChars="0"/>
        <w:jc w:val="both"/>
        <w:rPr>
          <w:rFonts w:eastAsia="標楷體" w:cstheme="minorHAnsi"/>
          <w:kern w:val="0"/>
          <w:szCs w:val="24"/>
        </w:rPr>
      </w:pPr>
      <w:r w:rsidRPr="00B75418">
        <w:rPr>
          <w:rFonts w:eastAsia="標楷體" w:cstheme="minorHAnsi"/>
          <w:kern w:val="0"/>
          <w:szCs w:val="24"/>
        </w:rPr>
        <w:t>權益證券風險</w:t>
      </w:r>
      <w:r w:rsidRPr="00B75418">
        <w:rPr>
          <w:rFonts w:eastAsia="標楷體" w:cstheme="minorHAnsi"/>
          <w:kern w:val="0"/>
          <w:szCs w:val="24"/>
        </w:rPr>
        <w:t>(</w:t>
      </w:r>
      <w:r w:rsidRPr="00B75418">
        <w:rPr>
          <w:rFonts w:eastAsia="標楷體" w:cstheme="minorHAnsi"/>
          <w:kern w:val="0"/>
          <w:szCs w:val="24"/>
        </w:rPr>
        <w:t>含指數</w:t>
      </w:r>
      <w:r w:rsidRPr="00B75418">
        <w:rPr>
          <w:rFonts w:eastAsia="標楷體" w:cstheme="minorHAnsi"/>
          <w:kern w:val="0"/>
          <w:szCs w:val="24"/>
        </w:rPr>
        <w:t>)</w:t>
      </w:r>
      <w:r w:rsidRPr="00B75418">
        <w:rPr>
          <w:rFonts w:eastAsia="標楷體" w:cstheme="minorHAnsi"/>
          <w:kern w:val="0"/>
          <w:szCs w:val="24"/>
        </w:rPr>
        <w:t>：屬同一國家</w:t>
      </w:r>
      <w:r w:rsidRPr="00B75418">
        <w:rPr>
          <w:rFonts w:eastAsia="標楷體" w:cstheme="minorHAnsi"/>
          <w:kern w:val="0"/>
          <w:szCs w:val="24"/>
        </w:rPr>
        <w:t>(</w:t>
      </w:r>
      <w:r w:rsidRPr="00B75418">
        <w:rPr>
          <w:rFonts w:eastAsia="標楷體" w:cstheme="minorHAnsi"/>
          <w:kern w:val="0"/>
          <w:szCs w:val="24"/>
        </w:rPr>
        <w:t>或地區</w:t>
      </w:r>
      <w:r w:rsidRPr="00B75418">
        <w:rPr>
          <w:rFonts w:eastAsia="標楷體" w:cstheme="minorHAnsi"/>
          <w:kern w:val="0"/>
          <w:szCs w:val="24"/>
        </w:rPr>
        <w:t>)</w:t>
      </w:r>
      <w:r w:rsidRPr="00B75418">
        <w:rPr>
          <w:rFonts w:eastAsia="標楷體" w:cstheme="minorHAnsi"/>
          <w:kern w:val="0"/>
          <w:szCs w:val="24"/>
        </w:rPr>
        <w:t>之選擇權交易，即為同一標的</w:t>
      </w:r>
      <w:r w:rsidR="009653EE" w:rsidRPr="00B75418">
        <w:rPr>
          <w:rFonts w:eastAsia="標楷體" w:cstheme="minorHAnsi"/>
          <w:kern w:val="0"/>
          <w:szCs w:val="24"/>
        </w:rPr>
        <w:t>工具</w:t>
      </w:r>
      <w:r w:rsidRPr="00B75418">
        <w:rPr>
          <w:rFonts w:eastAsia="標楷體" w:cstheme="minorHAnsi"/>
          <w:kern w:val="0"/>
          <w:szCs w:val="24"/>
        </w:rPr>
        <w:t>。</w:t>
      </w:r>
    </w:p>
    <w:p w14:paraId="0A815B1D" w14:textId="6342AC06" w:rsidR="003635E9" w:rsidRPr="00B75418" w:rsidRDefault="003635E9" w:rsidP="008C0E02">
      <w:pPr>
        <w:pStyle w:val="a7"/>
        <w:numPr>
          <w:ilvl w:val="0"/>
          <w:numId w:val="237"/>
        </w:numPr>
        <w:spacing w:beforeLines="50" w:before="180"/>
        <w:ind w:leftChars="0"/>
        <w:jc w:val="both"/>
        <w:rPr>
          <w:rFonts w:eastAsia="標楷體" w:cstheme="minorHAnsi"/>
          <w:kern w:val="0"/>
          <w:szCs w:val="24"/>
        </w:rPr>
      </w:pPr>
      <w:r w:rsidRPr="00B75418">
        <w:rPr>
          <w:rFonts w:eastAsia="標楷體" w:cstheme="minorHAnsi"/>
          <w:kern w:val="0"/>
          <w:szCs w:val="24"/>
        </w:rPr>
        <w:t>外匯：屬同一貨幣對及黃金，即為同一標的</w:t>
      </w:r>
      <w:r w:rsidR="009653EE" w:rsidRPr="00B75418">
        <w:rPr>
          <w:rFonts w:eastAsia="標楷體" w:cstheme="minorHAnsi"/>
          <w:kern w:val="0"/>
          <w:szCs w:val="24"/>
        </w:rPr>
        <w:t>工具</w:t>
      </w:r>
      <w:r w:rsidRPr="00B75418">
        <w:rPr>
          <w:rFonts w:eastAsia="標楷體" w:cstheme="minorHAnsi"/>
          <w:kern w:val="0"/>
          <w:szCs w:val="24"/>
        </w:rPr>
        <w:t>。</w:t>
      </w:r>
    </w:p>
    <w:p w14:paraId="1F91305E" w14:textId="77777777" w:rsidR="003635E9" w:rsidRPr="00CA1A43" w:rsidRDefault="003635E9" w:rsidP="008C0E02">
      <w:pPr>
        <w:pStyle w:val="a7"/>
        <w:numPr>
          <w:ilvl w:val="0"/>
          <w:numId w:val="237"/>
        </w:numPr>
        <w:spacing w:beforeLines="50" w:before="180"/>
        <w:ind w:leftChars="0"/>
        <w:jc w:val="both"/>
        <w:rPr>
          <w:rFonts w:eastAsia="標楷體" w:cstheme="minorHAnsi"/>
          <w:kern w:val="0"/>
          <w:szCs w:val="24"/>
        </w:rPr>
      </w:pPr>
      <w:r w:rsidRPr="00CA1A43">
        <w:rPr>
          <w:rFonts w:eastAsia="標楷體" w:cstheme="minorHAnsi"/>
          <w:kern w:val="0"/>
          <w:szCs w:val="24"/>
        </w:rPr>
        <w:t>商品：</w:t>
      </w:r>
    </w:p>
    <w:p w14:paraId="1FF94EE8" w14:textId="77514CEE" w:rsidR="003635E9" w:rsidRPr="00B75418" w:rsidRDefault="003635E9" w:rsidP="008C0E02">
      <w:pPr>
        <w:pStyle w:val="a7"/>
        <w:numPr>
          <w:ilvl w:val="0"/>
          <w:numId w:val="238"/>
        </w:numPr>
        <w:spacing w:beforeLines="50" w:before="180"/>
        <w:ind w:leftChars="0" w:left="2421" w:hanging="493"/>
        <w:jc w:val="both"/>
        <w:rPr>
          <w:rFonts w:eastAsia="標楷體" w:cstheme="minorHAnsi"/>
          <w:kern w:val="0"/>
          <w:szCs w:val="24"/>
        </w:rPr>
      </w:pPr>
      <w:proofErr w:type="gramStart"/>
      <w:r w:rsidRPr="00CA1A43">
        <w:rPr>
          <w:rFonts w:eastAsia="標楷體" w:cstheme="minorHAnsi"/>
          <w:kern w:val="0"/>
          <w:szCs w:val="24"/>
        </w:rPr>
        <w:t>採</w:t>
      </w:r>
      <w:proofErr w:type="gramEnd"/>
      <w:r w:rsidRPr="00CA1A43">
        <w:rPr>
          <w:rFonts w:eastAsia="標楷體" w:cstheme="minorHAnsi"/>
          <w:kern w:val="0"/>
          <w:szCs w:val="24"/>
        </w:rPr>
        <w:t>期限別法：屬同一商品、同一期限者，即為同一</w:t>
      </w:r>
      <w:r w:rsidRPr="00B75418">
        <w:rPr>
          <w:rFonts w:eastAsia="標楷體" w:cstheme="minorHAnsi"/>
          <w:kern w:val="0"/>
          <w:szCs w:val="24"/>
        </w:rPr>
        <w:t>標的</w:t>
      </w:r>
      <w:r w:rsidR="009653EE" w:rsidRPr="00B75418">
        <w:rPr>
          <w:rFonts w:eastAsia="標楷體" w:cstheme="minorHAnsi"/>
          <w:kern w:val="0"/>
          <w:szCs w:val="24"/>
        </w:rPr>
        <w:t>工具</w:t>
      </w:r>
      <w:r w:rsidRPr="00B75418">
        <w:rPr>
          <w:rFonts w:eastAsia="標楷體" w:cstheme="minorHAnsi"/>
          <w:kern w:val="0"/>
          <w:szCs w:val="24"/>
        </w:rPr>
        <w:t>。</w:t>
      </w:r>
    </w:p>
    <w:p w14:paraId="3A54DC12" w14:textId="1E5F69BB" w:rsidR="003635E9" w:rsidRPr="00B75418" w:rsidRDefault="003635E9" w:rsidP="008C0E02">
      <w:pPr>
        <w:pStyle w:val="a7"/>
        <w:numPr>
          <w:ilvl w:val="0"/>
          <w:numId w:val="238"/>
        </w:numPr>
        <w:spacing w:beforeLines="50" w:before="180"/>
        <w:ind w:leftChars="0" w:left="2421" w:hanging="493"/>
        <w:jc w:val="both"/>
        <w:rPr>
          <w:rFonts w:eastAsia="標楷體" w:cstheme="minorHAnsi"/>
          <w:kern w:val="0"/>
          <w:szCs w:val="24"/>
        </w:rPr>
      </w:pPr>
      <w:proofErr w:type="gramStart"/>
      <w:r w:rsidRPr="00B75418">
        <w:rPr>
          <w:rFonts w:eastAsia="標楷體" w:cstheme="minorHAnsi"/>
          <w:kern w:val="0"/>
          <w:szCs w:val="24"/>
        </w:rPr>
        <w:t>採</w:t>
      </w:r>
      <w:proofErr w:type="gramEnd"/>
      <w:r w:rsidRPr="00B75418">
        <w:rPr>
          <w:rFonts w:eastAsia="標楷體" w:cstheme="minorHAnsi"/>
          <w:kern w:val="0"/>
          <w:szCs w:val="24"/>
        </w:rPr>
        <w:t>簡易法：屬同一商品，即為同一標的</w:t>
      </w:r>
      <w:r w:rsidR="009653EE" w:rsidRPr="00B75418">
        <w:rPr>
          <w:rFonts w:eastAsia="標楷體" w:cstheme="minorHAnsi"/>
          <w:kern w:val="0"/>
          <w:szCs w:val="24"/>
        </w:rPr>
        <w:t>工具</w:t>
      </w:r>
      <w:r w:rsidRPr="00B75418">
        <w:rPr>
          <w:rFonts w:eastAsia="標楷體" w:cstheme="minorHAnsi"/>
          <w:kern w:val="0"/>
          <w:szCs w:val="24"/>
        </w:rPr>
        <w:t>。</w:t>
      </w:r>
    </w:p>
    <w:p w14:paraId="648B6472" w14:textId="2857F258" w:rsidR="003635E9" w:rsidRPr="00CA1A43" w:rsidRDefault="003635E9" w:rsidP="008C0E02">
      <w:pPr>
        <w:pStyle w:val="a7"/>
        <w:numPr>
          <w:ilvl w:val="0"/>
          <w:numId w:val="236"/>
        </w:numPr>
        <w:spacing w:beforeLines="50" w:before="180"/>
        <w:ind w:leftChars="0" w:left="1446" w:hanging="482"/>
        <w:jc w:val="both"/>
        <w:rPr>
          <w:rFonts w:eastAsia="標楷體" w:cstheme="minorHAnsi"/>
        </w:rPr>
      </w:pPr>
      <w:r w:rsidRPr="00B75418">
        <w:rPr>
          <w:rFonts w:eastAsia="標楷體" w:cstheme="minorHAnsi"/>
        </w:rPr>
        <w:t>有</w:t>
      </w:r>
      <w:r w:rsidRPr="00B75418">
        <w:rPr>
          <w:rFonts w:eastAsia="標楷體" w:cstheme="minorHAnsi"/>
          <w:kern w:val="0"/>
          <w:szCs w:val="24"/>
        </w:rPr>
        <w:t>「同一標的</w:t>
      </w:r>
      <w:r w:rsidR="009653EE" w:rsidRPr="00B75418">
        <w:rPr>
          <w:rFonts w:eastAsia="標楷體" w:cstheme="minorHAnsi"/>
          <w:kern w:val="0"/>
          <w:szCs w:val="24"/>
        </w:rPr>
        <w:t>工具</w:t>
      </w:r>
      <w:r w:rsidRPr="00B75418">
        <w:rPr>
          <w:rFonts w:eastAsia="標楷體" w:cstheme="minorHAnsi"/>
          <w:kern w:val="0"/>
          <w:szCs w:val="24"/>
        </w:rPr>
        <w:t>」</w:t>
      </w:r>
      <w:r w:rsidRPr="00B75418">
        <w:rPr>
          <w:rFonts w:eastAsia="標楷體" w:cstheme="minorHAnsi"/>
        </w:rPr>
        <w:t>之每一選擇權將有正的或負的</w:t>
      </w:r>
      <w:r w:rsidRPr="00B75418">
        <w:rPr>
          <w:rFonts w:eastAsia="標楷體" w:cstheme="minorHAnsi"/>
        </w:rPr>
        <w:t>Gamma</w:t>
      </w:r>
      <w:r w:rsidRPr="00B75418">
        <w:rPr>
          <w:rFonts w:eastAsia="標楷體" w:cstheme="minorHAnsi"/>
        </w:rPr>
        <w:t>衝擊，這些個別的</w:t>
      </w:r>
      <w:r w:rsidRPr="00B75418">
        <w:rPr>
          <w:rFonts w:eastAsia="標楷體" w:cstheme="minorHAnsi"/>
        </w:rPr>
        <w:t>Gamma</w:t>
      </w:r>
      <w:r w:rsidRPr="00B75418">
        <w:rPr>
          <w:rFonts w:eastAsia="標楷體" w:cstheme="minorHAnsi"/>
        </w:rPr>
        <w:t>衝擊將被加總，導致</w:t>
      </w:r>
      <w:r w:rsidRPr="00B75418">
        <w:rPr>
          <w:rFonts w:eastAsia="標楷體" w:cstheme="minorHAnsi"/>
          <w:kern w:val="0"/>
          <w:szCs w:val="24"/>
        </w:rPr>
        <w:t>「同一標的</w:t>
      </w:r>
      <w:r w:rsidR="009653EE" w:rsidRPr="00B75418">
        <w:rPr>
          <w:rFonts w:eastAsia="標楷體" w:cstheme="minorHAnsi"/>
          <w:kern w:val="0"/>
          <w:szCs w:val="24"/>
        </w:rPr>
        <w:t>工具</w:t>
      </w:r>
      <w:r w:rsidRPr="00B75418">
        <w:rPr>
          <w:rFonts w:eastAsia="標楷體" w:cstheme="minorHAnsi"/>
          <w:kern w:val="0"/>
          <w:szCs w:val="24"/>
        </w:rPr>
        <w:t>」</w:t>
      </w:r>
      <w:r w:rsidRPr="00CA1A43">
        <w:rPr>
          <w:rFonts w:eastAsia="標楷體" w:cstheme="minorHAnsi"/>
        </w:rPr>
        <w:t>之淨</w:t>
      </w:r>
      <w:r w:rsidRPr="00CA1A43">
        <w:rPr>
          <w:rFonts w:eastAsia="標楷體" w:cstheme="minorHAnsi"/>
        </w:rPr>
        <w:t>Gamma</w:t>
      </w:r>
      <w:r w:rsidRPr="00CA1A43">
        <w:rPr>
          <w:rFonts w:eastAsia="標楷體" w:cstheme="minorHAnsi"/>
        </w:rPr>
        <w:t>衝擊為正或為負，僅有負的淨</w:t>
      </w:r>
      <w:r w:rsidRPr="00CA1A43">
        <w:rPr>
          <w:rFonts w:eastAsia="標楷體" w:cstheme="minorHAnsi"/>
        </w:rPr>
        <w:t>Gamma</w:t>
      </w:r>
      <w:r w:rsidRPr="00CA1A43">
        <w:rPr>
          <w:rFonts w:eastAsia="標楷體" w:cstheme="minorHAnsi"/>
        </w:rPr>
        <w:t>衝擊將被包含於資本要求計算。將是上述個別的淨</w:t>
      </w:r>
      <w:r w:rsidRPr="00CA1A43">
        <w:rPr>
          <w:rFonts w:eastAsia="標楷體" w:cstheme="minorHAnsi"/>
        </w:rPr>
        <w:t>Gamma</w:t>
      </w:r>
      <w:r w:rsidRPr="00CA1A43">
        <w:rPr>
          <w:rFonts w:eastAsia="標楷體" w:cstheme="minorHAnsi"/>
        </w:rPr>
        <w:t>衝擊取絕對值後加總後即為</w:t>
      </w:r>
      <w:r w:rsidRPr="00CA1A43">
        <w:rPr>
          <w:rFonts w:eastAsia="標楷體" w:cstheme="minorHAnsi"/>
        </w:rPr>
        <w:t>Gamma</w:t>
      </w:r>
      <w:r w:rsidRPr="00CA1A43">
        <w:rPr>
          <w:rFonts w:eastAsia="標楷體" w:cstheme="minorHAnsi"/>
        </w:rPr>
        <w:t>風險資本需求。</w:t>
      </w:r>
    </w:p>
    <w:p w14:paraId="5299554F" w14:textId="77777777" w:rsidR="003635E9" w:rsidRPr="00CA1A43" w:rsidRDefault="003635E9" w:rsidP="008C0E02">
      <w:pPr>
        <w:pStyle w:val="a7"/>
        <w:numPr>
          <w:ilvl w:val="0"/>
          <w:numId w:val="233"/>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Vega</w:t>
      </w:r>
      <w:r w:rsidRPr="00CA1A43">
        <w:rPr>
          <w:rFonts w:eastAsia="標楷體" w:cstheme="minorHAnsi"/>
          <w:kern w:val="0"/>
          <w:szCs w:val="24"/>
        </w:rPr>
        <w:t>風險</w:t>
      </w:r>
    </w:p>
    <w:p w14:paraId="5F6AA71E" w14:textId="77777777" w:rsidR="00EB3650" w:rsidRPr="00CA1A43" w:rsidRDefault="00EB3650" w:rsidP="00EB3650">
      <w:pPr>
        <w:pStyle w:val="a7"/>
        <w:spacing w:beforeLines="50" w:before="180"/>
        <w:ind w:leftChars="0" w:left="964"/>
        <w:jc w:val="both"/>
        <w:rPr>
          <w:rFonts w:eastAsia="標楷體" w:cstheme="minorHAnsi"/>
          <w:kern w:val="0"/>
          <w:szCs w:val="24"/>
        </w:rPr>
      </w:pPr>
      <w:r w:rsidRPr="00CA1A43">
        <w:rPr>
          <w:rFonts w:eastAsia="標楷體" w:cstheme="minorHAnsi"/>
        </w:rPr>
        <w:t>依據上述所定義所有相同標的之選擇權的</w:t>
      </w:r>
      <w:r w:rsidRPr="00CA1A43">
        <w:rPr>
          <w:rFonts w:eastAsia="標楷體" w:cstheme="minorHAnsi"/>
        </w:rPr>
        <w:t>Vega</w:t>
      </w:r>
      <w:r w:rsidRPr="00CA1A43">
        <w:rPr>
          <w:rFonts w:eastAsia="標楷體" w:cstheme="minorHAnsi"/>
        </w:rPr>
        <w:t>風險加總，乘以波動率增</w:t>
      </w:r>
      <w:r w:rsidRPr="00CA1A43">
        <w:rPr>
          <w:rFonts w:eastAsia="標楷體" w:cstheme="minorHAnsi"/>
        </w:rPr>
        <w:t>(</w:t>
      </w:r>
      <w:r w:rsidRPr="00CA1A43">
        <w:rPr>
          <w:rFonts w:eastAsia="標楷體" w:cstheme="minorHAnsi"/>
        </w:rPr>
        <w:t>減</w:t>
      </w:r>
      <w:r w:rsidRPr="00CA1A43">
        <w:rPr>
          <w:rFonts w:eastAsia="標楷體" w:cstheme="minorHAnsi"/>
        </w:rPr>
        <w:t>)25%</w:t>
      </w:r>
      <w:r w:rsidRPr="00CA1A43">
        <w:rPr>
          <w:rFonts w:eastAsia="標楷體" w:cstheme="minorHAnsi"/>
        </w:rPr>
        <w:t>變動幅度計算風險資本。</w:t>
      </w:r>
    </w:p>
    <w:p w14:paraId="199A0790" w14:textId="77777777" w:rsidR="00017FA5" w:rsidRPr="00CA1A43" w:rsidRDefault="003635E9" w:rsidP="00EB3650">
      <w:pPr>
        <w:pStyle w:val="a7"/>
        <w:spacing w:beforeLines="50" w:before="180"/>
        <w:ind w:leftChars="0" w:left="964"/>
        <w:jc w:val="both"/>
        <w:rPr>
          <w:rFonts w:eastAsia="標楷體" w:cstheme="minorHAnsi"/>
          <w:szCs w:val="24"/>
        </w:rPr>
      </w:pPr>
      <w:r w:rsidRPr="00CA1A43">
        <w:rPr>
          <w:rFonts w:eastAsia="標楷體" w:cstheme="minorHAnsi"/>
        </w:rPr>
        <w:t>個別的淨</w:t>
      </w:r>
      <w:r w:rsidRPr="00CA1A43">
        <w:rPr>
          <w:rFonts w:eastAsia="標楷體" w:cstheme="minorHAnsi"/>
        </w:rPr>
        <w:t>Vega</w:t>
      </w:r>
      <w:r w:rsidRPr="00CA1A43">
        <w:rPr>
          <w:rFonts w:eastAsia="標楷體" w:cstheme="minorHAnsi"/>
        </w:rPr>
        <w:t>風險資本取絕對值後</w:t>
      </w:r>
      <w:proofErr w:type="gramStart"/>
      <w:r w:rsidRPr="00CA1A43">
        <w:rPr>
          <w:rFonts w:eastAsia="標楷體" w:cstheme="minorHAnsi"/>
        </w:rPr>
        <w:t>加總即為</w:t>
      </w:r>
      <w:proofErr w:type="gramEnd"/>
      <w:r w:rsidRPr="00CA1A43">
        <w:rPr>
          <w:rFonts w:eastAsia="標楷體" w:cstheme="minorHAnsi"/>
        </w:rPr>
        <w:t>Vega</w:t>
      </w:r>
      <w:r w:rsidRPr="00CA1A43">
        <w:rPr>
          <w:rFonts w:eastAsia="標楷體" w:cstheme="minorHAnsi"/>
        </w:rPr>
        <w:t>風險資本需求。</w:t>
      </w:r>
    </w:p>
    <w:p w14:paraId="4520D4BD" w14:textId="77777777" w:rsidR="00DE2175" w:rsidRPr="00CA1A43" w:rsidRDefault="00DE2175" w:rsidP="008C0E02">
      <w:pPr>
        <w:pStyle w:val="a7"/>
        <w:numPr>
          <w:ilvl w:val="0"/>
          <w:numId w:val="228"/>
        </w:numPr>
        <w:spacing w:beforeLines="50" w:before="180"/>
        <w:ind w:leftChars="0" w:left="737" w:hanging="737"/>
        <w:jc w:val="both"/>
        <w:rPr>
          <w:rFonts w:eastAsia="標楷體" w:cstheme="minorHAnsi"/>
          <w:szCs w:val="24"/>
        </w:rPr>
      </w:pPr>
      <w:r w:rsidRPr="00CA1A43">
        <w:rPr>
          <w:rFonts w:eastAsia="標楷體" w:cstheme="minorHAnsi"/>
          <w:szCs w:val="24"/>
        </w:rPr>
        <w:t>情境法</w:t>
      </w:r>
    </w:p>
    <w:p w14:paraId="178E1DB2" w14:textId="77777777" w:rsidR="00DE2175" w:rsidRPr="00CA1A43" w:rsidRDefault="00DE2175" w:rsidP="00DE2175">
      <w:pPr>
        <w:pStyle w:val="a7"/>
        <w:spacing w:beforeLines="50" w:before="180"/>
        <w:ind w:leftChars="0" w:left="737"/>
        <w:jc w:val="both"/>
        <w:rPr>
          <w:rFonts w:eastAsia="標楷體" w:cstheme="minorHAnsi"/>
          <w:szCs w:val="24"/>
        </w:rPr>
      </w:pPr>
      <w:r w:rsidRPr="00CA1A43">
        <w:rPr>
          <w:rFonts w:eastAsia="標楷體" w:cstheme="minorHAnsi"/>
          <w:szCs w:val="24"/>
        </w:rPr>
        <w:t>銀行經本會核准</w:t>
      </w:r>
      <w:r w:rsidRPr="00CA1A43">
        <w:rPr>
          <w:rStyle w:val="a5"/>
          <w:rFonts w:eastAsia="標楷體" w:cstheme="minorHAnsi"/>
          <w:szCs w:val="24"/>
        </w:rPr>
        <w:footnoteReference w:id="93"/>
      </w:r>
      <w:r w:rsidRPr="00CA1A43">
        <w:rPr>
          <w:rFonts w:eastAsia="標楷體" w:cstheme="minorHAnsi"/>
          <w:szCs w:val="24"/>
        </w:rPr>
        <w:t>後可選擇情境矩陣分析</w:t>
      </w:r>
      <w:r w:rsidRPr="00CA1A43">
        <w:rPr>
          <w:rFonts w:eastAsia="標楷體" w:cstheme="minorHAnsi"/>
          <w:szCs w:val="24"/>
        </w:rPr>
        <w:t>(scenario matrix analysis)</w:t>
      </w:r>
      <w:r w:rsidRPr="00CA1A43">
        <w:rPr>
          <w:rFonts w:eastAsia="標楷體" w:cstheme="minorHAnsi"/>
          <w:szCs w:val="24"/>
        </w:rPr>
        <w:t>計算選擇權組合與相關避險部位之的市場風險資本需求，藉由訂定相關風險因子之變動範圍，包含變動選擇權標的利率</w:t>
      </w:r>
      <w:r w:rsidRPr="00CA1A43">
        <w:rPr>
          <w:rFonts w:eastAsia="標楷體" w:cstheme="minorHAnsi"/>
          <w:szCs w:val="24"/>
        </w:rPr>
        <w:t>(</w:t>
      </w:r>
      <w:r w:rsidRPr="00CA1A43">
        <w:rPr>
          <w:rFonts w:eastAsia="標楷體" w:cstheme="minorHAnsi"/>
          <w:szCs w:val="24"/>
        </w:rPr>
        <w:t>或價格</w:t>
      </w:r>
      <w:r w:rsidRPr="00CA1A43">
        <w:rPr>
          <w:rFonts w:eastAsia="標楷體" w:cstheme="minorHAnsi"/>
          <w:szCs w:val="24"/>
        </w:rPr>
        <w:t>)</w:t>
      </w:r>
      <w:r w:rsidRPr="00CA1A43">
        <w:rPr>
          <w:rFonts w:eastAsia="標楷體" w:cstheme="minorHAnsi"/>
          <w:szCs w:val="24"/>
        </w:rPr>
        <w:t>、利率</w:t>
      </w:r>
      <w:r w:rsidRPr="00CA1A43">
        <w:rPr>
          <w:rFonts w:eastAsia="標楷體" w:cstheme="minorHAnsi"/>
          <w:szCs w:val="24"/>
        </w:rPr>
        <w:t>(</w:t>
      </w:r>
      <w:r w:rsidRPr="00CA1A43">
        <w:rPr>
          <w:rFonts w:eastAsia="標楷體" w:cstheme="minorHAnsi"/>
          <w:szCs w:val="24"/>
        </w:rPr>
        <w:t>或價格</w:t>
      </w:r>
      <w:r w:rsidRPr="00CA1A43">
        <w:rPr>
          <w:rFonts w:eastAsia="標楷體" w:cstheme="minorHAnsi"/>
          <w:szCs w:val="24"/>
        </w:rPr>
        <w:t>)</w:t>
      </w:r>
      <w:r w:rsidRPr="00CA1A43">
        <w:rPr>
          <w:rFonts w:eastAsia="標楷體" w:cstheme="minorHAnsi"/>
          <w:szCs w:val="24"/>
        </w:rPr>
        <w:t>波動率及</w:t>
      </w:r>
      <w:r w:rsidRPr="00CA1A43">
        <w:rPr>
          <w:rFonts w:eastAsia="標楷體" w:cstheme="minorHAnsi"/>
          <w:szCs w:val="24"/>
        </w:rPr>
        <w:lastRenderedPageBreak/>
        <w:t>補捉</w:t>
      </w:r>
      <w:r w:rsidRPr="00CA1A43">
        <w:rPr>
          <w:rFonts w:eastAsia="標楷體" w:cstheme="minorHAnsi"/>
          <w:szCs w:val="24"/>
        </w:rPr>
        <w:t>Gamma</w:t>
      </w:r>
      <w:r w:rsidRPr="00CA1A43">
        <w:rPr>
          <w:rFonts w:eastAsia="標楷體" w:cstheme="minorHAnsi"/>
          <w:szCs w:val="24"/>
        </w:rPr>
        <w:t>衝擊設定不同的矩陣，計算選擇權組合價值之變動，進行情境分析以計提所需之資本，計算方法如下：</w:t>
      </w:r>
    </w:p>
    <w:p w14:paraId="4215F0A2" w14:textId="7766A5E8" w:rsidR="00711373" w:rsidRPr="00CA1A43" w:rsidRDefault="00A5488F" w:rsidP="008C0E02">
      <w:pPr>
        <w:pStyle w:val="a7"/>
        <w:numPr>
          <w:ilvl w:val="0"/>
          <w:numId w:val="239"/>
        </w:numPr>
        <w:spacing w:beforeLines="50" w:before="180"/>
        <w:ind w:leftChars="0" w:left="964" w:hanging="482"/>
        <w:jc w:val="both"/>
        <w:rPr>
          <w:rFonts w:eastAsia="標楷體" w:cstheme="minorHAnsi"/>
          <w:szCs w:val="24"/>
        </w:rPr>
      </w:pPr>
      <w:r w:rsidRPr="00CA1A43">
        <w:rPr>
          <w:rFonts w:eastAsia="標楷體" w:cstheme="minorHAnsi"/>
          <w:kern w:val="0"/>
          <w:szCs w:val="24"/>
        </w:rPr>
        <w:t>該矩陣之第一象限，係以選擇權投資組合部位之標</w:t>
      </w:r>
      <w:r w:rsidRPr="00B75418">
        <w:rPr>
          <w:rFonts w:eastAsia="標楷體" w:cstheme="minorHAnsi"/>
          <w:kern w:val="0"/>
          <w:szCs w:val="24"/>
        </w:rPr>
        <w:t>的</w:t>
      </w:r>
      <w:r w:rsidR="009653EE" w:rsidRPr="00B75418">
        <w:rPr>
          <w:rFonts w:eastAsia="標楷體" w:cstheme="minorHAnsi"/>
          <w:kern w:val="0"/>
          <w:szCs w:val="24"/>
        </w:rPr>
        <w:t>工具</w:t>
      </w:r>
      <w:r w:rsidRPr="00B75418">
        <w:rPr>
          <w:rFonts w:eastAsia="標楷體" w:cstheme="minorHAnsi"/>
          <w:kern w:val="0"/>
          <w:szCs w:val="24"/>
        </w:rPr>
        <w:t>市</w:t>
      </w:r>
      <w:r w:rsidRPr="00CA1A43">
        <w:rPr>
          <w:rFonts w:eastAsia="標楷體" w:cstheme="minorHAnsi"/>
          <w:kern w:val="0"/>
          <w:szCs w:val="24"/>
        </w:rPr>
        <w:t>價上下變動幅度</w:t>
      </w:r>
      <w:r w:rsidRPr="00CA1A43">
        <w:rPr>
          <w:rFonts w:eastAsia="標楷體" w:cstheme="minorHAnsi"/>
        </w:rPr>
        <w:t>。</w:t>
      </w:r>
    </w:p>
    <w:p w14:paraId="5EBD4ED1" w14:textId="77777777" w:rsidR="00A5488F" w:rsidRPr="00CA1A43" w:rsidRDefault="00A5488F" w:rsidP="00A5488F">
      <w:pPr>
        <w:pStyle w:val="a7"/>
        <w:spacing w:beforeLines="50" w:before="180"/>
        <w:ind w:leftChars="0" w:left="964"/>
        <w:jc w:val="both"/>
        <w:rPr>
          <w:rFonts w:eastAsia="標楷體" w:cstheme="minorHAnsi"/>
          <w:szCs w:val="24"/>
        </w:rPr>
      </w:pPr>
      <w:r w:rsidRPr="00CA1A43">
        <w:rPr>
          <w:rFonts w:eastAsia="標楷體" w:cstheme="minorHAnsi"/>
        </w:rPr>
        <w:t>選擇權與相關避險部位應以高於與低於目前標的價值之指定範圍來評估。</w:t>
      </w:r>
    </w:p>
    <w:p w14:paraId="1F858B35" w14:textId="77777777" w:rsidR="00A5488F" w:rsidRPr="00CA1A43" w:rsidRDefault="00A5488F" w:rsidP="00A5488F">
      <w:pPr>
        <w:pStyle w:val="a7"/>
        <w:spacing w:beforeLines="50" w:before="180"/>
        <w:ind w:leftChars="0" w:left="964"/>
        <w:jc w:val="both"/>
        <w:rPr>
          <w:rFonts w:eastAsia="標楷體" w:cstheme="minorHAnsi"/>
        </w:rPr>
      </w:pPr>
      <w:r w:rsidRPr="00CA1A43">
        <w:rPr>
          <w:rFonts w:eastAsia="標楷體" w:cstheme="minorHAnsi"/>
        </w:rPr>
        <w:t>對於與利率有關之選擇權，係以假設收益率變動代表市價變動幅度，參照一般市場風險到期法規定</w:t>
      </w:r>
      <w:r w:rsidRPr="00CA1A43">
        <w:rPr>
          <w:rFonts w:eastAsia="標楷體" w:cstheme="minorHAnsi"/>
        </w:rPr>
        <w:t>(</w:t>
      </w:r>
      <w:r w:rsidRPr="0016476D">
        <w:rPr>
          <w:rFonts w:eastAsia="標楷體" w:cstheme="minorHAnsi"/>
        </w:rPr>
        <w:t>表</w:t>
      </w:r>
      <w:r w:rsidR="0016476D" w:rsidRPr="0016476D">
        <w:rPr>
          <w:rFonts w:eastAsia="標楷體" w:cstheme="minorHAnsi" w:hint="eastAsia"/>
        </w:rPr>
        <w:t>17</w:t>
      </w:r>
      <w:r w:rsidRPr="00CA1A43">
        <w:rPr>
          <w:rFonts w:eastAsia="標楷體" w:cstheme="minorHAnsi"/>
        </w:rPr>
        <w:t>)</w:t>
      </w:r>
      <w:r w:rsidRPr="00CA1A43">
        <w:rPr>
          <w:rFonts w:eastAsia="標楷體" w:cstheme="minorHAnsi"/>
        </w:rPr>
        <w:t>，依利率風險之時間帶</w:t>
      </w:r>
      <w:r w:rsidRPr="00CA1A43">
        <w:rPr>
          <w:rFonts w:eastAsia="標楷體" w:cstheme="minorHAnsi"/>
        </w:rPr>
        <w:t>(time band)</w:t>
      </w:r>
      <w:r w:rsidRPr="00CA1A43">
        <w:rPr>
          <w:rFonts w:eastAsia="標楷體" w:cstheme="minorHAnsi"/>
        </w:rPr>
        <w:t>所對應之假設收益率變動，如銀行部位</w:t>
      </w:r>
      <w:proofErr w:type="gramStart"/>
      <w:r w:rsidRPr="00CA1A43">
        <w:rPr>
          <w:rFonts w:eastAsia="標楷體" w:cstheme="minorHAnsi"/>
        </w:rPr>
        <w:t>眾多，</w:t>
      </w:r>
      <w:proofErr w:type="gramEnd"/>
      <w:r w:rsidRPr="00CA1A43">
        <w:rPr>
          <w:rFonts w:eastAsia="標楷體" w:cstheme="minorHAnsi"/>
        </w:rPr>
        <w:t>得將所有部位之時間帶分為</w:t>
      </w:r>
      <w:r w:rsidRPr="00CA1A43">
        <w:rPr>
          <w:rFonts w:eastAsia="標楷體" w:cstheme="minorHAnsi"/>
        </w:rPr>
        <w:t>6</w:t>
      </w:r>
      <w:r w:rsidRPr="00CA1A43">
        <w:rPr>
          <w:rFonts w:eastAsia="標楷體" w:cstheme="minorHAnsi"/>
        </w:rPr>
        <w:t>組以上，每組不得有</w:t>
      </w:r>
      <w:r w:rsidRPr="00CA1A43">
        <w:rPr>
          <w:rFonts w:eastAsia="標楷體" w:cstheme="minorHAnsi"/>
        </w:rPr>
        <w:t>3</w:t>
      </w:r>
      <w:r w:rsidRPr="00CA1A43">
        <w:rPr>
          <w:rFonts w:eastAsia="標楷體" w:cstheme="minorHAnsi"/>
        </w:rPr>
        <w:t>個以上之時間帶</w:t>
      </w:r>
      <w:r w:rsidRPr="00CA1A43">
        <w:rPr>
          <w:rFonts w:eastAsia="標楷體" w:cstheme="minorHAnsi"/>
        </w:rPr>
        <w:t>(</w:t>
      </w:r>
      <w:r w:rsidRPr="00CA1A43">
        <w:rPr>
          <w:rFonts w:eastAsia="標楷體" w:cstheme="minorHAnsi"/>
        </w:rPr>
        <w:t>時間帶參照表</w:t>
      </w:r>
      <w:r w:rsidR="0016476D">
        <w:rPr>
          <w:rFonts w:eastAsia="標楷體" w:cstheme="minorHAnsi" w:hint="eastAsia"/>
        </w:rPr>
        <w:t>18</w:t>
      </w:r>
      <w:r w:rsidRPr="00CA1A43">
        <w:rPr>
          <w:rFonts w:eastAsia="標楷體" w:cstheme="minorHAnsi"/>
        </w:rPr>
        <w:t>及表</w:t>
      </w:r>
      <w:r w:rsidR="0016476D">
        <w:rPr>
          <w:rFonts w:eastAsia="標楷體" w:cstheme="minorHAnsi" w:hint="eastAsia"/>
        </w:rPr>
        <w:t>19</w:t>
      </w:r>
      <w:r w:rsidRPr="00CA1A43">
        <w:rPr>
          <w:rFonts w:eastAsia="標楷體" w:cstheme="minorHAnsi"/>
        </w:rPr>
        <w:t>)</w:t>
      </w:r>
      <w:r w:rsidRPr="00CA1A43">
        <w:rPr>
          <w:rFonts w:eastAsia="標楷體" w:cstheme="minorHAnsi"/>
        </w:rPr>
        <w:t>，當數個時間帶</w:t>
      </w:r>
      <w:proofErr w:type="gramStart"/>
      <w:r w:rsidRPr="00CA1A43">
        <w:rPr>
          <w:rFonts w:eastAsia="標楷體" w:cstheme="minorHAnsi"/>
        </w:rPr>
        <w:t>併</w:t>
      </w:r>
      <w:proofErr w:type="gramEnd"/>
      <w:r w:rsidRPr="00CA1A43">
        <w:rPr>
          <w:rFonts w:eastAsia="標楷體" w:cstheme="minorHAnsi"/>
        </w:rPr>
        <w:t>為一組時，其假設收益率為該數</w:t>
      </w:r>
      <w:proofErr w:type="gramStart"/>
      <w:r w:rsidRPr="00CA1A43">
        <w:rPr>
          <w:rFonts w:eastAsia="標楷體" w:cstheme="minorHAnsi"/>
        </w:rPr>
        <w:t>個</w:t>
      </w:r>
      <w:proofErr w:type="gramEnd"/>
      <w:r w:rsidRPr="00CA1A43">
        <w:rPr>
          <w:rFonts w:eastAsia="標楷體" w:cstheme="minorHAnsi"/>
        </w:rPr>
        <w:t>時間帶之最高者</w:t>
      </w:r>
      <w:r w:rsidRPr="00CA1A43">
        <w:rPr>
          <w:rStyle w:val="a5"/>
          <w:rFonts w:eastAsia="標楷體" w:cstheme="minorHAnsi"/>
          <w:szCs w:val="24"/>
        </w:rPr>
        <w:footnoteReference w:id="94"/>
      </w:r>
      <w:r w:rsidRPr="00CA1A43">
        <w:rPr>
          <w:rFonts w:eastAsia="標楷體" w:cstheme="minorHAnsi"/>
        </w:rPr>
        <w:t>。對於其他類別選擇權之市價變動幅度如下：權益證券為</w:t>
      </w:r>
      <w:r w:rsidRPr="00CA1A43">
        <w:rPr>
          <w:rFonts w:eastAsia="標楷體" w:cstheme="minorHAnsi"/>
        </w:rPr>
        <w:t>±8%</w:t>
      </w:r>
      <w:r w:rsidRPr="00CA1A43">
        <w:rPr>
          <w:rFonts w:eastAsia="標楷體" w:cstheme="minorHAnsi"/>
        </w:rPr>
        <w:t>，外匯及黃金為</w:t>
      </w:r>
      <w:r w:rsidRPr="00CA1A43">
        <w:rPr>
          <w:rFonts w:eastAsia="標楷體" w:cstheme="minorHAnsi"/>
        </w:rPr>
        <w:t>±8%</w:t>
      </w:r>
      <w:r w:rsidRPr="00CA1A43">
        <w:rPr>
          <w:rFonts w:eastAsia="標楷體" w:cstheme="minorHAnsi"/>
        </w:rPr>
        <w:t>，商品為</w:t>
      </w:r>
      <w:r w:rsidRPr="00CA1A43">
        <w:rPr>
          <w:rFonts w:eastAsia="標楷體" w:cstheme="minorHAnsi"/>
        </w:rPr>
        <w:t>±15%</w:t>
      </w:r>
      <w:r w:rsidRPr="00CA1A43">
        <w:rPr>
          <w:rFonts w:eastAsia="標楷體" w:cstheme="minorHAnsi"/>
        </w:rPr>
        <w:t>。</w:t>
      </w:r>
    </w:p>
    <w:p w14:paraId="613A3D94" w14:textId="77777777" w:rsidR="00711373" w:rsidRPr="00CA1A43" w:rsidRDefault="00A5488F" w:rsidP="00A5488F">
      <w:pPr>
        <w:pStyle w:val="a7"/>
        <w:spacing w:beforeLines="50" w:before="180"/>
        <w:ind w:leftChars="0" w:left="964"/>
        <w:jc w:val="both"/>
        <w:rPr>
          <w:rFonts w:eastAsia="標楷體" w:cstheme="minorHAnsi"/>
          <w:szCs w:val="24"/>
        </w:rPr>
      </w:pPr>
      <w:r w:rsidRPr="00CA1A43">
        <w:rPr>
          <w:rFonts w:eastAsia="標楷體" w:cstheme="minorHAnsi"/>
        </w:rPr>
        <w:t>就所有的風險類別，應將是價變動幅度均分為至少七個以上觀察值</w:t>
      </w:r>
      <w:r w:rsidRPr="00CA1A43">
        <w:rPr>
          <w:rFonts w:eastAsia="標楷體" w:cstheme="minorHAnsi"/>
        </w:rPr>
        <w:t>(</w:t>
      </w:r>
      <w:r w:rsidRPr="00CA1A43">
        <w:rPr>
          <w:rFonts w:eastAsia="標楷體" w:cstheme="minorHAnsi"/>
        </w:rPr>
        <w:t>包括目前的觀察值</w:t>
      </w:r>
      <w:r w:rsidRPr="00CA1A43">
        <w:rPr>
          <w:rFonts w:eastAsia="標楷體" w:cstheme="minorHAnsi"/>
        </w:rPr>
        <w:t>)</w:t>
      </w:r>
      <w:r w:rsidRPr="00CA1A43">
        <w:rPr>
          <w:rFonts w:eastAsia="標楷體" w:cstheme="minorHAnsi"/>
        </w:rPr>
        <w:t>。</w:t>
      </w:r>
    </w:p>
    <w:p w14:paraId="125941FE" w14:textId="77777777" w:rsidR="00711373" w:rsidRPr="00CA1A43" w:rsidRDefault="003943D0" w:rsidP="008C0E02">
      <w:pPr>
        <w:pStyle w:val="a7"/>
        <w:numPr>
          <w:ilvl w:val="0"/>
          <w:numId w:val="239"/>
        </w:numPr>
        <w:spacing w:beforeLines="50" w:before="180"/>
        <w:ind w:leftChars="0" w:left="964" w:hanging="482"/>
        <w:jc w:val="both"/>
        <w:rPr>
          <w:rFonts w:eastAsia="標楷體" w:cstheme="minorHAnsi"/>
          <w:szCs w:val="24"/>
        </w:rPr>
      </w:pPr>
      <w:r w:rsidRPr="00CA1A43">
        <w:rPr>
          <w:rFonts w:eastAsia="標楷體" w:cstheme="minorHAnsi"/>
          <w:kern w:val="0"/>
          <w:szCs w:val="24"/>
        </w:rPr>
        <w:t>該矩陣之第二象限，係以該標的利率或價格目前波動率變動</w:t>
      </w:r>
      <w:r w:rsidRPr="00CA1A43">
        <w:rPr>
          <w:rFonts w:eastAsia="標楷體" w:cstheme="minorHAnsi"/>
          <w:szCs w:val="24"/>
        </w:rPr>
        <w:t>±</w:t>
      </w:r>
      <w:r w:rsidRPr="00CA1A43">
        <w:rPr>
          <w:rFonts w:eastAsia="標楷體" w:cstheme="minorHAnsi"/>
          <w:kern w:val="0"/>
          <w:szCs w:val="24"/>
        </w:rPr>
        <w:t>25%</w:t>
      </w:r>
      <w:r w:rsidRPr="00CA1A43">
        <w:rPr>
          <w:rFonts w:eastAsia="標楷體" w:cstheme="minorHAnsi"/>
          <w:kern w:val="0"/>
          <w:szCs w:val="24"/>
        </w:rPr>
        <w:t>表示。</w:t>
      </w:r>
      <w:r w:rsidRPr="00CA1A43">
        <w:rPr>
          <w:rFonts w:eastAsia="標楷體" w:cstheme="minorHAnsi"/>
        </w:rPr>
        <w:t>然而，根據情況需要，本會可選擇要求使用不同的波動率改變且</w:t>
      </w:r>
      <w:r w:rsidRPr="00CA1A43">
        <w:rPr>
          <w:rFonts w:eastAsia="標楷體" w:cstheme="minorHAnsi"/>
        </w:rPr>
        <w:t>(</w:t>
      </w:r>
      <w:r w:rsidRPr="00CA1A43">
        <w:rPr>
          <w:rFonts w:eastAsia="標楷體" w:cstheme="minorHAnsi"/>
        </w:rPr>
        <w:t>或</w:t>
      </w:r>
      <w:r w:rsidRPr="00CA1A43">
        <w:rPr>
          <w:rFonts w:eastAsia="標楷體" w:cstheme="minorHAnsi"/>
        </w:rPr>
        <w:t>)</w:t>
      </w:r>
      <w:r w:rsidRPr="00CA1A43">
        <w:rPr>
          <w:rFonts w:eastAsia="標楷體" w:cstheme="minorHAnsi"/>
        </w:rPr>
        <w:t>情境範圍的中間點計算。</w:t>
      </w:r>
    </w:p>
    <w:p w14:paraId="05455DFB" w14:textId="77777777" w:rsidR="00711373" w:rsidRPr="00CA1A43" w:rsidRDefault="003943D0" w:rsidP="008C0E02">
      <w:pPr>
        <w:pStyle w:val="a7"/>
        <w:numPr>
          <w:ilvl w:val="0"/>
          <w:numId w:val="239"/>
        </w:numPr>
        <w:spacing w:beforeLines="50" w:before="180"/>
        <w:ind w:leftChars="0" w:left="964" w:hanging="482"/>
        <w:jc w:val="both"/>
        <w:rPr>
          <w:rFonts w:eastAsia="標楷體" w:cstheme="minorHAnsi"/>
          <w:szCs w:val="24"/>
        </w:rPr>
      </w:pPr>
      <w:r w:rsidRPr="00CA1A43">
        <w:rPr>
          <w:rFonts w:eastAsia="標楷體" w:cstheme="minorHAnsi"/>
          <w:kern w:val="0"/>
          <w:szCs w:val="24"/>
        </w:rPr>
        <w:t>應計提資本金額，係以矩陣中各格</w:t>
      </w:r>
      <w:r w:rsidRPr="00CA1A43">
        <w:rPr>
          <w:rFonts w:eastAsia="標楷體" w:cstheme="minorHAnsi"/>
        </w:rPr>
        <w:t>(</w:t>
      </w:r>
      <w:r w:rsidRPr="00CA1A43">
        <w:rPr>
          <w:rFonts w:eastAsia="標楷體" w:cstheme="minorHAnsi"/>
          <w:kern w:val="0"/>
          <w:szCs w:val="24"/>
        </w:rPr>
        <w:t>grid</w:t>
      </w:r>
      <w:r w:rsidRPr="00CA1A43">
        <w:rPr>
          <w:rFonts w:eastAsia="標楷體" w:cstheme="minorHAnsi"/>
        </w:rPr>
        <w:t>)</w:t>
      </w:r>
      <w:r w:rsidRPr="00CA1A43">
        <w:rPr>
          <w:rFonts w:eastAsia="標楷體" w:cstheme="minorHAnsi"/>
          <w:kern w:val="0"/>
          <w:szCs w:val="24"/>
        </w:rPr>
        <w:t>依模擬分析結果，可能損失金額最大者為其應計提資本。</w:t>
      </w:r>
    </w:p>
    <w:p w14:paraId="78385EFF" w14:textId="71C5DF7E" w:rsidR="00243CF1" w:rsidRDefault="00243CF1" w:rsidP="00145DCF">
      <w:pPr>
        <w:widowControl/>
        <w:spacing w:beforeLines="50" w:before="180"/>
        <w:jc w:val="both"/>
        <w:rPr>
          <w:rFonts w:eastAsia="標楷體" w:cstheme="minorHAnsi"/>
          <w:szCs w:val="24"/>
        </w:rPr>
      </w:pPr>
    </w:p>
    <w:p w14:paraId="563C6829" w14:textId="10A9A788" w:rsidR="00A12338" w:rsidRPr="00CA1A43" w:rsidRDefault="00A12338" w:rsidP="00145DCF">
      <w:pPr>
        <w:widowControl/>
        <w:spacing w:beforeLines="50" w:before="180"/>
        <w:jc w:val="both"/>
        <w:rPr>
          <w:rFonts w:eastAsia="標楷體" w:cstheme="minorHAnsi"/>
          <w:szCs w:val="24"/>
        </w:rPr>
      </w:pPr>
    </w:p>
    <w:p w14:paraId="25A166A8" w14:textId="77777777" w:rsidR="00243CF1" w:rsidRPr="00CA1A43" w:rsidRDefault="00243CF1" w:rsidP="00243CF1">
      <w:pPr>
        <w:widowControl/>
        <w:rPr>
          <w:rFonts w:eastAsia="標楷體" w:cstheme="minorHAnsi"/>
          <w:szCs w:val="24"/>
        </w:rPr>
      </w:pPr>
      <w:r w:rsidRPr="00CA1A43">
        <w:rPr>
          <w:rFonts w:eastAsia="標楷體" w:cstheme="minorHAnsi"/>
          <w:szCs w:val="24"/>
        </w:rPr>
        <w:br w:type="page"/>
      </w:r>
    </w:p>
    <w:p w14:paraId="3BEC04FC" w14:textId="77777777" w:rsidR="005840E2" w:rsidRPr="00CA1A43" w:rsidRDefault="00633E44" w:rsidP="00633E44">
      <w:pPr>
        <w:pStyle w:val="12"/>
        <w:numPr>
          <w:ilvl w:val="0"/>
          <w:numId w:val="42"/>
        </w:numPr>
        <w:spacing w:beforeLines="50" w:before="180"/>
        <w:jc w:val="both"/>
        <w:outlineLvl w:val="0"/>
        <w:rPr>
          <w:rFonts w:asciiTheme="minorHAnsi" w:hAnsiTheme="minorHAnsi" w:cstheme="minorHAnsi"/>
          <w:b/>
          <w:color w:val="auto"/>
        </w:rPr>
      </w:pPr>
      <w:bookmarkStart w:id="21" w:name="_Toc67992461"/>
      <w:r w:rsidRPr="00CA1A43">
        <w:rPr>
          <w:rFonts w:asciiTheme="minorHAnsi" w:hAnsiTheme="minorHAnsi" w:cstheme="minorHAnsi"/>
          <w:b/>
          <w:color w:val="auto"/>
        </w:rPr>
        <w:lastRenderedPageBreak/>
        <w:t>內部模型法</w:t>
      </w:r>
      <w:bookmarkEnd w:id="21"/>
    </w:p>
    <w:p w14:paraId="68881C19" w14:textId="77777777" w:rsidR="00633E44" w:rsidRPr="00CA1A43" w:rsidRDefault="00633E44" w:rsidP="001E691F">
      <w:pPr>
        <w:pStyle w:val="a7"/>
        <w:numPr>
          <w:ilvl w:val="0"/>
          <w:numId w:val="246"/>
        </w:numPr>
        <w:spacing w:beforeLines="50" w:before="180"/>
        <w:ind w:leftChars="0" w:left="737" w:hanging="737"/>
        <w:jc w:val="both"/>
        <w:outlineLvl w:val="0"/>
        <w:rPr>
          <w:rFonts w:eastAsia="標楷體" w:cstheme="minorHAnsi"/>
        </w:rPr>
      </w:pPr>
      <w:bookmarkStart w:id="22" w:name="_Toc67992462"/>
      <w:r w:rsidRPr="00CA1A43">
        <w:rPr>
          <w:rFonts w:eastAsia="標楷體" w:cstheme="minorHAnsi"/>
        </w:rPr>
        <w:t>一般性標準</w:t>
      </w:r>
      <w:bookmarkEnd w:id="22"/>
    </w:p>
    <w:p w14:paraId="48AAE225" w14:textId="77777777" w:rsidR="00633E44" w:rsidRPr="00CA1A43" w:rsidRDefault="00633E44" w:rsidP="008C0E02">
      <w:pPr>
        <w:pStyle w:val="a7"/>
        <w:numPr>
          <w:ilvl w:val="0"/>
          <w:numId w:val="241"/>
        </w:numPr>
        <w:spacing w:beforeLines="50" w:before="180"/>
        <w:ind w:leftChars="0" w:left="737" w:hanging="737"/>
        <w:jc w:val="both"/>
        <w:rPr>
          <w:rFonts w:eastAsia="標楷體" w:cstheme="minorHAnsi"/>
          <w:szCs w:val="24"/>
        </w:rPr>
      </w:pPr>
      <w:r w:rsidRPr="00CA1A43">
        <w:rPr>
          <w:rFonts w:eastAsia="標楷體" w:cstheme="minorHAnsi"/>
          <w:szCs w:val="24"/>
        </w:rPr>
        <w:t>使用內部模型法計算市場風險資本要求時，必須取得本會明確地核准，且需符合下列規定：</w:t>
      </w:r>
    </w:p>
    <w:p w14:paraId="5EB270F8" w14:textId="77777777" w:rsidR="00633E44" w:rsidRPr="00CA1A43" w:rsidRDefault="00633E44" w:rsidP="008C0E02">
      <w:pPr>
        <w:pStyle w:val="a7"/>
        <w:numPr>
          <w:ilvl w:val="0"/>
          <w:numId w:val="240"/>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已建立整套</w:t>
      </w:r>
      <w:r w:rsidRPr="00CA1A43">
        <w:rPr>
          <w:rFonts w:eastAsia="標楷體" w:cstheme="minorHAnsi"/>
          <w:szCs w:val="24"/>
        </w:rPr>
        <w:t>健全</w:t>
      </w:r>
      <w:r w:rsidRPr="00CA1A43">
        <w:rPr>
          <w:rFonts w:eastAsia="標楷體" w:cstheme="minorHAnsi"/>
          <w:kern w:val="0"/>
          <w:szCs w:val="24"/>
        </w:rPr>
        <w:t>的風險管理政策及作業程序，並有效落實執行。</w:t>
      </w:r>
    </w:p>
    <w:p w14:paraId="7EA4B787" w14:textId="77777777" w:rsidR="00633E44" w:rsidRPr="00CA1A43" w:rsidRDefault="00633E44" w:rsidP="008C0E02">
      <w:pPr>
        <w:pStyle w:val="a7"/>
        <w:numPr>
          <w:ilvl w:val="0"/>
          <w:numId w:val="240"/>
        </w:numPr>
        <w:spacing w:beforeLines="50" w:before="180"/>
        <w:ind w:leftChars="0" w:left="964" w:hanging="482"/>
        <w:jc w:val="both"/>
        <w:rPr>
          <w:rFonts w:eastAsia="標楷體" w:cstheme="minorHAnsi"/>
          <w:kern w:val="0"/>
          <w:szCs w:val="24"/>
        </w:rPr>
      </w:pPr>
      <w:r w:rsidRPr="00CA1A43">
        <w:rPr>
          <w:rFonts w:eastAsia="標楷體" w:cstheme="minorHAnsi"/>
          <w:szCs w:val="24"/>
        </w:rPr>
        <w:t>銀行應具備充足之專業人員以執行複雜的模型，</w:t>
      </w:r>
      <w:r w:rsidRPr="00CA1A43">
        <w:rPr>
          <w:rFonts w:eastAsia="標楷體" w:cstheme="minorHAnsi"/>
          <w:sz w:val="23"/>
          <w:szCs w:val="23"/>
        </w:rPr>
        <w:t>專業人員包括</w:t>
      </w:r>
      <w:r w:rsidRPr="00CA1A43">
        <w:rPr>
          <w:rFonts w:eastAsia="標楷體" w:cstheme="minorHAnsi"/>
          <w:szCs w:val="24"/>
        </w:rPr>
        <w:t>交易部門人員、風險管理人員、稽核人員及後台人員。</w:t>
      </w:r>
    </w:p>
    <w:p w14:paraId="1021A34B" w14:textId="77777777" w:rsidR="00633E44" w:rsidRPr="00CA1A43" w:rsidRDefault="00633E44" w:rsidP="008C0E02">
      <w:pPr>
        <w:pStyle w:val="a7"/>
        <w:numPr>
          <w:ilvl w:val="0"/>
          <w:numId w:val="240"/>
        </w:numPr>
        <w:spacing w:beforeLines="50" w:before="180"/>
        <w:ind w:leftChars="0" w:left="964" w:hanging="482"/>
        <w:jc w:val="both"/>
        <w:rPr>
          <w:rFonts w:eastAsia="標楷體" w:cstheme="minorHAnsi"/>
          <w:kern w:val="0"/>
          <w:szCs w:val="24"/>
        </w:rPr>
      </w:pPr>
      <w:r w:rsidRPr="00CA1A43">
        <w:rPr>
          <w:rFonts w:eastAsia="標楷體" w:cstheme="minorHAnsi"/>
          <w:szCs w:val="24"/>
        </w:rPr>
        <w:t>銀行須提供交易台之風險管理模型在衡量風險方面是具有合理準確的軌跡紀錄。</w:t>
      </w:r>
    </w:p>
    <w:p w14:paraId="7582216D" w14:textId="77777777" w:rsidR="00633E44" w:rsidRPr="00CA1A43" w:rsidRDefault="00633E44" w:rsidP="008C0E02">
      <w:pPr>
        <w:pStyle w:val="a7"/>
        <w:numPr>
          <w:ilvl w:val="0"/>
          <w:numId w:val="240"/>
        </w:numPr>
        <w:spacing w:beforeLines="50" w:before="180"/>
        <w:ind w:leftChars="0" w:left="964" w:hanging="482"/>
        <w:jc w:val="both"/>
        <w:rPr>
          <w:rFonts w:eastAsia="標楷體" w:cstheme="minorHAnsi"/>
          <w:szCs w:val="24"/>
        </w:rPr>
      </w:pPr>
      <w:r w:rsidRPr="00CA1A43">
        <w:rPr>
          <w:rFonts w:eastAsia="標楷體" w:cstheme="minorHAnsi"/>
          <w:szCs w:val="24"/>
        </w:rPr>
        <w:t>銀行應依壓力測試之相關規定，定期進行壓力測試。</w:t>
      </w:r>
    </w:p>
    <w:p w14:paraId="1C4940BF" w14:textId="77777777" w:rsidR="00633E44" w:rsidRPr="00CA1A43" w:rsidRDefault="00633E44" w:rsidP="008C0E02">
      <w:pPr>
        <w:pStyle w:val="a7"/>
        <w:numPr>
          <w:ilvl w:val="0"/>
          <w:numId w:val="240"/>
        </w:numPr>
        <w:spacing w:beforeLines="50" w:before="180"/>
        <w:ind w:leftChars="0" w:left="964" w:hanging="482"/>
        <w:jc w:val="both"/>
        <w:rPr>
          <w:rFonts w:eastAsia="標楷體" w:cstheme="minorHAnsi"/>
          <w:kern w:val="0"/>
          <w:szCs w:val="24"/>
        </w:rPr>
      </w:pPr>
      <w:r w:rsidRPr="00CA1A43">
        <w:rPr>
          <w:rFonts w:eastAsia="標楷體" w:cstheme="minorHAnsi"/>
          <w:szCs w:val="24"/>
        </w:rPr>
        <w:t>交易台持有用銀行交易台內部風險管理模型計算市場風險最低資本要求之部位時，其所使用之模型必須經過銀行董事會核准且通過本計算說明所規範之模型驗證標準測試。</w:t>
      </w:r>
    </w:p>
    <w:p w14:paraId="41459376" w14:textId="77777777" w:rsidR="0023337A" w:rsidRPr="00CA1A43" w:rsidRDefault="0023337A" w:rsidP="008C0E02">
      <w:pPr>
        <w:pStyle w:val="a7"/>
        <w:numPr>
          <w:ilvl w:val="0"/>
          <w:numId w:val="241"/>
        </w:numPr>
        <w:spacing w:beforeLines="50" w:before="180"/>
        <w:ind w:leftChars="0" w:left="737" w:hanging="737"/>
        <w:jc w:val="both"/>
        <w:rPr>
          <w:rFonts w:eastAsia="標楷體" w:cstheme="minorHAnsi"/>
          <w:szCs w:val="24"/>
        </w:rPr>
      </w:pPr>
      <w:r w:rsidRPr="00CA1A43">
        <w:rPr>
          <w:rFonts w:eastAsia="標楷體" w:cstheme="minorHAnsi"/>
          <w:szCs w:val="24"/>
        </w:rPr>
        <w:t>銀行使用內部模型前，如經本會</w:t>
      </w:r>
      <w:proofErr w:type="gramStart"/>
      <w:r w:rsidRPr="00CA1A43">
        <w:rPr>
          <w:rFonts w:eastAsia="標楷體" w:cstheme="minorHAnsi"/>
          <w:szCs w:val="24"/>
        </w:rPr>
        <w:t>要求做期初</w:t>
      </w:r>
      <w:proofErr w:type="gramEnd"/>
      <w:r w:rsidRPr="00CA1A43">
        <w:rPr>
          <w:rFonts w:eastAsia="標楷體" w:cstheme="minorHAnsi"/>
          <w:szCs w:val="24"/>
        </w:rPr>
        <w:t>之監控及實際測試，則須</w:t>
      </w:r>
      <w:proofErr w:type="gramStart"/>
      <w:r w:rsidRPr="00CA1A43">
        <w:rPr>
          <w:rFonts w:eastAsia="標楷體" w:cstheme="minorHAnsi"/>
          <w:szCs w:val="24"/>
        </w:rPr>
        <w:t>俟</w:t>
      </w:r>
      <w:proofErr w:type="gramEnd"/>
      <w:r w:rsidRPr="00CA1A43">
        <w:rPr>
          <w:rFonts w:eastAsia="標楷體" w:cstheme="minorHAnsi"/>
          <w:szCs w:val="24"/>
        </w:rPr>
        <w:t>該監控及測試完成並向本會報告結果後再正式施行。</w:t>
      </w:r>
    </w:p>
    <w:p w14:paraId="2536F8ED" w14:textId="77777777" w:rsidR="0023337A" w:rsidRPr="00CA1A43" w:rsidRDefault="0023337A" w:rsidP="008C0E02">
      <w:pPr>
        <w:pStyle w:val="a7"/>
        <w:numPr>
          <w:ilvl w:val="0"/>
          <w:numId w:val="241"/>
        </w:numPr>
        <w:spacing w:beforeLines="50" w:before="180"/>
        <w:ind w:leftChars="0" w:left="737" w:hanging="737"/>
        <w:jc w:val="both"/>
        <w:rPr>
          <w:rFonts w:eastAsia="標楷體" w:cstheme="minorHAnsi"/>
          <w:szCs w:val="24"/>
        </w:rPr>
      </w:pPr>
      <w:r w:rsidRPr="00CA1A43">
        <w:rPr>
          <w:rFonts w:eastAsia="標楷體" w:cstheme="minorHAnsi"/>
          <w:szCs w:val="24"/>
        </w:rPr>
        <w:t>交易投資組合適用內部模型法以計算市場風險資本要求之範圍，須依據下述項目來決定：</w:t>
      </w:r>
    </w:p>
    <w:p w14:paraId="48F85485" w14:textId="77777777" w:rsidR="00633E44" w:rsidRPr="00CA1A43" w:rsidRDefault="00922131" w:rsidP="008C0E02">
      <w:pPr>
        <w:pStyle w:val="a7"/>
        <w:numPr>
          <w:ilvl w:val="0"/>
          <w:numId w:val="242"/>
        </w:numPr>
        <w:spacing w:beforeLines="50" w:before="180"/>
        <w:ind w:leftChars="0" w:left="964" w:hanging="482"/>
        <w:jc w:val="both"/>
        <w:rPr>
          <w:rFonts w:eastAsia="標楷體" w:cstheme="minorHAnsi"/>
          <w:kern w:val="0"/>
          <w:szCs w:val="24"/>
        </w:rPr>
      </w:pPr>
      <w:r w:rsidRPr="00CA1A43">
        <w:rPr>
          <w:rFonts w:eastAsia="標楷體" w:cstheme="minorHAnsi"/>
          <w:szCs w:val="24"/>
        </w:rPr>
        <w:t>銀行之組織架構</w:t>
      </w:r>
      <w:r w:rsidRPr="00CA1A43">
        <w:rPr>
          <w:rFonts w:eastAsia="標楷體" w:cstheme="minorHAnsi"/>
          <w:szCs w:val="24"/>
        </w:rPr>
        <w:t>(</w:t>
      </w:r>
      <w:r w:rsidRPr="00CA1A43">
        <w:rPr>
          <w:rFonts w:eastAsia="標楷體" w:cstheme="minorHAnsi"/>
          <w:szCs w:val="24"/>
        </w:rPr>
        <w:t>包括交易台的定義和結構</w:t>
      </w:r>
      <w:r w:rsidRPr="00CA1A43">
        <w:rPr>
          <w:rFonts w:eastAsia="標楷體" w:cstheme="minorHAnsi"/>
          <w:szCs w:val="24"/>
        </w:rPr>
        <w:t>)</w:t>
      </w:r>
      <w:r w:rsidRPr="00CA1A43">
        <w:rPr>
          <w:rFonts w:eastAsia="標楷體" w:cstheme="minorHAnsi"/>
          <w:szCs w:val="24"/>
        </w:rPr>
        <w:t>及其內部模型法</w:t>
      </w:r>
      <w:r w:rsidRPr="00CA1A43">
        <w:rPr>
          <w:rFonts w:eastAsia="標楷體" w:cstheme="minorHAnsi"/>
          <w:szCs w:val="24"/>
        </w:rPr>
        <w:t>(IMA)</w:t>
      </w:r>
      <w:r w:rsidRPr="00CA1A43">
        <w:rPr>
          <w:rFonts w:eastAsia="標楷體" w:cstheme="minorHAnsi"/>
          <w:szCs w:val="24"/>
        </w:rPr>
        <w:t>適用範圍內指定之所有交易台的內部風險管理模型，經本會確認都合乎質化評估標準。</w:t>
      </w:r>
    </w:p>
    <w:p w14:paraId="79CF4389" w14:textId="77777777" w:rsidR="00922131" w:rsidRPr="00CA1A43" w:rsidRDefault="00922131" w:rsidP="008C0E02">
      <w:pPr>
        <w:pStyle w:val="a7"/>
        <w:numPr>
          <w:ilvl w:val="0"/>
          <w:numId w:val="242"/>
        </w:numPr>
        <w:spacing w:beforeLines="50" w:before="180"/>
        <w:ind w:leftChars="0" w:left="964" w:hanging="482"/>
        <w:jc w:val="both"/>
        <w:rPr>
          <w:rFonts w:eastAsia="標楷體" w:cstheme="minorHAnsi"/>
          <w:szCs w:val="24"/>
        </w:rPr>
      </w:pPr>
      <w:r w:rsidRPr="00CA1A43">
        <w:rPr>
          <w:rFonts w:eastAsia="標楷體" w:cstheme="minorHAnsi"/>
          <w:szCs w:val="24"/>
        </w:rPr>
        <w:t>銀行須依據交易台之定義設立個別交易台，並應取得使用內部模型法</w:t>
      </w:r>
      <w:r w:rsidRPr="00CA1A43">
        <w:rPr>
          <w:rFonts w:eastAsia="標楷體" w:cstheme="minorHAnsi"/>
          <w:szCs w:val="24"/>
        </w:rPr>
        <w:t>(IMA)</w:t>
      </w:r>
      <w:r w:rsidRPr="00CA1A43">
        <w:rPr>
          <w:rFonts w:eastAsia="標楷體" w:cstheme="minorHAnsi"/>
          <w:szCs w:val="24"/>
        </w:rPr>
        <w:t>的核准，及遵循下列規範：</w:t>
      </w:r>
    </w:p>
    <w:p w14:paraId="1F5EDB14" w14:textId="77777777" w:rsidR="00922131" w:rsidRPr="00CA1A43" w:rsidRDefault="00922131" w:rsidP="008C0E02">
      <w:pPr>
        <w:pStyle w:val="a7"/>
        <w:numPr>
          <w:ilvl w:val="0"/>
          <w:numId w:val="243"/>
        </w:numPr>
        <w:spacing w:beforeLines="50" w:before="180"/>
        <w:ind w:leftChars="0" w:left="1446" w:hanging="482"/>
        <w:jc w:val="both"/>
        <w:rPr>
          <w:rFonts w:eastAsia="標楷體" w:cstheme="minorHAnsi"/>
          <w:szCs w:val="24"/>
        </w:rPr>
      </w:pPr>
      <w:r w:rsidRPr="00CA1A43">
        <w:rPr>
          <w:rFonts w:eastAsia="標楷體" w:cstheme="minorHAnsi"/>
          <w:szCs w:val="24"/>
        </w:rPr>
        <w:t>銀行必須明確指定適用內部模型法</w:t>
      </w:r>
      <w:r w:rsidRPr="00CA1A43">
        <w:rPr>
          <w:rFonts w:eastAsia="標楷體" w:cstheme="minorHAnsi"/>
          <w:szCs w:val="24"/>
        </w:rPr>
        <w:t>(IMA)</w:t>
      </w:r>
      <w:r w:rsidRPr="00CA1A43">
        <w:rPr>
          <w:rFonts w:eastAsia="標楷體" w:cstheme="minorHAnsi"/>
          <w:szCs w:val="24"/>
        </w:rPr>
        <w:t>之交易台，並以文件說明適用之依據。</w:t>
      </w:r>
    </w:p>
    <w:p w14:paraId="15074EEF" w14:textId="77777777" w:rsidR="00922131" w:rsidRPr="00CA1A43" w:rsidRDefault="00922131" w:rsidP="008C0E02">
      <w:pPr>
        <w:pStyle w:val="a7"/>
        <w:numPr>
          <w:ilvl w:val="0"/>
          <w:numId w:val="243"/>
        </w:numPr>
        <w:spacing w:beforeLines="50" w:before="180"/>
        <w:ind w:leftChars="0" w:left="1446" w:hanging="482"/>
        <w:jc w:val="both"/>
        <w:rPr>
          <w:rFonts w:eastAsia="標楷體" w:cstheme="minorHAnsi"/>
          <w:szCs w:val="24"/>
        </w:rPr>
      </w:pPr>
      <w:r w:rsidRPr="00CA1A43">
        <w:rPr>
          <w:rFonts w:eastAsia="標楷體" w:cstheme="minorHAnsi"/>
          <w:szCs w:val="24"/>
        </w:rPr>
        <w:t>在計算交易台之資本要求時，若採用標準法計算之結果低於內部模型法</w:t>
      </w:r>
      <w:r w:rsidRPr="00CA1A43">
        <w:rPr>
          <w:rFonts w:eastAsia="標楷體" w:cstheme="minorHAnsi"/>
          <w:szCs w:val="24"/>
        </w:rPr>
        <w:t>(IMA)</w:t>
      </w:r>
      <w:r w:rsidRPr="00CA1A43">
        <w:rPr>
          <w:rFonts w:eastAsia="標楷體" w:cstheme="minorHAnsi"/>
          <w:szCs w:val="24"/>
        </w:rPr>
        <w:t>，銀行不能將該交易台排除適用範圍。</w:t>
      </w:r>
    </w:p>
    <w:p w14:paraId="546BD0EF" w14:textId="77777777" w:rsidR="00922131" w:rsidRPr="00CA1A43" w:rsidRDefault="00922131" w:rsidP="008C0E02">
      <w:pPr>
        <w:pStyle w:val="a7"/>
        <w:numPr>
          <w:ilvl w:val="0"/>
          <w:numId w:val="243"/>
        </w:numPr>
        <w:spacing w:beforeLines="50" w:before="180"/>
        <w:ind w:leftChars="0" w:left="1446" w:hanging="482"/>
        <w:jc w:val="both"/>
        <w:rPr>
          <w:rFonts w:eastAsia="標楷體" w:cstheme="minorHAnsi"/>
          <w:szCs w:val="24"/>
        </w:rPr>
      </w:pPr>
      <w:r w:rsidRPr="00CA1A43">
        <w:rPr>
          <w:rFonts w:eastAsia="標楷體" w:cstheme="minorHAnsi"/>
          <w:szCs w:val="24"/>
        </w:rPr>
        <w:t>對於不適用內部模型法</w:t>
      </w:r>
      <w:r w:rsidRPr="00CA1A43">
        <w:rPr>
          <w:rFonts w:eastAsia="標楷體" w:cstheme="minorHAnsi"/>
          <w:szCs w:val="24"/>
        </w:rPr>
        <w:t>(IMA)</w:t>
      </w:r>
      <w:r w:rsidRPr="00CA1A43">
        <w:rPr>
          <w:rFonts w:eastAsia="標楷體" w:cstheme="minorHAnsi"/>
          <w:szCs w:val="24"/>
        </w:rPr>
        <w:t>之交易台，銀行必須使用標準法計算市場風險資本要求。這些交易台中所持有之部位需與其他所有採用標準法之部位合併，以計算銀行標準法之資本要求。</w:t>
      </w:r>
    </w:p>
    <w:p w14:paraId="473B3DCF" w14:textId="77777777" w:rsidR="00633E44" w:rsidRPr="00CA1A43" w:rsidRDefault="00922131" w:rsidP="008C0E02">
      <w:pPr>
        <w:pStyle w:val="a7"/>
        <w:numPr>
          <w:ilvl w:val="0"/>
          <w:numId w:val="243"/>
        </w:numPr>
        <w:spacing w:beforeLines="50" w:before="180"/>
        <w:ind w:leftChars="0" w:left="1446" w:hanging="482"/>
        <w:jc w:val="both"/>
        <w:rPr>
          <w:rFonts w:eastAsia="標楷體" w:cstheme="minorHAnsi"/>
          <w:kern w:val="0"/>
          <w:szCs w:val="24"/>
        </w:rPr>
      </w:pPr>
      <w:r w:rsidRPr="00CA1A43">
        <w:rPr>
          <w:rFonts w:eastAsia="標楷體" w:cstheme="minorHAnsi"/>
          <w:szCs w:val="24"/>
        </w:rPr>
        <w:t>未被銀行指定為適用內部模型法</w:t>
      </w:r>
      <w:r w:rsidRPr="00CA1A43">
        <w:rPr>
          <w:rFonts w:eastAsia="標楷體" w:cstheme="minorHAnsi"/>
          <w:szCs w:val="24"/>
        </w:rPr>
        <w:t>(IMA)</w:t>
      </w:r>
      <w:r w:rsidRPr="00CA1A43">
        <w:rPr>
          <w:rFonts w:eastAsia="標楷體" w:cstheme="minorHAnsi"/>
          <w:szCs w:val="24"/>
        </w:rPr>
        <w:t>之交易台，在最近一次銀行</w:t>
      </w:r>
      <w:r w:rsidRPr="00CA1A43">
        <w:rPr>
          <w:rFonts w:eastAsia="標楷體" w:cstheme="minorHAnsi"/>
          <w:szCs w:val="24"/>
        </w:rPr>
        <w:lastRenderedPageBreak/>
        <w:t>取得內部模型核准日後至少</w:t>
      </w:r>
      <w:proofErr w:type="gramStart"/>
      <w:r w:rsidRPr="00CA1A43">
        <w:rPr>
          <w:rFonts w:eastAsia="標楷體" w:cstheme="minorHAnsi"/>
          <w:szCs w:val="24"/>
        </w:rPr>
        <w:t>一</w:t>
      </w:r>
      <w:proofErr w:type="gramEnd"/>
      <w:r w:rsidRPr="00CA1A43">
        <w:rPr>
          <w:rFonts w:eastAsia="標楷體" w:cstheme="minorHAnsi"/>
          <w:szCs w:val="24"/>
        </w:rPr>
        <w:t>年內，該交易台不得申請使用內部模型法</w:t>
      </w:r>
      <w:r w:rsidRPr="00CA1A43">
        <w:rPr>
          <w:rFonts w:eastAsia="標楷體" w:cstheme="minorHAnsi"/>
          <w:szCs w:val="24"/>
        </w:rPr>
        <w:t>(IMA)</w:t>
      </w:r>
      <w:r w:rsidRPr="00CA1A43">
        <w:rPr>
          <w:rFonts w:eastAsia="標楷體" w:cstheme="minorHAnsi"/>
          <w:szCs w:val="24"/>
        </w:rPr>
        <w:t>。</w:t>
      </w:r>
    </w:p>
    <w:p w14:paraId="46BF17FF" w14:textId="77777777" w:rsidR="009103C4" w:rsidRPr="00CA1A43" w:rsidRDefault="009103C4" w:rsidP="008C0E02">
      <w:pPr>
        <w:pStyle w:val="a7"/>
        <w:numPr>
          <w:ilvl w:val="0"/>
          <w:numId w:val="242"/>
        </w:numPr>
        <w:spacing w:beforeLines="50" w:before="180"/>
        <w:ind w:leftChars="0" w:left="964" w:hanging="482"/>
        <w:jc w:val="both"/>
        <w:rPr>
          <w:rFonts w:eastAsia="標楷體" w:cstheme="minorHAnsi"/>
          <w:szCs w:val="24"/>
        </w:rPr>
      </w:pPr>
      <w:r w:rsidRPr="00CA1A43">
        <w:rPr>
          <w:rFonts w:eastAsia="標楷體" w:cstheme="minorHAnsi"/>
          <w:szCs w:val="24"/>
        </w:rPr>
        <w:t>以下說明適用內部模型法</w:t>
      </w:r>
      <w:r w:rsidRPr="00CA1A43">
        <w:rPr>
          <w:rFonts w:eastAsia="標楷體" w:cstheme="minorHAnsi"/>
          <w:szCs w:val="24"/>
        </w:rPr>
        <w:t>(IMA)</w:t>
      </w:r>
      <w:r w:rsidRPr="00CA1A43">
        <w:rPr>
          <w:rFonts w:eastAsia="標楷體" w:cstheme="minorHAnsi"/>
          <w:szCs w:val="24"/>
        </w:rPr>
        <w:t>範圍之交易台，以及交易台所涵蓋之風險因子有哪些是適用在計算市場風險資本要求所用之銀行內部預期短缺</w:t>
      </w:r>
      <w:r w:rsidRPr="00CA1A43">
        <w:rPr>
          <w:rFonts w:eastAsia="標楷體" w:cstheme="minorHAnsi"/>
          <w:szCs w:val="24"/>
        </w:rPr>
        <w:t>(ES)</w:t>
      </w:r>
      <w:r w:rsidRPr="00CA1A43">
        <w:rPr>
          <w:rFonts w:eastAsia="標楷體" w:cstheme="minorHAnsi"/>
          <w:szCs w:val="24"/>
        </w:rPr>
        <w:t>模型。</w:t>
      </w:r>
    </w:p>
    <w:p w14:paraId="2C087DC3" w14:textId="77777777" w:rsidR="009103C4" w:rsidRPr="00CA1A43" w:rsidRDefault="009103C4" w:rsidP="008C0E02">
      <w:pPr>
        <w:pStyle w:val="a7"/>
        <w:numPr>
          <w:ilvl w:val="0"/>
          <w:numId w:val="244"/>
        </w:numPr>
        <w:spacing w:beforeLines="50" w:before="180"/>
        <w:ind w:leftChars="0" w:left="1446" w:hanging="482"/>
        <w:jc w:val="both"/>
        <w:rPr>
          <w:rFonts w:eastAsia="標楷體" w:cstheme="minorHAnsi"/>
          <w:szCs w:val="24"/>
        </w:rPr>
      </w:pPr>
      <w:r w:rsidRPr="00CA1A43">
        <w:rPr>
          <w:rFonts w:eastAsia="標楷體" w:cstheme="minorHAnsi"/>
          <w:szCs w:val="24"/>
        </w:rPr>
        <w:t>使用內部模型法來計算市場風險資本要求之</w:t>
      </w:r>
      <w:proofErr w:type="gramStart"/>
      <w:r w:rsidRPr="00CA1A43">
        <w:rPr>
          <w:rFonts w:eastAsia="標楷體" w:cstheme="minorHAnsi"/>
          <w:szCs w:val="24"/>
        </w:rPr>
        <w:t>交易台須持續</w:t>
      </w:r>
      <w:proofErr w:type="gramEnd"/>
      <w:r w:rsidRPr="00CA1A43">
        <w:rPr>
          <w:rFonts w:eastAsia="標楷體" w:cstheme="minorHAnsi"/>
          <w:szCs w:val="24"/>
        </w:rPr>
        <w:t>進行下列事項：</w:t>
      </w:r>
    </w:p>
    <w:p w14:paraId="5CCD596F" w14:textId="77777777" w:rsidR="009103C4" w:rsidRPr="00CA1A43" w:rsidRDefault="009103C4" w:rsidP="008C0E02">
      <w:pPr>
        <w:pStyle w:val="a7"/>
        <w:numPr>
          <w:ilvl w:val="0"/>
          <w:numId w:val="245"/>
        </w:numPr>
        <w:spacing w:beforeLines="50" w:before="180"/>
        <w:ind w:leftChars="0"/>
        <w:jc w:val="both"/>
        <w:rPr>
          <w:rFonts w:eastAsia="標楷體" w:cstheme="minorHAnsi"/>
          <w:szCs w:val="24"/>
        </w:rPr>
      </w:pPr>
      <w:r w:rsidRPr="00CA1A43">
        <w:rPr>
          <w:rFonts w:eastAsia="標楷體" w:cstheme="minorHAnsi"/>
          <w:szCs w:val="24"/>
        </w:rPr>
        <w:t>損益歸因</w:t>
      </w:r>
      <w:r w:rsidRPr="00CA1A43">
        <w:rPr>
          <w:rFonts w:eastAsia="標楷體" w:cstheme="minorHAnsi"/>
          <w:szCs w:val="24"/>
        </w:rPr>
        <w:t>(PLA)</w:t>
      </w:r>
      <w:r w:rsidRPr="00CA1A43">
        <w:rPr>
          <w:rFonts w:eastAsia="標楷體" w:cstheme="minorHAnsi"/>
          <w:szCs w:val="24"/>
        </w:rPr>
        <w:t>測試，以辨識出用來計算市場風險資本要求之風險因子集合。</w:t>
      </w:r>
    </w:p>
    <w:p w14:paraId="4CECEEFC" w14:textId="77777777" w:rsidR="009103C4" w:rsidRPr="00CA1A43" w:rsidRDefault="009103C4" w:rsidP="008C0E02">
      <w:pPr>
        <w:pStyle w:val="a7"/>
        <w:numPr>
          <w:ilvl w:val="0"/>
          <w:numId w:val="245"/>
        </w:numPr>
        <w:spacing w:beforeLines="50" w:before="180"/>
        <w:ind w:leftChars="0"/>
        <w:jc w:val="both"/>
        <w:rPr>
          <w:rFonts w:eastAsia="標楷體" w:cstheme="minorHAnsi"/>
          <w:szCs w:val="24"/>
        </w:rPr>
      </w:pPr>
      <w:r w:rsidRPr="00CA1A43">
        <w:rPr>
          <w:rFonts w:eastAsia="標楷體" w:cstheme="minorHAnsi"/>
          <w:szCs w:val="24"/>
        </w:rPr>
        <w:t>回溯測試，以合格使用內部模型法</w:t>
      </w:r>
      <w:r w:rsidRPr="00CA1A43">
        <w:rPr>
          <w:rFonts w:eastAsia="標楷體" w:cstheme="minorHAnsi"/>
          <w:szCs w:val="24"/>
        </w:rPr>
        <w:t>(IMA)</w:t>
      </w:r>
      <w:r w:rsidRPr="00CA1A43">
        <w:rPr>
          <w:rFonts w:eastAsia="標楷體" w:cstheme="minorHAnsi"/>
          <w:szCs w:val="24"/>
        </w:rPr>
        <w:t>來計算市場風險資本要求。</w:t>
      </w:r>
    </w:p>
    <w:p w14:paraId="38991675" w14:textId="77777777" w:rsidR="009103C4" w:rsidRPr="00CA1A43" w:rsidRDefault="009103C4" w:rsidP="008C0E02">
      <w:pPr>
        <w:pStyle w:val="a7"/>
        <w:numPr>
          <w:ilvl w:val="0"/>
          <w:numId w:val="245"/>
        </w:numPr>
        <w:spacing w:beforeLines="50" w:before="180"/>
        <w:ind w:leftChars="0"/>
        <w:jc w:val="both"/>
        <w:rPr>
          <w:rFonts w:eastAsia="標楷體" w:cstheme="minorHAnsi"/>
          <w:szCs w:val="24"/>
        </w:rPr>
      </w:pPr>
      <w:r w:rsidRPr="00CA1A43">
        <w:rPr>
          <w:rFonts w:eastAsia="標楷體" w:cstheme="minorHAnsi"/>
          <w:szCs w:val="24"/>
        </w:rPr>
        <w:t>每季透過損益歸因</w:t>
      </w:r>
      <w:r w:rsidRPr="00CA1A43">
        <w:rPr>
          <w:rFonts w:eastAsia="標楷體" w:cstheme="minorHAnsi"/>
          <w:szCs w:val="24"/>
        </w:rPr>
        <w:t>(PLA)</w:t>
      </w:r>
      <w:r w:rsidRPr="00CA1A43">
        <w:rPr>
          <w:rFonts w:eastAsia="標楷體" w:cstheme="minorHAnsi"/>
          <w:szCs w:val="24"/>
        </w:rPr>
        <w:t>測試與回溯測試，以檢視損益歸因</w:t>
      </w:r>
      <w:r w:rsidRPr="00CA1A43">
        <w:rPr>
          <w:rFonts w:eastAsia="標楷體" w:cstheme="minorHAnsi"/>
          <w:szCs w:val="24"/>
        </w:rPr>
        <w:t>(PLA)</w:t>
      </w:r>
      <w:r w:rsidRPr="00CA1A43">
        <w:rPr>
          <w:rFonts w:eastAsia="標楷體" w:cstheme="minorHAnsi"/>
          <w:szCs w:val="24"/>
        </w:rPr>
        <w:t>合格性與交易台之分類方式。</w:t>
      </w:r>
    </w:p>
    <w:p w14:paraId="63FF6955" w14:textId="77777777" w:rsidR="009103C4" w:rsidRPr="00CA1A43" w:rsidRDefault="009103C4" w:rsidP="008C0E02">
      <w:pPr>
        <w:pStyle w:val="a7"/>
        <w:numPr>
          <w:ilvl w:val="0"/>
          <w:numId w:val="244"/>
        </w:numPr>
        <w:spacing w:beforeLines="50" w:before="180"/>
        <w:ind w:leftChars="0" w:left="1446" w:hanging="482"/>
        <w:jc w:val="both"/>
        <w:rPr>
          <w:rFonts w:eastAsia="標楷體" w:cstheme="minorHAnsi"/>
          <w:szCs w:val="24"/>
        </w:rPr>
      </w:pPr>
      <w:r w:rsidRPr="00CA1A43">
        <w:rPr>
          <w:rFonts w:eastAsia="標楷體" w:cstheme="minorHAnsi"/>
          <w:szCs w:val="24"/>
        </w:rPr>
        <w:t>符合本計算說明規範之風險因子合格性測試者，須使用預期短缺</w:t>
      </w:r>
      <w:r w:rsidRPr="00CA1A43">
        <w:rPr>
          <w:rFonts w:eastAsia="標楷體" w:cstheme="minorHAnsi"/>
          <w:szCs w:val="24"/>
        </w:rPr>
        <w:t>(ES)</w:t>
      </w:r>
      <w:r w:rsidRPr="00CA1A43">
        <w:rPr>
          <w:rFonts w:eastAsia="標楷體" w:cstheme="minorHAnsi"/>
          <w:szCs w:val="24"/>
        </w:rPr>
        <w:t>模型來計算市場風險資本要求。</w:t>
      </w:r>
    </w:p>
    <w:p w14:paraId="5878D21F" w14:textId="77777777" w:rsidR="00633E44" w:rsidRPr="00CA1A43" w:rsidRDefault="009103C4" w:rsidP="008C0E02">
      <w:pPr>
        <w:pStyle w:val="a7"/>
        <w:numPr>
          <w:ilvl w:val="0"/>
          <w:numId w:val="244"/>
        </w:numPr>
        <w:spacing w:beforeLines="50" w:before="180"/>
        <w:ind w:leftChars="0" w:left="1446" w:hanging="482"/>
        <w:jc w:val="both"/>
        <w:rPr>
          <w:rFonts w:eastAsia="標楷體" w:cstheme="minorHAnsi"/>
          <w:kern w:val="0"/>
          <w:szCs w:val="24"/>
        </w:rPr>
      </w:pPr>
      <w:r w:rsidRPr="00CA1A43">
        <w:rPr>
          <w:rFonts w:eastAsia="標楷體" w:cstheme="minorHAnsi"/>
          <w:szCs w:val="24"/>
        </w:rPr>
        <w:t>不符合本計算說明規範之風險因子合格性測試，計算市場風險資本要求必須使用壓力預期短缺</w:t>
      </w:r>
      <w:r w:rsidRPr="00CA1A43">
        <w:rPr>
          <w:rFonts w:eastAsia="標楷體" w:cstheme="minorHAnsi"/>
          <w:szCs w:val="24"/>
        </w:rPr>
        <w:t>(SES)</w:t>
      </w:r>
      <w:r w:rsidRPr="00CA1A43">
        <w:rPr>
          <w:rFonts w:eastAsia="標楷體" w:cstheme="minorHAnsi"/>
          <w:szCs w:val="24"/>
        </w:rPr>
        <w:t>模型。</w:t>
      </w:r>
    </w:p>
    <w:p w14:paraId="2E21CCD9" w14:textId="77777777" w:rsidR="00C46534" w:rsidRPr="00CA1A43" w:rsidRDefault="00C46534" w:rsidP="001E691F">
      <w:pPr>
        <w:pStyle w:val="a7"/>
        <w:numPr>
          <w:ilvl w:val="0"/>
          <w:numId w:val="246"/>
        </w:numPr>
        <w:spacing w:beforeLines="50" w:before="180"/>
        <w:ind w:leftChars="0" w:left="737" w:hanging="737"/>
        <w:jc w:val="both"/>
        <w:outlineLvl w:val="0"/>
        <w:rPr>
          <w:rFonts w:eastAsia="標楷體" w:cstheme="minorHAnsi"/>
        </w:rPr>
      </w:pPr>
      <w:bookmarkStart w:id="23" w:name="_Toc67992463"/>
      <w:r w:rsidRPr="00CA1A43">
        <w:rPr>
          <w:rFonts w:eastAsia="標楷體" w:cstheme="minorHAnsi"/>
        </w:rPr>
        <w:t>質化標準</w:t>
      </w:r>
      <w:bookmarkEnd w:id="23"/>
    </w:p>
    <w:p w14:paraId="61BC75A6" w14:textId="77777777" w:rsidR="00633E44" w:rsidRPr="00CA1A43" w:rsidRDefault="00C46534" w:rsidP="00C36477">
      <w:pPr>
        <w:spacing w:beforeLines="50" w:before="180"/>
        <w:ind w:left="737"/>
        <w:jc w:val="both"/>
        <w:rPr>
          <w:rFonts w:eastAsia="標楷體" w:cstheme="minorHAnsi"/>
          <w:kern w:val="0"/>
          <w:szCs w:val="24"/>
        </w:rPr>
      </w:pPr>
      <w:r w:rsidRPr="00CA1A43">
        <w:rPr>
          <w:rFonts w:eastAsia="標楷體" w:cstheme="minorHAnsi"/>
          <w:szCs w:val="24"/>
        </w:rPr>
        <w:t>為了用內部模型法</w:t>
      </w:r>
      <w:r w:rsidRPr="00CA1A43">
        <w:rPr>
          <w:rFonts w:eastAsia="標楷體" w:cstheme="minorHAnsi"/>
          <w:szCs w:val="24"/>
        </w:rPr>
        <w:t>(IMA)</w:t>
      </w:r>
      <w:r w:rsidRPr="00CA1A43">
        <w:rPr>
          <w:rFonts w:eastAsia="標楷體" w:cstheme="minorHAnsi"/>
          <w:szCs w:val="24"/>
        </w:rPr>
        <w:t>計算市場風險資本要求，銀行必須具備健全且有效落實執行的市場風險管理制度，並符合下列質化標準。</w:t>
      </w:r>
    </w:p>
    <w:p w14:paraId="15FA52D3" w14:textId="77777777" w:rsidR="00C46534" w:rsidRPr="00CA1A43" w:rsidRDefault="00C46534"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應具有獨立之風險管理單位，負責規劃及執行市場風險管理制度。風險管理單位應每日就交易台之風險管理模型產出之資料製作報表及分析，其內容應</w:t>
      </w:r>
      <w:proofErr w:type="gramStart"/>
      <w:r w:rsidRPr="00CA1A43">
        <w:rPr>
          <w:rFonts w:eastAsia="標楷體" w:cstheme="minorHAnsi"/>
          <w:szCs w:val="24"/>
        </w:rPr>
        <w:t>包含暴險衡量</w:t>
      </w:r>
      <w:proofErr w:type="gramEnd"/>
      <w:r w:rsidRPr="00CA1A43">
        <w:rPr>
          <w:rFonts w:eastAsia="標楷體" w:cstheme="minorHAnsi"/>
          <w:szCs w:val="24"/>
        </w:rPr>
        <w:t>結果與交易限額間之關係的評估。風險管理單位必須獨立於交易單位，並應直接向高階管理階層報告。</w:t>
      </w:r>
    </w:p>
    <w:p w14:paraId="3F48233F" w14:textId="77777777" w:rsidR="00C46534" w:rsidRPr="00CA1A43" w:rsidRDefault="00C46534"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風險管理單位必須定期於交易台層級執行回溯測試與損益歸因</w:t>
      </w:r>
      <w:r w:rsidRPr="00CA1A43">
        <w:rPr>
          <w:rFonts w:eastAsia="標楷體" w:cstheme="minorHAnsi"/>
          <w:szCs w:val="24"/>
        </w:rPr>
        <w:t>(PLA)</w:t>
      </w:r>
      <w:r w:rsidRPr="00CA1A43">
        <w:rPr>
          <w:rFonts w:eastAsia="標楷體" w:cstheme="minorHAnsi"/>
          <w:szCs w:val="24"/>
        </w:rPr>
        <w:t>評估。須定期針對計算市場風險資本要求所用之全行層級內部模型進行回溯測試。</w:t>
      </w:r>
    </w:p>
    <w:p w14:paraId="4D7D0360" w14:textId="77777777" w:rsidR="00C46534" w:rsidRPr="00CA1A43" w:rsidRDefault="00C46534"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有別於規劃與導入內部模型之單位，須由獨立之單位，針對計算市場風險資本要求的所有內部模型進行建置時及正式使用後之持續驗證，該模型驗證單位每年至少一次驗證所有用於內部模型法</w:t>
      </w:r>
      <w:r w:rsidRPr="00CA1A43">
        <w:rPr>
          <w:rFonts w:eastAsia="標楷體" w:cstheme="minorHAnsi"/>
          <w:szCs w:val="24"/>
        </w:rPr>
        <w:t>(IMA)</w:t>
      </w:r>
      <w:r w:rsidRPr="00CA1A43">
        <w:rPr>
          <w:rFonts w:eastAsia="標楷體" w:cstheme="minorHAnsi"/>
          <w:szCs w:val="24"/>
        </w:rPr>
        <w:t>的內部模型。</w:t>
      </w:r>
    </w:p>
    <w:p w14:paraId="4FF74B65" w14:textId="77777777" w:rsidR="00C46534" w:rsidRPr="00CA1A43" w:rsidRDefault="00C46534"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董事會和高階管理階層必須積極參與風險控管過程，並於風險控管配置適當資源作為業務的重要方針。</w:t>
      </w:r>
      <w:r w:rsidRPr="00CA1A43">
        <w:rPr>
          <w:rFonts w:eastAsia="標楷體" w:cstheme="minorHAnsi"/>
          <w:sz w:val="23"/>
          <w:szCs w:val="23"/>
        </w:rPr>
        <w:t>風險管理單位每日提報之報告，必須經由適當</w:t>
      </w:r>
      <w:r w:rsidRPr="00CA1A43">
        <w:rPr>
          <w:rFonts w:eastAsia="標楷體" w:cstheme="minorHAnsi"/>
          <w:sz w:val="23"/>
          <w:szCs w:val="23"/>
        </w:rPr>
        <w:lastRenderedPageBreak/>
        <w:t>授權之高階主管核</w:t>
      </w:r>
      <w:proofErr w:type="gramStart"/>
      <w:r w:rsidRPr="00CA1A43">
        <w:rPr>
          <w:rFonts w:eastAsia="標楷體" w:cstheme="minorHAnsi"/>
          <w:sz w:val="23"/>
          <w:szCs w:val="23"/>
        </w:rPr>
        <w:t>閱</w:t>
      </w:r>
      <w:proofErr w:type="gramEnd"/>
      <w:r w:rsidRPr="00CA1A43">
        <w:rPr>
          <w:rFonts w:eastAsia="標楷體" w:cstheme="minorHAnsi"/>
          <w:sz w:val="23"/>
          <w:szCs w:val="23"/>
        </w:rPr>
        <w:t>；該高階主管必要時得立即調降交易員及銀行整體之風險部位。</w:t>
      </w:r>
    </w:p>
    <w:p w14:paraId="5D145382" w14:textId="77777777" w:rsidR="00C46534" w:rsidRPr="00CA1A43" w:rsidRDefault="00C46534"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市場風險資本要求使用之內部模型可能和每日內部風險管理所使用之內部模型有所差異。然而對於市場風險資本要求模型及內部風險管理模型之下列元素應該是相同的。</w:t>
      </w:r>
    </w:p>
    <w:p w14:paraId="6FD478B1" w14:textId="77777777" w:rsidR="00692804" w:rsidRPr="00CA1A43" w:rsidRDefault="00692804" w:rsidP="008C0E02">
      <w:pPr>
        <w:pStyle w:val="a7"/>
        <w:numPr>
          <w:ilvl w:val="0"/>
          <w:numId w:val="248"/>
        </w:numPr>
        <w:spacing w:beforeLines="50" w:before="180"/>
        <w:ind w:leftChars="0" w:left="964" w:hanging="482"/>
        <w:jc w:val="both"/>
        <w:rPr>
          <w:rFonts w:eastAsia="標楷體" w:cstheme="minorHAnsi"/>
          <w:szCs w:val="24"/>
        </w:rPr>
      </w:pPr>
      <w:r w:rsidRPr="00CA1A43">
        <w:rPr>
          <w:rFonts w:eastAsia="標楷體" w:cstheme="minorHAnsi"/>
          <w:szCs w:val="24"/>
        </w:rPr>
        <w:t>兩種模型的評價模型應該是類似的且必須是用於內部辨識、衡量、管理與報告交易台內的價格風險。</w:t>
      </w:r>
    </w:p>
    <w:p w14:paraId="45270FAB" w14:textId="77777777" w:rsidR="00692804" w:rsidRPr="00CA1A43" w:rsidRDefault="00692804" w:rsidP="008C0E02">
      <w:pPr>
        <w:pStyle w:val="a7"/>
        <w:numPr>
          <w:ilvl w:val="0"/>
          <w:numId w:val="248"/>
        </w:numPr>
        <w:spacing w:beforeLines="50" w:before="180"/>
        <w:ind w:leftChars="0" w:left="964" w:hanging="482"/>
        <w:jc w:val="both"/>
        <w:rPr>
          <w:rFonts w:eastAsia="標楷體" w:cstheme="minorHAnsi"/>
          <w:szCs w:val="24"/>
        </w:rPr>
      </w:pPr>
      <w:r w:rsidRPr="00CA1A43">
        <w:rPr>
          <w:rFonts w:eastAsia="標楷體" w:cstheme="minorHAnsi"/>
          <w:szCs w:val="24"/>
        </w:rPr>
        <w:t>雖然內部風險管理模型可評估更廣泛的部位，但至少應該用它來評估被要求市場風險資本需求部位之風險。</w:t>
      </w:r>
    </w:p>
    <w:p w14:paraId="0690E638" w14:textId="77777777" w:rsidR="00692804" w:rsidRPr="00CA1A43" w:rsidRDefault="00692804" w:rsidP="008C0E02">
      <w:pPr>
        <w:pStyle w:val="a7"/>
        <w:numPr>
          <w:ilvl w:val="0"/>
          <w:numId w:val="248"/>
        </w:numPr>
        <w:spacing w:beforeLines="50" w:before="180"/>
        <w:ind w:leftChars="0" w:left="964" w:hanging="482"/>
        <w:jc w:val="both"/>
        <w:rPr>
          <w:rFonts w:eastAsia="標楷體" w:cstheme="minorHAnsi"/>
          <w:szCs w:val="24"/>
        </w:rPr>
      </w:pPr>
      <w:r w:rsidRPr="00CA1A43">
        <w:rPr>
          <w:rFonts w:eastAsia="標楷體" w:cstheme="minorHAnsi"/>
          <w:szCs w:val="24"/>
        </w:rPr>
        <w:t>建構交易台風險管理模型必須基於內部風險管理模型之方法中，與辨識風險因子、估計參數以及替代變數之概念有關，且只有因監管限制造成的差異是可被接受的。市場風險資本計提模型與內部風險管理模型應有相同之風險因子。</w:t>
      </w:r>
    </w:p>
    <w:p w14:paraId="7FDCB6AD" w14:textId="77777777" w:rsidR="00692804" w:rsidRPr="00CA1A43" w:rsidRDefault="00692804"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須定期執行嚴謹之壓力測試，且壓力測試之結果必須至少每月由高階管理階層審閱，並用來內部評估資本適足性，及反應管理階層與董事會所制定之政策與限額。</w:t>
      </w:r>
    </w:p>
    <w:p w14:paraId="5158FDDD" w14:textId="77777777" w:rsidR="00F06913" w:rsidRPr="00CA1A43" w:rsidRDefault="00F06913"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如果壓力測試顯示在給定情況下特別脆弱，必須採取即時之措施以適當地降低這些風險</w:t>
      </w:r>
      <w:r w:rsidRPr="00CA1A43">
        <w:rPr>
          <w:rFonts w:eastAsia="標楷體" w:cstheme="minorHAnsi"/>
          <w:sz w:val="23"/>
          <w:szCs w:val="23"/>
        </w:rPr>
        <w:t>(</w:t>
      </w:r>
      <w:r w:rsidRPr="00CA1A43">
        <w:rPr>
          <w:rFonts w:eastAsia="標楷體" w:cstheme="minorHAnsi"/>
          <w:sz w:val="23"/>
          <w:szCs w:val="23"/>
        </w:rPr>
        <w:t>如進行避險、</w:t>
      </w:r>
      <w:proofErr w:type="gramStart"/>
      <w:r w:rsidRPr="00CA1A43">
        <w:rPr>
          <w:rFonts w:eastAsia="標楷體" w:cstheme="minorHAnsi"/>
          <w:sz w:val="23"/>
          <w:szCs w:val="23"/>
        </w:rPr>
        <w:t>調降暴險規模</w:t>
      </w:r>
      <w:proofErr w:type="gramEnd"/>
      <w:r w:rsidRPr="00CA1A43">
        <w:rPr>
          <w:rFonts w:eastAsia="標楷體" w:cstheme="minorHAnsi"/>
          <w:sz w:val="23"/>
          <w:szCs w:val="23"/>
        </w:rPr>
        <w:t>，或增加資本</w:t>
      </w:r>
      <w:r w:rsidRPr="00CA1A43">
        <w:rPr>
          <w:rFonts w:eastAsia="標楷體" w:cstheme="minorHAnsi"/>
          <w:sz w:val="23"/>
          <w:szCs w:val="23"/>
        </w:rPr>
        <w:t>)</w:t>
      </w:r>
      <w:r w:rsidRPr="00CA1A43">
        <w:rPr>
          <w:rFonts w:eastAsia="標楷體" w:cstheme="minorHAnsi"/>
          <w:sz w:val="23"/>
          <w:szCs w:val="23"/>
        </w:rPr>
        <w:t>。</w:t>
      </w:r>
    </w:p>
    <w:p w14:paraId="5E0FDA3B" w14:textId="77777777" w:rsidR="00F06913" w:rsidRPr="00CA1A43" w:rsidRDefault="00F06913"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必須有用於遵循與內部市場風險管理模型運作相關之內部</w:t>
      </w:r>
      <w:r w:rsidRPr="00CA1A43">
        <w:rPr>
          <w:rFonts w:eastAsia="標楷體" w:cstheme="minorHAnsi"/>
          <w:sz w:val="23"/>
          <w:szCs w:val="23"/>
        </w:rPr>
        <w:t>政策</w:t>
      </w:r>
      <w:r w:rsidRPr="00CA1A43">
        <w:rPr>
          <w:rFonts w:eastAsia="標楷體" w:cstheme="minorHAnsi"/>
          <w:szCs w:val="24"/>
        </w:rPr>
        <w:t>、內部控制和作業流程等規範。風險管理模型應具備完整書面文件，包括描述風險管理模型的基本原則，及用以衡量市場風險實證技術的詳細說明之全面性風險管理手冊。</w:t>
      </w:r>
    </w:p>
    <w:p w14:paraId="2133E632" w14:textId="77777777" w:rsidR="00F06913" w:rsidRPr="00CA1A43" w:rsidRDefault="00F06913"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計算市場風險資本要求之內部模型，在進行任何重大變更前，須經本會核准。</w:t>
      </w:r>
    </w:p>
    <w:p w14:paraId="5F12E10E" w14:textId="77777777" w:rsidR="00F06913" w:rsidRPr="00CA1A43" w:rsidRDefault="00F06913"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市場風險資本要求之內部模型必須涵蓋模型應用範圍內的全部部位。所有模型的風險衡量必須基於合理的理論基礎，運算正確與精確的陳報。</w:t>
      </w:r>
    </w:p>
    <w:p w14:paraId="7250CE91" w14:textId="77777777" w:rsidR="00F06913" w:rsidRPr="00CA1A43" w:rsidRDefault="00F06913" w:rsidP="008C0E02">
      <w:pPr>
        <w:pStyle w:val="a7"/>
        <w:numPr>
          <w:ilvl w:val="0"/>
          <w:numId w:val="247"/>
        </w:numPr>
        <w:spacing w:beforeLines="50" w:before="180"/>
        <w:ind w:leftChars="0" w:left="737" w:hanging="737"/>
        <w:jc w:val="both"/>
        <w:rPr>
          <w:rFonts w:eastAsia="標楷體" w:cstheme="minorHAnsi"/>
          <w:szCs w:val="24"/>
        </w:rPr>
      </w:pPr>
      <w:r w:rsidRPr="00CA1A43">
        <w:rPr>
          <w:rFonts w:eastAsia="標楷體" w:cstheme="minorHAnsi"/>
          <w:szCs w:val="24"/>
        </w:rPr>
        <w:t>內部稽核和驗證單位或外部查核單位應每年至少一次對市場風險衡量系統進行獨立審查。獨立審查範圍必須包括交易業務單位和獨立風險管理單位的運作。獨立審查必須充份詳細，以確切了解缺失對交易台的影響，其範圍至少必須包括以下內容：</w:t>
      </w:r>
    </w:p>
    <w:p w14:paraId="211193E1"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風險管理單位之組織架構；</w:t>
      </w:r>
    </w:p>
    <w:p w14:paraId="3A62D450"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風險管理模型和流程的文件妥適性；</w:t>
      </w:r>
    </w:p>
    <w:p w14:paraId="7C77D607"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lastRenderedPageBreak/>
        <w:t>市場風險管理模型之準確性及適當性</w:t>
      </w:r>
      <w:r w:rsidRPr="00CA1A43">
        <w:rPr>
          <w:rFonts w:eastAsia="標楷體" w:cstheme="minorHAnsi"/>
          <w:szCs w:val="24"/>
        </w:rPr>
        <w:t>(</w:t>
      </w:r>
      <w:r w:rsidRPr="00CA1A43">
        <w:rPr>
          <w:rFonts w:eastAsia="標楷體" w:cstheme="minorHAnsi"/>
          <w:szCs w:val="24"/>
        </w:rPr>
        <w:t>包含任何顯著的變動</w:t>
      </w:r>
      <w:r w:rsidRPr="00CA1A43">
        <w:rPr>
          <w:rFonts w:eastAsia="標楷體" w:cstheme="minorHAnsi"/>
          <w:szCs w:val="24"/>
        </w:rPr>
        <w:t>)</w:t>
      </w:r>
      <w:r w:rsidRPr="00CA1A43">
        <w:rPr>
          <w:rFonts w:eastAsia="標楷體" w:cstheme="minorHAnsi"/>
          <w:szCs w:val="24"/>
        </w:rPr>
        <w:t>；</w:t>
      </w:r>
    </w:p>
    <w:p w14:paraId="1C5ACA00"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執行內部風險衡量模型所使用之資料來源具一致性、時效性、可靠性及獨立性之驗證；</w:t>
      </w:r>
    </w:p>
    <w:p w14:paraId="6204146D"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前台、中台及後台人員所使用風險評價模型及評價方法之核准程序；</w:t>
      </w:r>
    </w:p>
    <w:p w14:paraId="51907CCD"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交易台風險管理模型所衡量之市場風險範圍；</w:t>
      </w:r>
    </w:p>
    <w:p w14:paraId="2F10B132"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資料管理系統之可靠性；</w:t>
      </w:r>
    </w:p>
    <w:p w14:paraId="2E6A9425"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部位資料之正確性與完整性；</w:t>
      </w:r>
    </w:p>
    <w:p w14:paraId="49C22622"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風險管理模型中各風險因子波動率、相關係數假設以及模型參數設定之正確性及適當性；</w:t>
      </w:r>
    </w:p>
    <w:p w14:paraId="383DC643"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評價及風險轉換計算之精確性；</w:t>
      </w:r>
    </w:p>
    <w:p w14:paraId="34EBBF00"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透過定期回溯測試及損益歸因</w:t>
      </w:r>
      <w:r w:rsidRPr="00CA1A43">
        <w:rPr>
          <w:rFonts w:eastAsia="標楷體" w:cstheme="minorHAnsi"/>
          <w:szCs w:val="24"/>
        </w:rPr>
        <w:t>(PLA)</w:t>
      </w:r>
      <w:r w:rsidRPr="00CA1A43">
        <w:rPr>
          <w:rFonts w:eastAsia="標楷體" w:cstheme="minorHAnsi"/>
          <w:szCs w:val="24"/>
        </w:rPr>
        <w:t>驗證交易台風險管理模型之精確性；</w:t>
      </w:r>
    </w:p>
    <w:p w14:paraId="530B217D" w14:textId="77777777" w:rsidR="00141579" w:rsidRPr="00CA1A43" w:rsidRDefault="00141579" w:rsidP="008C0E02">
      <w:pPr>
        <w:pStyle w:val="a7"/>
        <w:numPr>
          <w:ilvl w:val="0"/>
          <w:numId w:val="249"/>
        </w:numPr>
        <w:spacing w:beforeLines="50" w:before="180"/>
        <w:ind w:leftChars="0" w:left="964" w:hanging="482"/>
        <w:jc w:val="both"/>
        <w:rPr>
          <w:rFonts w:eastAsia="標楷體" w:cstheme="minorHAnsi"/>
          <w:szCs w:val="24"/>
        </w:rPr>
      </w:pPr>
      <w:r w:rsidRPr="00CA1A43">
        <w:rPr>
          <w:rFonts w:eastAsia="標楷體" w:cstheme="minorHAnsi"/>
          <w:szCs w:val="24"/>
        </w:rPr>
        <w:t>計算市場風險資本計提的模型與日常內部管理運作中使用模型間之一致性。</w:t>
      </w:r>
    </w:p>
    <w:p w14:paraId="6D10A4FB" w14:textId="77777777" w:rsidR="00393431" w:rsidRPr="00CA1A43" w:rsidRDefault="00393431" w:rsidP="001E691F">
      <w:pPr>
        <w:pStyle w:val="a7"/>
        <w:numPr>
          <w:ilvl w:val="0"/>
          <w:numId w:val="246"/>
        </w:numPr>
        <w:spacing w:beforeLines="50" w:before="180"/>
        <w:ind w:leftChars="0" w:left="737" w:hanging="737"/>
        <w:jc w:val="both"/>
        <w:outlineLvl w:val="0"/>
        <w:rPr>
          <w:rFonts w:eastAsia="標楷體" w:cstheme="minorHAnsi"/>
        </w:rPr>
      </w:pPr>
      <w:bookmarkStart w:id="24" w:name="_Toc67992464"/>
      <w:r w:rsidRPr="00CA1A43">
        <w:rPr>
          <w:rFonts w:eastAsia="標楷體" w:cstheme="minorHAnsi"/>
        </w:rPr>
        <w:t>模型驗證標準</w:t>
      </w:r>
      <w:bookmarkEnd w:id="24"/>
    </w:p>
    <w:p w14:paraId="32961297" w14:textId="77777777" w:rsidR="00393431" w:rsidRPr="00CA1A43" w:rsidRDefault="00393431" w:rsidP="005B14E9">
      <w:pPr>
        <w:spacing w:beforeLines="50" w:before="180"/>
        <w:ind w:left="737"/>
        <w:jc w:val="both"/>
        <w:rPr>
          <w:rFonts w:eastAsia="標楷體" w:cstheme="minorHAnsi"/>
          <w:szCs w:val="24"/>
        </w:rPr>
      </w:pPr>
      <w:r w:rsidRPr="00CA1A43">
        <w:rPr>
          <w:rFonts w:eastAsia="標楷體" w:cstheme="minorHAnsi"/>
        </w:rPr>
        <w:t>銀行必須</w:t>
      </w:r>
      <w:r w:rsidRPr="00CA1A43">
        <w:rPr>
          <w:rFonts w:eastAsia="標楷體" w:cstheme="minorHAnsi"/>
          <w:szCs w:val="24"/>
        </w:rPr>
        <w:t>確保</w:t>
      </w:r>
      <w:r w:rsidRPr="00CA1A43">
        <w:rPr>
          <w:rFonts w:eastAsia="標楷體" w:cstheme="minorHAnsi"/>
        </w:rPr>
        <w:t>內部</w:t>
      </w:r>
      <w:r w:rsidRPr="00CA1A43">
        <w:rPr>
          <w:rFonts w:eastAsia="標楷體" w:cstheme="minorHAnsi"/>
          <w:szCs w:val="24"/>
        </w:rPr>
        <w:t>模型</w:t>
      </w:r>
      <w:r w:rsidRPr="00CA1A43">
        <w:rPr>
          <w:rFonts w:eastAsia="標楷體" w:cstheme="minorHAnsi"/>
        </w:rPr>
        <w:t>由獨立於開發過程外的合格單位進行驗證，以確保每</w:t>
      </w:r>
      <w:proofErr w:type="gramStart"/>
      <w:r w:rsidRPr="00CA1A43">
        <w:rPr>
          <w:rFonts w:eastAsia="標楷體" w:cstheme="minorHAnsi"/>
        </w:rPr>
        <w:t>個</w:t>
      </w:r>
      <w:proofErr w:type="gramEnd"/>
      <w:r w:rsidRPr="00CA1A43">
        <w:rPr>
          <w:rFonts w:eastAsia="標楷體" w:cstheme="minorHAnsi"/>
        </w:rPr>
        <w:t>模型是健全的，</w:t>
      </w:r>
      <w:proofErr w:type="gramStart"/>
      <w:r w:rsidRPr="00CA1A43">
        <w:rPr>
          <w:rFonts w:eastAsia="標楷體" w:cstheme="minorHAnsi"/>
        </w:rPr>
        <w:t>且妥適</w:t>
      </w:r>
      <w:proofErr w:type="gramEnd"/>
      <w:r w:rsidRPr="00CA1A43">
        <w:rPr>
          <w:rFonts w:eastAsia="標楷體" w:cstheme="minorHAnsi"/>
        </w:rPr>
        <w:t>地反應所有風險。模型驗證必須在模型建置時及當有重大變更時執行。銀行必須每年至少一次驗證模型，特別是市場有結構性變化或銀行投資組合變化造成模型可能不再適用時。模型驗證必須執行</w:t>
      </w:r>
      <w:r w:rsidRPr="00CA1A43">
        <w:rPr>
          <w:rFonts w:eastAsia="標楷體" w:cstheme="minorHAnsi"/>
          <w:szCs w:val="24"/>
        </w:rPr>
        <w:t>損益歸因測試</w:t>
      </w:r>
      <w:r w:rsidRPr="00CA1A43">
        <w:rPr>
          <w:rFonts w:eastAsia="標楷體" w:cstheme="minorHAnsi"/>
        </w:rPr>
        <w:t>及回溯測試，另應至少包含以下內容：</w:t>
      </w:r>
    </w:p>
    <w:p w14:paraId="425409CA" w14:textId="77777777" w:rsidR="00E55A2B" w:rsidRPr="00CA1A43" w:rsidRDefault="00E55A2B" w:rsidP="008C0E02">
      <w:pPr>
        <w:pStyle w:val="a7"/>
        <w:numPr>
          <w:ilvl w:val="0"/>
          <w:numId w:val="250"/>
        </w:numPr>
        <w:spacing w:beforeLines="50" w:before="180"/>
        <w:ind w:leftChars="0" w:left="737" w:hanging="737"/>
        <w:jc w:val="both"/>
        <w:rPr>
          <w:rFonts w:eastAsia="標楷體" w:cstheme="minorHAnsi"/>
          <w:szCs w:val="24"/>
        </w:rPr>
      </w:pPr>
      <w:r w:rsidRPr="00CA1A43">
        <w:rPr>
          <w:rFonts w:eastAsia="標楷體" w:cstheme="minorHAnsi"/>
        </w:rPr>
        <w:t>測試</w:t>
      </w:r>
      <w:r w:rsidRPr="00CA1A43">
        <w:rPr>
          <w:rFonts w:eastAsia="標楷體" w:cstheme="minorHAnsi"/>
          <w:szCs w:val="24"/>
        </w:rPr>
        <w:t>證明</w:t>
      </w:r>
      <w:r w:rsidRPr="00CA1A43">
        <w:rPr>
          <w:rFonts w:eastAsia="標楷體" w:cstheme="minorHAnsi"/>
        </w:rPr>
        <w:t>內</w:t>
      </w:r>
      <w:r w:rsidRPr="00CA1A43">
        <w:rPr>
          <w:rFonts w:eastAsia="標楷體" w:cstheme="minorHAnsi"/>
          <w:szCs w:val="24"/>
        </w:rPr>
        <w:t>部模型之</w:t>
      </w:r>
      <w:r w:rsidRPr="00CA1A43">
        <w:rPr>
          <w:rFonts w:eastAsia="標楷體" w:cstheme="minorHAnsi"/>
        </w:rPr>
        <w:t>任何</w:t>
      </w:r>
      <w:r w:rsidRPr="00CA1A43">
        <w:rPr>
          <w:rFonts w:eastAsia="標楷體" w:cstheme="minorHAnsi"/>
          <w:szCs w:val="24"/>
        </w:rPr>
        <w:t>假設是妥適，且無低估風險之情形，至少包含審視常態分配假設及任何評價模型的適當性。</w:t>
      </w:r>
    </w:p>
    <w:p w14:paraId="2D08698B" w14:textId="77777777" w:rsidR="00E55A2B" w:rsidRPr="00CA1A43" w:rsidRDefault="00E55A2B" w:rsidP="008C0E02">
      <w:pPr>
        <w:pStyle w:val="a7"/>
        <w:numPr>
          <w:ilvl w:val="0"/>
          <w:numId w:val="250"/>
        </w:numPr>
        <w:spacing w:beforeLines="50" w:before="180"/>
        <w:ind w:leftChars="0" w:left="737" w:hanging="737"/>
        <w:jc w:val="both"/>
        <w:rPr>
          <w:rFonts w:eastAsia="標楷體" w:cstheme="minorHAnsi"/>
        </w:rPr>
      </w:pPr>
      <w:r w:rsidRPr="00CA1A43">
        <w:rPr>
          <w:rFonts w:eastAsia="標楷體" w:cstheme="minorHAnsi"/>
        </w:rPr>
        <w:t>除執行本計算說明所訂定之回溯測試外，模型驗證必須評估假設損益</w:t>
      </w:r>
      <w:r w:rsidRPr="00CA1A43">
        <w:rPr>
          <w:rFonts w:eastAsia="標楷體" w:cstheme="minorHAnsi"/>
        </w:rPr>
        <w:t>(HPL)</w:t>
      </w:r>
      <w:r w:rsidRPr="00CA1A43">
        <w:rPr>
          <w:rFonts w:eastAsia="標楷體" w:cstheme="minorHAnsi"/>
        </w:rPr>
        <w:t>之計算方法。</w:t>
      </w:r>
    </w:p>
    <w:p w14:paraId="36C5C733" w14:textId="5B3E3170" w:rsidR="00E55A2B" w:rsidRPr="00CA1A43" w:rsidRDefault="00E55A2B" w:rsidP="008C0E02">
      <w:pPr>
        <w:pStyle w:val="a7"/>
        <w:numPr>
          <w:ilvl w:val="0"/>
          <w:numId w:val="250"/>
        </w:numPr>
        <w:spacing w:beforeLines="50" w:before="180"/>
        <w:ind w:leftChars="0" w:left="737" w:hanging="737"/>
        <w:jc w:val="both"/>
        <w:rPr>
          <w:rFonts w:eastAsia="標楷體" w:cstheme="minorHAnsi"/>
        </w:rPr>
      </w:pPr>
      <w:r w:rsidRPr="00CA1A43">
        <w:rPr>
          <w:rFonts w:eastAsia="標楷體" w:cstheme="minorHAnsi"/>
        </w:rPr>
        <w:t>銀行必須使用假設的投資組合進行測試以確保內部模型能夠解釋特定之結構特徵</w:t>
      </w:r>
      <w:r w:rsidRPr="00CA1A43">
        <w:rPr>
          <w:rFonts w:eastAsia="標楷體" w:cstheme="minorHAnsi"/>
          <w:kern w:val="0"/>
          <w:sz w:val="23"/>
          <w:szCs w:val="23"/>
        </w:rPr>
        <w:t>，例如：</w:t>
      </w:r>
      <w:r w:rsidRPr="00CA1A43">
        <w:rPr>
          <w:rFonts w:eastAsia="標楷體" w:cstheme="minorHAnsi"/>
        </w:rPr>
        <w:t>當特定</w:t>
      </w:r>
      <w:r w:rsidR="009653EE" w:rsidRPr="00F466FD">
        <w:rPr>
          <w:rFonts w:eastAsia="標楷體" w:cstheme="minorHAnsi"/>
        </w:rPr>
        <w:t>工具</w:t>
      </w:r>
      <w:r w:rsidRPr="00F466FD">
        <w:rPr>
          <w:rFonts w:eastAsia="標楷體" w:cstheme="minorHAnsi"/>
        </w:rPr>
        <w:t>的</w:t>
      </w:r>
      <w:r w:rsidRPr="00CA1A43">
        <w:rPr>
          <w:rFonts w:eastAsia="標楷體" w:cstheme="minorHAnsi"/>
        </w:rPr>
        <w:t>歷史資料不符合量化標準且銀行以替代變數計算這些部位，則銀行必須確保這些替代變數在相關市場情境下產出較為保守的結果以確保：</w:t>
      </w:r>
    </w:p>
    <w:p w14:paraId="5C77B0DD" w14:textId="77777777" w:rsidR="00E55A2B" w:rsidRPr="00CA1A43" w:rsidRDefault="00E55A2B" w:rsidP="008C0E02">
      <w:pPr>
        <w:pStyle w:val="a7"/>
        <w:numPr>
          <w:ilvl w:val="0"/>
          <w:numId w:val="251"/>
        </w:numPr>
        <w:spacing w:beforeLines="50" w:before="180"/>
        <w:ind w:leftChars="0" w:left="964" w:hanging="482"/>
        <w:jc w:val="both"/>
        <w:rPr>
          <w:rFonts w:eastAsia="標楷體" w:cstheme="minorHAnsi"/>
          <w:szCs w:val="24"/>
        </w:rPr>
      </w:pPr>
      <w:r w:rsidRPr="00CA1A43">
        <w:rPr>
          <w:rFonts w:eastAsia="標楷體" w:cstheme="minorHAnsi"/>
        </w:rPr>
        <w:t>適當</w:t>
      </w:r>
      <w:r w:rsidRPr="00CA1A43">
        <w:rPr>
          <w:rFonts w:eastAsia="標楷體" w:cstheme="minorHAnsi"/>
          <w:szCs w:val="24"/>
        </w:rPr>
        <w:t>反映重大</w:t>
      </w:r>
      <w:proofErr w:type="gramStart"/>
      <w:r w:rsidRPr="00CA1A43">
        <w:rPr>
          <w:rFonts w:eastAsia="標楷體" w:cstheme="minorHAnsi"/>
          <w:szCs w:val="24"/>
        </w:rPr>
        <w:t>的基差風險</w:t>
      </w:r>
      <w:proofErr w:type="gramEnd"/>
      <w:r w:rsidRPr="00CA1A43">
        <w:rPr>
          <w:rFonts w:eastAsia="標楷體" w:cstheme="minorHAnsi"/>
          <w:szCs w:val="24"/>
        </w:rPr>
        <w:t>(</w:t>
      </w:r>
      <w:r w:rsidRPr="00CA1A43">
        <w:rPr>
          <w:rFonts w:eastAsia="標楷體" w:cstheme="minorHAnsi"/>
          <w:szCs w:val="24"/>
        </w:rPr>
        <w:t>包含長短部位之期間不對稱和發行人不對稱</w:t>
      </w:r>
      <w:r w:rsidRPr="00CA1A43">
        <w:rPr>
          <w:rFonts w:eastAsia="標楷體" w:cstheme="minorHAnsi"/>
          <w:szCs w:val="24"/>
        </w:rPr>
        <w:t>)</w:t>
      </w:r>
      <w:r w:rsidRPr="00CA1A43">
        <w:rPr>
          <w:rFonts w:eastAsia="標楷體" w:cstheme="minorHAnsi"/>
          <w:szCs w:val="24"/>
        </w:rPr>
        <w:t>。</w:t>
      </w:r>
    </w:p>
    <w:p w14:paraId="76C8F71B" w14:textId="77777777" w:rsidR="00E55A2B" w:rsidRPr="00CA1A43" w:rsidRDefault="00E55A2B" w:rsidP="008C0E02">
      <w:pPr>
        <w:pStyle w:val="a7"/>
        <w:numPr>
          <w:ilvl w:val="0"/>
          <w:numId w:val="251"/>
        </w:numPr>
        <w:spacing w:beforeLines="50" w:before="180"/>
        <w:ind w:leftChars="0" w:left="964" w:hanging="482"/>
        <w:jc w:val="both"/>
        <w:rPr>
          <w:rFonts w:eastAsia="標楷體" w:cstheme="minorHAnsi"/>
          <w:szCs w:val="24"/>
        </w:rPr>
      </w:pPr>
      <w:r w:rsidRPr="00CA1A43">
        <w:rPr>
          <w:rFonts w:eastAsia="標楷體" w:cstheme="minorHAnsi"/>
          <w:szCs w:val="24"/>
        </w:rPr>
        <w:t>該模型</w:t>
      </w:r>
      <w:r w:rsidRPr="00CA1A43">
        <w:rPr>
          <w:rFonts w:eastAsia="標楷體" w:cstheme="minorHAnsi"/>
        </w:rPr>
        <w:t>反應因分散性不足之投資組合所引起之集中度風險。</w:t>
      </w:r>
    </w:p>
    <w:p w14:paraId="16BCCB6F" w14:textId="77777777" w:rsidR="00035B52" w:rsidRPr="00CA1A43" w:rsidRDefault="00035B52" w:rsidP="001E691F">
      <w:pPr>
        <w:pStyle w:val="a7"/>
        <w:numPr>
          <w:ilvl w:val="0"/>
          <w:numId w:val="246"/>
        </w:numPr>
        <w:spacing w:beforeLines="50" w:before="180"/>
        <w:ind w:leftChars="0" w:left="737" w:hanging="737"/>
        <w:jc w:val="both"/>
        <w:outlineLvl w:val="0"/>
        <w:rPr>
          <w:rFonts w:eastAsia="標楷體" w:cstheme="minorHAnsi"/>
          <w:szCs w:val="24"/>
        </w:rPr>
      </w:pPr>
      <w:bookmarkStart w:id="25" w:name="_Toc67992465"/>
      <w:r w:rsidRPr="00CA1A43">
        <w:rPr>
          <w:rFonts w:eastAsia="標楷體" w:cstheme="minorHAnsi"/>
        </w:rPr>
        <w:lastRenderedPageBreak/>
        <w:t>外部驗證</w:t>
      </w:r>
      <w:bookmarkEnd w:id="25"/>
    </w:p>
    <w:p w14:paraId="63D52848" w14:textId="77777777" w:rsidR="00035B52" w:rsidRPr="00CA1A43" w:rsidRDefault="00035B52" w:rsidP="005B14E9">
      <w:pPr>
        <w:spacing w:beforeLines="50" w:before="180"/>
        <w:ind w:left="737"/>
        <w:jc w:val="both"/>
        <w:rPr>
          <w:rFonts w:eastAsia="標楷體" w:cstheme="minorHAnsi"/>
        </w:rPr>
      </w:pPr>
      <w:r w:rsidRPr="00CA1A43">
        <w:rPr>
          <w:rFonts w:eastAsia="標楷體" w:cstheme="minorHAnsi"/>
        </w:rPr>
        <w:t>銀行用於市場風險資本要求之內部模型應經過外部查核和</w:t>
      </w:r>
      <w:r w:rsidRPr="00CA1A43">
        <w:rPr>
          <w:rFonts w:eastAsia="標楷體" w:cstheme="minorHAnsi"/>
        </w:rPr>
        <w:t>/</w:t>
      </w:r>
      <w:r w:rsidRPr="00CA1A43">
        <w:rPr>
          <w:rFonts w:eastAsia="標楷體" w:cstheme="minorHAnsi"/>
        </w:rPr>
        <w:t>或本會就其進行模型確認，並至少包含下列步驟。</w:t>
      </w:r>
    </w:p>
    <w:p w14:paraId="03772C86" w14:textId="77777777" w:rsidR="00035B52" w:rsidRPr="00CA1A43" w:rsidRDefault="00035B52" w:rsidP="008C0E02">
      <w:pPr>
        <w:pStyle w:val="a7"/>
        <w:numPr>
          <w:ilvl w:val="0"/>
          <w:numId w:val="252"/>
        </w:numPr>
        <w:spacing w:beforeLines="50" w:before="180"/>
        <w:ind w:leftChars="0" w:left="737" w:hanging="737"/>
        <w:jc w:val="both"/>
        <w:rPr>
          <w:rFonts w:eastAsia="標楷體" w:cstheme="minorHAnsi"/>
          <w:szCs w:val="24"/>
        </w:rPr>
      </w:pPr>
      <w:r w:rsidRPr="00CA1A43">
        <w:rPr>
          <w:rFonts w:eastAsia="標楷體" w:cstheme="minorHAnsi"/>
        </w:rPr>
        <w:t>檢視是否符合內部驗證流程之各項原則；</w:t>
      </w:r>
    </w:p>
    <w:p w14:paraId="0DF3C668" w14:textId="54EDFC85" w:rsidR="00035B52" w:rsidRPr="00CA1A43" w:rsidRDefault="00035B52" w:rsidP="008C0E02">
      <w:pPr>
        <w:pStyle w:val="a7"/>
        <w:numPr>
          <w:ilvl w:val="0"/>
          <w:numId w:val="252"/>
        </w:numPr>
        <w:spacing w:beforeLines="50" w:before="180"/>
        <w:ind w:leftChars="0" w:left="737" w:hanging="737"/>
        <w:jc w:val="both"/>
        <w:rPr>
          <w:rFonts w:eastAsia="標楷體" w:cstheme="minorHAnsi"/>
        </w:rPr>
      </w:pPr>
      <w:r w:rsidRPr="00CA1A43">
        <w:rPr>
          <w:rFonts w:eastAsia="標楷體" w:cstheme="minorHAnsi"/>
        </w:rPr>
        <w:t>確認用於計算過程所用之公式，如選擇權與其他複雜</w:t>
      </w:r>
      <w:r w:rsidR="009653EE" w:rsidRPr="00F466FD">
        <w:rPr>
          <w:rFonts w:eastAsia="標楷體" w:cstheme="minorHAnsi"/>
        </w:rPr>
        <w:t>工具</w:t>
      </w:r>
      <w:r w:rsidRPr="00F466FD">
        <w:rPr>
          <w:rFonts w:eastAsia="標楷體" w:cstheme="minorHAnsi"/>
        </w:rPr>
        <w:t>評</w:t>
      </w:r>
      <w:r w:rsidRPr="00CA1A43">
        <w:rPr>
          <w:rFonts w:eastAsia="標楷體" w:cstheme="minorHAnsi"/>
        </w:rPr>
        <w:t>價，已經由合格且獨立於交易單位的部門驗證完成；</w:t>
      </w:r>
    </w:p>
    <w:p w14:paraId="5C0F4052" w14:textId="77777777" w:rsidR="00035B52" w:rsidRPr="00CA1A43" w:rsidRDefault="00035B52" w:rsidP="008C0E02">
      <w:pPr>
        <w:pStyle w:val="a7"/>
        <w:numPr>
          <w:ilvl w:val="0"/>
          <w:numId w:val="252"/>
        </w:numPr>
        <w:spacing w:beforeLines="50" w:before="180"/>
        <w:ind w:leftChars="0" w:left="737" w:hanging="737"/>
        <w:jc w:val="both"/>
        <w:rPr>
          <w:rFonts w:eastAsia="標楷體" w:cstheme="minorHAnsi"/>
        </w:rPr>
      </w:pPr>
      <w:r w:rsidRPr="00CA1A43">
        <w:rPr>
          <w:rFonts w:eastAsia="標楷體" w:cstheme="minorHAnsi"/>
        </w:rPr>
        <w:t>檢查銀行所採用之內部模型架構是否合宜且涵蓋其</w:t>
      </w:r>
      <w:r w:rsidRPr="00CA1A43">
        <w:rPr>
          <w:rFonts w:eastAsia="標楷體" w:cstheme="minorHAnsi"/>
          <w:sz w:val="23"/>
          <w:szCs w:val="23"/>
        </w:rPr>
        <w:t>經營項目</w:t>
      </w:r>
      <w:r w:rsidRPr="00CA1A43">
        <w:rPr>
          <w:rFonts w:eastAsia="標楷體" w:cstheme="minorHAnsi"/>
        </w:rPr>
        <w:t>與地理區域；</w:t>
      </w:r>
    </w:p>
    <w:p w14:paraId="50238100" w14:textId="77777777" w:rsidR="00035B52" w:rsidRPr="00CA1A43" w:rsidRDefault="00035B52" w:rsidP="008C0E02">
      <w:pPr>
        <w:pStyle w:val="a7"/>
        <w:numPr>
          <w:ilvl w:val="0"/>
          <w:numId w:val="252"/>
        </w:numPr>
        <w:spacing w:beforeLines="50" w:before="180"/>
        <w:ind w:leftChars="0" w:left="737" w:hanging="737"/>
        <w:jc w:val="both"/>
        <w:rPr>
          <w:rFonts w:eastAsia="標楷體" w:cstheme="minorHAnsi"/>
          <w:szCs w:val="24"/>
        </w:rPr>
      </w:pPr>
      <w:r w:rsidRPr="00CA1A43">
        <w:rPr>
          <w:rFonts w:eastAsia="標楷體" w:cstheme="minorHAnsi"/>
        </w:rPr>
        <w:t>檢視內部模型執行之回溯測試結果</w:t>
      </w:r>
      <w:r w:rsidRPr="00CA1A43">
        <w:rPr>
          <w:rFonts w:eastAsia="標楷體" w:cstheme="minorHAnsi"/>
        </w:rPr>
        <w:t>(</w:t>
      </w:r>
      <w:r w:rsidRPr="00CA1A43">
        <w:rPr>
          <w:rFonts w:eastAsia="標楷體" w:cstheme="minorHAnsi"/>
        </w:rPr>
        <w:t>即比較風險值與實際損益和假設損益</w:t>
      </w:r>
      <w:r w:rsidRPr="00CA1A43">
        <w:rPr>
          <w:rFonts w:eastAsia="標楷體" w:cstheme="minorHAnsi"/>
        </w:rPr>
        <w:t>(HPL))</w:t>
      </w:r>
      <w:r w:rsidRPr="00CA1A43">
        <w:rPr>
          <w:rFonts w:eastAsia="標楷體" w:cstheme="minorHAnsi"/>
        </w:rPr>
        <w:t>及其損益歸因</w:t>
      </w:r>
      <w:r w:rsidRPr="00CA1A43">
        <w:rPr>
          <w:rFonts w:eastAsia="標楷體" w:cstheme="minorHAnsi"/>
        </w:rPr>
        <w:t>(PLA)</w:t>
      </w:r>
      <w:r w:rsidRPr="00CA1A43">
        <w:rPr>
          <w:rFonts w:eastAsia="標楷體" w:cstheme="minorHAnsi"/>
        </w:rPr>
        <w:t>程序，以確保模型提供可信的潛在損失衡量。若本會和外部查核要求時，銀行須提供計算結果、計算預期短缺</w:t>
      </w:r>
      <w:r w:rsidRPr="00CA1A43">
        <w:rPr>
          <w:rFonts w:eastAsia="標楷體" w:cstheme="minorHAnsi"/>
        </w:rPr>
        <w:t>(ES)</w:t>
      </w:r>
      <w:r w:rsidRPr="00CA1A43">
        <w:rPr>
          <w:rFonts w:eastAsia="標楷體" w:cstheme="minorHAnsi"/>
        </w:rPr>
        <w:t>所輸入之資料與其執行損益歸因</w:t>
      </w:r>
      <w:r w:rsidRPr="00CA1A43">
        <w:rPr>
          <w:rFonts w:eastAsia="標楷體" w:cstheme="minorHAnsi"/>
        </w:rPr>
        <w:t>(PLA)</w:t>
      </w:r>
      <w:r w:rsidRPr="00CA1A43">
        <w:rPr>
          <w:rFonts w:eastAsia="標楷體" w:cstheme="minorHAnsi"/>
        </w:rPr>
        <w:t>的細節資料；</w:t>
      </w:r>
    </w:p>
    <w:p w14:paraId="7D18B676" w14:textId="77777777" w:rsidR="00035B52" w:rsidRPr="00CA1A43" w:rsidRDefault="00035B52" w:rsidP="008C0E02">
      <w:pPr>
        <w:pStyle w:val="a7"/>
        <w:numPr>
          <w:ilvl w:val="0"/>
          <w:numId w:val="252"/>
        </w:numPr>
        <w:spacing w:beforeLines="50" w:before="180"/>
        <w:ind w:leftChars="0" w:left="737" w:hanging="737"/>
        <w:jc w:val="both"/>
        <w:rPr>
          <w:rFonts w:eastAsia="標楷體" w:cstheme="minorHAnsi"/>
        </w:rPr>
      </w:pPr>
      <w:r w:rsidRPr="00CA1A43">
        <w:rPr>
          <w:rFonts w:eastAsia="標楷體" w:cstheme="minorHAnsi"/>
        </w:rPr>
        <w:t>確認風險衡量系統中所用之資料流及處理過程是透明且可取得的。銀行應提供本會與外部查核取得資料模型規格與參數之管道。</w:t>
      </w:r>
    </w:p>
    <w:p w14:paraId="381CC86D" w14:textId="77777777" w:rsidR="005E0A0A" w:rsidRPr="00CA1A43" w:rsidRDefault="005E0A0A" w:rsidP="001E691F">
      <w:pPr>
        <w:pStyle w:val="a7"/>
        <w:numPr>
          <w:ilvl w:val="0"/>
          <w:numId w:val="246"/>
        </w:numPr>
        <w:spacing w:beforeLines="50" w:before="180"/>
        <w:ind w:leftChars="0" w:left="737" w:hanging="737"/>
        <w:jc w:val="both"/>
        <w:outlineLvl w:val="0"/>
        <w:rPr>
          <w:rFonts w:eastAsia="標楷體" w:cstheme="minorHAnsi"/>
          <w:szCs w:val="24"/>
        </w:rPr>
      </w:pPr>
      <w:bookmarkStart w:id="26" w:name="_Toc67992466"/>
      <w:r w:rsidRPr="00CA1A43">
        <w:rPr>
          <w:rFonts w:eastAsia="標楷體" w:cstheme="minorHAnsi"/>
        </w:rPr>
        <w:t>壓力測試</w:t>
      </w:r>
      <w:bookmarkEnd w:id="26"/>
    </w:p>
    <w:p w14:paraId="4341C54E" w14:textId="77777777" w:rsidR="005E0A0A" w:rsidRPr="00CA1A43" w:rsidRDefault="005E0A0A" w:rsidP="008C0E02">
      <w:pPr>
        <w:pStyle w:val="a7"/>
        <w:numPr>
          <w:ilvl w:val="0"/>
          <w:numId w:val="253"/>
        </w:numPr>
        <w:spacing w:beforeLines="50" w:before="180"/>
        <w:ind w:leftChars="0" w:left="737" w:hanging="737"/>
        <w:jc w:val="both"/>
        <w:rPr>
          <w:rFonts w:eastAsia="標楷體" w:cstheme="minorHAnsi"/>
        </w:rPr>
      </w:pPr>
      <w:r w:rsidRPr="00CA1A43">
        <w:rPr>
          <w:rFonts w:eastAsia="標楷體" w:cstheme="minorHAnsi"/>
        </w:rPr>
        <w:t>銀行用內部模型法衡量市場風險資本要求時，須對交易台層級及全行層級執行嚴謹且周延之壓力測試。</w:t>
      </w:r>
    </w:p>
    <w:p w14:paraId="4D3B14A8" w14:textId="1040CA7F" w:rsidR="005E0A0A" w:rsidRPr="00CA1A43" w:rsidRDefault="005E0A0A" w:rsidP="008C0E02">
      <w:pPr>
        <w:pStyle w:val="a7"/>
        <w:numPr>
          <w:ilvl w:val="0"/>
          <w:numId w:val="253"/>
        </w:numPr>
        <w:spacing w:beforeLines="50" w:before="180"/>
        <w:ind w:leftChars="0" w:left="737" w:hanging="737"/>
        <w:jc w:val="both"/>
        <w:rPr>
          <w:rFonts w:eastAsia="標楷體" w:cstheme="minorHAnsi"/>
        </w:rPr>
      </w:pPr>
      <w:r w:rsidRPr="00CA1A43">
        <w:rPr>
          <w:rFonts w:eastAsia="標楷體" w:cstheme="minorHAnsi"/>
        </w:rPr>
        <w:t>銀行選擇進行壓力測試之情境，必須涵蓋能對交易投資組合產生重大損益影響、或導致其風險難以控制之各種風險因子。這些風險因子必須包括市場風險、信用風險、作業風險等各種可能發生</w:t>
      </w:r>
      <w:proofErr w:type="gramStart"/>
      <w:r w:rsidRPr="00CA1A43">
        <w:rPr>
          <w:rFonts w:eastAsia="標楷體" w:cstheme="minorHAnsi"/>
        </w:rPr>
        <w:t>惟</w:t>
      </w:r>
      <w:proofErr w:type="gramEnd"/>
      <w:r w:rsidRPr="00CA1A43">
        <w:rPr>
          <w:rFonts w:eastAsia="標楷體" w:cstheme="minorHAnsi"/>
        </w:rPr>
        <w:t>發生機率甚低之風險事件，衡量時必須同時能掌握交易部位價格之線性及非線性變化特性對風險因子所造成之衝擊</w:t>
      </w:r>
      <w:r w:rsidRPr="00CA1A43">
        <w:rPr>
          <w:rFonts w:eastAsia="標楷體" w:cstheme="minorHAnsi"/>
        </w:rPr>
        <w:t>(</w:t>
      </w:r>
      <w:r w:rsidRPr="00CA1A43">
        <w:rPr>
          <w:rFonts w:eastAsia="標楷體" w:cstheme="minorHAnsi"/>
        </w:rPr>
        <w:t>即選擇權或具選擇權特性</w:t>
      </w:r>
      <w:r w:rsidRPr="00F466FD">
        <w:rPr>
          <w:rFonts w:eastAsia="標楷體" w:cstheme="minorHAnsi"/>
        </w:rPr>
        <w:t>之</w:t>
      </w:r>
      <w:r w:rsidR="009653EE" w:rsidRPr="00F466FD">
        <w:rPr>
          <w:rFonts w:eastAsia="標楷體" w:cstheme="minorHAnsi"/>
        </w:rPr>
        <w:t>工具</w:t>
      </w:r>
      <w:r w:rsidRPr="00F466FD">
        <w:rPr>
          <w:rFonts w:eastAsia="標楷體" w:cstheme="minorHAnsi"/>
        </w:rPr>
        <w:t>)</w:t>
      </w:r>
      <w:r w:rsidRPr="00F466FD">
        <w:rPr>
          <w:rFonts w:eastAsia="標楷體" w:cstheme="minorHAnsi"/>
        </w:rPr>
        <w:t>。</w:t>
      </w:r>
    </w:p>
    <w:p w14:paraId="6E944A45" w14:textId="77777777" w:rsidR="005E0A0A" w:rsidRPr="00CA1A43" w:rsidRDefault="005E0A0A" w:rsidP="008C0E02">
      <w:pPr>
        <w:pStyle w:val="a7"/>
        <w:numPr>
          <w:ilvl w:val="0"/>
          <w:numId w:val="253"/>
        </w:numPr>
        <w:spacing w:beforeLines="50" w:before="180"/>
        <w:ind w:leftChars="0" w:left="737" w:hanging="737"/>
        <w:jc w:val="both"/>
        <w:rPr>
          <w:rFonts w:eastAsia="標楷體" w:cstheme="minorHAnsi"/>
        </w:rPr>
      </w:pPr>
      <w:r w:rsidRPr="00CA1A43">
        <w:rPr>
          <w:rFonts w:eastAsia="標楷體" w:cstheme="minorHAnsi"/>
        </w:rPr>
        <w:t>壓力測試應涵蓋市場風險及流動性等市場負面衝擊之測試，並須符合量化及質化目標。量化目標需能辨識出銀行可能面臨之</w:t>
      </w:r>
      <w:proofErr w:type="gramStart"/>
      <w:r w:rsidRPr="00CA1A43">
        <w:rPr>
          <w:rFonts w:eastAsia="標楷體" w:cstheme="minorHAnsi"/>
        </w:rPr>
        <w:t>壓力暴險情境</w:t>
      </w:r>
      <w:proofErr w:type="gramEnd"/>
      <w:r w:rsidRPr="00CA1A43">
        <w:rPr>
          <w:rFonts w:eastAsia="標楷體" w:cstheme="minorHAnsi"/>
        </w:rPr>
        <w:t>；質化目標強調壓力測試之兩個主要目標，一是評估銀行資本吸收潛在最大損失之能力，另一個是辨識出銀行用以降低風險並保留資本之方法。</w:t>
      </w:r>
    </w:p>
    <w:p w14:paraId="49F21FB8" w14:textId="77777777" w:rsidR="005E0A0A" w:rsidRPr="00CA1A43" w:rsidRDefault="005E0A0A" w:rsidP="008C0E02">
      <w:pPr>
        <w:pStyle w:val="a7"/>
        <w:numPr>
          <w:ilvl w:val="0"/>
          <w:numId w:val="253"/>
        </w:numPr>
        <w:spacing w:beforeLines="50" w:before="180"/>
        <w:ind w:leftChars="0" w:left="737" w:hanging="737"/>
        <w:jc w:val="both"/>
        <w:rPr>
          <w:rFonts w:eastAsia="標楷體" w:cstheme="minorHAnsi"/>
        </w:rPr>
      </w:pPr>
      <w:r w:rsidRPr="00CA1A43">
        <w:rPr>
          <w:rFonts w:eastAsia="標楷體" w:cstheme="minorHAnsi"/>
        </w:rPr>
        <w:t>銀行應例行將壓力測試結果向高階管理階層溝通，並定期將結果陳報董事會。</w:t>
      </w:r>
    </w:p>
    <w:p w14:paraId="68B7A9FC" w14:textId="77777777" w:rsidR="005E0A0A" w:rsidRPr="00CA1A43" w:rsidRDefault="005E0A0A" w:rsidP="008C0E02">
      <w:pPr>
        <w:pStyle w:val="a7"/>
        <w:numPr>
          <w:ilvl w:val="0"/>
          <w:numId w:val="253"/>
        </w:numPr>
        <w:spacing w:beforeLines="50" w:before="180"/>
        <w:ind w:leftChars="0" w:left="737" w:hanging="737"/>
        <w:jc w:val="both"/>
        <w:rPr>
          <w:rFonts w:eastAsia="標楷體" w:cstheme="minorHAnsi"/>
        </w:rPr>
      </w:pPr>
      <w:r w:rsidRPr="00CA1A43">
        <w:rPr>
          <w:rFonts w:eastAsia="標楷體" w:cstheme="minorHAnsi"/>
        </w:rPr>
        <w:t>銀行應結合本會所訂壓力測試情境及本身自行開發能反映銀行個別風險特性之壓力測試。壓力測試情境可包含如下：</w:t>
      </w:r>
    </w:p>
    <w:p w14:paraId="69012813" w14:textId="77777777" w:rsidR="005E0A0A" w:rsidRPr="00CA1A43" w:rsidRDefault="005E0A0A" w:rsidP="008C0E02">
      <w:pPr>
        <w:pStyle w:val="a7"/>
        <w:numPr>
          <w:ilvl w:val="0"/>
          <w:numId w:val="254"/>
        </w:numPr>
        <w:spacing w:beforeLines="50" w:before="180"/>
        <w:ind w:leftChars="0" w:left="964" w:hanging="482"/>
        <w:jc w:val="both"/>
        <w:rPr>
          <w:rFonts w:eastAsia="標楷體" w:cstheme="minorHAnsi"/>
          <w:szCs w:val="24"/>
        </w:rPr>
      </w:pPr>
      <w:r w:rsidRPr="00CA1A43">
        <w:rPr>
          <w:rFonts w:eastAsia="標楷體" w:cstheme="minorHAnsi"/>
        </w:rPr>
        <w:t>銀行毋需模擬之監理情境。銀行應備有報告期間曾遭遇最大損失金額資料，以供本會查閱。本會可將此損失資料與銀行內部衡量系統計算之所需資本進行比較，例如銀行可能被要求</w:t>
      </w:r>
      <w:r w:rsidRPr="00CA1A43">
        <w:rPr>
          <w:rFonts w:eastAsia="標楷體" w:cstheme="minorHAnsi"/>
          <w:szCs w:val="24"/>
        </w:rPr>
        <w:t>提供依預期短缺模型估算結果所</w:t>
      </w:r>
      <w:r w:rsidRPr="00CA1A43">
        <w:rPr>
          <w:rFonts w:eastAsia="標楷體" w:cstheme="minorHAnsi"/>
          <w:szCs w:val="24"/>
        </w:rPr>
        <w:lastRenderedPageBreak/>
        <w:t>應涵蓋之顛峰單日損失天數之評估給</w:t>
      </w:r>
      <w:r w:rsidRPr="00CA1A43">
        <w:rPr>
          <w:rFonts w:eastAsia="標楷體" w:cstheme="minorHAnsi"/>
        </w:rPr>
        <w:t>本會</w:t>
      </w:r>
      <w:r w:rsidRPr="00CA1A43">
        <w:rPr>
          <w:rFonts w:eastAsia="標楷體" w:cstheme="minorHAnsi"/>
          <w:szCs w:val="24"/>
        </w:rPr>
        <w:t>。</w:t>
      </w:r>
    </w:p>
    <w:p w14:paraId="6C6B4095" w14:textId="77777777" w:rsidR="005E0A0A" w:rsidRPr="00CA1A43" w:rsidRDefault="005E0A0A" w:rsidP="008C0E02">
      <w:pPr>
        <w:pStyle w:val="a7"/>
        <w:numPr>
          <w:ilvl w:val="0"/>
          <w:numId w:val="254"/>
        </w:numPr>
        <w:spacing w:beforeLines="50" w:before="180"/>
        <w:ind w:leftChars="0" w:left="964" w:hanging="482"/>
        <w:jc w:val="both"/>
        <w:rPr>
          <w:rFonts w:eastAsia="標楷體" w:cstheme="minorHAnsi"/>
          <w:szCs w:val="24"/>
        </w:rPr>
      </w:pPr>
      <w:r w:rsidRPr="00CA1A43">
        <w:rPr>
          <w:rFonts w:eastAsia="標楷體" w:cstheme="minorHAnsi"/>
          <w:szCs w:val="24"/>
        </w:rPr>
        <w:t>銀行需模擬之壓力測試情境。銀行應針對其投資組合進行一系列的模擬壓力測試，並提供</w:t>
      </w:r>
      <w:r w:rsidRPr="00CA1A43">
        <w:rPr>
          <w:rFonts w:eastAsia="標楷體" w:cstheme="minorHAnsi"/>
        </w:rPr>
        <w:t>本會</w:t>
      </w:r>
      <w:r w:rsidRPr="00CA1A43">
        <w:rPr>
          <w:rFonts w:eastAsia="標楷體" w:cstheme="minorHAnsi"/>
          <w:szCs w:val="24"/>
        </w:rPr>
        <w:t>測試結果。模擬情境可能包括就銀行目前的投資組合，以過去期間曾發生重大市場動</w:t>
      </w:r>
      <w:proofErr w:type="gramStart"/>
      <w:r w:rsidRPr="00CA1A43">
        <w:rPr>
          <w:rFonts w:eastAsia="標楷體" w:cstheme="minorHAnsi"/>
          <w:szCs w:val="24"/>
        </w:rPr>
        <w:t>盪</w:t>
      </w:r>
      <w:proofErr w:type="gramEnd"/>
      <w:r w:rsidRPr="00CA1A43">
        <w:rPr>
          <w:rFonts w:eastAsia="標楷體" w:cstheme="minorHAnsi"/>
          <w:szCs w:val="24"/>
        </w:rPr>
        <w:t>進行測試，如</w:t>
      </w:r>
      <w:r w:rsidRPr="00CA1A43">
        <w:rPr>
          <w:rFonts w:eastAsia="標楷體" w:cstheme="minorHAnsi"/>
          <w:szCs w:val="24"/>
        </w:rPr>
        <w:t>1987</w:t>
      </w:r>
      <w:r w:rsidRPr="00CA1A43">
        <w:rPr>
          <w:rFonts w:eastAsia="標楷體" w:cstheme="minorHAnsi"/>
          <w:szCs w:val="24"/>
        </w:rPr>
        <w:t>年股市崩盤、</w:t>
      </w:r>
      <w:r w:rsidRPr="00CA1A43">
        <w:rPr>
          <w:rFonts w:eastAsia="標楷體" w:cstheme="minorHAnsi"/>
          <w:szCs w:val="24"/>
        </w:rPr>
        <w:t>1992</w:t>
      </w:r>
      <w:r w:rsidRPr="00CA1A43">
        <w:rPr>
          <w:rFonts w:eastAsia="標楷體" w:cstheme="minorHAnsi"/>
          <w:szCs w:val="24"/>
        </w:rPr>
        <w:t>年至</w:t>
      </w:r>
      <w:r w:rsidRPr="00CA1A43">
        <w:rPr>
          <w:rFonts w:eastAsia="標楷體" w:cstheme="minorHAnsi"/>
          <w:szCs w:val="24"/>
        </w:rPr>
        <w:t>1993</w:t>
      </w:r>
      <w:r w:rsidRPr="00CA1A43">
        <w:rPr>
          <w:rFonts w:eastAsia="標楷體" w:cstheme="minorHAnsi"/>
          <w:szCs w:val="24"/>
        </w:rPr>
        <w:t>年匯率機制危機、</w:t>
      </w:r>
      <w:r w:rsidRPr="00CA1A43">
        <w:rPr>
          <w:rFonts w:eastAsia="標楷體" w:cstheme="minorHAnsi"/>
          <w:szCs w:val="24"/>
        </w:rPr>
        <w:t>1994</w:t>
      </w:r>
      <w:r w:rsidRPr="00CA1A43">
        <w:rPr>
          <w:rFonts w:eastAsia="標楷體" w:cstheme="minorHAnsi"/>
          <w:szCs w:val="24"/>
        </w:rPr>
        <w:t>年第一季市場利率大漲、</w:t>
      </w:r>
      <w:r w:rsidRPr="00CA1A43">
        <w:rPr>
          <w:rFonts w:eastAsia="標楷體" w:cstheme="minorHAnsi"/>
          <w:szCs w:val="24"/>
        </w:rPr>
        <w:t>1998</w:t>
      </w:r>
      <w:r w:rsidRPr="00CA1A43">
        <w:rPr>
          <w:rFonts w:eastAsia="標楷體" w:cstheme="minorHAnsi"/>
          <w:szCs w:val="24"/>
        </w:rPr>
        <w:t>年俄羅斯金融危機、</w:t>
      </w:r>
      <w:r w:rsidRPr="00CA1A43">
        <w:rPr>
          <w:rFonts w:eastAsia="標楷體" w:cstheme="minorHAnsi"/>
          <w:szCs w:val="24"/>
        </w:rPr>
        <w:t>2000</w:t>
      </w:r>
      <w:r w:rsidRPr="00CA1A43">
        <w:rPr>
          <w:rFonts w:eastAsia="標楷體" w:cstheme="minorHAnsi"/>
          <w:szCs w:val="24"/>
        </w:rPr>
        <w:t>年科技股泡沫化、</w:t>
      </w:r>
      <w:r w:rsidRPr="00CA1A43">
        <w:rPr>
          <w:rFonts w:eastAsia="標楷體" w:cstheme="minorHAnsi"/>
          <w:szCs w:val="24"/>
        </w:rPr>
        <w:t>2007</w:t>
      </w:r>
      <w:r w:rsidRPr="00CA1A43">
        <w:rPr>
          <w:rFonts w:eastAsia="標楷體" w:cstheme="minorHAnsi"/>
          <w:szCs w:val="24"/>
        </w:rPr>
        <w:t>年至</w:t>
      </w:r>
      <w:r w:rsidRPr="00CA1A43">
        <w:rPr>
          <w:rFonts w:eastAsia="標楷體" w:cstheme="minorHAnsi"/>
          <w:szCs w:val="24"/>
        </w:rPr>
        <w:t>2008</w:t>
      </w:r>
      <w:r w:rsidRPr="00CA1A43">
        <w:rPr>
          <w:rFonts w:eastAsia="標楷體" w:cstheme="minorHAnsi"/>
          <w:szCs w:val="24"/>
        </w:rPr>
        <w:t>年次級房貸危機或</w:t>
      </w:r>
      <w:r w:rsidRPr="00CA1A43">
        <w:rPr>
          <w:rFonts w:eastAsia="標楷體" w:cstheme="minorHAnsi"/>
          <w:szCs w:val="24"/>
        </w:rPr>
        <w:t>2011</w:t>
      </w:r>
      <w:r w:rsidRPr="00CA1A43">
        <w:rPr>
          <w:rFonts w:eastAsia="標楷體" w:cstheme="minorHAnsi"/>
          <w:szCs w:val="24"/>
        </w:rPr>
        <w:t>年至</w:t>
      </w:r>
      <w:r w:rsidRPr="00CA1A43">
        <w:rPr>
          <w:rFonts w:eastAsia="標楷體" w:cstheme="minorHAnsi"/>
          <w:szCs w:val="24"/>
        </w:rPr>
        <w:t>2012</w:t>
      </w:r>
      <w:r w:rsidRPr="00CA1A43">
        <w:rPr>
          <w:rFonts w:eastAsia="標楷體" w:cstheme="minorHAnsi"/>
          <w:szCs w:val="24"/>
        </w:rPr>
        <w:t>年的歐元區危機。並同步納入因事件造成的顯著市場價格變動及流動性劇烈減少。第二</w:t>
      </w:r>
      <w:proofErr w:type="gramStart"/>
      <w:r w:rsidRPr="00CA1A43">
        <w:rPr>
          <w:rFonts w:eastAsia="標楷體" w:cstheme="minorHAnsi"/>
          <w:szCs w:val="24"/>
        </w:rPr>
        <w:t>個</w:t>
      </w:r>
      <w:proofErr w:type="gramEnd"/>
      <w:r w:rsidRPr="00CA1A43">
        <w:rPr>
          <w:rFonts w:eastAsia="標楷體" w:cstheme="minorHAnsi"/>
          <w:szCs w:val="24"/>
        </w:rPr>
        <w:t>壓力情境型態為評估當銀行市場</w:t>
      </w:r>
      <w:proofErr w:type="gramStart"/>
      <w:r w:rsidRPr="00CA1A43">
        <w:rPr>
          <w:rFonts w:eastAsia="標楷體" w:cstheme="minorHAnsi"/>
          <w:szCs w:val="24"/>
        </w:rPr>
        <w:t>風險暴險對於</w:t>
      </w:r>
      <w:proofErr w:type="gramEnd"/>
      <w:r w:rsidRPr="00CA1A43">
        <w:rPr>
          <w:rFonts w:eastAsia="標楷體" w:cstheme="minorHAnsi"/>
          <w:szCs w:val="24"/>
        </w:rPr>
        <w:t>假設情況的波動率與相關係數變動之敏感度，使用此種測試方法銀行須評估過去波動率及相關係數變化的歷史區間，及評估在歷史區間的</w:t>
      </w:r>
      <w:proofErr w:type="gramStart"/>
      <w:r w:rsidRPr="00CA1A43">
        <w:rPr>
          <w:rFonts w:eastAsia="標楷體" w:cstheme="minorHAnsi"/>
          <w:szCs w:val="24"/>
        </w:rPr>
        <w:t>極端值下</w:t>
      </w:r>
      <w:proofErr w:type="gramEnd"/>
      <w:r w:rsidRPr="00CA1A43">
        <w:rPr>
          <w:rFonts w:eastAsia="標楷體" w:cstheme="minorHAnsi"/>
          <w:szCs w:val="24"/>
        </w:rPr>
        <w:t>，銀行當前所持有的部位可能的變動情形。銀行必須考量市場在劇烈波動下，出現多達數天的極端變動，即上述所提及之情況便包含在市場動</w:t>
      </w:r>
      <w:proofErr w:type="gramStart"/>
      <w:r w:rsidRPr="00CA1A43">
        <w:rPr>
          <w:rFonts w:eastAsia="標楷體" w:cstheme="minorHAnsi"/>
          <w:szCs w:val="24"/>
        </w:rPr>
        <w:t>盪</w:t>
      </w:r>
      <w:proofErr w:type="gramEnd"/>
      <w:r w:rsidRPr="00CA1A43">
        <w:rPr>
          <w:rFonts w:eastAsia="標楷體" w:cstheme="minorHAnsi"/>
          <w:szCs w:val="24"/>
        </w:rPr>
        <w:t>高峰時所發生風險因子間，相關係數均呈現連續數日接近</w:t>
      </w:r>
      <w:r w:rsidRPr="00CA1A43">
        <w:rPr>
          <w:rFonts w:eastAsia="標楷體" w:cstheme="minorHAnsi"/>
          <w:szCs w:val="24"/>
        </w:rPr>
        <w:t>+1</w:t>
      </w:r>
      <w:r w:rsidRPr="00CA1A43">
        <w:rPr>
          <w:rFonts w:eastAsia="標楷體" w:cstheme="minorHAnsi"/>
          <w:szCs w:val="24"/>
        </w:rPr>
        <w:t>或</w:t>
      </w:r>
      <w:r w:rsidRPr="00CA1A43">
        <w:rPr>
          <w:rFonts w:eastAsia="標楷體" w:cstheme="minorHAnsi"/>
          <w:szCs w:val="24"/>
        </w:rPr>
        <w:t>-1</w:t>
      </w:r>
      <w:r w:rsidRPr="00CA1A43">
        <w:rPr>
          <w:rFonts w:eastAsia="標楷體" w:cstheme="minorHAnsi"/>
          <w:szCs w:val="24"/>
        </w:rPr>
        <w:t>極端值之現象。</w:t>
      </w:r>
    </w:p>
    <w:p w14:paraId="6999929B" w14:textId="77777777" w:rsidR="005E0A0A" w:rsidRPr="00CA1A43" w:rsidRDefault="005E0A0A" w:rsidP="008C0E02">
      <w:pPr>
        <w:pStyle w:val="a7"/>
        <w:numPr>
          <w:ilvl w:val="0"/>
          <w:numId w:val="254"/>
        </w:numPr>
        <w:spacing w:beforeLines="50" w:before="180"/>
        <w:ind w:leftChars="0" w:left="964" w:hanging="482"/>
        <w:jc w:val="both"/>
        <w:rPr>
          <w:rFonts w:eastAsia="標楷體" w:cstheme="minorHAnsi"/>
          <w:szCs w:val="24"/>
        </w:rPr>
      </w:pPr>
      <w:r w:rsidRPr="00CA1A43">
        <w:rPr>
          <w:rFonts w:eastAsia="標楷體" w:cstheme="minorHAnsi"/>
          <w:szCs w:val="24"/>
        </w:rPr>
        <w:t>除</w:t>
      </w:r>
      <w:r w:rsidRPr="00CA1A43">
        <w:rPr>
          <w:rFonts w:eastAsia="標楷體" w:cstheme="minorHAnsi"/>
        </w:rPr>
        <w:t>了前述第</w:t>
      </w:r>
      <w:r w:rsidRPr="00CA1A43">
        <w:rPr>
          <w:rFonts w:eastAsia="標楷體" w:cstheme="minorHAnsi"/>
        </w:rPr>
        <w:t>1</w:t>
      </w:r>
      <w:r w:rsidRPr="00CA1A43">
        <w:rPr>
          <w:rFonts w:eastAsia="標楷體" w:cstheme="minorHAnsi"/>
        </w:rPr>
        <w:t>點本會所指定的情境外，銀行應以自行開發</w:t>
      </w:r>
      <w:r w:rsidR="00351929" w:rsidRPr="00CA1A43">
        <w:rPr>
          <w:rFonts w:eastAsia="標楷體" w:cstheme="minorHAnsi"/>
        </w:rPr>
        <w:t>自有的壓力測試情境，且其能辨識對於銀行投資組合特性之最不利情況</w:t>
      </w:r>
      <w:r w:rsidRPr="00CA1A43">
        <w:rPr>
          <w:rFonts w:eastAsia="標楷體" w:cstheme="minorHAnsi"/>
        </w:rPr>
        <w:t>(</w:t>
      </w:r>
      <w:r w:rsidRPr="00CA1A43">
        <w:rPr>
          <w:rFonts w:eastAsia="標楷體" w:cstheme="minorHAnsi"/>
        </w:rPr>
        <w:t>例如世界某關鍵地區發生問題且油價急劇上揚</w:t>
      </w:r>
      <w:r w:rsidRPr="00CA1A43">
        <w:rPr>
          <w:rFonts w:eastAsia="標楷體" w:cstheme="minorHAnsi"/>
        </w:rPr>
        <w:t>)</w:t>
      </w:r>
      <w:r w:rsidRPr="00CA1A43">
        <w:rPr>
          <w:rFonts w:eastAsia="標楷體" w:cstheme="minorHAnsi"/>
        </w:rPr>
        <w:t>。銀行應提供本會有關辨識及執行壓力測試情境之方法論說明以及經歷這些模擬情境的測試結果。</w:t>
      </w:r>
    </w:p>
    <w:p w14:paraId="439A3586" w14:textId="77777777" w:rsidR="00351929" w:rsidRPr="00CA1A43" w:rsidRDefault="00351929" w:rsidP="001E691F">
      <w:pPr>
        <w:pStyle w:val="a7"/>
        <w:numPr>
          <w:ilvl w:val="0"/>
          <w:numId w:val="246"/>
        </w:numPr>
        <w:spacing w:beforeLines="50" w:before="180"/>
        <w:ind w:leftChars="0" w:left="737" w:hanging="737"/>
        <w:jc w:val="both"/>
        <w:outlineLvl w:val="0"/>
        <w:rPr>
          <w:rFonts w:eastAsia="標楷體" w:cstheme="minorHAnsi"/>
          <w:szCs w:val="24"/>
        </w:rPr>
      </w:pPr>
      <w:bookmarkStart w:id="27" w:name="_Toc67992467"/>
      <w:r w:rsidRPr="00CA1A43">
        <w:rPr>
          <w:rFonts w:eastAsia="標楷體" w:cstheme="minorHAnsi"/>
        </w:rPr>
        <w:t>市場風險因子之規範</w:t>
      </w:r>
      <w:bookmarkEnd w:id="27"/>
    </w:p>
    <w:p w14:paraId="0E044121" w14:textId="77777777" w:rsidR="00351929" w:rsidRPr="00CA1A43" w:rsidRDefault="00351929" w:rsidP="005B14E9">
      <w:pPr>
        <w:spacing w:beforeLines="50" w:before="180"/>
        <w:ind w:left="737"/>
        <w:jc w:val="both"/>
        <w:rPr>
          <w:rFonts w:eastAsia="標楷體" w:cstheme="minorHAnsi"/>
          <w:szCs w:val="24"/>
        </w:rPr>
      </w:pPr>
      <w:r w:rsidRPr="00CA1A43">
        <w:rPr>
          <w:rFonts w:eastAsia="標楷體" w:cstheme="minorHAnsi"/>
        </w:rPr>
        <w:t>制定合適的市場風險因子係銀行交易台內部風險管理模型重要的一環，影響銀行交易部位價值的市場利率或價格均視為風險因子。交易台風險管理模型所使用的風險因子應足以衡量銀行資產負債表內外之交易部位投資組合所產生的風險。雖然銀行對於內部模型法中風險因子之指定有部分裁量權，但仍須符合下列要求：</w:t>
      </w:r>
    </w:p>
    <w:p w14:paraId="54435499" w14:textId="77777777" w:rsidR="00351929" w:rsidRPr="00CA1A43" w:rsidRDefault="00351929" w:rsidP="008C0E02">
      <w:pPr>
        <w:pStyle w:val="a7"/>
        <w:numPr>
          <w:ilvl w:val="0"/>
          <w:numId w:val="255"/>
        </w:numPr>
        <w:spacing w:beforeLines="50" w:before="180"/>
        <w:ind w:leftChars="0" w:left="737" w:hanging="737"/>
        <w:jc w:val="both"/>
        <w:rPr>
          <w:rFonts w:eastAsia="標楷體" w:cstheme="minorHAnsi"/>
        </w:rPr>
      </w:pPr>
      <w:r w:rsidRPr="00CA1A43">
        <w:rPr>
          <w:rFonts w:eastAsia="標楷體" w:cstheme="minorHAnsi"/>
        </w:rPr>
        <w:t>合適性</w:t>
      </w:r>
    </w:p>
    <w:p w14:paraId="3611419B" w14:textId="77777777" w:rsidR="00351929" w:rsidRPr="00CA1A43" w:rsidRDefault="00351929" w:rsidP="008C0E02">
      <w:pPr>
        <w:pStyle w:val="a7"/>
        <w:numPr>
          <w:ilvl w:val="0"/>
          <w:numId w:val="256"/>
        </w:numPr>
        <w:spacing w:beforeLines="50" w:before="180"/>
        <w:ind w:leftChars="0" w:left="964" w:hanging="482"/>
        <w:jc w:val="both"/>
        <w:rPr>
          <w:rFonts w:eastAsia="標楷體" w:cstheme="minorHAnsi"/>
        </w:rPr>
      </w:pPr>
      <w:r w:rsidRPr="00CA1A43">
        <w:rPr>
          <w:rFonts w:eastAsia="標楷體" w:cstheme="minorHAnsi"/>
        </w:rPr>
        <w:t>銀行的市場風險資本要求模型須納入所有與評價相關之風險因子。若某特定風險因子被用於評價模型，但卻未被用於交易台風險管理模型中，銀行應向本會說明排除該等因子之合理原因。</w:t>
      </w:r>
    </w:p>
    <w:p w14:paraId="4F0EB0D9" w14:textId="77777777" w:rsidR="009E0B68" w:rsidRPr="00CA1A43" w:rsidRDefault="009E0B68" w:rsidP="008C0E02">
      <w:pPr>
        <w:pStyle w:val="a7"/>
        <w:numPr>
          <w:ilvl w:val="0"/>
          <w:numId w:val="256"/>
        </w:numPr>
        <w:spacing w:beforeLines="50" w:before="180"/>
        <w:ind w:leftChars="0" w:left="964" w:hanging="482"/>
        <w:jc w:val="both"/>
        <w:rPr>
          <w:rFonts w:eastAsia="標楷體" w:cstheme="minorHAnsi"/>
        </w:rPr>
      </w:pPr>
      <w:r w:rsidRPr="00CA1A43">
        <w:rPr>
          <w:rFonts w:eastAsia="標楷體" w:cstheme="minorHAnsi"/>
        </w:rPr>
        <w:t>銀行市場風險資本要求模型須包含標準法下所對應各風險類別之所有風險因子，若標準法風險因子未包含於市場風險資本要求模型中，銀行必須向本會說明省略該風險因子之合理原因。</w:t>
      </w:r>
    </w:p>
    <w:p w14:paraId="01A350FF" w14:textId="77777777" w:rsidR="009E0B68" w:rsidRPr="00CA1A43" w:rsidRDefault="009E0B68" w:rsidP="008C0E02">
      <w:pPr>
        <w:pStyle w:val="a7"/>
        <w:numPr>
          <w:ilvl w:val="0"/>
          <w:numId w:val="256"/>
        </w:numPr>
        <w:spacing w:beforeLines="50" w:before="180"/>
        <w:ind w:leftChars="0" w:left="964" w:hanging="482"/>
        <w:jc w:val="both"/>
        <w:rPr>
          <w:rFonts w:eastAsia="標楷體" w:cstheme="minorHAnsi"/>
        </w:rPr>
      </w:pPr>
      <w:r w:rsidRPr="00CA1A43">
        <w:rPr>
          <w:rFonts w:eastAsia="標楷體" w:cstheme="minorHAnsi"/>
        </w:rPr>
        <w:t>銀行市場風險資本計提模型及用來計算不可模型化風險因子之壓力情境，須能捕捉選擇權及其他相關產品</w:t>
      </w:r>
      <w:r w:rsidRPr="00CA1A43">
        <w:rPr>
          <w:rFonts w:eastAsia="標楷體" w:cstheme="minorHAnsi"/>
        </w:rPr>
        <w:t>(</w:t>
      </w:r>
      <w:r w:rsidRPr="00CA1A43">
        <w:rPr>
          <w:rFonts w:eastAsia="標楷體" w:cstheme="minorHAnsi"/>
        </w:rPr>
        <w:t>例如：不動產抵押證券化商品</w:t>
      </w:r>
      <w:r w:rsidRPr="00CA1A43">
        <w:rPr>
          <w:rFonts w:eastAsia="標楷體" w:cstheme="minorHAnsi"/>
        </w:rPr>
        <w:t>)</w:t>
      </w:r>
      <w:r w:rsidRPr="00CA1A43">
        <w:rPr>
          <w:rFonts w:eastAsia="標楷體" w:cstheme="minorHAnsi"/>
        </w:rPr>
        <w:t>之非線性特性、相關性風險</w:t>
      </w:r>
      <w:proofErr w:type="gramStart"/>
      <w:r w:rsidRPr="00CA1A43">
        <w:rPr>
          <w:rFonts w:eastAsia="標楷體" w:cstheme="minorHAnsi"/>
        </w:rPr>
        <w:t>及基差風險</w:t>
      </w:r>
      <w:proofErr w:type="gramEnd"/>
      <w:r w:rsidRPr="00CA1A43">
        <w:rPr>
          <w:rFonts w:eastAsia="標楷體" w:cstheme="minorHAnsi"/>
        </w:rPr>
        <w:t>(</w:t>
      </w:r>
      <w:r w:rsidRPr="00CA1A43">
        <w:rPr>
          <w:rFonts w:eastAsia="標楷體" w:cstheme="minorHAnsi"/>
        </w:rPr>
        <w:t>例如：信用違約交換和債券</w:t>
      </w:r>
      <w:proofErr w:type="gramStart"/>
      <w:r w:rsidRPr="00CA1A43">
        <w:rPr>
          <w:rFonts w:eastAsia="標楷體" w:cstheme="minorHAnsi"/>
        </w:rPr>
        <w:t>之基</w:t>
      </w:r>
      <w:r w:rsidRPr="00CA1A43">
        <w:rPr>
          <w:rFonts w:eastAsia="標楷體" w:cstheme="minorHAnsi"/>
        </w:rPr>
        <w:lastRenderedPageBreak/>
        <w:t>差風險</w:t>
      </w:r>
      <w:proofErr w:type="gramEnd"/>
      <w:r w:rsidRPr="00CA1A43">
        <w:rPr>
          <w:rFonts w:eastAsia="標楷體" w:cstheme="minorHAnsi"/>
        </w:rPr>
        <w:t>)</w:t>
      </w:r>
      <w:r w:rsidRPr="00CA1A43">
        <w:rPr>
          <w:rFonts w:eastAsia="標楷體" w:cstheme="minorHAnsi"/>
        </w:rPr>
        <w:t>。</w:t>
      </w:r>
    </w:p>
    <w:p w14:paraId="71670A25" w14:textId="77777777" w:rsidR="009E0B68" w:rsidRPr="00CA1A43" w:rsidRDefault="009E0B68" w:rsidP="008C0E02">
      <w:pPr>
        <w:pStyle w:val="a7"/>
        <w:numPr>
          <w:ilvl w:val="0"/>
          <w:numId w:val="256"/>
        </w:numPr>
        <w:spacing w:beforeLines="50" w:before="180"/>
        <w:ind w:leftChars="0" w:left="964" w:hanging="482"/>
        <w:jc w:val="both"/>
        <w:rPr>
          <w:rFonts w:eastAsia="標楷體" w:cstheme="minorHAnsi"/>
          <w:szCs w:val="24"/>
        </w:rPr>
      </w:pPr>
      <w:r w:rsidRPr="00CA1A43">
        <w:rPr>
          <w:rFonts w:eastAsia="標楷體" w:cstheme="minorHAnsi"/>
        </w:rPr>
        <w:t>銀行若採用具有適當軌跡之替代變數來代表其部位</w:t>
      </w:r>
      <w:r w:rsidRPr="00CA1A43">
        <w:rPr>
          <w:rFonts w:eastAsia="標楷體" w:cstheme="minorHAnsi"/>
        </w:rPr>
        <w:t>(</w:t>
      </w:r>
      <w:r w:rsidRPr="00CA1A43">
        <w:rPr>
          <w:rFonts w:eastAsia="標楷體" w:cstheme="minorHAnsi"/>
        </w:rPr>
        <w:t>例如：使用權益證券指數代表單一股票部位</w:t>
      </w:r>
      <w:r w:rsidRPr="00CA1A43">
        <w:rPr>
          <w:rFonts w:eastAsia="標楷體" w:cstheme="minorHAnsi"/>
        </w:rPr>
        <w:t>)</w:t>
      </w:r>
      <w:r w:rsidRPr="00CA1A43">
        <w:rPr>
          <w:rFonts w:eastAsia="標楷體" w:cstheme="minorHAnsi"/>
        </w:rPr>
        <w:t>，銀行必須向本會說明使用該替代變數之合理原因。</w:t>
      </w:r>
    </w:p>
    <w:p w14:paraId="18FD2089" w14:textId="77777777" w:rsidR="009E0B68" w:rsidRPr="00CA1A43" w:rsidRDefault="009E0B68" w:rsidP="008C0E02">
      <w:pPr>
        <w:pStyle w:val="a7"/>
        <w:numPr>
          <w:ilvl w:val="0"/>
          <w:numId w:val="255"/>
        </w:numPr>
        <w:spacing w:beforeLines="50" w:before="180"/>
        <w:ind w:leftChars="0" w:left="737" w:hanging="737"/>
        <w:jc w:val="both"/>
        <w:rPr>
          <w:rFonts w:eastAsia="標楷體" w:cstheme="minorHAnsi"/>
        </w:rPr>
      </w:pPr>
      <w:r w:rsidRPr="00CA1A43">
        <w:rPr>
          <w:rFonts w:eastAsia="標楷體" w:cstheme="minorHAnsi"/>
        </w:rPr>
        <w:t>利率風險</w:t>
      </w:r>
    </w:p>
    <w:p w14:paraId="41D5E6C9" w14:textId="77777777" w:rsidR="009E0B68" w:rsidRPr="00CA1A43" w:rsidRDefault="009E0B68" w:rsidP="008C0E02">
      <w:pPr>
        <w:pStyle w:val="a7"/>
        <w:numPr>
          <w:ilvl w:val="0"/>
          <w:numId w:val="257"/>
        </w:numPr>
        <w:spacing w:beforeLines="50" w:before="180"/>
        <w:ind w:leftChars="0" w:left="964" w:hanging="482"/>
        <w:jc w:val="both"/>
        <w:rPr>
          <w:rFonts w:eastAsia="標楷體" w:cstheme="minorHAnsi"/>
        </w:rPr>
      </w:pPr>
      <w:r w:rsidRPr="00CA1A43">
        <w:rPr>
          <w:rFonts w:eastAsia="標楷體" w:cstheme="minorHAnsi"/>
        </w:rPr>
        <w:t>銀行資產負債表內或表外的利率敏感性交易部位，應依各幣別建立對應之利率風險因子。</w:t>
      </w:r>
    </w:p>
    <w:p w14:paraId="46037DA4" w14:textId="77777777" w:rsidR="009E0B68" w:rsidRPr="00CA1A43" w:rsidRDefault="009E0B68" w:rsidP="008C0E02">
      <w:pPr>
        <w:pStyle w:val="a7"/>
        <w:numPr>
          <w:ilvl w:val="0"/>
          <w:numId w:val="257"/>
        </w:numPr>
        <w:spacing w:beforeLines="50" w:before="180"/>
        <w:ind w:leftChars="0" w:left="964" w:hanging="482"/>
        <w:jc w:val="both"/>
        <w:rPr>
          <w:rFonts w:eastAsia="標楷體" w:cstheme="minorHAnsi"/>
        </w:rPr>
      </w:pPr>
      <w:r w:rsidRPr="00CA1A43">
        <w:rPr>
          <w:rFonts w:eastAsia="標楷體" w:cstheme="minorHAnsi"/>
        </w:rPr>
        <w:t>交易台風險管理模型須使用一般可接受的方法建構</w:t>
      </w:r>
      <w:proofErr w:type="gramStart"/>
      <w:r w:rsidRPr="00CA1A43">
        <w:rPr>
          <w:rFonts w:eastAsia="標楷體" w:cstheme="minorHAnsi"/>
        </w:rPr>
        <w:t>殖</w:t>
      </w:r>
      <w:proofErr w:type="gramEnd"/>
      <w:r w:rsidRPr="00CA1A43">
        <w:rPr>
          <w:rFonts w:eastAsia="標楷體" w:cstheme="minorHAnsi"/>
        </w:rPr>
        <w:t>利率曲線</w:t>
      </w:r>
      <w:r w:rsidRPr="00CA1A43">
        <w:rPr>
          <w:rFonts w:eastAsia="標楷體" w:cstheme="minorHAnsi"/>
        </w:rPr>
        <w:t>(</w:t>
      </w:r>
      <w:r w:rsidRPr="00CA1A43">
        <w:rPr>
          <w:rFonts w:eastAsia="標楷體" w:cstheme="minorHAnsi"/>
        </w:rPr>
        <w:t>例如以零息債券</w:t>
      </w:r>
      <w:proofErr w:type="gramStart"/>
      <w:r w:rsidRPr="00CA1A43">
        <w:rPr>
          <w:rFonts w:eastAsia="標楷體" w:cstheme="minorHAnsi"/>
        </w:rPr>
        <w:t>殖</w:t>
      </w:r>
      <w:proofErr w:type="gramEnd"/>
      <w:r w:rsidRPr="00CA1A43">
        <w:rPr>
          <w:rFonts w:eastAsia="標楷體" w:cstheme="minorHAnsi"/>
        </w:rPr>
        <w:t>利率估計遠期利率</w:t>
      </w:r>
      <w:r w:rsidRPr="00CA1A43">
        <w:rPr>
          <w:rFonts w:eastAsia="標楷體" w:cstheme="minorHAnsi"/>
        </w:rPr>
        <w:t>)</w:t>
      </w:r>
      <w:r w:rsidRPr="00CA1A43">
        <w:rPr>
          <w:rFonts w:eastAsia="標楷體" w:cstheme="minorHAnsi"/>
        </w:rPr>
        <w:t>。</w:t>
      </w:r>
      <w:proofErr w:type="gramStart"/>
      <w:r w:rsidRPr="00CA1A43">
        <w:rPr>
          <w:rFonts w:eastAsia="標楷體" w:cstheme="minorHAnsi"/>
        </w:rPr>
        <w:t>殖</w:t>
      </w:r>
      <w:proofErr w:type="gramEnd"/>
      <w:r w:rsidRPr="00CA1A43">
        <w:rPr>
          <w:rFonts w:eastAsia="標楷體" w:cstheme="minorHAnsi"/>
        </w:rPr>
        <w:t>利率曲線應依到期日分為不同</w:t>
      </w:r>
      <w:proofErr w:type="gramStart"/>
      <w:r w:rsidRPr="00CA1A43">
        <w:rPr>
          <w:rFonts w:eastAsia="標楷體" w:cstheme="minorHAnsi"/>
        </w:rPr>
        <w:t>期間，</w:t>
      </w:r>
      <w:proofErr w:type="gramEnd"/>
      <w:r w:rsidRPr="00CA1A43">
        <w:rPr>
          <w:rFonts w:eastAsia="標楷體" w:cstheme="minorHAnsi"/>
        </w:rPr>
        <w:t>以反映其波動率之差異性。對於主要貨幣與市場利率變動</w:t>
      </w:r>
      <w:proofErr w:type="gramStart"/>
      <w:r w:rsidRPr="00CA1A43">
        <w:rPr>
          <w:rFonts w:eastAsia="標楷體" w:cstheme="minorHAnsi"/>
        </w:rPr>
        <w:t>的暴險</w:t>
      </w:r>
      <w:proofErr w:type="gramEnd"/>
      <w:r w:rsidRPr="00CA1A43">
        <w:rPr>
          <w:rFonts w:eastAsia="標楷體" w:cstheme="minorHAnsi"/>
        </w:rPr>
        <w:t>，銀行至少應有六個風險因子建構</w:t>
      </w:r>
      <w:proofErr w:type="gramStart"/>
      <w:r w:rsidRPr="00CA1A43">
        <w:rPr>
          <w:rFonts w:eastAsia="標楷體" w:cstheme="minorHAnsi"/>
        </w:rPr>
        <w:t>殖</w:t>
      </w:r>
      <w:proofErr w:type="gramEnd"/>
      <w:r w:rsidRPr="00CA1A43">
        <w:rPr>
          <w:rFonts w:eastAsia="標楷體" w:cstheme="minorHAnsi"/>
        </w:rPr>
        <w:t>利率曲線。最終要使用多少個風險因子，須依銀行本身的交易策略決定。投資組合中，有價證券種類適用</w:t>
      </w:r>
      <w:proofErr w:type="gramStart"/>
      <w:r w:rsidRPr="00CA1A43">
        <w:rPr>
          <w:rFonts w:eastAsia="標楷體" w:cstheme="minorHAnsi"/>
        </w:rPr>
        <w:t>殖</w:t>
      </w:r>
      <w:proofErr w:type="gramEnd"/>
      <w:r w:rsidRPr="00CA1A43">
        <w:rPr>
          <w:rFonts w:eastAsia="標楷體" w:cstheme="minorHAnsi"/>
        </w:rPr>
        <w:t>利率曲線</w:t>
      </w:r>
      <w:proofErr w:type="gramStart"/>
      <w:r w:rsidRPr="00CA1A43">
        <w:rPr>
          <w:rFonts w:eastAsia="標楷體" w:cstheme="minorHAnsi"/>
        </w:rPr>
        <w:t>的點越多</w:t>
      </w:r>
      <w:proofErr w:type="gramEnd"/>
      <w:r w:rsidRPr="00CA1A43">
        <w:rPr>
          <w:rFonts w:eastAsia="標楷體" w:cstheme="minorHAnsi"/>
        </w:rPr>
        <w:t>，涉及複雜套利策略者所需之風險因子應多於其他較不複雜的投資組合。</w:t>
      </w:r>
    </w:p>
    <w:p w14:paraId="0EF7E781" w14:textId="36607A5E" w:rsidR="009E0B68" w:rsidRPr="00CA1A43" w:rsidRDefault="009E0B68" w:rsidP="008C0E02">
      <w:pPr>
        <w:pStyle w:val="a7"/>
        <w:numPr>
          <w:ilvl w:val="0"/>
          <w:numId w:val="257"/>
        </w:numPr>
        <w:spacing w:beforeLines="50" w:before="180"/>
        <w:ind w:leftChars="0" w:left="964" w:hanging="482"/>
        <w:jc w:val="both"/>
        <w:rPr>
          <w:rFonts w:eastAsia="標楷體" w:cstheme="minorHAnsi"/>
          <w:szCs w:val="24"/>
        </w:rPr>
      </w:pPr>
      <w:r w:rsidRPr="00CA1A43">
        <w:rPr>
          <w:rFonts w:eastAsia="標楷體" w:cstheme="minorHAnsi"/>
        </w:rPr>
        <w:t>交易台風險管理模型中必須涵蓋不同的風險因子以捕捉信用利差風險</w:t>
      </w:r>
      <w:r w:rsidRPr="00CA1A43">
        <w:rPr>
          <w:rFonts w:eastAsia="標楷體" w:cstheme="minorHAnsi"/>
        </w:rPr>
        <w:t>(</w:t>
      </w:r>
      <w:r w:rsidRPr="00CA1A43">
        <w:rPr>
          <w:rFonts w:eastAsia="標楷體" w:cstheme="minorHAnsi"/>
        </w:rPr>
        <w:t>即債券與利率交換間</w:t>
      </w:r>
      <w:r w:rsidRPr="00CA1A43">
        <w:rPr>
          <w:rFonts w:eastAsia="標楷體" w:cstheme="minorHAnsi"/>
        </w:rPr>
        <w:t>)</w:t>
      </w:r>
      <w:r w:rsidRPr="00CA1A43">
        <w:rPr>
          <w:rFonts w:eastAsia="標楷體" w:cstheme="minorHAnsi"/>
        </w:rPr>
        <w:t>。對於政府債券及其他固定收益證券之間不完全相關之變動所導致之信用利差風險，可能具有各種不同的衡量方式，例如，對政府公債以外的固定收益</w:t>
      </w:r>
      <w:r w:rsidR="009653EE" w:rsidRPr="00F466FD">
        <w:rPr>
          <w:rFonts w:eastAsia="標楷體" w:cstheme="minorHAnsi"/>
        </w:rPr>
        <w:t>工具</w:t>
      </w:r>
      <w:r w:rsidRPr="00CA1A43">
        <w:rPr>
          <w:rFonts w:eastAsia="標楷體" w:cstheme="minorHAnsi"/>
        </w:rPr>
        <w:t>，得使用完全不同之</w:t>
      </w:r>
      <w:proofErr w:type="gramStart"/>
      <w:r w:rsidRPr="00CA1A43">
        <w:rPr>
          <w:rFonts w:eastAsia="標楷體" w:cstheme="minorHAnsi"/>
        </w:rPr>
        <w:t>殖</w:t>
      </w:r>
      <w:proofErr w:type="gramEnd"/>
      <w:r w:rsidRPr="00CA1A43">
        <w:rPr>
          <w:rFonts w:eastAsia="標楷體" w:cstheme="minorHAnsi"/>
        </w:rPr>
        <w:t>利率曲線</w:t>
      </w:r>
      <w:r w:rsidRPr="00CA1A43">
        <w:rPr>
          <w:rFonts w:eastAsia="標楷體" w:cstheme="minorHAnsi"/>
        </w:rPr>
        <w:t>(</w:t>
      </w:r>
      <w:r w:rsidRPr="00CA1A43">
        <w:rPr>
          <w:rFonts w:eastAsia="標楷體" w:cstheme="minorHAnsi"/>
        </w:rPr>
        <w:t>如交換合約或地方政府債</w:t>
      </w:r>
      <w:r w:rsidRPr="00CA1A43">
        <w:rPr>
          <w:rFonts w:eastAsia="標楷體" w:cstheme="minorHAnsi"/>
        </w:rPr>
        <w:t>)</w:t>
      </w:r>
      <w:r w:rsidRPr="00CA1A43">
        <w:rPr>
          <w:rFonts w:eastAsia="標楷體" w:cstheme="minorHAnsi"/>
        </w:rPr>
        <w:t>，或估計</w:t>
      </w:r>
      <w:proofErr w:type="gramStart"/>
      <w:r w:rsidRPr="00CA1A43">
        <w:rPr>
          <w:rFonts w:eastAsia="標楷體" w:cstheme="minorHAnsi"/>
        </w:rPr>
        <w:t>殖</w:t>
      </w:r>
      <w:proofErr w:type="gramEnd"/>
      <w:r w:rsidRPr="00CA1A43">
        <w:rPr>
          <w:rFonts w:eastAsia="標楷體" w:cstheme="minorHAnsi"/>
        </w:rPr>
        <w:t>利率曲線上各點對政府債券利率之利差。</w:t>
      </w:r>
    </w:p>
    <w:p w14:paraId="5778FB0E" w14:textId="77777777" w:rsidR="00957D5D" w:rsidRPr="00CA1A43" w:rsidRDefault="00957D5D" w:rsidP="008C0E02">
      <w:pPr>
        <w:pStyle w:val="a7"/>
        <w:numPr>
          <w:ilvl w:val="0"/>
          <w:numId w:val="255"/>
        </w:numPr>
        <w:spacing w:beforeLines="50" w:before="180"/>
        <w:ind w:leftChars="0" w:left="737" w:hanging="737"/>
        <w:jc w:val="both"/>
        <w:rPr>
          <w:rFonts w:eastAsia="標楷體" w:cstheme="minorHAnsi"/>
        </w:rPr>
      </w:pPr>
      <w:r w:rsidRPr="00CA1A43">
        <w:rPr>
          <w:rFonts w:eastAsia="標楷體" w:cstheme="minorHAnsi"/>
        </w:rPr>
        <w:t>匯率風險：</w:t>
      </w:r>
    </w:p>
    <w:p w14:paraId="574434F5" w14:textId="77777777" w:rsidR="00633E44" w:rsidRPr="00CA1A43" w:rsidRDefault="00957D5D" w:rsidP="00957D5D">
      <w:pPr>
        <w:pStyle w:val="a7"/>
        <w:spacing w:beforeLines="50" w:before="180"/>
        <w:ind w:leftChars="0" w:left="737"/>
        <w:jc w:val="both"/>
        <w:rPr>
          <w:rFonts w:eastAsia="標楷體" w:cstheme="minorHAnsi"/>
        </w:rPr>
      </w:pPr>
      <w:r w:rsidRPr="00CA1A43">
        <w:rPr>
          <w:rFonts w:eastAsia="標楷體" w:cstheme="minorHAnsi"/>
        </w:rPr>
        <w:t>交易台風險管理模型中必須涵蓋銀行所持有部位中，不同幣別所對應的各風險因子。因風險衡量系統計算的結果會以銀行本位幣表示，任何以外幣計價之淨</w:t>
      </w:r>
      <w:proofErr w:type="gramStart"/>
      <w:r w:rsidRPr="00CA1A43">
        <w:rPr>
          <w:rFonts w:eastAsia="標楷體" w:cstheme="minorHAnsi"/>
        </w:rPr>
        <w:t>部位均會承擔</w:t>
      </w:r>
      <w:proofErr w:type="gramEnd"/>
      <w:r w:rsidRPr="00CA1A43">
        <w:rPr>
          <w:rFonts w:eastAsia="標楷體" w:cstheme="minorHAnsi"/>
        </w:rPr>
        <w:t>匯率風險，故銀行對於</w:t>
      </w:r>
      <w:proofErr w:type="gramStart"/>
      <w:r w:rsidRPr="00CA1A43">
        <w:rPr>
          <w:rFonts w:eastAsia="標楷體" w:cstheme="minorHAnsi"/>
        </w:rPr>
        <w:t>暴險較</w:t>
      </w:r>
      <w:proofErr w:type="gramEnd"/>
      <w:r w:rsidRPr="00CA1A43">
        <w:rPr>
          <w:rFonts w:eastAsia="標楷體" w:cstheme="minorHAnsi"/>
        </w:rPr>
        <w:t>大的部位，</w:t>
      </w:r>
      <w:proofErr w:type="gramStart"/>
      <w:r w:rsidRPr="00CA1A43">
        <w:rPr>
          <w:rFonts w:eastAsia="標楷體" w:cstheme="minorHAnsi"/>
        </w:rPr>
        <w:t>均應就此</w:t>
      </w:r>
      <w:proofErr w:type="gramEnd"/>
      <w:r w:rsidRPr="00CA1A43">
        <w:rPr>
          <w:rFonts w:eastAsia="標楷體" w:cstheme="minorHAnsi"/>
        </w:rPr>
        <w:t>部位每一種幣別對本位幣有對應的匯率風險因子。</w:t>
      </w:r>
    </w:p>
    <w:p w14:paraId="6EB071EB" w14:textId="77777777" w:rsidR="00957D5D" w:rsidRPr="00CA1A43" w:rsidRDefault="00957D5D" w:rsidP="008C0E02">
      <w:pPr>
        <w:pStyle w:val="a7"/>
        <w:numPr>
          <w:ilvl w:val="0"/>
          <w:numId w:val="255"/>
        </w:numPr>
        <w:spacing w:beforeLines="50" w:before="180"/>
        <w:ind w:leftChars="0" w:left="737" w:hanging="737"/>
        <w:jc w:val="both"/>
        <w:rPr>
          <w:rFonts w:eastAsia="標楷體" w:cstheme="minorHAnsi"/>
        </w:rPr>
      </w:pPr>
      <w:r w:rsidRPr="00CA1A43">
        <w:rPr>
          <w:rFonts w:eastAsia="標楷體" w:cstheme="minorHAnsi"/>
        </w:rPr>
        <w:t>權益證券風險：</w:t>
      </w:r>
    </w:p>
    <w:p w14:paraId="020F3930" w14:textId="77777777" w:rsidR="00141579" w:rsidRPr="00CA1A43" w:rsidRDefault="00957D5D" w:rsidP="00957D5D">
      <w:pPr>
        <w:pStyle w:val="a7"/>
        <w:spacing w:beforeLines="50" w:before="180"/>
        <w:ind w:leftChars="0" w:left="737"/>
        <w:jc w:val="both"/>
        <w:rPr>
          <w:rFonts w:eastAsia="標楷體" w:cstheme="minorHAnsi"/>
          <w:kern w:val="0"/>
          <w:szCs w:val="24"/>
        </w:rPr>
      </w:pPr>
      <w:r w:rsidRPr="00CA1A43">
        <w:rPr>
          <w:rFonts w:eastAsia="標楷體" w:cstheme="minorHAnsi"/>
        </w:rPr>
        <w:t>銀行對每一個持有重大部位之權益證券市場，</w:t>
      </w:r>
      <w:proofErr w:type="gramStart"/>
      <w:r w:rsidRPr="00CA1A43">
        <w:rPr>
          <w:rFonts w:eastAsia="標楷體" w:cstheme="minorHAnsi"/>
        </w:rPr>
        <w:t>均應有</w:t>
      </w:r>
      <w:proofErr w:type="gramEnd"/>
      <w:r w:rsidRPr="00CA1A43">
        <w:rPr>
          <w:rFonts w:eastAsia="標楷體" w:cstheme="minorHAnsi"/>
        </w:rPr>
        <w:t>分別對應之風險因子。</w:t>
      </w:r>
    </w:p>
    <w:p w14:paraId="1D11A0CF" w14:textId="77777777" w:rsidR="00957D5D" w:rsidRPr="00CA1A43" w:rsidRDefault="00957D5D" w:rsidP="008C0E02">
      <w:pPr>
        <w:pStyle w:val="a7"/>
        <w:numPr>
          <w:ilvl w:val="0"/>
          <w:numId w:val="258"/>
        </w:numPr>
        <w:spacing w:beforeLines="50" w:before="180"/>
        <w:ind w:leftChars="0" w:left="964" w:hanging="482"/>
        <w:jc w:val="both"/>
        <w:rPr>
          <w:rFonts w:eastAsia="標楷體" w:cstheme="minorHAnsi"/>
        </w:rPr>
      </w:pPr>
      <w:r w:rsidRPr="00CA1A43">
        <w:rPr>
          <w:rFonts w:eastAsia="標楷體" w:cstheme="minorHAnsi"/>
        </w:rPr>
        <w:t>銀行最少須利用風險因子反映整體權益證券價格之市場波動</w:t>
      </w:r>
      <w:r w:rsidRPr="00CA1A43">
        <w:rPr>
          <w:rFonts w:eastAsia="標楷體" w:cstheme="minorHAnsi"/>
        </w:rPr>
        <w:t>(</w:t>
      </w:r>
      <w:r w:rsidRPr="00CA1A43">
        <w:rPr>
          <w:rFonts w:eastAsia="標楷體" w:cstheme="minorHAnsi"/>
        </w:rPr>
        <w:t>如市場指數</w:t>
      </w:r>
      <w:r w:rsidRPr="00CA1A43">
        <w:rPr>
          <w:rFonts w:eastAsia="標楷體" w:cstheme="minorHAnsi"/>
        </w:rPr>
        <w:t>)</w:t>
      </w:r>
      <w:r w:rsidRPr="00CA1A43">
        <w:rPr>
          <w:rFonts w:eastAsia="標楷體" w:cstheme="minorHAnsi"/>
        </w:rPr>
        <w:t>。個別證券或類股指數的部位即以相對於市場指數之</w:t>
      </w:r>
      <w:r w:rsidRPr="00CA1A43">
        <w:rPr>
          <w:rFonts w:eastAsia="標楷體" w:cstheme="minorHAnsi"/>
        </w:rPr>
        <w:t>Beta</w:t>
      </w:r>
      <w:r w:rsidRPr="00CA1A43">
        <w:rPr>
          <w:rFonts w:eastAsia="標楷體" w:cstheme="minorHAnsi"/>
        </w:rPr>
        <w:t>相當值</w:t>
      </w:r>
      <w:r w:rsidRPr="00CA1A43">
        <w:rPr>
          <w:rFonts w:eastAsia="標楷體" w:cstheme="minorHAnsi"/>
        </w:rPr>
        <w:t>(beta-equivalents)</w:t>
      </w:r>
      <w:r w:rsidRPr="00CA1A43">
        <w:rPr>
          <w:rFonts w:eastAsia="標楷體" w:cstheme="minorHAnsi"/>
        </w:rPr>
        <w:t>表示。</w:t>
      </w:r>
    </w:p>
    <w:p w14:paraId="4852EBC9" w14:textId="77777777" w:rsidR="00957D5D" w:rsidRPr="00CA1A43" w:rsidRDefault="00957D5D" w:rsidP="008C0E02">
      <w:pPr>
        <w:pStyle w:val="a7"/>
        <w:numPr>
          <w:ilvl w:val="0"/>
          <w:numId w:val="258"/>
        </w:numPr>
        <w:spacing w:beforeLines="50" w:before="180"/>
        <w:ind w:leftChars="0" w:left="964" w:hanging="482"/>
        <w:jc w:val="both"/>
        <w:rPr>
          <w:rFonts w:eastAsia="標楷體" w:cstheme="minorHAnsi"/>
        </w:rPr>
      </w:pPr>
      <w:r w:rsidRPr="00CA1A43">
        <w:rPr>
          <w:rFonts w:eastAsia="標楷體" w:cstheme="minorHAnsi"/>
        </w:rPr>
        <w:t>銀行可依全體權益證券市場中不同類股產生對應之類股指數風險因子</w:t>
      </w:r>
      <w:r w:rsidRPr="00CA1A43">
        <w:rPr>
          <w:rFonts w:eastAsia="標楷體" w:cstheme="minorHAnsi"/>
        </w:rPr>
        <w:t>(</w:t>
      </w:r>
      <w:r w:rsidRPr="00CA1A43">
        <w:rPr>
          <w:rFonts w:eastAsia="標楷體" w:cstheme="minorHAnsi"/>
        </w:rPr>
        <w:t>例如工業類、景氣循環類及非景氣循環類</w:t>
      </w:r>
      <w:r w:rsidRPr="00CA1A43">
        <w:rPr>
          <w:rFonts w:eastAsia="標楷體" w:cstheme="minorHAnsi"/>
        </w:rPr>
        <w:t>)</w:t>
      </w:r>
      <w:r w:rsidRPr="00CA1A43">
        <w:rPr>
          <w:rFonts w:eastAsia="標楷體" w:cstheme="minorHAnsi"/>
        </w:rPr>
        <w:t>，至於個別股票則以相對於類股指數之</w:t>
      </w:r>
      <w:r w:rsidRPr="00CA1A43">
        <w:rPr>
          <w:rFonts w:eastAsia="標楷體" w:cstheme="minorHAnsi"/>
        </w:rPr>
        <w:t>Beta</w:t>
      </w:r>
      <w:r w:rsidRPr="00CA1A43">
        <w:rPr>
          <w:rFonts w:eastAsia="標楷體" w:cstheme="minorHAnsi"/>
        </w:rPr>
        <w:t>相當值表示。</w:t>
      </w:r>
    </w:p>
    <w:p w14:paraId="302C4C8C" w14:textId="77777777" w:rsidR="00957D5D" w:rsidRPr="00CA1A43" w:rsidRDefault="00957D5D" w:rsidP="008C0E02">
      <w:pPr>
        <w:pStyle w:val="a7"/>
        <w:numPr>
          <w:ilvl w:val="0"/>
          <w:numId w:val="258"/>
        </w:numPr>
        <w:spacing w:beforeLines="50" w:before="180"/>
        <w:ind w:leftChars="0" w:left="964" w:hanging="482"/>
        <w:jc w:val="both"/>
        <w:rPr>
          <w:rFonts w:eastAsia="標楷體" w:cstheme="minorHAnsi"/>
        </w:rPr>
      </w:pPr>
      <w:r w:rsidRPr="00CA1A43">
        <w:rPr>
          <w:rFonts w:eastAsia="標楷體" w:cstheme="minorHAnsi"/>
        </w:rPr>
        <w:lastRenderedPageBreak/>
        <w:t>銀行也可依個別權益證券之波動率產生對應的風險因子。</w:t>
      </w:r>
    </w:p>
    <w:p w14:paraId="2E815820" w14:textId="77777777" w:rsidR="00957D5D" w:rsidRPr="00CA1A43" w:rsidRDefault="00957D5D" w:rsidP="008C0E02">
      <w:pPr>
        <w:pStyle w:val="a7"/>
        <w:numPr>
          <w:ilvl w:val="0"/>
          <w:numId w:val="258"/>
        </w:numPr>
        <w:spacing w:beforeLines="50" w:before="180"/>
        <w:ind w:leftChars="0" w:left="964" w:hanging="482"/>
        <w:jc w:val="both"/>
        <w:rPr>
          <w:rFonts w:eastAsia="標楷體" w:cstheme="minorHAnsi"/>
          <w:szCs w:val="24"/>
        </w:rPr>
      </w:pPr>
      <w:r w:rsidRPr="00CA1A43">
        <w:rPr>
          <w:rFonts w:eastAsia="標楷體" w:cstheme="minorHAnsi"/>
        </w:rPr>
        <w:t>銀行應依其整體之風險暴露程度及對個別權益證券之集中度，決定其模型之性質及複雜度。</w:t>
      </w:r>
    </w:p>
    <w:p w14:paraId="331E7F1F" w14:textId="77777777" w:rsidR="00DF154A" w:rsidRPr="00CA1A43" w:rsidRDefault="00DF154A" w:rsidP="008C0E02">
      <w:pPr>
        <w:pStyle w:val="a7"/>
        <w:numPr>
          <w:ilvl w:val="0"/>
          <w:numId w:val="255"/>
        </w:numPr>
        <w:spacing w:beforeLines="50" w:before="180"/>
        <w:ind w:leftChars="0" w:left="737" w:hanging="737"/>
        <w:jc w:val="both"/>
        <w:rPr>
          <w:rFonts w:eastAsia="標楷體" w:cstheme="minorHAnsi"/>
        </w:rPr>
      </w:pPr>
      <w:r w:rsidRPr="00CA1A43">
        <w:rPr>
          <w:rFonts w:eastAsia="標楷體" w:cstheme="minorHAnsi"/>
        </w:rPr>
        <w:t>商品價格風險：</w:t>
      </w:r>
    </w:p>
    <w:p w14:paraId="33FF8448" w14:textId="77777777" w:rsidR="00141579" w:rsidRPr="00CA1A43" w:rsidRDefault="00DF154A" w:rsidP="00DF154A">
      <w:pPr>
        <w:pStyle w:val="a7"/>
        <w:spacing w:beforeLines="50" w:before="180"/>
        <w:ind w:leftChars="0" w:left="737"/>
        <w:jc w:val="both"/>
        <w:rPr>
          <w:rFonts w:eastAsia="標楷體" w:cstheme="minorHAnsi"/>
          <w:kern w:val="0"/>
          <w:szCs w:val="24"/>
        </w:rPr>
      </w:pPr>
      <w:r w:rsidRPr="00CA1A43">
        <w:rPr>
          <w:rFonts w:eastAsia="標楷體" w:cstheme="minorHAnsi"/>
        </w:rPr>
        <w:t>銀行對每一個持有重大部位之商品市場，</w:t>
      </w:r>
      <w:proofErr w:type="gramStart"/>
      <w:r w:rsidRPr="00CA1A43">
        <w:rPr>
          <w:rFonts w:eastAsia="標楷體" w:cstheme="minorHAnsi"/>
        </w:rPr>
        <w:t>均應有</w:t>
      </w:r>
      <w:proofErr w:type="gramEnd"/>
      <w:r w:rsidRPr="00CA1A43">
        <w:rPr>
          <w:rFonts w:eastAsia="標楷體" w:cstheme="minorHAnsi"/>
        </w:rPr>
        <w:t>分別對應之風險因子。</w:t>
      </w:r>
    </w:p>
    <w:p w14:paraId="6C828496" w14:textId="08AA3D13" w:rsidR="00DF154A" w:rsidRPr="00CA1A43" w:rsidRDefault="00DF154A" w:rsidP="008C0E02">
      <w:pPr>
        <w:pStyle w:val="a7"/>
        <w:numPr>
          <w:ilvl w:val="0"/>
          <w:numId w:val="259"/>
        </w:numPr>
        <w:spacing w:beforeLines="50" w:before="180"/>
        <w:ind w:leftChars="0" w:left="964" w:hanging="482"/>
        <w:jc w:val="both"/>
        <w:rPr>
          <w:rFonts w:eastAsia="標楷體" w:cstheme="minorHAnsi"/>
        </w:rPr>
      </w:pPr>
      <w:r w:rsidRPr="00CA1A43">
        <w:rPr>
          <w:rFonts w:eastAsia="標楷體" w:cstheme="minorHAnsi"/>
        </w:rPr>
        <w:t>銀行持有商品類</w:t>
      </w:r>
      <w:r w:rsidR="009653EE" w:rsidRPr="008D30A1">
        <w:rPr>
          <w:rFonts w:eastAsia="標楷體" w:cstheme="minorHAnsi"/>
        </w:rPr>
        <w:t>工具</w:t>
      </w:r>
      <w:r w:rsidRPr="00CA1A43">
        <w:rPr>
          <w:rFonts w:eastAsia="標楷體" w:cstheme="minorHAnsi"/>
        </w:rPr>
        <w:t>之部位相對有限時，可以較直觀的方式定義風險因子。在此情況下，對應每一個商品均可簡化其風險因子之規格，僅以一個風險因子捕捉各相同類型商品的商品價格風險</w:t>
      </w:r>
      <w:r w:rsidRPr="00CA1A43">
        <w:rPr>
          <w:rFonts w:eastAsia="標楷體" w:cstheme="minorHAnsi"/>
        </w:rPr>
        <w:t>(</w:t>
      </w:r>
      <w:r w:rsidRPr="00CA1A43">
        <w:rPr>
          <w:rFonts w:eastAsia="標楷體" w:cstheme="minorHAnsi"/>
        </w:rPr>
        <w:t>例如對所有石油類商品皆採用單一風險因子</w:t>
      </w:r>
      <w:r w:rsidRPr="00CA1A43">
        <w:rPr>
          <w:rFonts w:eastAsia="標楷體" w:cstheme="minorHAnsi"/>
        </w:rPr>
        <w:t>)</w:t>
      </w:r>
      <w:r w:rsidRPr="00CA1A43">
        <w:rPr>
          <w:rFonts w:eastAsia="標楷體" w:cstheme="minorHAnsi"/>
        </w:rPr>
        <w:t>。</w:t>
      </w:r>
    </w:p>
    <w:p w14:paraId="662564CD" w14:textId="77777777" w:rsidR="00DF154A" w:rsidRPr="00CA1A43" w:rsidRDefault="00DF154A" w:rsidP="008C0E02">
      <w:pPr>
        <w:pStyle w:val="a7"/>
        <w:numPr>
          <w:ilvl w:val="0"/>
          <w:numId w:val="259"/>
        </w:numPr>
        <w:spacing w:beforeLines="50" w:before="180"/>
        <w:ind w:leftChars="0" w:left="964" w:hanging="482"/>
        <w:jc w:val="both"/>
        <w:rPr>
          <w:rFonts w:eastAsia="標楷體" w:cstheme="minorHAnsi"/>
          <w:szCs w:val="24"/>
        </w:rPr>
      </w:pPr>
      <w:r w:rsidRPr="00CA1A43">
        <w:rPr>
          <w:rFonts w:eastAsia="標楷體" w:cstheme="minorHAnsi"/>
        </w:rPr>
        <w:t>對商品交易活絡之銀行，其模型應考量商品之衍生性金融商品部位</w:t>
      </w:r>
      <w:r w:rsidRPr="00CA1A43">
        <w:rPr>
          <w:rFonts w:eastAsia="標楷體" w:cstheme="minorHAnsi"/>
        </w:rPr>
        <w:t>(</w:t>
      </w:r>
      <w:r w:rsidRPr="00CA1A43">
        <w:rPr>
          <w:rFonts w:eastAsia="標楷體" w:cstheme="minorHAnsi"/>
        </w:rPr>
        <w:t>如遠期契約、商品交換</w:t>
      </w:r>
      <w:r w:rsidRPr="00CA1A43">
        <w:rPr>
          <w:rFonts w:eastAsia="標楷體" w:cstheme="minorHAnsi"/>
        </w:rPr>
        <w:t>)</w:t>
      </w:r>
      <w:r w:rsidRPr="00CA1A43">
        <w:rPr>
          <w:rFonts w:eastAsia="標楷體" w:cstheme="minorHAnsi"/>
        </w:rPr>
        <w:t>與商品現貨部位間便利收益率</w:t>
      </w:r>
      <w:r w:rsidRPr="00CA1A43">
        <w:rPr>
          <w:rFonts w:eastAsia="標楷體" w:cstheme="minorHAnsi"/>
        </w:rPr>
        <w:t>(convenience yield)</w:t>
      </w:r>
      <w:r w:rsidR="009F302A" w:rsidRPr="00CA1A43">
        <w:rPr>
          <w:rStyle w:val="a5"/>
          <w:rFonts w:eastAsia="標楷體" w:cstheme="minorHAnsi"/>
          <w:szCs w:val="24"/>
        </w:rPr>
        <w:t xml:space="preserve"> </w:t>
      </w:r>
      <w:r w:rsidR="009F302A" w:rsidRPr="00CA1A43">
        <w:rPr>
          <w:rStyle w:val="a5"/>
          <w:rFonts w:eastAsia="標楷體" w:cstheme="minorHAnsi"/>
          <w:szCs w:val="24"/>
        </w:rPr>
        <w:footnoteReference w:id="95"/>
      </w:r>
      <w:r w:rsidRPr="00CA1A43">
        <w:rPr>
          <w:rFonts w:eastAsia="標楷體" w:cstheme="minorHAnsi"/>
        </w:rPr>
        <w:t>之變動。</w:t>
      </w:r>
    </w:p>
    <w:p w14:paraId="4399057B" w14:textId="77777777" w:rsidR="001C156E" w:rsidRPr="00CA1A43" w:rsidRDefault="001C156E" w:rsidP="008C0E02">
      <w:pPr>
        <w:pStyle w:val="a7"/>
        <w:numPr>
          <w:ilvl w:val="0"/>
          <w:numId w:val="255"/>
        </w:numPr>
        <w:spacing w:beforeLines="50" w:before="180"/>
        <w:ind w:leftChars="0" w:left="737" w:hanging="737"/>
        <w:jc w:val="both"/>
        <w:rPr>
          <w:rFonts w:eastAsia="標楷體" w:cstheme="minorHAnsi"/>
          <w:szCs w:val="24"/>
        </w:rPr>
      </w:pPr>
      <w:r w:rsidRPr="00CA1A43">
        <w:rPr>
          <w:rFonts w:eastAsia="標楷體" w:cstheme="minorHAnsi"/>
          <w:szCs w:val="24"/>
        </w:rPr>
        <w:t>與基金股權</w:t>
      </w:r>
      <w:r w:rsidRPr="00CA1A43">
        <w:rPr>
          <w:rFonts w:eastAsia="標楷體" w:cstheme="minorHAnsi"/>
        </w:rPr>
        <w:t>投資</w:t>
      </w:r>
      <w:r w:rsidRPr="00CA1A43">
        <w:rPr>
          <w:rFonts w:eastAsia="標楷體" w:cstheme="minorHAnsi"/>
          <w:szCs w:val="24"/>
        </w:rPr>
        <w:t>對應的風險：</w:t>
      </w:r>
    </w:p>
    <w:p w14:paraId="607426EF" w14:textId="77777777" w:rsidR="001C156E" w:rsidRPr="00CA1A43" w:rsidRDefault="001C156E" w:rsidP="008C0E02">
      <w:pPr>
        <w:pStyle w:val="a7"/>
        <w:numPr>
          <w:ilvl w:val="0"/>
          <w:numId w:val="260"/>
        </w:numPr>
        <w:spacing w:beforeLines="50" w:before="180"/>
        <w:ind w:leftChars="0" w:left="964" w:hanging="482"/>
        <w:jc w:val="both"/>
        <w:rPr>
          <w:rFonts w:eastAsia="標楷體" w:cstheme="minorHAnsi"/>
        </w:rPr>
      </w:pPr>
      <w:r w:rsidRPr="00CA1A43">
        <w:rPr>
          <w:rFonts w:eastAsia="標楷體" w:cstheme="minorHAnsi"/>
          <w:szCs w:val="24"/>
        </w:rPr>
        <w:t>若銀行持有適用拆解法的</w:t>
      </w:r>
      <w:r w:rsidRPr="00CA1A43">
        <w:rPr>
          <w:rFonts w:eastAsia="標楷體" w:cstheme="minorHAnsi"/>
        </w:rPr>
        <w:t>基金者，必須考慮該基金的風險，以及相關避險，如同基金的部位直接由銀行持有</w:t>
      </w:r>
      <w:r w:rsidRPr="00CA1A43">
        <w:rPr>
          <w:rFonts w:eastAsia="標楷體" w:cstheme="minorHAnsi"/>
        </w:rPr>
        <w:t>(</w:t>
      </w:r>
      <w:r w:rsidRPr="00CA1A43">
        <w:rPr>
          <w:rFonts w:eastAsia="標楷體" w:cstheme="minorHAnsi"/>
        </w:rPr>
        <w:t>考量銀行持有基金之持股及槓桿結構</w:t>
      </w:r>
      <w:r w:rsidRPr="00CA1A43">
        <w:rPr>
          <w:rFonts w:eastAsia="標楷體" w:cstheme="minorHAnsi"/>
        </w:rPr>
        <w:t>)</w:t>
      </w:r>
      <w:r w:rsidRPr="00CA1A43">
        <w:rPr>
          <w:rFonts w:eastAsia="標楷體" w:cstheme="minorHAnsi"/>
        </w:rPr>
        <w:t>。銀行必須將這些部位分配給已被分配該基金的交易台。</w:t>
      </w:r>
    </w:p>
    <w:p w14:paraId="63068433" w14:textId="77777777" w:rsidR="001C156E" w:rsidRPr="00CA1A43" w:rsidRDefault="001C156E" w:rsidP="008C0E02">
      <w:pPr>
        <w:pStyle w:val="a7"/>
        <w:numPr>
          <w:ilvl w:val="0"/>
          <w:numId w:val="260"/>
        </w:numPr>
        <w:spacing w:beforeLines="50" w:before="180"/>
        <w:ind w:leftChars="0" w:left="964" w:hanging="482"/>
        <w:jc w:val="both"/>
        <w:rPr>
          <w:rFonts w:eastAsia="標楷體" w:cstheme="minorHAnsi"/>
          <w:szCs w:val="24"/>
        </w:rPr>
      </w:pPr>
      <w:r w:rsidRPr="00CA1A43">
        <w:rPr>
          <w:rFonts w:eastAsia="標楷體" w:cstheme="minorHAnsi"/>
        </w:rPr>
        <w:t>若銀行持有不符合拆解</w:t>
      </w:r>
      <w:r w:rsidRPr="00CA1A43">
        <w:rPr>
          <w:rFonts w:eastAsia="標楷體" w:cstheme="minorHAnsi"/>
          <w:szCs w:val="24"/>
        </w:rPr>
        <w:t>法，但可獲得每日價格及基金委託操作知識之基金，必須使用標準法來計算基金的資本要求。</w:t>
      </w:r>
    </w:p>
    <w:p w14:paraId="0C0A8F84" w14:textId="77777777" w:rsidR="001C156E" w:rsidRPr="00CA1A43" w:rsidRDefault="001C156E" w:rsidP="008C0E02">
      <w:pPr>
        <w:pStyle w:val="a7"/>
        <w:numPr>
          <w:ilvl w:val="0"/>
          <w:numId w:val="255"/>
        </w:numPr>
        <w:spacing w:beforeLines="50" w:before="180"/>
        <w:ind w:leftChars="0" w:left="737" w:hanging="737"/>
        <w:jc w:val="both"/>
        <w:rPr>
          <w:rFonts w:eastAsia="標楷體" w:cstheme="minorHAnsi"/>
          <w:szCs w:val="24"/>
        </w:rPr>
      </w:pPr>
      <w:r w:rsidRPr="00CA1A43">
        <w:rPr>
          <w:rFonts w:eastAsia="標楷體" w:cstheme="minorHAnsi"/>
          <w:szCs w:val="24"/>
        </w:rPr>
        <w:t>證券化商品：</w:t>
      </w:r>
    </w:p>
    <w:p w14:paraId="0C307F84" w14:textId="77777777" w:rsidR="001C156E" w:rsidRPr="00CA1A43" w:rsidRDefault="001C156E" w:rsidP="001C156E">
      <w:pPr>
        <w:pStyle w:val="a7"/>
        <w:spacing w:beforeLines="50" w:before="180"/>
        <w:ind w:leftChars="0" w:left="737"/>
        <w:jc w:val="both"/>
        <w:rPr>
          <w:rFonts w:eastAsia="標楷體" w:cstheme="minorHAnsi"/>
        </w:rPr>
      </w:pPr>
      <w:r w:rsidRPr="00CA1A43">
        <w:rPr>
          <w:rFonts w:eastAsia="標楷體" w:cstheme="minorHAnsi"/>
        </w:rPr>
        <w:t>銀行不得使用簡易標準法及內部模型法計算證券化商品的市場風險資本要求，必須以標準法計算。</w:t>
      </w:r>
    </w:p>
    <w:p w14:paraId="3B98A626" w14:textId="77777777" w:rsidR="005C16A0" w:rsidRPr="00CA1A43" w:rsidRDefault="005C16A0" w:rsidP="001E691F">
      <w:pPr>
        <w:pStyle w:val="a7"/>
        <w:numPr>
          <w:ilvl w:val="0"/>
          <w:numId w:val="246"/>
        </w:numPr>
        <w:spacing w:beforeLines="50" w:before="180"/>
        <w:ind w:leftChars="0" w:left="737" w:hanging="737"/>
        <w:jc w:val="both"/>
        <w:outlineLvl w:val="0"/>
        <w:rPr>
          <w:rFonts w:eastAsia="標楷體" w:cstheme="minorHAnsi"/>
          <w:szCs w:val="24"/>
        </w:rPr>
      </w:pPr>
      <w:bookmarkStart w:id="28" w:name="_Toc67992468"/>
      <w:r w:rsidRPr="00CA1A43">
        <w:rPr>
          <w:rFonts w:eastAsia="標楷體" w:cstheme="minorHAnsi"/>
          <w:szCs w:val="24"/>
        </w:rPr>
        <w:t>風險因子之</w:t>
      </w:r>
      <w:r w:rsidRPr="00CA1A43">
        <w:rPr>
          <w:rFonts w:eastAsia="標楷體" w:cstheme="minorHAnsi"/>
        </w:rPr>
        <w:t>模型合格性</w:t>
      </w:r>
      <w:bookmarkEnd w:id="28"/>
    </w:p>
    <w:p w14:paraId="6A2AC64F" w14:textId="77777777" w:rsidR="005C16A0" w:rsidRPr="00CA1A43" w:rsidRDefault="005C16A0" w:rsidP="008C0E02">
      <w:pPr>
        <w:pStyle w:val="a7"/>
        <w:numPr>
          <w:ilvl w:val="0"/>
          <w:numId w:val="263"/>
        </w:numPr>
        <w:spacing w:beforeLines="50" w:before="180"/>
        <w:ind w:leftChars="0" w:left="737" w:hanging="737"/>
        <w:jc w:val="both"/>
        <w:rPr>
          <w:rFonts w:eastAsia="標楷體" w:cstheme="minorHAnsi"/>
        </w:rPr>
      </w:pPr>
      <w:r w:rsidRPr="00CA1A43">
        <w:rPr>
          <w:rFonts w:eastAsia="標楷體" w:cstheme="minorHAnsi"/>
        </w:rPr>
        <w:t>銀行必須確認交易台中已獲准使用內部模型法的風險因子納入銀行的內部預期短缺</w:t>
      </w:r>
      <w:r w:rsidRPr="00CA1A43">
        <w:rPr>
          <w:rFonts w:eastAsia="標楷體" w:cstheme="minorHAnsi"/>
        </w:rPr>
        <w:t>(ES)</w:t>
      </w:r>
      <w:r w:rsidRPr="00CA1A43">
        <w:rPr>
          <w:rFonts w:eastAsia="標楷體" w:cstheme="minorHAnsi"/>
        </w:rPr>
        <w:t>模型。對於被銀行歸類為可模型化的風險因子之必要條件為必須通過風險因子合格測試</w:t>
      </w:r>
      <w:r w:rsidRPr="00CA1A43">
        <w:rPr>
          <w:rFonts w:eastAsia="標楷體" w:cstheme="minorHAnsi"/>
        </w:rPr>
        <w:t>(RFET)</w:t>
      </w:r>
      <w:r w:rsidRPr="00CA1A43">
        <w:rPr>
          <w:rFonts w:eastAsia="標楷體" w:cstheme="minorHAnsi"/>
        </w:rPr>
        <w:t>。該測試需要辨識足夠數量之實際價格，以確保風險因子具代表性。擔保品的核對或評價不可被視為風險因子資格測試</w:t>
      </w:r>
      <w:r w:rsidRPr="00CA1A43">
        <w:rPr>
          <w:rFonts w:eastAsia="標楷體" w:cstheme="minorHAnsi"/>
        </w:rPr>
        <w:t>(RFET)</w:t>
      </w:r>
      <w:r w:rsidRPr="00CA1A43">
        <w:rPr>
          <w:rFonts w:eastAsia="標楷體" w:cstheme="minorHAnsi"/>
        </w:rPr>
        <w:t>的實際價格。價格必須至少符合下列標準之一，才能夠被視為實際價格：</w:t>
      </w:r>
    </w:p>
    <w:p w14:paraId="0606C1FC" w14:textId="77777777" w:rsidR="005C16A0" w:rsidRPr="00CA1A43" w:rsidRDefault="005C16A0" w:rsidP="008C0E02">
      <w:pPr>
        <w:pStyle w:val="a7"/>
        <w:numPr>
          <w:ilvl w:val="0"/>
          <w:numId w:val="261"/>
        </w:numPr>
        <w:spacing w:beforeLines="50" w:before="180"/>
        <w:ind w:leftChars="0" w:left="964" w:hanging="482"/>
        <w:jc w:val="both"/>
        <w:rPr>
          <w:rFonts w:eastAsia="標楷體" w:cstheme="minorHAnsi"/>
          <w:szCs w:val="24"/>
        </w:rPr>
      </w:pPr>
      <w:r w:rsidRPr="00CA1A43">
        <w:rPr>
          <w:rFonts w:eastAsia="標楷體" w:cstheme="minorHAnsi"/>
          <w:szCs w:val="24"/>
        </w:rPr>
        <w:t>機構</w:t>
      </w:r>
      <w:proofErr w:type="gramStart"/>
      <w:r w:rsidRPr="00CA1A43">
        <w:rPr>
          <w:rFonts w:eastAsia="標楷體" w:cstheme="minorHAnsi"/>
          <w:szCs w:val="24"/>
        </w:rPr>
        <w:t>承作</w:t>
      </w:r>
      <w:proofErr w:type="gramEnd"/>
      <w:r w:rsidRPr="00CA1A43">
        <w:rPr>
          <w:rFonts w:eastAsia="標楷體" w:cstheme="minorHAnsi"/>
          <w:szCs w:val="24"/>
        </w:rPr>
        <w:t>交易的價格；</w:t>
      </w:r>
    </w:p>
    <w:p w14:paraId="4C4C88A2" w14:textId="77777777" w:rsidR="005C16A0" w:rsidRPr="00CA1A43" w:rsidRDefault="005C16A0" w:rsidP="008C0E02">
      <w:pPr>
        <w:pStyle w:val="a7"/>
        <w:numPr>
          <w:ilvl w:val="0"/>
          <w:numId w:val="261"/>
        </w:numPr>
        <w:spacing w:beforeLines="50" w:before="180"/>
        <w:ind w:leftChars="0" w:left="964" w:hanging="482"/>
        <w:jc w:val="both"/>
        <w:rPr>
          <w:rFonts w:eastAsia="標楷體" w:cstheme="minorHAnsi"/>
          <w:szCs w:val="24"/>
        </w:rPr>
      </w:pPr>
      <w:r w:rsidRPr="00CA1A43">
        <w:rPr>
          <w:rFonts w:eastAsia="標楷體" w:cstheme="minorHAnsi"/>
          <w:szCs w:val="24"/>
        </w:rPr>
        <w:lastRenderedPageBreak/>
        <w:t>其他公平交易對手間實際交易可驗證的價格；</w:t>
      </w:r>
    </w:p>
    <w:p w14:paraId="2F228F83" w14:textId="77777777" w:rsidR="005C16A0" w:rsidRPr="00CA1A43" w:rsidRDefault="005C16A0" w:rsidP="008C0E02">
      <w:pPr>
        <w:pStyle w:val="a7"/>
        <w:numPr>
          <w:ilvl w:val="0"/>
          <w:numId w:val="261"/>
        </w:numPr>
        <w:spacing w:beforeLines="50" w:before="180"/>
        <w:ind w:leftChars="0" w:left="964" w:hanging="482"/>
        <w:jc w:val="both"/>
        <w:rPr>
          <w:rFonts w:eastAsia="標楷體" w:cstheme="minorHAnsi"/>
          <w:szCs w:val="24"/>
        </w:rPr>
      </w:pPr>
      <w:r w:rsidRPr="00CA1A43">
        <w:rPr>
          <w:rFonts w:eastAsia="標楷體" w:cstheme="minorHAnsi"/>
          <w:szCs w:val="24"/>
        </w:rPr>
        <w:t>從銀行本身或其他交易對手的承諾報價中獲得的價格。承諾報價</w:t>
      </w:r>
      <w:r w:rsidR="005341AE" w:rsidRPr="00CA1A43">
        <w:rPr>
          <w:rStyle w:val="a5"/>
          <w:rFonts w:eastAsia="標楷體" w:cstheme="minorHAnsi"/>
          <w:szCs w:val="24"/>
        </w:rPr>
        <w:footnoteReference w:id="96"/>
      </w:r>
      <w:r w:rsidRPr="00CA1A43">
        <w:rPr>
          <w:rFonts w:eastAsia="標楷體" w:cstheme="minorHAnsi"/>
          <w:szCs w:val="24"/>
        </w:rPr>
        <w:t>必須要透過第三方資訊供應商、交易平台或交易所進行蒐集與驗證；或者</w:t>
      </w:r>
    </w:p>
    <w:p w14:paraId="5BE85434" w14:textId="77777777" w:rsidR="005C16A0" w:rsidRPr="00CA1A43" w:rsidRDefault="005C16A0" w:rsidP="008C0E02">
      <w:pPr>
        <w:pStyle w:val="a7"/>
        <w:numPr>
          <w:ilvl w:val="0"/>
          <w:numId w:val="261"/>
        </w:numPr>
        <w:spacing w:beforeLines="50" w:before="180"/>
        <w:ind w:leftChars="0" w:left="964" w:hanging="482"/>
        <w:jc w:val="both"/>
        <w:rPr>
          <w:rFonts w:eastAsia="標楷體" w:cstheme="minorHAnsi"/>
          <w:szCs w:val="24"/>
        </w:rPr>
      </w:pPr>
      <w:r w:rsidRPr="00CA1A43">
        <w:rPr>
          <w:rFonts w:eastAsia="標楷體" w:cstheme="minorHAnsi"/>
          <w:szCs w:val="24"/>
        </w:rPr>
        <w:t>從第三方資訊供應商取得價格，其中：</w:t>
      </w:r>
    </w:p>
    <w:p w14:paraId="7AF330E5" w14:textId="77777777" w:rsidR="005C16A0" w:rsidRPr="00CA1A43" w:rsidRDefault="005C16A0" w:rsidP="008C0E02">
      <w:pPr>
        <w:pStyle w:val="a7"/>
        <w:numPr>
          <w:ilvl w:val="0"/>
          <w:numId w:val="262"/>
        </w:numPr>
        <w:spacing w:beforeLines="50" w:before="180"/>
        <w:ind w:leftChars="0" w:left="1446" w:hanging="482"/>
        <w:jc w:val="both"/>
        <w:rPr>
          <w:rFonts w:eastAsia="標楷體" w:cstheme="minorHAnsi"/>
          <w:szCs w:val="24"/>
        </w:rPr>
      </w:pPr>
      <w:r w:rsidRPr="00CA1A43">
        <w:rPr>
          <w:rFonts w:eastAsia="標楷體" w:cstheme="minorHAnsi"/>
          <w:szCs w:val="24"/>
        </w:rPr>
        <w:t>交易或承諾的報價已經透過該供應商處理；</w:t>
      </w:r>
    </w:p>
    <w:p w14:paraId="5EA7B182" w14:textId="77777777" w:rsidR="005C16A0" w:rsidRPr="00CA1A43" w:rsidRDefault="005C16A0" w:rsidP="008C0E02">
      <w:pPr>
        <w:pStyle w:val="a7"/>
        <w:numPr>
          <w:ilvl w:val="0"/>
          <w:numId w:val="262"/>
        </w:numPr>
        <w:spacing w:beforeLines="50" w:before="180"/>
        <w:ind w:leftChars="0" w:left="1446" w:hanging="482"/>
        <w:jc w:val="both"/>
        <w:rPr>
          <w:rFonts w:eastAsia="標楷體" w:cstheme="minorHAnsi"/>
          <w:szCs w:val="24"/>
        </w:rPr>
      </w:pPr>
      <w:r w:rsidRPr="00CA1A43">
        <w:rPr>
          <w:rFonts w:eastAsia="標楷體" w:cstheme="minorHAnsi"/>
          <w:szCs w:val="24"/>
        </w:rPr>
        <w:t>該供應商根據本</w:t>
      </w:r>
      <w:r w:rsidRPr="00CA1A43">
        <w:rPr>
          <w:rFonts w:eastAsia="標楷體" w:cstheme="minorHAnsi"/>
        </w:rPr>
        <w:t>會</w:t>
      </w:r>
      <w:r w:rsidRPr="00CA1A43">
        <w:rPr>
          <w:rFonts w:eastAsia="標楷體" w:cstheme="minorHAnsi"/>
          <w:szCs w:val="24"/>
        </w:rPr>
        <w:t>要求提供交易佐證或承諾報價，或是價格必須符合前述第</w:t>
      </w:r>
      <w:r w:rsidRPr="00CA1A43">
        <w:rPr>
          <w:rFonts w:eastAsia="標楷體" w:cstheme="minorHAnsi"/>
          <w:szCs w:val="24"/>
        </w:rPr>
        <w:t>1</w:t>
      </w:r>
      <w:r w:rsidRPr="00CA1A43">
        <w:rPr>
          <w:rFonts w:eastAsia="標楷體" w:cstheme="minorHAnsi"/>
          <w:szCs w:val="24"/>
        </w:rPr>
        <w:t>到</w:t>
      </w:r>
      <w:r w:rsidRPr="00CA1A43">
        <w:rPr>
          <w:rFonts w:eastAsia="標楷體" w:cstheme="minorHAnsi"/>
          <w:szCs w:val="24"/>
        </w:rPr>
        <w:t>3</w:t>
      </w:r>
      <w:r w:rsidRPr="00CA1A43">
        <w:rPr>
          <w:rFonts w:eastAsia="標楷體" w:cstheme="minorHAnsi"/>
          <w:szCs w:val="24"/>
        </w:rPr>
        <w:t>點所列的三個標準之</w:t>
      </w:r>
      <w:proofErr w:type="gramStart"/>
      <w:r w:rsidRPr="00CA1A43">
        <w:rPr>
          <w:rFonts w:eastAsia="標楷體" w:cstheme="minorHAnsi"/>
          <w:szCs w:val="24"/>
        </w:rPr>
        <w:t>一</w:t>
      </w:r>
      <w:proofErr w:type="gramEnd"/>
      <w:r w:rsidRPr="00CA1A43">
        <w:rPr>
          <w:rFonts w:eastAsia="標楷體" w:cstheme="minorHAnsi"/>
          <w:szCs w:val="24"/>
        </w:rPr>
        <w:t>。</w:t>
      </w:r>
    </w:p>
    <w:p w14:paraId="6251ACDA" w14:textId="77777777" w:rsidR="00483142" w:rsidRPr="00CA1A43" w:rsidRDefault="00483142" w:rsidP="008C0E02">
      <w:pPr>
        <w:pStyle w:val="a7"/>
        <w:numPr>
          <w:ilvl w:val="0"/>
          <w:numId w:val="263"/>
        </w:numPr>
        <w:spacing w:beforeLines="50" w:before="180"/>
        <w:ind w:leftChars="0" w:left="737" w:hanging="737"/>
        <w:jc w:val="both"/>
        <w:rPr>
          <w:rFonts w:eastAsia="標楷體" w:cstheme="minorHAnsi"/>
          <w:szCs w:val="24"/>
        </w:rPr>
      </w:pPr>
      <w:r w:rsidRPr="00CA1A43">
        <w:rPr>
          <w:rFonts w:eastAsia="標楷體" w:cstheme="minorHAnsi"/>
        </w:rPr>
        <w:t>交易中觀察到的任何實際價格，應被視為其所代表的所有風險因子的一個觀察值。為了通過風險因子資格測試</w:t>
      </w:r>
      <w:r w:rsidRPr="00CA1A43">
        <w:rPr>
          <w:rFonts w:eastAsia="標楷體" w:cstheme="minorHAnsi"/>
        </w:rPr>
        <w:t>(RFET)</w:t>
      </w:r>
      <w:r w:rsidRPr="00CA1A43">
        <w:rPr>
          <w:rFonts w:eastAsia="標楷體" w:cstheme="minorHAnsi"/>
        </w:rPr>
        <w:t>，銀行在內部模型中使用的風險因子應按季符合以下任一標</w:t>
      </w:r>
      <w:proofErr w:type="gramStart"/>
      <w:r w:rsidRPr="00CA1A43">
        <w:rPr>
          <w:rFonts w:eastAsia="標楷體" w:cstheme="minorHAnsi"/>
        </w:rPr>
        <w:t>準</w:t>
      </w:r>
      <w:proofErr w:type="gramEnd"/>
      <w:r w:rsidRPr="00CA1A43">
        <w:rPr>
          <w:rFonts w:eastAsia="標楷體" w:cstheme="minorHAnsi"/>
        </w:rPr>
        <w:t>：</w:t>
      </w:r>
    </w:p>
    <w:p w14:paraId="72612539" w14:textId="77777777" w:rsidR="00483142" w:rsidRPr="00CA1A43" w:rsidRDefault="00483142" w:rsidP="008C0E02">
      <w:pPr>
        <w:pStyle w:val="a7"/>
        <w:numPr>
          <w:ilvl w:val="0"/>
          <w:numId w:val="264"/>
        </w:numPr>
        <w:spacing w:beforeLines="50" w:before="180"/>
        <w:ind w:leftChars="0" w:left="964" w:hanging="482"/>
        <w:jc w:val="both"/>
        <w:rPr>
          <w:rFonts w:eastAsia="標楷體" w:cstheme="minorHAnsi"/>
          <w:szCs w:val="24"/>
        </w:rPr>
      </w:pPr>
      <w:r w:rsidRPr="00CA1A43">
        <w:rPr>
          <w:rFonts w:eastAsia="標楷體" w:cstheme="minorHAnsi"/>
          <w:szCs w:val="24"/>
        </w:rPr>
        <w:t>銀行必須辨識風險因子，且每年至少要有</w:t>
      </w:r>
      <w:r w:rsidRPr="00CA1A43">
        <w:rPr>
          <w:rFonts w:eastAsia="標楷體" w:cstheme="minorHAnsi"/>
          <w:szCs w:val="24"/>
        </w:rPr>
        <w:t>24</w:t>
      </w:r>
      <w:r w:rsidRPr="00CA1A43">
        <w:rPr>
          <w:rFonts w:eastAsia="標楷體" w:cstheme="minorHAnsi"/>
          <w:szCs w:val="24"/>
        </w:rPr>
        <w:t>個實際價格觀察值</w:t>
      </w:r>
      <w:r w:rsidRPr="00CA1A43">
        <w:rPr>
          <w:rFonts w:eastAsia="標楷體" w:cstheme="minorHAnsi"/>
          <w:szCs w:val="24"/>
        </w:rPr>
        <w:t>(</w:t>
      </w:r>
      <w:r w:rsidRPr="00CA1A43">
        <w:rPr>
          <w:rFonts w:eastAsia="標楷體" w:cstheme="minorHAnsi"/>
          <w:szCs w:val="24"/>
        </w:rPr>
        <w:t>用於當前所用預期短缺</w:t>
      </w:r>
      <w:r w:rsidRPr="00CA1A43">
        <w:rPr>
          <w:rFonts w:eastAsia="標楷體" w:cstheme="minorHAnsi"/>
          <w:szCs w:val="24"/>
        </w:rPr>
        <w:t>(ES)</w:t>
      </w:r>
      <w:r w:rsidRPr="00CA1A43">
        <w:rPr>
          <w:rFonts w:eastAsia="標楷體" w:cstheme="minorHAnsi"/>
          <w:szCs w:val="24"/>
        </w:rPr>
        <w:t>模型校準整段期間中之衡量，每天不得超過一次的實際價格</w:t>
      </w:r>
      <w:proofErr w:type="gramStart"/>
      <w:r w:rsidRPr="00CA1A43">
        <w:rPr>
          <w:rFonts w:eastAsia="標楷體" w:cstheme="minorHAnsi"/>
          <w:szCs w:val="24"/>
        </w:rPr>
        <w:t>觀察值被計</w:t>
      </w:r>
      <w:proofErr w:type="gramEnd"/>
      <w:r w:rsidRPr="00CA1A43">
        <w:rPr>
          <w:rFonts w:eastAsia="標楷體" w:cstheme="minorHAnsi"/>
          <w:szCs w:val="24"/>
        </w:rPr>
        <w:t>入</w:t>
      </w:r>
      <w:r w:rsidRPr="00CA1A43">
        <w:rPr>
          <w:rFonts w:eastAsia="標楷體" w:cstheme="minorHAnsi"/>
          <w:szCs w:val="24"/>
        </w:rPr>
        <w:t>)</w:t>
      </w:r>
      <w:r w:rsidRPr="00CA1A43">
        <w:rPr>
          <w:rFonts w:eastAsia="標楷體" w:cstheme="minorHAnsi"/>
          <w:szCs w:val="24"/>
        </w:rPr>
        <w:t>。</w:t>
      </w:r>
      <w:r w:rsidR="00254F76" w:rsidRPr="00CA1A43">
        <w:rPr>
          <w:rStyle w:val="a5"/>
          <w:rFonts w:eastAsia="標楷體" w:cstheme="minorHAnsi"/>
          <w:szCs w:val="24"/>
        </w:rPr>
        <w:footnoteReference w:id="97"/>
      </w:r>
      <w:r w:rsidRPr="00CA1A43">
        <w:rPr>
          <w:rFonts w:eastAsia="標楷體" w:cstheme="minorHAnsi"/>
          <w:szCs w:val="24"/>
        </w:rPr>
        <w:t>除此之外，在過去</w:t>
      </w:r>
      <w:r w:rsidRPr="00CA1A43">
        <w:rPr>
          <w:rFonts w:eastAsia="標楷體" w:cstheme="minorHAnsi"/>
          <w:szCs w:val="24"/>
        </w:rPr>
        <w:t>12</w:t>
      </w:r>
      <w:r w:rsidRPr="00CA1A43">
        <w:rPr>
          <w:rFonts w:eastAsia="標楷體" w:cstheme="minorHAnsi"/>
          <w:szCs w:val="24"/>
        </w:rPr>
        <w:t>個月間，不得有在</w:t>
      </w:r>
      <w:r w:rsidRPr="00CA1A43">
        <w:rPr>
          <w:rFonts w:eastAsia="標楷體" w:cstheme="minorHAnsi"/>
          <w:szCs w:val="24"/>
        </w:rPr>
        <w:t>90</w:t>
      </w:r>
      <w:r w:rsidRPr="00CA1A43">
        <w:rPr>
          <w:rFonts w:eastAsia="標楷體" w:cstheme="minorHAnsi"/>
          <w:szCs w:val="24"/>
        </w:rPr>
        <w:t>天內風險因子少於</w:t>
      </w:r>
      <w:r w:rsidRPr="00CA1A43">
        <w:rPr>
          <w:rFonts w:eastAsia="標楷體" w:cstheme="minorHAnsi"/>
          <w:szCs w:val="24"/>
        </w:rPr>
        <w:t>4</w:t>
      </w:r>
      <w:r w:rsidRPr="00CA1A43">
        <w:rPr>
          <w:rFonts w:eastAsia="標楷體" w:cstheme="minorHAnsi"/>
          <w:szCs w:val="24"/>
        </w:rPr>
        <w:t>個實際價格觀察值之情形</w:t>
      </w:r>
      <w:r w:rsidRPr="00CA1A43">
        <w:rPr>
          <w:rFonts w:eastAsia="標楷體" w:cstheme="minorHAnsi"/>
          <w:szCs w:val="24"/>
        </w:rPr>
        <w:t>(</w:t>
      </w:r>
      <w:r w:rsidRPr="00CA1A43">
        <w:rPr>
          <w:rFonts w:eastAsia="標楷體" w:cstheme="minorHAnsi"/>
          <w:szCs w:val="24"/>
        </w:rPr>
        <w:t>每天不得超過一次實際價格</w:t>
      </w:r>
      <w:proofErr w:type="gramStart"/>
      <w:r w:rsidRPr="00CA1A43">
        <w:rPr>
          <w:rFonts w:eastAsia="標楷體" w:cstheme="minorHAnsi"/>
          <w:szCs w:val="24"/>
        </w:rPr>
        <w:t>觀察值被計</w:t>
      </w:r>
      <w:proofErr w:type="gramEnd"/>
      <w:r w:rsidRPr="00CA1A43">
        <w:rPr>
          <w:rFonts w:eastAsia="標楷體" w:cstheme="minorHAnsi"/>
          <w:szCs w:val="24"/>
        </w:rPr>
        <w:t>入</w:t>
      </w:r>
      <w:r w:rsidRPr="00CA1A43">
        <w:rPr>
          <w:rFonts w:eastAsia="標楷體" w:cstheme="minorHAnsi"/>
          <w:szCs w:val="24"/>
        </w:rPr>
        <w:t>)</w:t>
      </w:r>
      <w:r w:rsidRPr="00CA1A43">
        <w:rPr>
          <w:rFonts w:eastAsia="標楷體" w:cstheme="minorHAnsi"/>
          <w:szCs w:val="24"/>
        </w:rPr>
        <w:t>，上述標準須按月進行監測。</w:t>
      </w:r>
    </w:p>
    <w:p w14:paraId="13DDE97B" w14:textId="77777777" w:rsidR="00483142" w:rsidRPr="00CA1A43" w:rsidRDefault="00483142" w:rsidP="008C0E02">
      <w:pPr>
        <w:pStyle w:val="a7"/>
        <w:numPr>
          <w:ilvl w:val="0"/>
          <w:numId w:val="264"/>
        </w:numPr>
        <w:spacing w:beforeLines="50" w:before="180"/>
        <w:ind w:leftChars="0" w:left="964" w:hanging="482"/>
        <w:jc w:val="both"/>
        <w:rPr>
          <w:rFonts w:eastAsia="標楷體" w:cstheme="minorHAnsi"/>
          <w:szCs w:val="24"/>
        </w:rPr>
      </w:pPr>
      <w:r w:rsidRPr="00CA1A43">
        <w:rPr>
          <w:rFonts w:eastAsia="標楷體" w:cstheme="minorHAnsi"/>
          <w:szCs w:val="24"/>
        </w:rPr>
        <w:t>在過去</w:t>
      </w:r>
      <w:r w:rsidRPr="00CA1A43">
        <w:rPr>
          <w:rFonts w:eastAsia="標楷體" w:cstheme="minorHAnsi"/>
          <w:szCs w:val="24"/>
        </w:rPr>
        <w:t>12</w:t>
      </w:r>
      <w:r w:rsidRPr="00CA1A43">
        <w:rPr>
          <w:rFonts w:eastAsia="標楷體" w:cstheme="minorHAnsi"/>
          <w:szCs w:val="24"/>
        </w:rPr>
        <w:t>個月內，銀行必須辨識風險因子，且至少有</w:t>
      </w:r>
      <w:r w:rsidRPr="00CA1A43">
        <w:rPr>
          <w:rFonts w:eastAsia="標楷體" w:cstheme="minorHAnsi"/>
          <w:szCs w:val="24"/>
        </w:rPr>
        <w:t>100</w:t>
      </w:r>
      <w:r w:rsidRPr="00CA1A43">
        <w:rPr>
          <w:rFonts w:eastAsia="標楷體" w:cstheme="minorHAnsi"/>
          <w:szCs w:val="24"/>
        </w:rPr>
        <w:t>個實際價格觀察值</w:t>
      </w:r>
      <w:r w:rsidRPr="00CA1A43">
        <w:rPr>
          <w:rFonts w:eastAsia="標楷體" w:cstheme="minorHAnsi"/>
          <w:szCs w:val="24"/>
        </w:rPr>
        <w:t>(</w:t>
      </w:r>
      <w:r w:rsidRPr="00CA1A43">
        <w:rPr>
          <w:rFonts w:eastAsia="標楷體" w:cstheme="minorHAnsi"/>
          <w:szCs w:val="24"/>
        </w:rPr>
        <w:t>每天不得超過一次「</w:t>
      </w:r>
      <w:proofErr w:type="gramStart"/>
      <w:r w:rsidRPr="00CA1A43">
        <w:rPr>
          <w:rFonts w:eastAsia="標楷體" w:cstheme="minorHAnsi"/>
          <w:szCs w:val="24"/>
        </w:rPr>
        <w:t>實際」</w:t>
      </w:r>
      <w:proofErr w:type="gramEnd"/>
      <w:r w:rsidRPr="00CA1A43">
        <w:rPr>
          <w:rFonts w:eastAsia="標楷體" w:cstheme="minorHAnsi"/>
          <w:szCs w:val="24"/>
        </w:rPr>
        <w:t>價格</w:t>
      </w:r>
      <w:proofErr w:type="gramStart"/>
      <w:r w:rsidRPr="00CA1A43">
        <w:rPr>
          <w:rFonts w:eastAsia="標楷體" w:cstheme="minorHAnsi"/>
          <w:szCs w:val="24"/>
        </w:rPr>
        <w:t>觀察值被計</w:t>
      </w:r>
      <w:proofErr w:type="gramEnd"/>
      <w:r w:rsidRPr="00CA1A43">
        <w:rPr>
          <w:rFonts w:eastAsia="標楷體" w:cstheme="minorHAnsi"/>
          <w:szCs w:val="24"/>
        </w:rPr>
        <w:t>入</w:t>
      </w:r>
      <w:r w:rsidRPr="00CA1A43">
        <w:rPr>
          <w:rFonts w:eastAsia="標楷體" w:cstheme="minorHAnsi"/>
          <w:szCs w:val="24"/>
        </w:rPr>
        <w:t>)</w:t>
      </w:r>
      <w:r w:rsidRPr="00CA1A43">
        <w:rPr>
          <w:rFonts w:eastAsia="標楷體" w:cstheme="minorHAnsi"/>
          <w:szCs w:val="24"/>
        </w:rPr>
        <w:t>。</w:t>
      </w:r>
    </w:p>
    <w:p w14:paraId="4352CB35" w14:textId="77777777" w:rsidR="0071733C" w:rsidRPr="00CA1A43" w:rsidRDefault="0071733C" w:rsidP="008C0E02">
      <w:pPr>
        <w:pStyle w:val="a7"/>
        <w:numPr>
          <w:ilvl w:val="0"/>
          <w:numId w:val="264"/>
        </w:numPr>
        <w:spacing w:beforeLines="50" w:before="180"/>
        <w:ind w:leftChars="0" w:left="964" w:hanging="482"/>
        <w:jc w:val="both"/>
        <w:rPr>
          <w:rFonts w:eastAsia="標楷體" w:cstheme="minorHAnsi"/>
          <w:szCs w:val="24"/>
        </w:rPr>
      </w:pPr>
      <w:r w:rsidRPr="00CA1A43">
        <w:rPr>
          <w:rFonts w:eastAsia="標楷體" w:cstheme="minorHAnsi"/>
          <w:szCs w:val="24"/>
        </w:rPr>
        <w:t>銀行可增加可模型化的風險因子，並用這些額外的可模型化風險因子與不可模型化的風險因子之間</w:t>
      </w:r>
      <w:proofErr w:type="gramStart"/>
      <w:r w:rsidRPr="00CA1A43">
        <w:rPr>
          <w:rFonts w:eastAsia="標楷體" w:cstheme="minorHAnsi"/>
          <w:szCs w:val="24"/>
        </w:rPr>
        <w:t>的基差取代</w:t>
      </w:r>
      <w:proofErr w:type="gramEnd"/>
      <w:r w:rsidRPr="00CA1A43">
        <w:rPr>
          <w:rFonts w:eastAsia="標楷體" w:cstheme="minorHAnsi"/>
          <w:szCs w:val="24"/>
        </w:rPr>
        <w:t>不可模型化的風險因子。</w:t>
      </w:r>
      <w:proofErr w:type="gramStart"/>
      <w:r w:rsidRPr="00CA1A43">
        <w:rPr>
          <w:rFonts w:eastAsia="標楷體" w:cstheme="minorHAnsi"/>
          <w:szCs w:val="24"/>
        </w:rPr>
        <w:t>此基差</w:t>
      </w:r>
      <w:proofErr w:type="gramEnd"/>
      <w:r w:rsidRPr="00CA1A43">
        <w:rPr>
          <w:rFonts w:eastAsia="標楷體" w:cstheme="minorHAnsi"/>
          <w:szCs w:val="24"/>
        </w:rPr>
        <w:t>將會被視為不可模型化的風險因子。而可模型化風險因子及不可模型化風險因子的組合，將成為不可模型化的風險因子。</w:t>
      </w:r>
    </w:p>
    <w:p w14:paraId="5A4A7A95" w14:textId="77777777" w:rsidR="0071733C" w:rsidRPr="00CA1A43" w:rsidRDefault="0071733C" w:rsidP="008C0E02">
      <w:pPr>
        <w:pStyle w:val="a7"/>
        <w:numPr>
          <w:ilvl w:val="0"/>
          <w:numId w:val="263"/>
        </w:numPr>
        <w:spacing w:beforeLines="50" w:before="180"/>
        <w:ind w:leftChars="0" w:left="737" w:hanging="737"/>
        <w:jc w:val="both"/>
        <w:rPr>
          <w:rFonts w:eastAsia="標楷體" w:cstheme="minorHAnsi"/>
          <w:szCs w:val="24"/>
        </w:rPr>
      </w:pPr>
      <w:r w:rsidRPr="00CA1A43">
        <w:rPr>
          <w:rFonts w:eastAsia="標楷體" w:cstheme="minorHAnsi"/>
        </w:rPr>
        <w:t>為了使風險因子能夠通過風險因子資格測試</w:t>
      </w:r>
      <w:r w:rsidRPr="00CA1A43">
        <w:rPr>
          <w:rFonts w:eastAsia="標楷體" w:cstheme="minorHAnsi"/>
        </w:rPr>
        <w:t>(RFET)</w:t>
      </w:r>
      <w:r w:rsidRPr="00CA1A43">
        <w:rPr>
          <w:rFonts w:eastAsia="標楷體" w:cstheme="minorHAnsi"/>
        </w:rPr>
        <w:t>，銀行也可根據第三方資訊供應商所蒐集到的資訊以計入實際價格觀察值，但必須滿足下列標準：</w:t>
      </w:r>
    </w:p>
    <w:p w14:paraId="764D8728" w14:textId="77777777" w:rsidR="0071733C" w:rsidRPr="00CA1A43" w:rsidRDefault="0071733C" w:rsidP="008C0E02">
      <w:pPr>
        <w:pStyle w:val="a7"/>
        <w:numPr>
          <w:ilvl w:val="0"/>
          <w:numId w:val="265"/>
        </w:numPr>
        <w:spacing w:beforeLines="50" w:before="180"/>
        <w:ind w:leftChars="0" w:left="964" w:hanging="482"/>
        <w:jc w:val="both"/>
        <w:rPr>
          <w:rFonts w:eastAsia="標楷體" w:cstheme="minorHAnsi"/>
          <w:szCs w:val="24"/>
        </w:rPr>
      </w:pPr>
      <w:r w:rsidRPr="00CA1A43">
        <w:rPr>
          <w:rFonts w:eastAsia="標楷體" w:cstheme="minorHAnsi"/>
          <w:szCs w:val="24"/>
        </w:rPr>
        <w:t>該資訊供應商須向銀行告知所觀察到相對應的實際價格的次數及日期。</w:t>
      </w:r>
    </w:p>
    <w:p w14:paraId="1747125A" w14:textId="77777777" w:rsidR="0071733C" w:rsidRPr="00CA1A43" w:rsidRDefault="0071733C" w:rsidP="008C0E02">
      <w:pPr>
        <w:pStyle w:val="a7"/>
        <w:numPr>
          <w:ilvl w:val="0"/>
          <w:numId w:val="265"/>
        </w:numPr>
        <w:spacing w:beforeLines="50" w:before="180"/>
        <w:ind w:leftChars="0" w:left="964" w:hanging="482"/>
        <w:jc w:val="both"/>
        <w:rPr>
          <w:rFonts w:eastAsia="標楷體" w:cstheme="minorHAnsi"/>
          <w:szCs w:val="24"/>
        </w:rPr>
      </w:pPr>
      <w:r w:rsidRPr="00CA1A43">
        <w:rPr>
          <w:rFonts w:eastAsia="標楷體" w:cstheme="minorHAnsi"/>
          <w:szCs w:val="24"/>
        </w:rPr>
        <w:t>該資訊供應商單獨提供一組辨別資訊，得使銀行能夠將所觀察到的實際</w:t>
      </w:r>
      <w:r w:rsidRPr="00CA1A43">
        <w:rPr>
          <w:rFonts w:eastAsia="標楷體" w:cstheme="minorHAnsi"/>
          <w:szCs w:val="24"/>
        </w:rPr>
        <w:lastRenderedPageBreak/>
        <w:t>價格對應到風險因子。</w:t>
      </w:r>
    </w:p>
    <w:p w14:paraId="1C97D440" w14:textId="77777777" w:rsidR="0071733C" w:rsidRPr="00CA1A43" w:rsidRDefault="0071733C" w:rsidP="008C0E02">
      <w:pPr>
        <w:pStyle w:val="a7"/>
        <w:numPr>
          <w:ilvl w:val="0"/>
          <w:numId w:val="265"/>
        </w:numPr>
        <w:spacing w:beforeLines="50" w:before="180"/>
        <w:ind w:leftChars="0" w:left="964" w:hanging="482"/>
        <w:jc w:val="both"/>
        <w:rPr>
          <w:rFonts w:eastAsia="標楷體" w:cstheme="minorHAnsi"/>
          <w:szCs w:val="24"/>
        </w:rPr>
      </w:pPr>
      <w:r w:rsidRPr="00CA1A43">
        <w:rPr>
          <w:rFonts w:eastAsia="標楷體" w:cstheme="minorHAnsi"/>
          <w:szCs w:val="24"/>
        </w:rPr>
        <w:t>該資訊供應商須受到有關價格訊息有效性的查核，查核之結果與報告必須依</w:t>
      </w:r>
      <w:r w:rsidRPr="00CA1A43">
        <w:rPr>
          <w:rFonts w:eastAsia="標楷體" w:cstheme="minorHAnsi"/>
        </w:rPr>
        <w:t>本會</w:t>
      </w:r>
      <w:r w:rsidRPr="00CA1A43">
        <w:rPr>
          <w:rFonts w:eastAsia="標楷體" w:cstheme="minorHAnsi"/>
          <w:szCs w:val="24"/>
        </w:rPr>
        <w:t>及銀行要求提供，以當作允許銀行使用由該第三方資訊供應商所蒐集到的實際價格觀察值的先決條件。</w:t>
      </w:r>
      <w:r w:rsidRPr="00CA1A43">
        <w:rPr>
          <w:rFonts w:eastAsia="標楷體" w:cstheme="minorHAnsi"/>
        </w:rPr>
        <w:t>本會</w:t>
      </w:r>
      <w:r w:rsidRPr="00CA1A43">
        <w:rPr>
          <w:rFonts w:eastAsia="標楷體" w:cstheme="minorHAnsi"/>
          <w:szCs w:val="24"/>
        </w:rPr>
        <w:t>不滿意該第三方資訊供應商之查核報告，</w:t>
      </w:r>
      <w:r w:rsidRPr="00CA1A43">
        <w:rPr>
          <w:rFonts w:eastAsia="標楷體" w:cstheme="minorHAnsi"/>
        </w:rPr>
        <w:t>將</w:t>
      </w:r>
      <w:r w:rsidRPr="00CA1A43">
        <w:rPr>
          <w:rFonts w:eastAsia="標楷體" w:cstheme="minorHAnsi"/>
          <w:szCs w:val="24"/>
        </w:rPr>
        <w:t>不讓銀行使用此第三方資訊供應商提供的數據資料。</w:t>
      </w:r>
    </w:p>
    <w:p w14:paraId="07B64EA8" w14:textId="77777777" w:rsidR="007A73E9" w:rsidRPr="00CA1A43" w:rsidRDefault="007A73E9" w:rsidP="008C0E02">
      <w:pPr>
        <w:pStyle w:val="a7"/>
        <w:numPr>
          <w:ilvl w:val="0"/>
          <w:numId w:val="263"/>
        </w:numPr>
        <w:spacing w:beforeLines="50" w:before="180"/>
        <w:ind w:leftChars="0" w:left="737" w:hanging="737"/>
        <w:jc w:val="both"/>
        <w:rPr>
          <w:rFonts w:eastAsia="標楷體" w:cstheme="minorHAnsi"/>
          <w:szCs w:val="24"/>
        </w:rPr>
      </w:pPr>
      <w:r w:rsidRPr="00CA1A43">
        <w:rPr>
          <w:rFonts w:eastAsia="標楷體" w:cstheme="minorHAnsi"/>
        </w:rPr>
        <w:t>當銀行能夠從實際價格中獲取風險因子的價值，則實際價格就銀行風險因子而言具有代表性。銀行須訂定政策及程序，描述實際價格觀察值與風險因子的對應關係。銀行須提供充足的資訊給本會，以佐證銀行所使用的方法是適當的。</w:t>
      </w:r>
    </w:p>
    <w:p w14:paraId="77F4275E" w14:textId="77777777" w:rsidR="007A73E9" w:rsidRPr="00CA1A43" w:rsidRDefault="007A73E9" w:rsidP="001E691F">
      <w:pPr>
        <w:pStyle w:val="a7"/>
        <w:numPr>
          <w:ilvl w:val="0"/>
          <w:numId w:val="246"/>
        </w:numPr>
        <w:spacing w:beforeLines="50" w:before="180"/>
        <w:ind w:leftChars="0" w:left="737" w:hanging="737"/>
        <w:jc w:val="both"/>
        <w:outlineLvl w:val="0"/>
        <w:rPr>
          <w:rFonts w:eastAsia="標楷體" w:cstheme="minorHAnsi"/>
          <w:szCs w:val="24"/>
        </w:rPr>
      </w:pPr>
      <w:bookmarkStart w:id="29" w:name="_Toc67992469"/>
      <w:r w:rsidRPr="00CA1A43">
        <w:rPr>
          <w:rFonts w:eastAsia="標楷體" w:cstheme="minorHAnsi"/>
        </w:rPr>
        <w:t>風險因子</w:t>
      </w:r>
      <w:r w:rsidRPr="00CA1A43">
        <w:rPr>
          <w:rFonts w:eastAsia="標楷體" w:cstheme="minorHAnsi"/>
          <w:szCs w:val="24"/>
        </w:rPr>
        <w:t>資格</w:t>
      </w:r>
      <w:r w:rsidRPr="00CA1A43">
        <w:rPr>
          <w:rFonts w:eastAsia="標楷體" w:cstheme="minorHAnsi"/>
        </w:rPr>
        <w:t>測試</w:t>
      </w:r>
      <w:r w:rsidRPr="00CA1A43">
        <w:rPr>
          <w:rFonts w:eastAsia="標楷體" w:cstheme="minorHAnsi"/>
        </w:rPr>
        <w:t>(RFET)</w:t>
      </w:r>
      <w:r w:rsidRPr="00CA1A43">
        <w:rPr>
          <w:rFonts w:eastAsia="標楷體" w:cstheme="minorHAnsi"/>
        </w:rPr>
        <w:t>的分組方法</w:t>
      </w:r>
      <w:bookmarkEnd w:id="29"/>
    </w:p>
    <w:p w14:paraId="6C974505" w14:textId="77777777" w:rsidR="007A73E9" w:rsidRPr="00CA1A43" w:rsidRDefault="007A73E9"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rPr>
        <w:t>當風險因子是在曲線或曲面上的點</w:t>
      </w:r>
      <w:r w:rsidRPr="00CA1A43">
        <w:rPr>
          <w:rFonts w:eastAsia="標楷體" w:cstheme="minorHAnsi"/>
        </w:rPr>
        <w:t>(</w:t>
      </w:r>
      <w:r w:rsidRPr="00CA1A43">
        <w:rPr>
          <w:rFonts w:eastAsia="標楷體" w:cstheme="minorHAnsi"/>
        </w:rPr>
        <w:t>及在其他</w:t>
      </w:r>
      <w:proofErr w:type="gramStart"/>
      <w:r w:rsidRPr="00CA1A43">
        <w:rPr>
          <w:rFonts w:eastAsia="標楷體" w:cstheme="minorHAnsi"/>
        </w:rPr>
        <w:t>更高維度</w:t>
      </w:r>
      <w:proofErr w:type="gramEnd"/>
      <w:r w:rsidRPr="00CA1A43">
        <w:rPr>
          <w:rFonts w:eastAsia="標楷體" w:cstheme="minorHAnsi"/>
        </w:rPr>
        <w:t>的物體上，例如：立方體</w:t>
      </w:r>
      <w:r w:rsidRPr="00CA1A43">
        <w:rPr>
          <w:rFonts w:eastAsia="標楷體" w:cstheme="minorHAnsi"/>
        </w:rPr>
        <w:t>)</w:t>
      </w:r>
      <w:r w:rsidRPr="00CA1A43">
        <w:rPr>
          <w:rFonts w:eastAsia="標楷體" w:cstheme="minorHAnsi"/>
        </w:rPr>
        <w:t>，為了風險因子資格測試</w:t>
      </w:r>
      <w:r w:rsidRPr="00CA1A43">
        <w:rPr>
          <w:rFonts w:eastAsia="標楷體" w:cstheme="minorHAnsi"/>
        </w:rPr>
        <w:t>(RFET)</w:t>
      </w:r>
      <w:r w:rsidRPr="00CA1A43">
        <w:rPr>
          <w:rFonts w:eastAsia="標楷體" w:cstheme="minorHAnsi"/>
        </w:rPr>
        <w:t>能夠計入實際價格觀察值，銀行可選擇以下的分組方式：</w:t>
      </w:r>
    </w:p>
    <w:p w14:paraId="023FC509" w14:textId="77777777" w:rsidR="007A73E9" w:rsidRPr="00CA1A43" w:rsidRDefault="007A73E9" w:rsidP="008C0E02">
      <w:pPr>
        <w:pStyle w:val="a7"/>
        <w:numPr>
          <w:ilvl w:val="0"/>
          <w:numId w:val="266"/>
        </w:numPr>
        <w:spacing w:beforeLines="50" w:before="180"/>
        <w:ind w:leftChars="0" w:left="964" w:hanging="482"/>
        <w:jc w:val="both"/>
        <w:rPr>
          <w:rFonts w:eastAsia="標楷體" w:cstheme="minorHAnsi"/>
          <w:szCs w:val="24"/>
        </w:rPr>
      </w:pPr>
      <w:r w:rsidRPr="00CA1A43">
        <w:rPr>
          <w:rFonts w:eastAsia="標楷體" w:cstheme="minorHAnsi"/>
          <w:szCs w:val="24"/>
        </w:rPr>
        <w:t>自行開發分組方法。在此方法下，銀行須定義所使用的組別並且符合以下的要求：</w:t>
      </w:r>
    </w:p>
    <w:p w14:paraId="63769341" w14:textId="77777777" w:rsidR="007A73E9" w:rsidRPr="00CA1A43" w:rsidRDefault="007A73E9" w:rsidP="008C0E02">
      <w:pPr>
        <w:pStyle w:val="a7"/>
        <w:numPr>
          <w:ilvl w:val="0"/>
          <w:numId w:val="267"/>
        </w:numPr>
        <w:spacing w:beforeLines="50" w:before="180"/>
        <w:ind w:leftChars="0" w:left="1446" w:hanging="482"/>
        <w:jc w:val="both"/>
        <w:rPr>
          <w:rFonts w:eastAsia="標楷體" w:cstheme="minorHAnsi"/>
          <w:szCs w:val="24"/>
        </w:rPr>
      </w:pPr>
      <w:r w:rsidRPr="00CA1A43">
        <w:rPr>
          <w:rFonts w:eastAsia="標楷體" w:cstheme="minorHAnsi"/>
        </w:rPr>
        <w:t>每一組別只能包含</w:t>
      </w:r>
      <w:r w:rsidRPr="00CA1A43">
        <w:rPr>
          <w:rFonts w:eastAsia="標楷體" w:cstheme="minorHAnsi"/>
          <w:szCs w:val="24"/>
        </w:rPr>
        <w:t>一個</w:t>
      </w:r>
      <w:r w:rsidRPr="00CA1A43">
        <w:rPr>
          <w:rFonts w:eastAsia="標楷體" w:cstheme="minorHAnsi"/>
        </w:rPr>
        <w:t>風險</w:t>
      </w:r>
      <w:r w:rsidRPr="00CA1A43">
        <w:rPr>
          <w:rFonts w:eastAsia="標楷體" w:cstheme="minorHAnsi"/>
          <w:szCs w:val="24"/>
        </w:rPr>
        <w:t>因子</w:t>
      </w:r>
      <w:r w:rsidRPr="00CA1A43">
        <w:rPr>
          <w:rFonts w:eastAsia="標楷體" w:cstheme="minorHAnsi"/>
        </w:rPr>
        <w:t>，且全部的風險因子必須與基於損益歸因</w:t>
      </w:r>
      <w:r w:rsidRPr="00CA1A43">
        <w:rPr>
          <w:rFonts w:eastAsia="標楷體" w:cstheme="minorHAnsi"/>
          <w:szCs w:val="24"/>
        </w:rPr>
        <w:t>(PLA)</w:t>
      </w:r>
      <w:r w:rsidRPr="00CA1A43">
        <w:rPr>
          <w:rFonts w:eastAsia="標楷體" w:cstheme="minorHAnsi"/>
          <w:szCs w:val="24"/>
        </w:rPr>
        <w:t>測試為目的之銀行風險理論損益</w:t>
      </w:r>
      <w:r w:rsidRPr="00CA1A43">
        <w:rPr>
          <w:rFonts w:eastAsia="標楷體" w:cstheme="minorHAnsi"/>
          <w:szCs w:val="24"/>
        </w:rPr>
        <w:t>(RTPL)</w:t>
      </w:r>
      <w:r w:rsidRPr="00CA1A43">
        <w:rPr>
          <w:rFonts w:eastAsia="標楷體" w:cstheme="minorHAnsi"/>
          <w:szCs w:val="24"/>
        </w:rPr>
        <w:t>的風險因子相對應。</w:t>
      </w:r>
      <w:r w:rsidRPr="00CA1A43">
        <w:rPr>
          <w:rStyle w:val="a5"/>
          <w:rFonts w:eastAsia="標楷體" w:cstheme="minorHAnsi"/>
          <w:szCs w:val="24"/>
        </w:rPr>
        <w:footnoteReference w:id="98"/>
      </w:r>
    </w:p>
    <w:p w14:paraId="56FC0C2A" w14:textId="77777777" w:rsidR="007A73E9" w:rsidRPr="00CA1A43" w:rsidRDefault="007A73E9" w:rsidP="008C0E02">
      <w:pPr>
        <w:pStyle w:val="a7"/>
        <w:numPr>
          <w:ilvl w:val="0"/>
          <w:numId w:val="267"/>
        </w:numPr>
        <w:spacing w:beforeLines="50" w:before="180"/>
        <w:ind w:leftChars="0" w:left="1446" w:hanging="482"/>
        <w:jc w:val="both"/>
        <w:rPr>
          <w:rFonts w:eastAsia="標楷體" w:cstheme="minorHAnsi"/>
          <w:szCs w:val="24"/>
        </w:rPr>
      </w:pPr>
      <w:r w:rsidRPr="00CA1A43">
        <w:rPr>
          <w:rFonts w:eastAsia="標楷體" w:cstheme="minorHAnsi"/>
          <w:szCs w:val="24"/>
        </w:rPr>
        <w:t>組別不可重疊。</w:t>
      </w:r>
    </w:p>
    <w:p w14:paraId="1E6B9927" w14:textId="77777777" w:rsidR="007A73E9" w:rsidRPr="00CA1A43" w:rsidRDefault="007A73E9" w:rsidP="008C0E02">
      <w:pPr>
        <w:pStyle w:val="a7"/>
        <w:numPr>
          <w:ilvl w:val="0"/>
          <w:numId w:val="266"/>
        </w:numPr>
        <w:spacing w:beforeLines="50" w:before="180"/>
        <w:ind w:leftChars="0" w:left="964" w:hanging="482"/>
        <w:jc w:val="both"/>
        <w:rPr>
          <w:rFonts w:eastAsia="標楷體" w:cstheme="minorHAnsi"/>
          <w:szCs w:val="24"/>
        </w:rPr>
      </w:pPr>
      <w:r w:rsidRPr="00CA1A43">
        <w:rPr>
          <w:rFonts w:eastAsia="標楷體" w:cstheme="minorHAnsi"/>
          <w:szCs w:val="24"/>
        </w:rPr>
        <w:t>法定分組方法。銀行須使用如表</w:t>
      </w:r>
      <w:r w:rsidR="00225E83">
        <w:rPr>
          <w:rFonts w:eastAsia="標楷體" w:cstheme="minorHAnsi" w:hint="eastAsia"/>
          <w:szCs w:val="24"/>
        </w:rPr>
        <w:t>25</w:t>
      </w:r>
      <w:r w:rsidRPr="00CA1A43">
        <w:rPr>
          <w:rFonts w:eastAsia="標楷體" w:cstheme="minorHAnsi"/>
          <w:szCs w:val="24"/>
        </w:rPr>
        <w:t>所示之標準組別。</w:t>
      </w:r>
    </w:p>
    <w:p w14:paraId="20DF243E" w14:textId="77777777" w:rsidR="007A73E9" w:rsidRPr="00CA1A43" w:rsidRDefault="007A73E9" w:rsidP="008C0E02">
      <w:pPr>
        <w:pStyle w:val="a7"/>
        <w:numPr>
          <w:ilvl w:val="0"/>
          <w:numId w:val="268"/>
        </w:numPr>
        <w:spacing w:beforeLines="50" w:before="180"/>
        <w:ind w:leftChars="0" w:left="1446" w:hanging="482"/>
        <w:jc w:val="both"/>
        <w:rPr>
          <w:rFonts w:eastAsia="標楷體" w:cstheme="minorHAnsi"/>
          <w:szCs w:val="24"/>
        </w:rPr>
      </w:pPr>
      <w:r w:rsidRPr="00CA1A43">
        <w:rPr>
          <w:rFonts w:eastAsia="標楷體" w:cstheme="minorHAnsi"/>
          <w:szCs w:val="24"/>
        </w:rPr>
        <w:t>具有</w:t>
      </w:r>
      <w:r w:rsidRPr="00CA1A43">
        <w:rPr>
          <w:rFonts w:eastAsia="標楷體" w:cstheme="minorHAnsi"/>
        </w:rPr>
        <w:t>一個</w:t>
      </w:r>
      <w:proofErr w:type="gramStart"/>
      <w:r w:rsidRPr="00CA1A43">
        <w:rPr>
          <w:rFonts w:eastAsia="標楷體" w:cstheme="minorHAnsi"/>
          <w:szCs w:val="24"/>
        </w:rPr>
        <w:t>到期日維度</w:t>
      </w:r>
      <w:proofErr w:type="gramEnd"/>
      <w:r w:rsidRPr="00CA1A43">
        <w:rPr>
          <w:rFonts w:eastAsia="標楷體" w:cstheme="minorHAnsi"/>
          <w:szCs w:val="24"/>
        </w:rPr>
        <w:t>(</w:t>
      </w:r>
      <w:r w:rsidRPr="00CA1A43">
        <w:rPr>
          <w:rFonts w:eastAsia="標楷體" w:cstheme="minorHAnsi"/>
          <w:szCs w:val="24"/>
        </w:rPr>
        <w:t>不包括隱含波動率</w:t>
      </w:r>
      <w:r w:rsidRPr="00CA1A43">
        <w:rPr>
          <w:rFonts w:eastAsia="標楷體" w:cstheme="minorHAnsi"/>
          <w:szCs w:val="24"/>
        </w:rPr>
        <w:t>)</w:t>
      </w:r>
      <w:r w:rsidRPr="00CA1A43">
        <w:rPr>
          <w:rFonts w:eastAsia="標楷體" w:cstheme="minorHAnsi"/>
          <w:szCs w:val="24"/>
        </w:rPr>
        <w:t>之利率、外匯及商品風險因子</w:t>
      </w:r>
      <w:r w:rsidRPr="00CA1A43">
        <w:rPr>
          <w:rFonts w:eastAsia="標楷體" w:cstheme="minorHAnsi"/>
          <w:szCs w:val="24"/>
        </w:rPr>
        <w:t>(t</w:t>
      </w:r>
      <w:r w:rsidRPr="00CA1A43">
        <w:rPr>
          <w:rFonts w:eastAsia="標楷體" w:cstheme="minorHAnsi"/>
          <w:szCs w:val="24"/>
        </w:rPr>
        <w:t>值是以年為單位</w:t>
      </w:r>
      <w:r w:rsidRPr="00CA1A43">
        <w:rPr>
          <w:rFonts w:eastAsia="標楷體" w:cstheme="minorHAnsi"/>
          <w:szCs w:val="24"/>
        </w:rPr>
        <w:t>)</w:t>
      </w:r>
      <w:r w:rsidRPr="00CA1A43">
        <w:rPr>
          <w:rFonts w:eastAsia="標楷體" w:cstheme="minorHAnsi"/>
          <w:szCs w:val="24"/>
        </w:rPr>
        <w:t>，必須使用</w:t>
      </w:r>
      <w:r w:rsidRPr="00CA1A43">
        <w:rPr>
          <w:rFonts w:eastAsia="標楷體" w:cstheme="minorHAnsi"/>
          <w:szCs w:val="24"/>
        </w:rPr>
        <w:t>(A)</w:t>
      </w:r>
      <w:r w:rsidRPr="00CA1A43">
        <w:rPr>
          <w:rFonts w:eastAsia="標楷體" w:cstheme="minorHAnsi"/>
          <w:szCs w:val="24"/>
        </w:rPr>
        <w:t>列的組別。</w:t>
      </w:r>
    </w:p>
    <w:p w14:paraId="2B7E2568" w14:textId="77777777" w:rsidR="007A73E9" w:rsidRPr="00CA1A43" w:rsidRDefault="007A73E9" w:rsidP="008C0E02">
      <w:pPr>
        <w:pStyle w:val="a7"/>
        <w:numPr>
          <w:ilvl w:val="0"/>
          <w:numId w:val="268"/>
        </w:numPr>
        <w:spacing w:beforeLines="50" w:before="180"/>
        <w:ind w:leftChars="0" w:left="1446" w:hanging="482"/>
        <w:jc w:val="both"/>
        <w:rPr>
          <w:rFonts w:eastAsia="標楷體" w:cstheme="minorHAnsi"/>
          <w:szCs w:val="24"/>
        </w:rPr>
      </w:pPr>
      <w:r w:rsidRPr="00CA1A43">
        <w:rPr>
          <w:rFonts w:eastAsia="標楷體" w:cstheme="minorHAnsi"/>
          <w:szCs w:val="24"/>
        </w:rPr>
        <w:t>具有多個</w:t>
      </w:r>
      <w:proofErr w:type="gramStart"/>
      <w:r w:rsidRPr="00CA1A43">
        <w:rPr>
          <w:rFonts w:eastAsia="標楷體" w:cstheme="minorHAnsi"/>
          <w:szCs w:val="24"/>
        </w:rPr>
        <w:t>到期日維度</w:t>
      </w:r>
      <w:proofErr w:type="gramEnd"/>
      <w:r w:rsidRPr="00CA1A43">
        <w:rPr>
          <w:rFonts w:eastAsia="標楷體" w:cstheme="minorHAnsi"/>
          <w:szCs w:val="24"/>
        </w:rPr>
        <w:t>(</w:t>
      </w:r>
      <w:r w:rsidRPr="00CA1A43">
        <w:rPr>
          <w:rFonts w:eastAsia="標楷體" w:cstheme="minorHAnsi"/>
          <w:szCs w:val="24"/>
        </w:rPr>
        <w:t>不包括隱含波動率</w:t>
      </w:r>
      <w:r w:rsidRPr="00CA1A43">
        <w:rPr>
          <w:rFonts w:eastAsia="標楷體" w:cstheme="minorHAnsi"/>
          <w:szCs w:val="24"/>
        </w:rPr>
        <w:t xml:space="preserve">) </w:t>
      </w:r>
      <w:r w:rsidRPr="00CA1A43">
        <w:rPr>
          <w:rFonts w:eastAsia="標楷體" w:cstheme="minorHAnsi"/>
          <w:szCs w:val="24"/>
        </w:rPr>
        <w:t>之利率、外匯及商品風險因子</w:t>
      </w:r>
      <w:r w:rsidRPr="00CA1A43">
        <w:rPr>
          <w:rFonts w:eastAsia="標楷體" w:cstheme="minorHAnsi"/>
          <w:szCs w:val="24"/>
        </w:rPr>
        <w:t>(t</w:t>
      </w:r>
      <w:r w:rsidRPr="00CA1A43">
        <w:rPr>
          <w:rFonts w:eastAsia="標楷體" w:cstheme="minorHAnsi"/>
          <w:szCs w:val="24"/>
        </w:rPr>
        <w:t>值是以年為單位</w:t>
      </w:r>
      <w:r w:rsidRPr="00CA1A43">
        <w:rPr>
          <w:rFonts w:eastAsia="標楷體" w:cstheme="minorHAnsi"/>
          <w:szCs w:val="24"/>
        </w:rPr>
        <w:t>)</w:t>
      </w:r>
      <w:r w:rsidRPr="00CA1A43">
        <w:rPr>
          <w:rFonts w:eastAsia="標楷體" w:cstheme="minorHAnsi"/>
          <w:szCs w:val="24"/>
        </w:rPr>
        <w:t>，必須使用</w:t>
      </w:r>
      <w:r w:rsidRPr="00CA1A43">
        <w:rPr>
          <w:rFonts w:eastAsia="標楷體" w:cstheme="minorHAnsi"/>
          <w:szCs w:val="24"/>
        </w:rPr>
        <w:t>(B)</w:t>
      </w:r>
      <w:r w:rsidRPr="00CA1A43">
        <w:rPr>
          <w:rFonts w:eastAsia="標楷體" w:cstheme="minorHAnsi"/>
          <w:szCs w:val="24"/>
        </w:rPr>
        <w:t>列的組別。</w:t>
      </w:r>
    </w:p>
    <w:p w14:paraId="216DDA2E" w14:textId="77777777" w:rsidR="007A73E9" w:rsidRPr="00CA1A43" w:rsidRDefault="007A73E9" w:rsidP="008C0E02">
      <w:pPr>
        <w:pStyle w:val="a7"/>
        <w:numPr>
          <w:ilvl w:val="0"/>
          <w:numId w:val="268"/>
        </w:numPr>
        <w:spacing w:beforeLines="50" w:before="180"/>
        <w:ind w:leftChars="0" w:left="1446" w:hanging="482"/>
        <w:jc w:val="both"/>
        <w:rPr>
          <w:rFonts w:eastAsia="標楷體" w:cstheme="minorHAnsi"/>
          <w:szCs w:val="24"/>
        </w:rPr>
      </w:pPr>
      <w:r w:rsidRPr="00CA1A43">
        <w:rPr>
          <w:rFonts w:eastAsia="標楷體" w:cstheme="minorHAnsi"/>
          <w:szCs w:val="24"/>
        </w:rPr>
        <w:t>具有一個或多個</w:t>
      </w:r>
      <w:proofErr w:type="gramStart"/>
      <w:r w:rsidRPr="00CA1A43">
        <w:rPr>
          <w:rFonts w:eastAsia="標楷體" w:cstheme="minorHAnsi"/>
          <w:szCs w:val="24"/>
        </w:rPr>
        <w:t>到期日維度</w:t>
      </w:r>
      <w:proofErr w:type="gramEnd"/>
      <w:r w:rsidRPr="00CA1A43">
        <w:rPr>
          <w:rFonts w:eastAsia="標楷體" w:cstheme="minorHAnsi"/>
          <w:szCs w:val="24"/>
        </w:rPr>
        <w:t>(</w:t>
      </w:r>
      <w:r w:rsidRPr="00CA1A43">
        <w:rPr>
          <w:rFonts w:eastAsia="標楷體" w:cstheme="minorHAnsi"/>
          <w:szCs w:val="24"/>
        </w:rPr>
        <w:t>不包括隱含波動率</w:t>
      </w:r>
      <w:r w:rsidRPr="00CA1A43">
        <w:rPr>
          <w:rFonts w:eastAsia="標楷體" w:cstheme="minorHAnsi"/>
          <w:szCs w:val="24"/>
        </w:rPr>
        <w:t>)</w:t>
      </w:r>
      <w:r w:rsidRPr="00CA1A43">
        <w:rPr>
          <w:rFonts w:eastAsia="標楷體" w:cstheme="minorHAnsi"/>
          <w:szCs w:val="24"/>
        </w:rPr>
        <w:t>之信用價差與權益證券風險因子</w:t>
      </w:r>
      <w:r w:rsidRPr="00CA1A43">
        <w:rPr>
          <w:rFonts w:eastAsia="標楷體" w:cstheme="minorHAnsi"/>
          <w:szCs w:val="24"/>
        </w:rPr>
        <w:t>(t</w:t>
      </w:r>
      <w:r w:rsidRPr="00CA1A43">
        <w:rPr>
          <w:rFonts w:eastAsia="標楷體" w:cstheme="minorHAnsi"/>
          <w:szCs w:val="24"/>
        </w:rPr>
        <w:t>值是以年為單位</w:t>
      </w:r>
      <w:r w:rsidRPr="00CA1A43">
        <w:rPr>
          <w:rFonts w:eastAsia="標楷體" w:cstheme="minorHAnsi"/>
          <w:szCs w:val="24"/>
        </w:rPr>
        <w:t>)</w:t>
      </w:r>
      <w:r w:rsidRPr="00CA1A43">
        <w:rPr>
          <w:rFonts w:eastAsia="標楷體" w:cstheme="minorHAnsi"/>
          <w:szCs w:val="24"/>
        </w:rPr>
        <w:t>，必須使用</w:t>
      </w:r>
      <w:r w:rsidRPr="00CA1A43">
        <w:rPr>
          <w:rFonts w:eastAsia="標楷體" w:cstheme="minorHAnsi"/>
          <w:szCs w:val="24"/>
        </w:rPr>
        <w:t>(C)</w:t>
      </w:r>
      <w:r w:rsidRPr="00CA1A43">
        <w:rPr>
          <w:rFonts w:eastAsia="標楷體" w:cstheme="minorHAnsi"/>
          <w:szCs w:val="24"/>
        </w:rPr>
        <w:t>列的組別。</w:t>
      </w:r>
    </w:p>
    <w:p w14:paraId="0E57D08F" w14:textId="77777777" w:rsidR="007A73E9" w:rsidRPr="00CA1A43" w:rsidRDefault="007A73E9" w:rsidP="008C0E02">
      <w:pPr>
        <w:pStyle w:val="a7"/>
        <w:numPr>
          <w:ilvl w:val="0"/>
          <w:numId w:val="268"/>
        </w:numPr>
        <w:spacing w:beforeLines="50" w:before="180"/>
        <w:ind w:leftChars="0" w:left="1446" w:hanging="482"/>
        <w:jc w:val="both"/>
        <w:rPr>
          <w:rFonts w:eastAsia="標楷體" w:cstheme="minorHAnsi"/>
          <w:szCs w:val="24"/>
        </w:rPr>
      </w:pPr>
      <w:r w:rsidRPr="00CA1A43">
        <w:rPr>
          <w:rFonts w:eastAsia="標楷體" w:cstheme="minorHAnsi"/>
          <w:szCs w:val="24"/>
        </w:rPr>
        <w:lastRenderedPageBreak/>
        <w:t>具有一個或多個</w:t>
      </w:r>
      <w:proofErr w:type="gramStart"/>
      <w:r w:rsidRPr="00CA1A43">
        <w:rPr>
          <w:rFonts w:eastAsia="標楷體" w:cstheme="minorHAnsi"/>
          <w:szCs w:val="24"/>
        </w:rPr>
        <w:t>履約價維度</w:t>
      </w:r>
      <w:proofErr w:type="gramEnd"/>
      <w:r w:rsidRPr="00CA1A43">
        <w:rPr>
          <w:rFonts w:eastAsia="標楷體" w:cstheme="minorHAnsi"/>
          <w:szCs w:val="24"/>
        </w:rPr>
        <w:t>之任何風險因子</w:t>
      </w:r>
      <w:r w:rsidRPr="00CA1A43">
        <w:rPr>
          <w:rFonts w:eastAsia="標楷體" w:cstheme="minorHAnsi"/>
          <w:szCs w:val="24"/>
        </w:rPr>
        <w:t>(delta</w:t>
      </w:r>
      <w:r w:rsidRPr="00CA1A43">
        <w:rPr>
          <w:rFonts w:eastAsia="標楷體" w:cstheme="minorHAnsi"/>
          <w:szCs w:val="24"/>
        </w:rPr>
        <w:t>，</w:t>
      </w:r>
      <w:r w:rsidRPr="00CA1A43">
        <w:rPr>
          <w:rFonts w:eastAsia="標楷體" w:cstheme="minorHAnsi"/>
          <w:szCs w:val="24"/>
        </w:rPr>
        <w:t>δ</w:t>
      </w:r>
      <w:r w:rsidRPr="00CA1A43">
        <w:rPr>
          <w:rFonts w:eastAsia="標楷體" w:cstheme="minorHAnsi"/>
          <w:szCs w:val="24"/>
        </w:rPr>
        <w:t>；即選擇權在到期日時是「處於價內」的機率</w:t>
      </w:r>
      <w:r w:rsidRPr="00CA1A43">
        <w:rPr>
          <w:rFonts w:eastAsia="標楷體" w:cstheme="minorHAnsi"/>
          <w:szCs w:val="24"/>
        </w:rPr>
        <w:t>)</w:t>
      </w:r>
      <w:r w:rsidRPr="00CA1A43">
        <w:rPr>
          <w:rFonts w:eastAsia="標楷體" w:cstheme="minorHAnsi"/>
          <w:szCs w:val="24"/>
        </w:rPr>
        <w:t>，必須使用</w:t>
      </w:r>
      <w:r w:rsidRPr="00CA1A43">
        <w:rPr>
          <w:rFonts w:eastAsia="標楷體" w:cstheme="minorHAnsi"/>
          <w:szCs w:val="24"/>
        </w:rPr>
        <w:t>(D)</w:t>
      </w:r>
      <w:r w:rsidRPr="00CA1A43">
        <w:rPr>
          <w:rFonts w:eastAsia="標楷體" w:cstheme="minorHAnsi"/>
          <w:szCs w:val="24"/>
        </w:rPr>
        <w:t>列的組別。</w:t>
      </w:r>
      <w:r w:rsidR="003B5955" w:rsidRPr="00CA1A43">
        <w:rPr>
          <w:rStyle w:val="a5"/>
          <w:rFonts w:eastAsia="標楷體" w:cstheme="minorHAnsi"/>
          <w:szCs w:val="24"/>
        </w:rPr>
        <w:footnoteReference w:id="99"/>
      </w:r>
    </w:p>
    <w:p w14:paraId="59E8BA1E" w14:textId="77777777" w:rsidR="007A73E9" w:rsidRPr="00CA1A43" w:rsidRDefault="007A73E9" w:rsidP="008C0E02">
      <w:pPr>
        <w:pStyle w:val="a7"/>
        <w:numPr>
          <w:ilvl w:val="0"/>
          <w:numId w:val="268"/>
        </w:numPr>
        <w:spacing w:beforeLines="50" w:before="180"/>
        <w:ind w:leftChars="0" w:left="1446" w:hanging="482"/>
        <w:jc w:val="both"/>
        <w:rPr>
          <w:rFonts w:eastAsia="標楷體" w:cstheme="minorHAnsi"/>
          <w:szCs w:val="24"/>
        </w:rPr>
      </w:pPr>
      <w:r w:rsidRPr="00CA1A43">
        <w:rPr>
          <w:rFonts w:eastAsia="標楷體" w:cstheme="minorHAnsi"/>
          <w:szCs w:val="24"/>
        </w:rPr>
        <w:t>具有期限及</w:t>
      </w:r>
      <w:proofErr w:type="gramStart"/>
      <w:r w:rsidRPr="00CA1A43">
        <w:rPr>
          <w:rFonts w:eastAsia="標楷體" w:cstheme="minorHAnsi"/>
          <w:szCs w:val="24"/>
        </w:rPr>
        <w:t>履約價維度</w:t>
      </w:r>
      <w:proofErr w:type="gramEnd"/>
      <w:r w:rsidRPr="00CA1A43">
        <w:rPr>
          <w:rFonts w:eastAsia="標楷體" w:cstheme="minorHAnsi"/>
          <w:szCs w:val="24"/>
        </w:rPr>
        <w:t>之隱含波動率風險因子</w:t>
      </w:r>
      <w:r w:rsidRPr="00CA1A43">
        <w:rPr>
          <w:rFonts w:eastAsia="標楷體" w:cstheme="minorHAnsi"/>
          <w:szCs w:val="24"/>
        </w:rPr>
        <w:t>(</w:t>
      </w:r>
      <w:r w:rsidRPr="00CA1A43">
        <w:rPr>
          <w:rFonts w:eastAsia="標楷體" w:cstheme="minorHAnsi"/>
          <w:szCs w:val="24"/>
        </w:rPr>
        <w:t>不包含利率交換選擇權</w:t>
      </w:r>
      <w:r w:rsidRPr="00CA1A43">
        <w:rPr>
          <w:rFonts w:eastAsia="標楷體" w:cstheme="minorHAnsi"/>
          <w:szCs w:val="24"/>
        </w:rPr>
        <w:t>)</w:t>
      </w:r>
      <w:r w:rsidRPr="00CA1A43">
        <w:rPr>
          <w:rFonts w:eastAsia="標楷體" w:cstheme="minorHAnsi"/>
          <w:szCs w:val="24"/>
        </w:rPr>
        <w:t>，只能使用</w:t>
      </w:r>
      <w:r w:rsidRPr="00CA1A43">
        <w:rPr>
          <w:rFonts w:eastAsia="標楷體" w:cstheme="minorHAnsi"/>
          <w:szCs w:val="24"/>
        </w:rPr>
        <w:t>(C)</w:t>
      </w:r>
      <w:r w:rsidRPr="00CA1A43">
        <w:rPr>
          <w:rFonts w:eastAsia="標楷體" w:cstheme="minorHAnsi"/>
          <w:szCs w:val="24"/>
        </w:rPr>
        <w:t>及</w:t>
      </w:r>
      <w:r w:rsidRPr="00CA1A43">
        <w:rPr>
          <w:rFonts w:eastAsia="標楷體" w:cstheme="minorHAnsi"/>
          <w:szCs w:val="24"/>
        </w:rPr>
        <w:t>(D)</w:t>
      </w:r>
      <w:r w:rsidRPr="00CA1A43">
        <w:rPr>
          <w:rFonts w:eastAsia="標楷體" w:cstheme="minorHAnsi"/>
          <w:szCs w:val="24"/>
        </w:rPr>
        <w:t>列的組別。</w:t>
      </w:r>
    </w:p>
    <w:p w14:paraId="5038E544" w14:textId="77777777" w:rsidR="007A73E9" w:rsidRPr="00CA1A43" w:rsidRDefault="007A73E9" w:rsidP="008C0E02">
      <w:pPr>
        <w:pStyle w:val="a7"/>
        <w:numPr>
          <w:ilvl w:val="0"/>
          <w:numId w:val="268"/>
        </w:numPr>
        <w:spacing w:beforeLines="50" w:before="180"/>
        <w:ind w:leftChars="0" w:left="1446" w:hanging="482"/>
        <w:jc w:val="both"/>
        <w:rPr>
          <w:rFonts w:eastAsia="標楷體" w:cstheme="minorHAnsi"/>
          <w:szCs w:val="24"/>
        </w:rPr>
      </w:pPr>
      <w:r w:rsidRPr="00CA1A43">
        <w:rPr>
          <w:rFonts w:eastAsia="標楷體" w:cstheme="minorHAnsi"/>
          <w:szCs w:val="24"/>
        </w:rPr>
        <w:t>具有選擇權到期日及其</w:t>
      </w:r>
      <w:r w:rsidRPr="00CA1A43">
        <w:rPr>
          <w:rFonts w:eastAsia="標楷體" w:cstheme="minorHAnsi"/>
        </w:rPr>
        <w:t>標的物期限和</w:t>
      </w:r>
      <w:proofErr w:type="gramStart"/>
      <w:r w:rsidRPr="00CA1A43">
        <w:rPr>
          <w:rFonts w:eastAsia="標楷體" w:cstheme="minorHAnsi"/>
        </w:rPr>
        <w:t>履約價維度</w:t>
      </w:r>
      <w:proofErr w:type="gramEnd"/>
      <w:r w:rsidRPr="00CA1A43">
        <w:rPr>
          <w:rFonts w:eastAsia="標楷體" w:cstheme="minorHAnsi"/>
        </w:rPr>
        <w:t>之利率交換選擇權隱含波動率風險因子</w:t>
      </w:r>
      <w:r w:rsidRPr="00CA1A43">
        <w:rPr>
          <w:rFonts w:eastAsia="標楷體" w:cstheme="minorHAnsi"/>
          <w:szCs w:val="24"/>
        </w:rPr>
        <w:t>，只能使用</w:t>
      </w:r>
      <w:r w:rsidRPr="00CA1A43">
        <w:rPr>
          <w:rFonts w:eastAsia="標楷體" w:cstheme="minorHAnsi"/>
          <w:szCs w:val="24"/>
        </w:rPr>
        <w:t>(B)</w:t>
      </w:r>
      <w:r w:rsidRPr="00CA1A43">
        <w:rPr>
          <w:rFonts w:eastAsia="標楷體" w:cstheme="minorHAnsi"/>
          <w:szCs w:val="24"/>
        </w:rPr>
        <w:t>、</w:t>
      </w:r>
      <w:r w:rsidRPr="00CA1A43">
        <w:rPr>
          <w:rFonts w:eastAsia="標楷體" w:cstheme="minorHAnsi"/>
          <w:szCs w:val="24"/>
        </w:rPr>
        <w:t>(C)</w:t>
      </w:r>
      <w:r w:rsidRPr="00CA1A43">
        <w:rPr>
          <w:rFonts w:eastAsia="標楷體" w:cstheme="minorHAnsi"/>
          <w:szCs w:val="24"/>
        </w:rPr>
        <w:t>及</w:t>
      </w:r>
      <w:r w:rsidRPr="00CA1A43">
        <w:rPr>
          <w:rFonts w:eastAsia="標楷體" w:cstheme="minorHAnsi"/>
          <w:szCs w:val="24"/>
        </w:rPr>
        <w:t>(D)</w:t>
      </w:r>
      <w:r w:rsidRPr="00CA1A43">
        <w:rPr>
          <w:rFonts w:eastAsia="標楷體" w:cstheme="minorHAnsi"/>
          <w:szCs w:val="24"/>
        </w:rPr>
        <w:t>列的組別。</w:t>
      </w:r>
    </w:p>
    <w:tbl>
      <w:tblPr>
        <w:tblStyle w:val="aa"/>
        <w:tblW w:w="8137" w:type="dxa"/>
        <w:tblInd w:w="8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82"/>
        <w:gridCol w:w="851"/>
        <w:gridCol w:w="850"/>
        <w:gridCol w:w="709"/>
        <w:gridCol w:w="851"/>
        <w:gridCol w:w="854"/>
        <w:gridCol w:w="138"/>
        <w:gridCol w:w="850"/>
        <w:gridCol w:w="851"/>
        <w:gridCol w:w="850"/>
        <w:gridCol w:w="851"/>
      </w:tblGrid>
      <w:tr w:rsidR="007A73E9" w:rsidRPr="00CA1A43" w14:paraId="43B19A7D" w14:textId="77777777" w:rsidTr="007A73E9">
        <w:trPr>
          <w:trHeight w:val="499"/>
        </w:trPr>
        <w:tc>
          <w:tcPr>
            <w:tcW w:w="4597" w:type="dxa"/>
            <w:gridSpan w:val="6"/>
            <w:vAlign w:val="center"/>
          </w:tcPr>
          <w:p w14:paraId="31C04FC6" w14:textId="77777777" w:rsidR="007A73E9" w:rsidRPr="00CA1A43" w:rsidRDefault="007A73E9" w:rsidP="004D5427">
            <w:pPr>
              <w:pStyle w:val="Item"/>
              <w:rPr>
                <w:rFonts w:asciiTheme="minorHAnsi" w:hAnsiTheme="minorHAnsi" w:cstheme="minorHAnsi"/>
                <w:sz w:val="24"/>
                <w:szCs w:val="24"/>
              </w:rPr>
            </w:pPr>
            <w:r w:rsidRPr="00CA1A43">
              <w:rPr>
                <w:rFonts w:asciiTheme="minorHAnsi" w:hAnsiTheme="minorHAnsi" w:cstheme="minorHAnsi"/>
                <w:sz w:val="24"/>
                <w:szCs w:val="24"/>
              </w:rPr>
              <w:t>法定分組方法的標準組別</w:t>
            </w:r>
          </w:p>
        </w:tc>
        <w:tc>
          <w:tcPr>
            <w:tcW w:w="3540" w:type="dxa"/>
            <w:gridSpan w:val="5"/>
            <w:vAlign w:val="center"/>
          </w:tcPr>
          <w:p w14:paraId="39C13240" w14:textId="77777777" w:rsidR="007A73E9" w:rsidRPr="002A0DA5" w:rsidRDefault="007A73E9" w:rsidP="004D5427">
            <w:pPr>
              <w:pStyle w:val="Item"/>
              <w:jc w:val="right"/>
              <w:rPr>
                <w:rFonts w:asciiTheme="minorHAnsi" w:hAnsiTheme="minorHAnsi" w:cstheme="minorHAnsi"/>
                <w:sz w:val="24"/>
                <w:szCs w:val="24"/>
              </w:rPr>
            </w:pPr>
            <w:r w:rsidRPr="002A0DA5">
              <w:rPr>
                <w:rFonts w:asciiTheme="minorHAnsi" w:hAnsiTheme="minorHAnsi" w:cstheme="minorHAnsi"/>
                <w:sz w:val="24"/>
                <w:szCs w:val="24"/>
              </w:rPr>
              <w:t>表</w:t>
            </w:r>
            <w:r w:rsidR="002A0DA5">
              <w:rPr>
                <w:rFonts w:asciiTheme="minorHAnsi" w:hAnsiTheme="minorHAnsi" w:cstheme="minorHAnsi" w:hint="eastAsia"/>
                <w:sz w:val="24"/>
                <w:szCs w:val="24"/>
              </w:rPr>
              <w:t>25</w:t>
            </w:r>
          </w:p>
        </w:tc>
      </w:tr>
      <w:tr w:rsidR="007A73E9" w:rsidRPr="00CA1A43" w14:paraId="3761B96E" w14:textId="77777777" w:rsidTr="007A73E9">
        <w:trPr>
          <w:trHeight w:val="195"/>
        </w:trPr>
        <w:tc>
          <w:tcPr>
            <w:tcW w:w="482" w:type="dxa"/>
            <w:vMerge w:val="restart"/>
            <w:vAlign w:val="center"/>
          </w:tcPr>
          <w:p w14:paraId="0F809411"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Cs w:val="19"/>
              </w:rPr>
              <w:t>列</w:t>
            </w:r>
          </w:p>
        </w:tc>
        <w:tc>
          <w:tcPr>
            <w:tcW w:w="7655" w:type="dxa"/>
            <w:gridSpan w:val="10"/>
            <w:vAlign w:val="center"/>
          </w:tcPr>
          <w:p w14:paraId="52BCFDCE"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系統分組</w:t>
            </w:r>
          </w:p>
        </w:tc>
      </w:tr>
      <w:tr w:rsidR="002F78B6" w:rsidRPr="00CA1A43" w14:paraId="4732D6DA" w14:textId="77777777" w:rsidTr="002F78B6">
        <w:trPr>
          <w:trHeight w:val="301"/>
        </w:trPr>
        <w:tc>
          <w:tcPr>
            <w:tcW w:w="482" w:type="dxa"/>
            <w:vMerge/>
            <w:vAlign w:val="center"/>
          </w:tcPr>
          <w:p w14:paraId="3B137286" w14:textId="77777777" w:rsidR="007A73E9" w:rsidRPr="00CA1A43" w:rsidRDefault="007A73E9" w:rsidP="004D5427">
            <w:pPr>
              <w:pStyle w:val="Item"/>
              <w:jc w:val="center"/>
              <w:rPr>
                <w:rFonts w:asciiTheme="minorHAnsi" w:hAnsiTheme="minorHAnsi" w:cstheme="minorHAnsi"/>
                <w:sz w:val="18"/>
                <w:szCs w:val="20"/>
              </w:rPr>
            </w:pPr>
          </w:p>
        </w:tc>
        <w:tc>
          <w:tcPr>
            <w:tcW w:w="851" w:type="dxa"/>
            <w:vAlign w:val="center"/>
          </w:tcPr>
          <w:p w14:paraId="741D560B"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1</w:t>
            </w:r>
          </w:p>
        </w:tc>
        <w:tc>
          <w:tcPr>
            <w:tcW w:w="850" w:type="dxa"/>
            <w:vAlign w:val="center"/>
          </w:tcPr>
          <w:p w14:paraId="247ADC42"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2</w:t>
            </w:r>
          </w:p>
        </w:tc>
        <w:tc>
          <w:tcPr>
            <w:tcW w:w="709" w:type="dxa"/>
            <w:vAlign w:val="center"/>
          </w:tcPr>
          <w:p w14:paraId="186097FC"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3</w:t>
            </w:r>
          </w:p>
        </w:tc>
        <w:tc>
          <w:tcPr>
            <w:tcW w:w="851" w:type="dxa"/>
            <w:vAlign w:val="center"/>
          </w:tcPr>
          <w:p w14:paraId="4CB36760"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4</w:t>
            </w:r>
          </w:p>
        </w:tc>
        <w:tc>
          <w:tcPr>
            <w:tcW w:w="992" w:type="dxa"/>
            <w:gridSpan w:val="2"/>
            <w:vAlign w:val="center"/>
          </w:tcPr>
          <w:p w14:paraId="1991BCFF"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5</w:t>
            </w:r>
          </w:p>
        </w:tc>
        <w:tc>
          <w:tcPr>
            <w:tcW w:w="850" w:type="dxa"/>
            <w:vAlign w:val="center"/>
          </w:tcPr>
          <w:p w14:paraId="070C446D"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6</w:t>
            </w:r>
          </w:p>
        </w:tc>
        <w:tc>
          <w:tcPr>
            <w:tcW w:w="851" w:type="dxa"/>
            <w:vAlign w:val="center"/>
          </w:tcPr>
          <w:p w14:paraId="7CA9CF81"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7</w:t>
            </w:r>
          </w:p>
        </w:tc>
        <w:tc>
          <w:tcPr>
            <w:tcW w:w="850" w:type="dxa"/>
            <w:vAlign w:val="center"/>
          </w:tcPr>
          <w:p w14:paraId="198A73C3"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8</w:t>
            </w:r>
          </w:p>
        </w:tc>
        <w:tc>
          <w:tcPr>
            <w:tcW w:w="851" w:type="dxa"/>
            <w:vAlign w:val="center"/>
          </w:tcPr>
          <w:p w14:paraId="6F87C8E4" w14:textId="77777777" w:rsidR="007A73E9" w:rsidRPr="00CA1A43" w:rsidRDefault="007A73E9" w:rsidP="004D5427">
            <w:pPr>
              <w:pStyle w:val="Item"/>
              <w:jc w:val="center"/>
              <w:rPr>
                <w:rFonts w:asciiTheme="minorHAnsi" w:hAnsiTheme="minorHAnsi" w:cstheme="minorHAnsi"/>
                <w:szCs w:val="20"/>
              </w:rPr>
            </w:pPr>
            <w:r w:rsidRPr="00CA1A43">
              <w:rPr>
                <w:rFonts w:asciiTheme="minorHAnsi" w:hAnsiTheme="minorHAnsi" w:cstheme="minorHAnsi"/>
                <w:szCs w:val="20"/>
              </w:rPr>
              <w:t>9</w:t>
            </w:r>
          </w:p>
        </w:tc>
      </w:tr>
      <w:tr w:rsidR="002F78B6" w:rsidRPr="00CA1A43" w14:paraId="1C6710B4" w14:textId="77777777" w:rsidTr="002F78B6">
        <w:trPr>
          <w:trHeight w:val="288"/>
        </w:trPr>
        <w:tc>
          <w:tcPr>
            <w:tcW w:w="482" w:type="dxa"/>
            <w:vAlign w:val="center"/>
          </w:tcPr>
          <w:p w14:paraId="04694523"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(A)</w:t>
            </w:r>
          </w:p>
        </w:tc>
        <w:tc>
          <w:tcPr>
            <w:tcW w:w="851" w:type="dxa"/>
            <w:vAlign w:val="center"/>
          </w:tcPr>
          <w:p w14:paraId="558DFE52"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0≤t&lt;0.75</w:t>
            </w:r>
          </w:p>
        </w:tc>
        <w:tc>
          <w:tcPr>
            <w:tcW w:w="850" w:type="dxa"/>
            <w:vAlign w:val="center"/>
          </w:tcPr>
          <w:p w14:paraId="436268E1"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0.75≤t&lt;1.5</w:t>
            </w:r>
          </w:p>
        </w:tc>
        <w:tc>
          <w:tcPr>
            <w:tcW w:w="709" w:type="dxa"/>
            <w:vAlign w:val="center"/>
          </w:tcPr>
          <w:p w14:paraId="315E5874"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1.5≤t&lt;4</w:t>
            </w:r>
          </w:p>
        </w:tc>
        <w:tc>
          <w:tcPr>
            <w:tcW w:w="851" w:type="dxa"/>
            <w:vAlign w:val="center"/>
          </w:tcPr>
          <w:p w14:paraId="0B743662"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4≤t&lt;7</w:t>
            </w:r>
          </w:p>
        </w:tc>
        <w:tc>
          <w:tcPr>
            <w:tcW w:w="992" w:type="dxa"/>
            <w:gridSpan w:val="2"/>
            <w:vAlign w:val="center"/>
          </w:tcPr>
          <w:p w14:paraId="0456F1B9"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7≤t&lt;12</w:t>
            </w:r>
          </w:p>
        </w:tc>
        <w:tc>
          <w:tcPr>
            <w:tcW w:w="850" w:type="dxa"/>
            <w:vAlign w:val="center"/>
          </w:tcPr>
          <w:p w14:paraId="1683E874"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12≤t&lt;18</w:t>
            </w:r>
          </w:p>
        </w:tc>
        <w:tc>
          <w:tcPr>
            <w:tcW w:w="851" w:type="dxa"/>
            <w:vAlign w:val="center"/>
          </w:tcPr>
          <w:p w14:paraId="5D795DFD"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18≤t&lt;25</w:t>
            </w:r>
          </w:p>
        </w:tc>
        <w:tc>
          <w:tcPr>
            <w:tcW w:w="850" w:type="dxa"/>
            <w:vAlign w:val="center"/>
          </w:tcPr>
          <w:p w14:paraId="1417A76D"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25≤t&lt;35</w:t>
            </w:r>
          </w:p>
        </w:tc>
        <w:tc>
          <w:tcPr>
            <w:tcW w:w="851" w:type="dxa"/>
            <w:vAlign w:val="center"/>
          </w:tcPr>
          <w:p w14:paraId="6A7EC561"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35≤t&lt;∞</w:t>
            </w:r>
          </w:p>
        </w:tc>
      </w:tr>
      <w:tr w:rsidR="002F78B6" w:rsidRPr="00CA1A43" w14:paraId="1657CDD9" w14:textId="77777777" w:rsidTr="002F78B6">
        <w:trPr>
          <w:trHeight w:val="288"/>
        </w:trPr>
        <w:tc>
          <w:tcPr>
            <w:tcW w:w="482" w:type="dxa"/>
            <w:vAlign w:val="center"/>
          </w:tcPr>
          <w:p w14:paraId="38F88389"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(B)</w:t>
            </w:r>
          </w:p>
        </w:tc>
        <w:tc>
          <w:tcPr>
            <w:tcW w:w="851" w:type="dxa"/>
            <w:vAlign w:val="center"/>
          </w:tcPr>
          <w:p w14:paraId="30DAF6D0"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0≤t&lt;0.75</w:t>
            </w:r>
          </w:p>
        </w:tc>
        <w:tc>
          <w:tcPr>
            <w:tcW w:w="850" w:type="dxa"/>
            <w:vAlign w:val="center"/>
          </w:tcPr>
          <w:p w14:paraId="5B3B4D72"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0.75≤t&lt;4</w:t>
            </w:r>
          </w:p>
        </w:tc>
        <w:tc>
          <w:tcPr>
            <w:tcW w:w="709" w:type="dxa"/>
            <w:vAlign w:val="center"/>
          </w:tcPr>
          <w:p w14:paraId="0D16FDFC"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4≤t&lt;10</w:t>
            </w:r>
          </w:p>
        </w:tc>
        <w:tc>
          <w:tcPr>
            <w:tcW w:w="851" w:type="dxa"/>
            <w:vAlign w:val="center"/>
          </w:tcPr>
          <w:p w14:paraId="461A71C8"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10≤t&lt;18</w:t>
            </w:r>
          </w:p>
        </w:tc>
        <w:tc>
          <w:tcPr>
            <w:tcW w:w="992" w:type="dxa"/>
            <w:gridSpan w:val="2"/>
            <w:vAlign w:val="center"/>
          </w:tcPr>
          <w:p w14:paraId="7F8BD933"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18≤t&lt;30</w:t>
            </w:r>
          </w:p>
        </w:tc>
        <w:tc>
          <w:tcPr>
            <w:tcW w:w="850" w:type="dxa"/>
            <w:vAlign w:val="center"/>
          </w:tcPr>
          <w:p w14:paraId="331867AC"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30≤t&lt;∞</w:t>
            </w:r>
          </w:p>
        </w:tc>
        <w:tc>
          <w:tcPr>
            <w:tcW w:w="851" w:type="dxa"/>
            <w:vAlign w:val="center"/>
          </w:tcPr>
          <w:p w14:paraId="4A4E0BEC"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0" w:type="dxa"/>
            <w:vAlign w:val="center"/>
          </w:tcPr>
          <w:p w14:paraId="2F2C3FCA"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1" w:type="dxa"/>
            <w:vAlign w:val="center"/>
          </w:tcPr>
          <w:p w14:paraId="4F98072B" w14:textId="77777777" w:rsidR="007A73E9" w:rsidRPr="00CA1A43" w:rsidRDefault="007A73E9" w:rsidP="004D5427">
            <w:pPr>
              <w:pStyle w:val="Item"/>
              <w:ind w:leftChars="-30" w:left="-72"/>
              <w:jc w:val="center"/>
              <w:rPr>
                <w:rFonts w:asciiTheme="minorHAnsi" w:hAnsiTheme="minorHAnsi" w:cstheme="minorHAnsi"/>
                <w:sz w:val="19"/>
                <w:szCs w:val="19"/>
              </w:rPr>
            </w:pPr>
          </w:p>
        </w:tc>
      </w:tr>
      <w:tr w:rsidR="002F78B6" w:rsidRPr="00CA1A43" w14:paraId="3B9AC4A1" w14:textId="77777777" w:rsidTr="002F78B6">
        <w:trPr>
          <w:trHeight w:val="301"/>
        </w:trPr>
        <w:tc>
          <w:tcPr>
            <w:tcW w:w="482" w:type="dxa"/>
            <w:vAlign w:val="center"/>
          </w:tcPr>
          <w:p w14:paraId="4180AD69"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(C)</w:t>
            </w:r>
          </w:p>
        </w:tc>
        <w:tc>
          <w:tcPr>
            <w:tcW w:w="851" w:type="dxa"/>
            <w:vAlign w:val="center"/>
          </w:tcPr>
          <w:p w14:paraId="00897C1A"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0≤t&lt;1.5</w:t>
            </w:r>
          </w:p>
        </w:tc>
        <w:tc>
          <w:tcPr>
            <w:tcW w:w="850" w:type="dxa"/>
            <w:vAlign w:val="center"/>
          </w:tcPr>
          <w:p w14:paraId="356A9496"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1.5≤t&lt;3.5</w:t>
            </w:r>
          </w:p>
        </w:tc>
        <w:tc>
          <w:tcPr>
            <w:tcW w:w="709" w:type="dxa"/>
            <w:vAlign w:val="center"/>
          </w:tcPr>
          <w:p w14:paraId="54D31F99"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3.5≤t&lt;7.5</w:t>
            </w:r>
          </w:p>
        </w:tc>
        <w:tc>
          <w:tcPr>
            <w:tcW w:w="851" w:type="dxa"/>
            <w:vAlign w:val="center"/>
          </w:tcPr>
          <w:p w14:paraId="42702578"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7.5≤t&lt;15</w:t>
            </w:r>
          </w:p>
        </w:tc>
        <w:tc>
          <w:tcPr>
            <w:tcW w:w="992" w:type="dxa"/>
            <w:gridSpan w:val="2"/>
            <w:vAlign w:val="center"/>
          </w:tcPr>
          <w:p w14:paraId="635A5438"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15≤t&lt;∞</w:t>
            </w:r>
          </w:p>
        </w:tc>
        <w:tc>
          <w:tcPr>
            <w:tcW w:w="850" w:type="dxa"/>
            <w:vAlign w:val="center"/>
          </w:tcPr>
          <w:p w14:paraId="1B5DCA34"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1" w:type="dxa"/>
            <w:vAlign w:val="center"/>
          </w:tcPr>
          <w:p w14:paraId="7822E8E8"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0" w:type="dxa"/>
            <w:vAlign w:val="center"/>
          </w:tcPr>
          <w:p w14:paraId="6E4DF913"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1" w:type="dxa"/>
            <w:vAlign w:val="center"/>
          </w:tcPr>
          <w:p w14:paraId="40594437" w14:textId="77777777" w:rsidR="007A73E9" w:rsidRPr="00CA1A43" w:rsidRDefault="007A73E9" w:rsidP="004D5427">
            <w:pPr>
              <w:pStyle w:val="Item"/>
              <w:ind w:leftChars="-30" w:left="-72"/>
              <w:jc w:val="center"/>
              <w:rPr>
                <w:rFonts w:asciiTheme="minorHAnsi" w:hAnsiTheme="minorHAnsi" w:cstheme="minorHAnsi"/>
                <w:sz w:val="19"/>
                <w:szCs w:val="19"/>
              </w:rPr>
            </w:pPr>
          </w:p>
        </w:tc>
      </w:tr>
      <w:tr w:rsidR="002F78B6" w:rsidRPr="00CA1A43" w14:paraId="04CC179E" w14:textId="77777777" w:rsidTr="002F78B6">
        <w:trPr>
          <w:trHeight w:val="274"/>
        </w:trPr>
        <w:tc>
          <w:tcPr>
            <w:tcW w:w="482" w:type="dxa"/>
            <w:vAlign w:val="center"/>
          </w:tcPr>
          <w:p w14:paraId="3B761560" w14:textId="77777777" w:rsidR="007A73E9" w:rsidRPr="00CA1A43" w:rsidRDefault="007A73E9" w:rsidP="004D5427">
            <w:pPr>
              <w:pStyle w:val="Item"/>
              <w:ind w:leftChars="-30" w:left="-72"/>
              <w:jc w:val="center"/>
              <w:rPr>
                <w:rFonts w:asciiTheme="minorHAnsi" w:hAnsiTheme="minorHAnsi" w:cstheme="minorHAnsi"/>
                <w:sz w:val="19"/>
                <w:szCs w:val="19"/>
              </w:rPr>
            </w:pPr>
            <w:r w:rsidRPr="00CA1A43">
              <w:rPr>
                <w:rFonts w:asciiTheme="minorHAnsi" w:hAnsiTheme="minorHAnsi" w:cstheme="minorHAnsi"/>
                <w:sz w:val="19"/>
                <w:szCs w:val="19"/>
              </w:rPr>
              <w:t>(D)</w:t>
            </w:r>
          </w:p>
        </w:tc>
        <w:tc>
          <w:tcPr>
            <w:tcW w:w="851" w:type="dxa"/>
            <w:vAlign w:val="center"/>
          </w:tcPr>
          <w:p w14:paraId="3C1EE941" w14:textId="77777777" w:rsidR="007A73E9" w:rsidRPr="00CA1A43" w:rsidRDefault="007A73E9" w:rsidP="004D5427">
            <w:pPr>
              <w:pStyle w:val="Item"/>
              <w:ind w:leftChars="-40" w:left="-96"/>
              <w:jc w:val="center"/>
              <w:rPr>
                <w:rFonts w:asciiTheme="minorHAnsi" w:hAnsiTheme="minorHAnsi" w:cstheme="minorHAnsi"/>
                <w:sz w:val="19"/>
                <w:szCs w:val="19"/>
              </w:rPr>
            </w:pPr>
            <w:r w:rsidRPr="00CA1A43">
              <w:rPr>
                <w:rFonts w:asciiTheme="minorHAnsi" w:hAnsiTheme="minorHAnsi" w:cstheme="minorHAnsi"/>
                <w:sz w:val="19"/>
                <w:szCs w:val="19"/>
              </w:rPr>
              <w:t>0≤δ&lt;0.05</w:t>
            </w:r>
          </w:p>
        </w:tc>
        <w:tc>
          <w:tcPr>
            <w:tcW w:w="850" w:type="dxa"/>
            <w:vAlign w:val="center"/>
          </w:tcPr>
          <w:p w14:paraId="08E7333D" w14:textId="77777777" w:rsidR="007A73E9" w:rsidRPr="00CA1A43" w:rsidRDefault="007A73E9" w:rsidP="004D5427">
            <w:pPr>
              <w:pStyle w:val="Item"/>
              <w:ind w:leftChars="-40" w:left="-96"/>
              <w:jc w:val="center"/>
              <w:rPr>
                <w:rFonts w:asciiTheme="minorHAnsi" w:hAnsiTheme="minorHAnsi" w:cstheme="minorHAnsi"/>
                <w:sz w:val="19"/>
                <w:szCs w:val="19"/>
              </w:rPr>
            </w:pPr>
            <w:r w:rsidRPr="00CA1A43">
              <w:rPr>
                <w:rFonts w:asciiTheme="minorHAnsi" w:hAnsiTheme="minorHAnsi" w:cstheme="minorHAnsi"/>
                <w:sz w:val="19"/>
                <w:szCs w:val="19"/>
              </w:rPr>
              <w:t>0.05≤δ&lt;0.3</w:t>
            </w:r>
          </w:p>
        </w:tc>
        <w:tc>
          <w:tcPr>
            <w:tcW w:w="709" w:type="dxa"/>
            <w:vAlign w:val="center"/>
          </w:tcPr>
          <w:p w14:paraId="28A56FB9" w14:textId="77777777" w:rsidR="007A73E9" w:rsidRPr="00CA1A43" w:rsidRDefault="007A73E9" w:rsidP="004D5427">
            <w:pPr>
              <w:pStyle w:val="Item"/>
              <w:ind w:leftChars="-40" w:left="-96"/>
              <w:jc w:val="center"/>
              <w:rPr>
                <w:rFonts w:asciiTheme="minorHAnsi" w:hAnsiTheme="minorHAnsi" w:cstheme="minorHAnsi"/>
                <w:sz w:val="19"/>
                <w:szCs w:val="19"/>
              </w:rPr>
            </w:pPr>
            <w:r w:rsidRPr="00CA1A43">
              <w:rPr>
                <w:rFonts w:asciiTheme="minorHAnsi" w:hAnsiTheme="minorHAnsi" w:cstheme="minorHAnsi"/>
                <w:sz w:val="19"/>
                <w:szCs w:val="19"/>
              </w:rPr>
              <w:t>0.3≤δ&lt;0.7</w:t>
            </w:r>
          </w:p>
        </w:tc>
        <w:tc>
          <w:tcPr>
            <w:tcW w:w="851" w:type="dxa"/>
            <w:vAlign w:val="center"/>
          </w:tcPr>
          <w:p w14:paraId="6DBBC766" w14:textId="77777777" w:rsidR="007A73E9" w:rsidRPr="00CA1A43" w:rsidRDefault="007A73E9" w:rsidP="004D5427">
            <w:pPr>
              <w:pStyle w:val="Item"/>
              <w:ind w:leftChars="-40" w:left="-96"/>
              <w:jc w:val="center"/>
              <w:rPr>
                <w:rFonts w:asciiTheme="minorHAnsi" w:hAnsiTheme="minorHAnsi" w:cstheme="minorHAnsi"/>
                <w:sz w:val="19"/>
                <w:szCs w:val="19"/>
              </w:rPr>
            </w:pPr>
            <w:r w:rsidRPr="00CA1A43">
              <w:rPr>
                <w:rFonts w:asciiTheme="minorHAnsi" w:hAnsiTheme="minorHAnsi" w:cstheme="minorHAnsi"/>
                <w:sz w:val="19"/>
                <w:szCs w:val="19"/>
              </w:rPr>
              <w:t>0.7≤δ&lt;0.95</w:t>
            </w:r>
          </w:p>
        </w:tc>
        <w:tc>
          <w:tcPr>
            <w:tcW w:w="992" w:type="dxa"/>
            <w:gridSpan w:val="2"/>
            <w:vAlign w:val="center"/>
          </w:tcPr>
          <w:p w14:paraId="57DD80ED" w14:textId="77777777" w:rsidR="007A73E9" w:rsidRPr="00CA1A43" w:rsidRDefault="007A73E9" w:rsidP="004D5427">
            <w:pPr>
              <w:pStyle w:val="Item"/>
              <w:ind w:leftChars="-40" w:left="-96"/>
              <w:jc w:val="center"/>
              <w:rPr>
                <w:rFonts w:asciiTheme="minorHAnsi" w:hAnsiTheme="minorHAnsi" w:cstheme="minorHAnsi"/>
                <w:sz w:val="19"/>
                <w:szCs w:val="19"/>
              </w:rPr>
            </w:pPr>
            <w:r w:rsidRPr="00CA1A43">
              <w:rPr>
                <w:rFonts w:asciiTheme="minorHAnsi" w:hAnsiTheme="minorHAnsi" w:cstheme="minorHAnsi"/>
                <w:sz w:val="19"/>
                <w:szCs w:val="19"/>
              </w:rPr>
              <w:t>0.95≤δ&lt;1.00</w:t>
            </w:r>
          </w:p>
        </w:tc>
        <w:tc>
          <w:tcPr>
            <w:tcW w:w="850" w:type="dxa"/>
            <w:vAlign w:val="center"/>
          </w:tcPr>
          <w:p w14:paraId="67A7DB16"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1" w:type="dxa"/>
            <w:vAlign w:val="center"/>
          </w:tcPr>
          <w:p w14:paraId="2D8CD6C6"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0" w:type="dxa"/>
            <w:vAlign w:val="center"/>
          </w:tcPr>
          <w:p w14:paraId="0F184678" w14:textId="77777777" w:rsidR="007A73E9" w:rsidRPr="00CA1A43" w:rsidRDefault="007A73E9" w:rsidP="004D5427">
            <w:pPr>
              <w:pStyle w:val="Item"/>
              <w:ind w:leftChars="-30" w:left="-72"/>
              <w:jc w:val="center"/>
              <w:rPr>
                <w:rFonts w:asciiTheme="minorHAnsi" w:hAnsiTheme="minorHAnsi" w:cstheme="minorHAnsi"/>
                <w:sz w:val="19"/>
                <w:szCs w:val="19"/>
              </w:rPr>
            </w:pPr>
          </w:p>
        </w:tc>
        <w:tc>
          <w:tcPr>
            <w:tcW w:w="851" w:type="dxa"/>
            <w:vAlign w:val="center"/>
          </w:tcPr>
          <w:p w14:paraId="31542995" w14:textId="77777777" w:rsidR="007A73E9" w:rsidRPr="00CA1A43" w:rsidRDefault="007A73E9" w:rsidP="004D5427">
            <w:pPr>
              <w:pStyle w:val="Item"/>
              <w:ind w:leftChars="-30" w:left="-72"/>
              <w:jc w:val="center"/>
              <w:rPr>
                <w:rFonts w:asciiTheme="minorHAnsi" w:hAnsiTheme="minorHAnsi" w:cstheme="minorHAnsi"/>
                <w:sz w:val="19"/>
                <w:szCs w:val="19"/>
              </w:rPr>
            </w:pPr>
          </w:p>
        </w:tc>
      </w:tr>
    </w:tbl>
    <w:p w14:paraId="24B2BDC0" w14:textId="77777777" w:rsidR="00141579" w:rsidRPr="00CA1A43" w:rsidRDefault="00141579" w:rsidP="00633E44">
      <w:pPr>
        <w:spacing w:beforeLines="50" w:before="180"/>
        <w:jc w:val="both"/>
        <w:rPr>
          <w:rFonts w:eastAsia="標楷體" w:cstheme="minorHAnsi"/>
          <w:kern w:val="0"/>
          <w:szCs w:val="24"/>
        </w:rPr>
      </w:pPr>
    </w:p>
    <w:p w14:paraId="78262ED0" w14:textId="77777777" w:rsidR="003B5955" w:rsidRPr="00CA1A43" w:rsidRDefault="003B5955"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銀行可將所有實際價格觀察值分配至同一組，評估屬該組之任何的風險因子是否通過風險因子資格測試</w:t>
      </w:r>
      <w:r w:rsidRPr="00CA1A43">
        <w:rPr>
          <w:rFonts w:eastAsia="標楷體" w:cstheme="minorHAnsi"/>
          <w:szCs w:val="24"/>
        </w:rPr>
        <w:t>(RFET)</w:t>
      </w:r>
      <w:r w:rsidRPr="00CA1A43">
        <w:rPr>
          <w:rFonts w:eastAsia="標楷體" w:cstheme="minorHAnsi"/>
          <w:szCs w:val="24"/>
        </w:rPr>
        <w:t>。實際價格觀察值須對應至分組內所屬之任</w:t>
      </w:r>
      <w:proofErr w:type="gramStart"/>
      <w:r w:rsidRPr="00CA1A43">
        <w:rPr>
          <w:rFonts w:eastAsia="標楷體" w:cstheme="minorHAnsi"/>
          <w:szCs w:val="24"/>
        </w:rPr>
        <w:t>一</w:t>
      </w:r>
      <w:proofErr w:type="gramEnd"/>
      <w:r w:rsidRPr="00CA1A43">
        <w:rPr>
          <w:rFonts w:eastAsia="標楷體" w:cstheme="minorHAnsi"/>
          <w:szCs w:val="24"/>
        </w:rPr>
        <w:t>風險因子。</w:t>
      </w:r>
    </w:p>
    <w:p w14:paraId="6BDEC703" w14:textId="655E83B4" w:rsidR="003B5955" w:rsidRPr="00CA1A43" w:rsidRDefault="003B5955"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隨著債務</w:t>
      </w:r>
      <w:r w:rsidR="009653EE" w:rsidRPr="008D30A1">
        <w:rPr>
          <w:rFonts w:eastAsia="標楷體" w:cstheme="minorHAnsi"/>
          <w:szCs w:val="24"/>
        </w:rPr>
        <w:t>工具</w:t>
      </w:r>
      <w:r w:rsidRPr="00CA1A43">
        <w:rPr>
          <w:rFonts w:eastAsia="標楷體" w:cstheme="minorHAnsi"/>
          <w:szCs w:val="24"/>
        </w:rPr>
        <w:t>的到期，對於在前</w:t>
      </w:r>
      <w:r w:rsidRPr="00CA1A43">
        <w:rPr>
          <w:rFonts w:eastAsia="標楷體" w:cstheme="minorHAnsi"/>
          <w:szCs w:val="24"/>
        </w:rPr>
        <w:t>12</w:t>
      </w:r>
      <w:r w:rsidRPr="00CA1A43">
        <w:rPr>
          <w:rFonts w:eastAsia="標楷體" w:cstheme="minorHAnsi"/>
          <w:szCs w:val="24"/>
        </w:rPr>
        <w:t>個月內已被辨識實際價格觀察值之產品，仍按照前述第</w:t>
      </w:r>
      <w:r w:rsidRPr="00CA1A43">
        <w:rPr>
          <w:rFonts w:eastAsia="標楷體" w:cstheme="minorHAnsi"/>
          <w:szCs w:val="24"/>
        </w:rPr>
        <w:t>(</w:t>
      </w:r>
      <w:r w:rsidRPr="00CA1A43">
        <w:rPr>
          <w:rFonts w:eastAsia="標楷體" w:cstheme="minorHAnsi"/>
          <w:szCs w:val="24"/>
        </w:rPr>
        <w:t>二</w:t>
      </w:r>
      <w:r w:rsidRPr="00CA1A43">
        <w:rPr>
          <w:rFonts w:eastAsia="標楷體" w:cstheme="minorHAnsi"/>
          <w:szCs w:val="24"/>
        </w:rPr>
        <w:t>)</w:t>
      </w:r>
      <w:r w:rsidRPr="00CA1A43">
        <w:rPr>
          <w:rFonts w:eastAsia="標楷體" w:cstheme="minorHAnsi"/>
          <w:szCs w:val="24"/>
        </w:rPr>
        <w:t>點之方法，被分配至到期日組別。當銀行不再需要對屬於某個到期日組別的信用價差風險因子使用模型時，銀行獲准可將此組別的實際價格觀察值重新分配給相鄰</w:t>
      </w:r>
      <w:r w:rsidRPr="00CA1A43">
        <w:rPr>
          <w:rFonts w:eastAsia="標楷體" w:cstheme="minorHAnsi"/>
          <w:szCs w:val="24"/>
        </w:rPr>
        <w:t>(</w:t>
      </w:r>
      <w:r w:rsidRPr="00CA1A43">
        <w:rPr>
          <w:rFonts w:eastAsia="標楷體" w:cstheme="minorHAnsi"/>
          <w:szCs w:val="24"/>
        </w:rPr>
        <w:t>較短</w:t>
      </w:r>
      <w:r w:rsidRPr="00CA1A43">
        <w:rPr>
          <w:rFonts w:eastAsia="標楷體" w:cstheme="minorHAnsi"/>
          <w:szCs w:val="24"/>
        </w:rPr>
        <w:t>)</w:t>
      </w:r>
      <w:r w:rsidRPr="00CA1A43">
        <w:rPr>
          <w:rFonts w:eastAsia="標楷體" w:cstheme="minorHAnsi"/>
          <w:szCs w:val="24"/>
        </w:rPr>
        <w:t>的到期日組別</w:t>
      </w:r>
      <w:r w:rsidRPr="00CA1A43">
        <w:rPr>
          <w:rStyle w:val="a5"/>
          <w:rFonts w:eastAsia="標楷體" w:cstheme="minorHAnsi"/>
          <w:szCs w:val="24"/>
        </w:rPr>
        <w:footnoteReference w:id="100"/>
      </w:r>
      <w:r w:rsidRPr="00CA1A43">
        <w:rPr>
          <w:rFonts w:eastAsia="標楷體" w:cstheme="minorHAnsi"/>
          <w:szCs w:val="24"/>
        </w:rPr>
        <w:t>。對風險因子資格測試</w:t>
      </w:r>
      <w:r w:rsidRPr="00CA1A43">
        <w:rPr>
          <w:rFonts w:eastAsia="標楷體" w:cstheme="minorHAnsi"/>
          <w:szCs w:val="24"/>
        </w:rPr>
        <w:t>(RFET)</w:t>
      </w:r>
      <w:r w:rsidRPr="00CA1A43">
        <w:rPr>
          <w:rFonts w:eastAsia="標楷體" w:cstheme="minorHAnsi"/>
          <w:szCs w:val="24"/>
        </w:rPr>
        <w:t>來說，實際價格觀察值</w:t>
      </w:r>
      <w:proofErr w:type="gramStart"/>
      <w:r w:rsidRPr="00CA1A43">
        <w:rPr>
          <w:rFonts w:eastAsia="標楷體" w:cstheme="minorHAnsi"/>
          <w:szCs w:val="24"/>
        </w:rPr>
        <w:t>只能計入</w:t>
      </w:r>
      <w:proofErr w:type="gramEnd"/>
      <w:r w:rsidRPr="00CA1A43">
        <w:rPr>
          <w:rFonts w:eastAsia="標楷體" w:cstheme="minorHAnsi"/>
          <w:szCs w:val="24"/>
        </w:rPr>
        <w:t>在一個單一的到期日</w:t>
      </w:r>
      <w:proofErr w:type="gramStart"/>
      <w:r w:rsidRPr="00CA1A43">
        <w:rPr>
          <w:rFonts w:eastAsia="標楷體" w:cstheme="minorHAnsi"/>
          <w:szCs w:val="24"/>
        </w:rPr>
        <w:t>組別裡</w:t>
      </w:r>
      <w:proofErr w:type="gramEnd"/>
      <w:r w:rsidRPr="00CA1A43">
        <w:rPr>
          <w:rFonts w:eastAsia="標楷體" w:cstheme="minorHAnsi"/>
          <w:szCs w:val="24"/>
        </w:rPr>
        <w:t>。</w:t>
      </w:r>
    </w:p>
    <w:p w14:paraId="5C85BC31" w14:textId="77777777" w:rsidR="00E36BC8" w:rsidRPr="00CA1A43" w:rsidRDefault="00E36BC8"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如果銀行使用參數函數來表示一個曲線</w:t>
      </w:r>
      <w:r w:rsidRPr="00CA1A43">
        <w:rPr>
          <w:rFonts w:eastAsia="標楷體" w:cstheme="minorHAnsi"/>
          <w:szCs w:val="24"/>
        </w:rPr>
        <w:t>/</w:t>
      </w:r>
      <w:r w:rsidRPr="00CA1A43">
        <w:rPr>
          <w:rFonts w:eastAsia="標楷體" w:cstheme="minorHAnsi"/>
          <w:szCs w:val="24"/>
        </w:rPr>
        <w:t>曲面，並將此函數的參數定義為風險衡量系統中的風險因子，須使用用來校準函數參數的市場資料層級來通過風險因子資格測試</w:t>
      </w:r>
      <w:r w:rsidRPr="00CA1A43">
        <w:rPr>
          <w:rFonts w:eastAsia="標楷體" w:cstheme="minorHAnsi"/>
          <w:szCs w:val="24"/>
        </w:rPr>
        <w:t>(RFET)</w:t>
      </w:r>
      <w:r w:rsidRPr="00CA1A43">
        <w:rPr>
          <w:rFonts w:eastAsia="標楷體" w:cstheme="minorHAnsi"/>
          <w:szCs w:val="24"/>
        </w:rPr>
        <w:t>，而非直接使用風險因子參數層級</w:t>
      </w:r>
      <w:r w:rsidRPr="00CA1A43">
        <w:rPr>
          <w:rFonts w:eastAsia="標楷體" w:cstheme="minorHAnsi"/>
          <w:szCs w:val="24"/>
        </w:rPr>
        <w:t>(</w:t>
      </w:r>
      <w:r w:rsidRPr="00CA1A43">
        <w:rPr>
          <w:rFonts w:eastAsia="標楷體" w:cstheme="minorHAnsi"/>
          <w:szCs w:val="24"/>
        </w:rPr>
        <w:t>因為直接代表這些風險因子的實際價格觀察值可能不存在</w:t>
      </w:r>
      <w:r w:rsidRPr="00CA1A43">
        <w:rPr>
          <w:rFonts w:eastAsia="標楷體" w:cstheme="minorHAnsi"/>
          <w:szCs w:val="24"/>
        </w:rPr>
        <w:t>)</w:t>
      </w:r>
      <w:r w:rsidRPr="00CA1A43">
        <w:rPr>
          <w:rFonts w:eastAsia="標楷體" w:cstheme="minorHAnsi"/>
          <w:szCs w:val="24"/>
        </w:rPr>
        <w:t>。</w:t>
      </w:r>
    </w:p>
    <w:p w14:paraId="1191989E" w14:textId="3EFB421E" w:rsidR="00E36BC8" w:rsidRPr="00CA1A43" w:rsidRDefault="00E36BC8"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銀行也許在其設計用來捕捉特定的經濟、區域或產業的整體市場變動，而</w:t>
      </w:r>
      <w:r w:rsidRPr="00CA1A43">
        <w:rPr>
          <w:rFonts w:eastAsia="標楷體" w:cstheme="minorHAnsi"/>
          <w:szCs w:val="24"/>
        </w:rPr>
        <w:lastRenderedPageBreak/>
        <w:t>非特定發行人的個別風險</w:t>
      </w:r>
      <w:r w:rsidRPr="00CA1A43">
        <w:rPr>
          <w:rFonts w:eastAsia="標楷體" w:cstheme="minorHAnsi"/>
          <w:szCs w:val="24"/>
        </w:rPr>
        <w:t>(</w:t>
      </w:r>
      <w:r w:rsidRPr="00CA1A43">
        <w:rPr>
          <w:rFonts w:eastAsia="標楷體" w:cstheme="minorHAnsi"/>
          <w:szCs w:val="24"/>
        </w:rPr>
        <w:t>除非該發行人有足夠的實際價格觀察值，否則特定發行人的個別風險將是不可模型化的風險因子</w:t>
      </w:r>
      <w:r w:rsidRPr="00CA1A43">
        <w:rPr>
          <w:rFonts w:eastAsia="標楷體" w:cstheme="minorHAnsi"/>
          <w:szCs w:val="24"/>
        </w:rPr>
        <w:t>(NMRF))</w:t>
      </w:r>
      <w:r w:rsidRPr="00CA1A43">
        <w:rPr>
          <w:rFonts w:eastAsia="標楷體" w:cstheme="minorHAnsi"/>
          <w:szCs w:val="24"/>
        </w:rPr>
        <w:t>使用系統性信用或權益證券風險因子</w:t>
      </w:r>
      <w:r w:rsidRPr="00CA1A43">
        <w:rPr>
          <w:rFonts w:eastAsia="標楷體" w:cstheme="minorHAnsi"/>
          <w:szCs w:val="24"/>
        </w:rPr>
        <w:t>)</w:t>
      </w:r>
      <w:r w:rsidRPr="00CA1A43">
        <w:rPr>
          <w:rFonts w:eastAsia="標楷體" w:cstheme="minorHAnsi"/>
          <w:szCs w:val="24"/>
        </w:rPr>
        <w:t>。若市場指數或個別發行人的</w:t>
      </w:r>
      <w:r w:rsidR="009653EE" w:rsidRPr="00A07A2E">
        <w:rPr>
          <w:rFonts w:eastAsia="標楷體" w:cstheme="minorHAnsi"/>
          <w:szCs w:val="24"/>
        </w:rPr>
        <w:t>工具</w:t>
      </w:r>
      <w:r w:rsidRPr="00A07A2E">
        <w:rPr>
          <w:rFonts w:eastAsia="標楷體" w:cstheme="minorHAnsi"/>
          <w:szCs w:val="24"/>
        </w:rPr>
        <w:t>之</w:t>
      </w:r>
      <w:r w:rsidRPr="00CA1A43">
        <w:rPr>
          <w:rFonts w:eastAsia="標楷體" w:cstheme="minorHAnsi"/>
          <w:szCs w:val="24"/>
        </w:rPr>
        <w:t>實際價格觀察值與系統性風險因子有相同的特性，則可被認定為對系統風險因子具有代表性。</w:t>
      </w:r>
    </w:p>
    <w:p w14:paraId="19989FB2" w14:textId="77777777" w:rsidR="00E36BC8" w:rsidRPr="00CA1A43" w:rsidRDefault="00E36BC8"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除了已提及包含到期維度</w:t>
      </w:r>
      <w:r w:rsidRPr="00CA1A43">
        <w:rPr>
          <w:rFonts w:eastAsia="標楷體" w:cstheme="minorHAnsi"/>
          <w:szCs w:val="24"/>
        </w:rPr>
        <w:t>(</w:t>
      </w:r>
      <w:r w:rsidRPr="00CA1A43">
        <w:rPr>
          <w:rFonts w:eastAsia="標楷體" w:cstheme="minorHAnsi"/>
          <w:szCs w:val="24"/>
        </w:rPr>
        <w:t>如信用價差曲線</w:t>
      </w:r>
      <w:r w:rsidRPr="00CA1A43">
        <w:rPr>
          <w:rFonts w:eastAsia="標楷體" w:cstheme="minorHAnsi"/>
          <w:szCs w:val="24"/>
        </w:rPr>
        <w:t>)</w:t>
      </w:r>
      <w:r w:rsidRPr="00CA1A43">
        <w:rPr>
          <w:rFonts w:eastAsia="標楷體" w:cstheme="minorHAnsi"/>
          <w:szCs w:val="24"/>
        </w:rPr>
        <w:t>的信用或股權風險因子的系統風險因子於前述第</w:t>
      </w:r>
      <w:r w:rsidRPr="00CA1A43">
        <w:rPr>
          <w:rFonts w:eastAsia="標楷體" w:cstheme="minorHAnsi"/>
          <w:szCs w:val="24"/>
        </w:rPr>
        <w:t>(</w:t>
      </w:r>
      <w:r w:rsidRPr="00CA1A43">
        <w:rPr>
          <w:rFonts w:eastAsia="標楷體" w:cstheme="minorHAnsi"/>
          <w:szCs w:val="24"/>
        </w:rPr>
        <w:t>五</w:t>
      </w:r>
      <w:r w:rsidRPr="00CA1A43">
        <w:rPr>
          <w:rFonts w:eastAsia="標楷體" w:cstheme="minorHAnsi"/>
          <w:szCs w:val="24"/>
        </w:rPr>
        <w:t>)</w:t>
      </w:r>
      <w:r w:rsidRPr="00CA1A43">
        <w:rPr>
          <w:rFonts w:eastAsia="標楷體" w:cstheme="minorHAnsi"/>
          <w:szCs w:val="24"/>
        </w:rPr>
        <w:t>點中所示之方法外，上述所制定的分組方法必須用在這個</w:t>
      </w:r>
      <w:proofErr w:type="gramStart"/>
      <w:r w:rsidRPr="00CA1A43">
        <w:rPr>
          <w:rFonts w:eastAsia="標楷體" w:cstheme="minorHAnsi"/>
          <w:szCs w:val="24"/>
        </w:rPr>
        <w:t>到期日維度</w:t>
      </w:r>
      <w:proofErr w:type="gramEnd"/>
      <w:r w:rsidRPr="00CA1A43">
        <w:rPr>
          <w:rFonts w:eastAsia="標楷體" w:cstheme="minorHAnsi"/>
          <w:szCs w:val="24"/>
        </w:rPr>
        <w:t>以計入風險因子資格測試</w:t>
      </w:r>
      <w:r w:rsidRPr="00CA1A43">
        <w:rPr>
          <w:rFonts w:eastAsia="標楷體" w:cstheme="minorHAnsi"/>
          <w:szCs w:val="24"/>
        </w:rPr>
        <w:t>(RFET)</w:t>
      </w:r>
      <w:r w:rsidRPr="00CA1A43">
        <w:rPr>
          <w:rFonts w:eastAsia="標楷體" w:cstheme="minorHAnsi"/>
          <w:szCs w:val="24"/>
        </w:rPr>
        <w:t>的「</w:t>
      </w:r>
      <w:proofErr w:type="gramStart"/>
      <w:r w:rsidRPr="00CA1A43">
        <w:rPr>
          <w:rFonts w:eastAsia="標楷體" w:cstheme="minorHAnsi"/>
          <w:szCs w:val="24"/>
        </w:rPr>
        <w:t>實際」</w:t>
      </w:r>
      <w:proofErr w:type="gramEnd"/>
      <w:r w:rsidRPr="00CA1A43">
        <w:rPr>
          <w:rFonts w:eastAsia="標楷體" w:cstheme="minorHAnsi"/>
          <w:szCs w:val="24"/>
        </w:rPr>
        <w:t>價格觀察值。</w:t>
      </w:r>
    </w:p>
    <w:p w14:paraId="0F332F48" w14:textId="77777777" w:rsidR="00E36BC8" w:rsidRPr="00CA1A43" w:rsidRDefault="00E36BC8"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風險因子通過風險因子資格測試</w:t>
      </w:r>
      <w:r w:rsidRPr="00CA1A43">
        <w:rPr>
          <w:rFonts w:eastAsia="標楷體" w:cstheme="minorHAnsi"/>
          <w:szCs w:val="24"/>
        </w:rPr>
        <w:t>(RFET)</w:t>
      </w:r>
      <w:r w:rsidRPr="00CA1A43">
        <w:rPr>
          <w:rFonts w:eastAsia="標楷體" w:cstheme="minorHAnsi"/>
          <w:szCs w:val="24"/>
        </w:rPr>
        <w:t>後，銀行應選擇最適合的數據用於校準模型，惟用於校準此模型的數據不能與用於通過風險因子資格測試</w:t>
      </w:r>
      <w:r w:rsidRPr="00CA1A43">
        <w:rPr>
          <w:rFonts w:eastAsia="標楷體" w:cstheme="minorHAnsi"/>
          <w:szCs w:val="24"/>
        </w:rPr>
        <w:t>(RFET)</w:t>
      </w:r>
      <w:r w:rsidRPr="00CA1A43">
        <w:rPr>
          <w:rFonts w:eastAsia="標楷體" w:cstheme="minorHAnsi"/>
          <w:szCs w:val="24"/>
        </w:rPr>
        <w:t>的數據相同。</w:t>
      </w:r>
    </w:p>
    <w:p w14:paraId="39A998CD" w14:textId="77777777" w:rsidR="00E36BC8" w:rsidRPr="00CA1A43" w:rsidRDefault="00E36BC8"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風險因子通過風險因子資格測試</w:t>
      </w:r>
      <w:r w:rsidRPr="00CA1A43">
        <w:rPr>
          <w:rFonts w:eastAsia="標楷體" w:cstheme="minorHAnsi"/>
          <w:szCs w:val="24"/>
        </w:rPr>
        <w:t>(RFET)</w:t>
      </w:r>
      <w:r w:rsidRPr="00CA1A43">
        <w:rPr>
          <w:rFonts w:eastAsia="標楷體" w:cstheme="minorHAnsi"/>
          <w:szCs w:val="24"/>
        </w:rPr>
        <w:t>後，銀行須依通過風險因子資格測試</w:t>
      </w:r>
      <w:r w:rsidRPr="00CA1A43">
        <w:rPr>
          <w:rFonts w:eastAsia="標楷體" w:cstheme="minorHAnsi"/>
          <w:szCs w:val="24"/>
        </w:rPr>
        <w:t>(RFET)</w:t>
      </w:r>
      <w:r w:rsidRPr="00CA1A43">
        <w:rPr>
          <w:rFonts w:eastAsia="標楷體" w:cstheme="minorHAnsi"/>
          <w:szCs w:val="24"/>
        </w:rPr>
        <w:t>之風險因子可模型化的原則，證明使用於校準此預期短缺</w:t>
      </w:r>
      <w:r w:rsidRPr="00CA1A43">
        <w:rPr>
          <w:rFonts w:eastAsia="標楷體" w:cstheme="minorHAnsi"/>
          <w:szCs w:val="24"/>
        </w:rPr>
        <w:t>(ES)</w:t>
      </w:r>
      <w:r w:rsidRPr="00CA1A43">
        <w:rPr>
          <w:rFonts w:eastAsia="標楷體" w:cstheme="minorHAnsi"/>
          <w:szCs w:val="24"/>
        </w:rPr>
        <w:t>模型的數據是合適的。若本會不滿意銀行對特定風險因子的原則，可認定數據不適合用於校準模型，則該風險因子須被排除於預期短缺</w:t>
      </w:r>
      <w:r w:rsidRPr="00CA1A43">
        <w:rPr>
          <w:rFonts w:eastAsia="標楷體" w:cstheme="minorHAnsi"/>
          <w:szCs w:val="24"/>
        </w:rPr>
        <w:t>(ES)</w:t>
      </w:r>
      <w:r w:rsidRPr="00CA1A43">
        <w:rPr>
          <w:rFonts w:eastAsia="標楷體" w:cstheme="minorHAnsi"/>
          <w:szCs w:val="24"/>
        </w:rPr>
        <w:t>模型之外並依不可模型化的風險因子</w:t>
      </w:r>
      <w:r w:rsidRPr="00CA1A43">
        <w:rPr>
          <w:rFonts w:eastAsia="標楷體" w:cstheme="minorHAnsi"/>
          <w:szCs w:val="24"/>
        </w:rPr>
        <w:t>(NMRF)</w:t>
      </w:r>
      <w:r w:rsidRPr="00CA1A43">
        <w:rPr>
          <w:rFonts w:eastAsia="標楷體" w:cstheme="minorHAnsi"/>
          <w:szCs w:val="24"/>
        </w:rPr>
        <w:t>計提資本。</w:t>
      </w:r>
    </w:p>
    <w:p w14:paraId="3A57BA6D" w14:textId="77777777" w:rsidR="00E36BC8" w:rsidRPr="00CA1A43" w:rsidRDefault="00E36BC8" w:rsidP="008C0E02">
      <w:pPr>
        <w:pStyle w:val="a7"/>
        <w:numPr>
          <w:ilvl w:val="0"/>
          <w:numId w:val="269"/>
        </w:numPr>
        <w:spacing w:beforeLines="50" w:before="180"/>
        <w:ind w:leftChars="0" w:left="737" w:hanging="737"/>
        <w:jc w:val="both"/>
        <w:rPr>
          <w:rFonts w:eastAsia="標楷體" w:cstheme="minorHAnsi"/>
          <w:szCs w:val="24"/>
        </w:rPr>
      </w:pPr>
      <w:r w:rsidRPr="00CA1A43">
        <w:rPr>
          <w:rFonts w:eastAsia="標楷體" w:cstheme="minorHAnsi"/>
          <w:szCs w:val="24"/>
        </w:rPr>
        <w:t>在非常少見的情況下，可能會存在著因跨銀行間大量的可模型化風險因子由於交易活動的普遍減少，而變為不可模型化的合理理由。</w:t>
      </w:r>
      <w:r w:rsidRPr="00CA1A43">
        <w:rPr>
          <w:rFonts w:eastAsia="標楷體" w:cstheme="minorHAnsi"/>
          <w:szCs w:val="24"/>
        </w:rPr>
        <w:t>(</w:t>
      </w:r>
      <w:r w:rsidRPr="00CA1A43">
        <w:rPr>
          <w:rFonts w:eastAsia="標楷體" w:cstheme="minorHAnsi"/>
          <w:szCs w:val="24"/>
        </w:rPr>
        <w:t>例如，在重大的跨境金融市場壓力影響了幾家銀行的運行的</w:t>
      </w:r>
      <w:proofErr w:type="gramStart"/>
      <w:r w:rsidRPr="00CA1A43">
        <w:rPr>
          <w:rFonts w:eastAsia="標楷體" w:cstheme="minorHAnsi"/>
          <w:szCs w:val="24"/>
        </w:rPr>
        <w:t>期間，</w:t>
      </w:r>
      <w:proofErr w:type="gramEnd"/>
      <w:r w:rsidRPr="00CA1A43">
        <w:rPr>
          <w:rFonts w:eastAsia="標楷體" w:cstheme="minorHAnsi"/>
          <w:szCs w:val="24"/>
        </w:rPr>
        <w:t>或當金融市場遭遇到重大政權的轉移狀況</w:t>
      </w:r>
      <w:r w:rsidRPr="00CA1A43">
        <w:rPr>
          <w:rFonts w:eastAsia="標楷體" w:cstheme="minorHAnsi"/>
          <w:szCs w:val="24"/>
        </w:rPr>
        <w:t>)</w:t>
      </w:r>
      <w:r w:rsidRPr="00CA1A43">
        <w:rPr>
          <w:rFonts w:eastAsia="標楷體" w:cstheme="minorHAnsi"/>
          <w:szCs w:val="24"/>
        </w:rPr>
        <w:t>。在此種情況下，本會可能認為可模型化的風險因子不再通過風險因子資格測試</w:t>
      </w:r>
      <w:r w:rsidRPr="00CA1A43">
        <w:rPr>
          <w:rFonts w:eastAsia="標楷體" w:cstheme="minorHAnsi"/>
          <w:szCs w:val="24"/>
        </w:rPr>
        <w:t>(RFET)</w:t>
      </w:r>
      <w:r w:rsidRPr="00CA1A43">
        <w:rPr>
          <w:rFonts w:eastAsia="標楷體" w:cstheme="minorHAnsi"/>
          <w:szCs w:val="24"/>
        </w:rPr>
        <w:t>，惟此做法不應造成資本要求降低。本會只能在最例外、系統性的情況下才能進行此種回應。</w:t>
      </w:r>
    </w:p>
    <w:p w14:paraId="5297CC27" w14:textId="77777777" w:rsidR="008F4301" w:rsidRPr="00CA1A43" w:rsidRDefault="008F4301" w:rsidP="001E691F">
      <w:pPr>
        <w:pStyle w:val="a7"/>
        <w:numPr>
          <w:ilvl w:val="0"/>
          <w:numId w:val="246"/>
        </w:numPr>
        <w:spacing w:beforeLines="50" w:before="180"/>
        <w:ind w:leftChars="0" w:left="737" w:hanging="737"/>
        <w:jc w:val="both"/>
        <w:outlineLvl w:val="0"/>
        <w:rPr>
          <w:rFonts w:eastAsia="標楷體" w:cstheme="minorHAnsi"/>
          <w:szCs w:val="24"/>
        </w:rPr>
      </w:pPr>
      <w:bookmarkStart w:id="30" w:name="_Toc67992470"/>
      <w:r w:rsidRPr="00CA1A43">
        <w:rPr>
          <w:rFonts w:eastAsia="標楷體" w:cstheme="minorHAnsi"/>
        </w:rPr>
        <w:t>通過</w:t>
      </w:r>
      <w:r w:rsidRPr="00CA1A43">
        <w:rPr>
          <w:rFonts w:eastAsia="標楷體" w:cstheme="minorHAnsi"/>
          <w:szCs w:val="24"/>
        </w:rPr>
        <w:t>風險因子</w:t>
      </w:r>
      <w:r w:rsidRPr="00CA1A43">
        <w:rPr>
          <w:rFonts w:eastAsia="標楷體" w:cstheme="minorHAnsi"/>
        </w:rPr>
        <w:t>資格</w:t>
      </w:r>
      <w:r w:rsidRPr="00CA1A43">
        <w:rPr>
          <w:rFonts w:eastAsia="標楷體" w:cstheme="minorHAnsi"/>
          <w:szCs w:val="24"/>
        </w:rPr>
        <w:t>測試</w:t>
      </w:r>
      <w:r w:rsidRPr="00CA1A43">
        <w:rPr>
          <w:rFonts w:eastAsia="標楷體" w:cstheme="minorHAnsi"/>
          <w:szCs w:val="24"/>
        </w:rPr>
        <w:t>(RFET)</w:t>
      </w:r>
      <w:r w:rsidRPr="00CA1A43">
        <w:rPr>
          <w:rFonts w:eastAsia="標楷體" w:cstheme="minorHAnsi"/>
        </w:rPr>
        <w:t>之風險因子可模型化的原則</w:t>
      </w:r>
      <w:bookmarkEnd w:id="30"/>
    </w:p>
    <w:p w14:paraId="247FC4DE" w14:textId="77777777" w:rsidR="008F4301" w:rsidRPr="00CA1A43" w:rsidRDefault="008F4301" w:rsidP="008C0E02">
      <w:pPr>
        <w:pStyle w:val="a7"/>
        <w:numPr>
          <w:ilvl w:val="0"/>
          <w:numId w:val="270"/>
        </w:numPr>
        <w:spacing w:beforeLines="50" w:before="180"/>
        <w:ind w:leftChars="0" w:left="737" w:hanging="737"/>
        <w:jc w:val="both"/>
        <w:rPr>
          <w:rFonts w:eastAsia="標楷體" w:cstheme="minorHAnsi"/>
          <w:szCs w:val="24"/>
        </w:rPr>
      </w:pPr>
      <w:r w:rsidRPr="00CA1A43">
        <w:rPr>
          <w:rFonts w:eastAsia="標楷體" w:cstheme="minorHAnsi"/>
        </w:rPr>
        <w:t>銀行使用各種模型來衡量交易部位之風險，各模型對資料的要求不同，任何特定模型之風險因子，銀行使用的資料源或資料類型也可能不同。銀行不應僅以實際價格觀察值的次數來決定風險因子是否可模型化，風險因子實際價格觀察值之資料源準確度亦應納入考量。</w:t>
      </w:r>
    </w:p>
    <w:p w14:paraId="54B0442D" w14:textId="77777777" w:rsidR="008F4301" w:rsidRPr="00CA1A43" w:rsidRDefault="008F4301" w:rsidP="008C0E02">
      <w:pPr>
        <w:pStyle w:val="a7"/>
        <w:numPr>
          <w:ilvl w:val="0"/>
          <w:numId w:val="270"/>
        </w:numPr>
        <w:spacing w:beforeLines="50" w:before="180"/>
        <w:ind w:leftChars="0" w:left="737" w:hanging="737"/>
        <w:jc w:val="both"/>
        <w:rPr>
          <w:rFonts w:eastAsia="標楷體" w:cstheme="minorHAnsi"/>
          <w:szCs w:val="24"/>
        </w:rPr>
      </w:pPr>
      <w:r w:rsidRPr="00CA1A43">
        <w:rPr>
          <w:rFonts w:eastAsia="標楷體" w:cstheme="minorHAnsi"/>
        </w:rPr>
        <w:t>除前述第七、八大點之要求外，銀行必須採用下列原則來判斷通過</w:t>
      </w:r>
      <w:r w:rsidRPr="00CA1A43">
        <w:rPr>
          <w:rFonts w:eastAsia="標楷體" w:cstheme="minorHAnsi"/>
          <w:szCs w:val="24"/>
        </w:rPr>
        <w:t>風險因子資格測試</w:t>
      </w:r>
      <w:r w:rsidRPr="00CA1A43">
        <w:rPr>
          <w:rFonts w:eastAsia="標楷體" w:cstheme="minorHAnsi"/>
          <w:szCs w:val="24"/>
        </w:rPr>
        <w:t>(RFET)</w:t>
      </w:r>
      <w:r w:rsidRPr="00CA1A43">
        <w:rPr>
          <w:rFonts w:eastAsia="標楷體" w:cstheme="minorHAnsi"/>
        </w:rPr>
        <w:t>之風險因子是否可透過預期短缺</w:t>
      </w:r>
      <w:r w:rsidRPr="00CA1A43">
        <w:rPr>
          <w:rFonts w:eastAsia="標楷體" w:cstheme="minorHAnsi"/>
        </w:rPr>
        <w:t>(</w:t>
      </w:r>
      <w:r w:rsidRPr="00CA1A43">
        <w:rPr>
          <w:rFonts w:eastAsia="標楷體" w:cstheme="minorHAnsi"/>
          <w:szCs w:val="24"/>
        </w:rPr>
        <w:t>ES)</w:t>
      </w:r>
      <w:r w:rsidRPr="00CA1A43">
        <w:rPr>
          <w:rFonts w:eastAsia="標楷體" w:cstheme="minorHAnsi"/>
        </w:rPr>
        <w:t>模型適用模型化，或應適用不可模型化風險因子之資本要求。銀行須向</w:t>
      </w:r>
      <w:r w:rsidRPr="00CA1A43">
        <w:rPr>
          <w:rFonts w:eastAsia="標楷體" w:cstheme="minorHAnsi"/>
          <w:szCs w:val="24"/>
        </w:rPr>
        <w:t>本會</w:t>
      </w:r>
      <w:r w:rsidRPr="00CA1A43">
        <w:rPr>
          <w:rFonts w:eastAsia="標楷體" w:cstheme="minorHAnsi"/>
        </w:rPr>
        <w:t>證明已遵循這些原則。在不符合這些原則的情況下，</w:t>
      </w:r>
      <w:r w:rsidRPr="00CA1A43">
        <w:rPr>
          <w:rFonts w:eastAsia="標楷體" w:cstheme="minorHAnsi"/>
          <w:szCs w:val="24"/>
        </w:rPr>
        <w:t>本會</w:t>
      </w:r>
      <w:r w:rsidRPr="00CA1A43">
        <w:rPr>
          <w:rFonts w:eastAsia="標楷體" w:cstheme="minorHAnsi"/>
        </w:rPr>
        <w:t>也許會決定風險因子屬不可模型化。</w:t>
      </w:r>
    </w:p>
    <w:p w14:paraId="09344FC9" w14:textId="7CF15FA4" w:rsidR="008F4301" w:rsidRPr="00CA1A43" w:rsidRDefault="008F4301" w:rsidP="008C0E02">
      <w:pPr>
        <w:pStyle w:val="a7"/>
        <w:numPr>
          <w:ilvl w:val="0"/>
          <w:numId w:val="271"/>
        </w:numPr>
        <w:spacing w:beforeLines="50" w:before="180"/>
        <w:ind w:leftChars="0" w:left="964" w:hanging="482"/>
        <w:jc w:val="both"/>
        <w:rPr>
          <w:rFonts w:eastAsia="標楷體" w:cstheme="minorHAnsi"/>
          <w:szCs w:val="24"/>
        </w:rPr>
      </w:pPr>
      <w:r w:rsidRPr="00CA1A43">
        <w:rPr>
          <w:rFonts w:eastAsia="標楷體" w:cstheme="minorHAnsi"/>
          <w:szCs w:val="24"/>
        </w:rPr>
        <w:t>使用之資料可包含可模型化風險因子之組合。銀行常以一組風險因子來</w:t>
      </w:r>
      <w:r w:rsidRPr="00CA1A43">
        <w:rPr>
          <w:rFonts w:eastAsia="標楷體" w:cstheme="minorHAnsi"/>
          <w:szCs w:val="24"/>
        </w:rPr>
        <w:lastRenderedPageBreak/>
        <w:t>訂價</w:t>
      </w:r>
      <w:r w:rsidR="009653EE" w:rsidRPr="00A07A2E">
        <w:rPr>
          <w:rFonts w:eastAsia="標楷體" w:cstheme="minorHAnsi"/>
          <w:szCs w:val="24"/>
        </w:rPr>
        <w:t>工具</w:t>
      </w:r>
      <w:r w:rsidRPr="00A07A2E">
        <w:rPr>
          <w:rFonts w:eastAsia="標楷體" w:cstheme="minorHAnsi"/>
          <w:szCs w:val="24"/>
        </w:rPr>
        <w:t>。</w:t>
      </w:r>
      <w:r w:rsidRPr="00CA1A43">
        <w:rPr>
          <w:rFonts w:eastAsia="標楷體" w:cstheme="minorHAnsi"/>
          <w:szCs w:val="24"/>
        </w:rPr>
        <w:t>一般而言，僅由一組可模型化之風險因子所衍生之風險因子，是可模型化的。例如，由多因子</w:t>
      </w:r>
      <w:r w:rsidRPr="00CA1A43">
        <w:rPr>
          <w:rFonts w:eastAsia="標楷體" w:cstheme="minorHAnsi"/>
          <w:szCs w:val="24"/>
        </w:rPr>
        <w:t>beta</w:t>
      </w:r>
      <w:r w:rsidRPr="00CA1A43">
        <w:rPr>
          <w:rFonts w:eastAsia="標楷體" w:cstheme="minorHAnsi"/>
          <w:szCs w:val="24"/>
        </w:rPr>
        <w:t>模型所衍生之風險因子，可被歸類可模型化，亦可被納入</w:t>
      </w:r>
      <w:r w:rsidRPr="00CA1A43">
        <w:rPr>
          <w:rFonts w:eastAsia="標楷體" w:cstheme="minorHAnsi"/>
        </w:rPr>
        <w:t>預期短缺</w:t>
      </w:r>
      <w:r w:rsidRPr="00CA1A43">
        <w:rPr>
          <w:rFonts w:eastAsia="標楷體" w:cstheme="minorHAnsi"/>
        </w:rPr>
        <w:t>(</w:t>
      </w:r>
      <w:r w:rsidRPr="00CA1A43">
        <w:rPr>
          <w:rFonts w:eastAsia="標楷體" w:cstheme="minorHAnsi"/>
          <w:szCs w:val="24"/>
        </w:rPr>
        <w:t>ES)</w:t>
      </w:r>
      <w:r w:rsidRPr="00CA1A43">
        <w:rPr>
          <w:rFonts w:eastAsia="標楷體" w:cstheme="minorHAnsi"/>
          <w:szCs w:val="24"/>
        </w:rPr>
        <w:t>模型中，因該模型之輸入及</w:t>
      </w:r>
      <w:proofErr w:type="gramStart"/>
      <w:r w:rsidRPr="00CA1A43">
        <w:rPr>
          <w:rFonts w:eastAsia="標楷體" w:cstheme="minorHAnsi"/>
          <w:szCs w:val="24"/>
        </w:rPr>
        <w:t>校準均僅依</w:t>
      </w:r>
      <w:proofErr w:type="gramEnd"/>
      <w:r w:rsidRPr="00CA1A43">
        <w:rPr>
          <w:rFonts w:eastAsia="標楷體" w:cstheme="minorHAnsi"/>
          <w:szCs w:val="24"/>
        </w:rPr>
        <w:t>可模型化風險因子為基礎。由對應特定曲線或曲面組別</w:t>
      </w:r>
      <w:proofErr w:type="gramStart"/>
      <w:r w:rsidRPr="00CA1A43">
        <w:rPr>
          <w:rFonts w:eastAsia="標楷體" w:cstheme="minorHAnsi"/>
          <w:szCs w:val="24"/>
        </w:rPr>
        <w:t>之</w:t>
      </w:r>
      <w:proofErr w:type="gramEnd"/>
      <w:r w:rsidRPr="00CA1A43">
        <w:rPr>
          <w:rFonts w:eastAsia="標楷體" w:cstheme="minorHAnsi"/>
          <w:szCs w:val="24"/>
        </w:rPr>
        <w:t>可模型化風險因子組合所導出之單一風險因子，若該風險因子可通過風險因子資格測試</w:t>
      </w:r>
      <w:r w:rsidRPr="00CA1A43">
        <w:rPr>
          <w:rFonts w:eastAsia="標楷體" w:cstheme="minorHAnsi"/>
          <w:szCs w:val="24"/>
        </w:rPr>
        <w:t>(RFET)</w:t>
      </w:r>
      <w:r w:rsidRPr="00CA1A43">
        <w:rPr>
          <w:rFonts w:eastAsia="標楷體" w:cstheme="minorHAnsi"/>
          <w:szCs w:val="24"/>
        </w:rPr>
        <w:t>風險因子有效性測試，則可視為可模型化。</w:t>
      </w:r>
    </w:p>
    <w:p w14:paraId="36E598E7" w14:textId="77777777" w:rsidR="008F4301" w:rsidRPr="00CA1A43" w:rsidRDefault="008F4301" w:rsidP="008C0E02">
      <w:pPr>
        <w:pStyle w:val="a7"/>
        <w:numPr>
          <w:ilvl w:val="0"/>
          <w:numId w:val="272"/>
        </w:numPr>
        <w:spacing w:beforeLines="50" w:before="180"/>
        <w:ind w:leftChars="0" w:left="1446" w:hanging="482"/>
        <w:jc w:val="both"/>
        <w:rPr>
          <w:rFonts w:eastAsia="標楷體" w:cstheme="minorHAnsi"/>
          <w:szCs w:val="24"/>
        </w:rPr>
      </w:pPr>
      <w:r w:rsidRPr="00CA1A43">
        <w:rPr>
          <w:rFonts w:eastAsia="標楷體" w:cstheme="minorHAnsi"/>
          <w:szCs w:val="24"/>
        </w:rPr>
        <w:t>基於可模型化風險因子組合的</w:t>
      </w:r>
      <w:proofErr w:type="gramStart"/>
      <w:r w:rsidRPr="00CA1A43">
        <w:rPr>
          <w:rFonts w:eastAsia="標楷體" w:cstheme="minorHAnsi"/>
          <w:szCs w:val="24"/>
        </w:rPr>
        <w:t>內插法</w:t>
      </w:r>
      <w:proofErr w:type="gramEnd"/>
      <w:r w:rsidRPr="00CA1A43">
        <w:rPr>
          <w:rFonts w:eastAsia="標楷體" w:cstheme="minorHAnsi"/>
          <w:szCs w:val="24"/>
        </w:rPr>
        <w:t>，應與用作損益歸因</w:t>
      </w:r>
      <w:r w:rsidRPr="00CA1A43">
        <w:rPr>
          <w:rFonts w:eastAsia="標楷體" w:cstheme="minorHAnsi"/>
          <w:szCs w:val="24"/>
        </w:rPr>
        <w:t>(PLA)</w:t>
      </w:r>
      <w:r w:rsidRPr="00CA1A43">
        <w:rPr>
          <w:rFonts w:eastAsia="標楷體" w:cstheme="minorHAnsi"/>
          <w:szCs w:val="24"/>
        </w:rPr>
        <w:t>測試</w:t>
      </w:r>
      <w:r w:rsidRPr="00CA1A43">
        <w:rPr>
          <w:rFonts w:eastAsia="標楷體" w:cstheme="minorHAnsi"/>
          <w:szCs w:val="24"/>
        </w:rPr>
        <w:t>(</w:t>
      </w:r>
      <w:r w:rsidRPr="00CA1A43">
        <w:rPr>
          <w:rFonts w:eastAsia="標楷體" w:cstheme="minorHAnsi"/>
          <w:szCs w:val="24"/>
        </w:rPr>
        <w:t>用以決定風險理論損益</w:t>
      </w:r>
      <w:r w:rsidRPr="00CA1A43">
        <w:rPr>
          <w:rFonts w:eastAsia="標楷體" w:cstheme="minorHAnsi"/>
          <w:szCs w:val="24"/>
        </w:rPr>
        <w:t>(RTPL))</w:t>
      </w:r>
      <w:r w:rsidRPr="00CA1A43">
        <w:rPr>
          <w:rFonts w:eastAsia="標楷體" w:cstheme="minorHAnsi"/>
          <w:szCs w:val="24"/>
        </w:rPr>
        <w:t>之對應方法一致且不應基於替代性、及潛在更廣泛之分組方式。銀行可精簡風險因子至</w:t>
      </w:r>
      <w:proofErr w:type="gramStart"/>
      <w:r w:rsidRPr="00CA1A43">
        <w:rPr>
          <w:rFonts w:eastAsia="標楷體" w:cstheme="minorHAnsi"/>
          <w:szCs w:val="24"/>
        </w:rPr>
        <w:t>較小維度</w:t>
      </w:r>
      <w:proofErr w:type="gramEnd"/>
      <w:r w:rsidRPr="00CA1A43">
        <w:rPr>
          <w:rFonts w:eastAsia="標楷體" w:cstheme="minorHAnsi"/>
          <w:szCs w:val="24"/>
        </w:rPr>
        <w:t>之風險因子矩陣</w:t>
      </w:r>
      <w:r w:rsidRPr="00CA1A43">
        <w:rPr>
          <w:rFonts w:eastAsia="標楷體" w:cstheme="minorHAnsi"/>
          <w:szCs w:val="24"/>
        </w:rPr>
        <w:t>(</w:t>
      </w:r>
      <w:r w:rsidRPr="00CA1A43">
        <w:rPr>
          <w:rFonts w:eastAsia="標楷體" w:cstheme="minorHAnsi"/>
          <w:szCs w:val="24"/>
        </w:rPr>
        <w:t>例如主成分</w:t>
      </w:r>
      <w:r w:rsidRPr="00CA1A43">
        <w:rPr>
          <w:rFonts w:eastAsia="標楷體" w:cstheme="minorHAnsi"/>
          <w:szCs w:val="24"/>
        </w:rPr>
        <w:t>)</w:t>
      </w:r>
      <w:r w:rsidRPr="00CA1A43">
        <w:rPr>
          <w:rFonts w:eastAsia="標楷體" w:cstheme="minorHAnsi"/>
          <w:szCs w:val="24"/>
        </w:rPr>
        <w:t>，且</w:t>
      </w:r>
      <w:r w:rsidRPr="00CA1A43">
        <w:rPr>
          <w:rFonts w:eastAsia="標楷體" w:cstheme="minorHAnsi"/>
          <w:szCs w:val="24"/>
        </w:rPr>
        <w:t>/</w:t>
      </w:r>
      <w:r w:rsidRPr="00CA1A43">
        <w:rPr>
          <w:rFonts w:eastAsia="標楷體" w:cstheme="minorHAnsi"/>
          <w:szCs w:val="24"/>
        </w:rPr>
        <w:t>或經由可模型化風險因子的觀察值中取得參數，例如隨機隱含波動度模型中，而非直接由市場中觀察取得參數。</w:t>
      </w:r>
    </w:p>
    <w:p w14:paraId="2127A951" w14:textId="77777777" w:rsidR="008F4301" w:rsidRPr="00CA1A43" w:rsidRDefault="008F4301" w:rsidP="008C0E02">
      <w:pPr>
        <w:pStyle w:val="a7"/>
        <w:numPr>
          <w:ilvl w:val="0"/>
          <w:numId w:val="272"/>
        </w:numPr>
        <w:spacing w:beforeLines="50" w:before="180"/>
        <w:ind w:leftChars="0" w:left="1446" w:hanging="482"/>
        <w:jc w:val="both"/>
        <w:rPr>
          <w:rFonts w:eastAsia="標楷體" w:cstheme="minorHAnsi"/>
          <w:szCs w:val="24"/>
        </w:rPr>
      </w:pPr>
      <w:r w:rsidRPr="00CA1A43">
        <w:rPr>
          <w:rFonts w:eastAsia="標楷體" w:cstheme="minorHAnsi"/>
          <w:szCs w:val="24"/>
        </w:rPr>
        <w:t>在本會核准的情況下，銀行可於合理之程度</w:t>
      </w:r>
      <w:proofErr w:type="gramStart"/>
      <w:r w:rsidRPr="00CA1A43">
        <w:rPr>
          <w:rFonts w:eastAsia="標楷體" w:cstheme="minorHAnsi"/>
          <w:szCs w:val="24"/>
        </w:rPr>
        <w:t>外推可模型化</w:t>
      </w:r>
      <w:proofErr w:type="gramEnd"/>
      <w:r w:rsidRPr="00CA1A43">
        <w:rPr>
          <w:rFonts w:eastAsia="標楷體" w:cstheme="minorHAnsi"/>
          <w:szCs w:val="24"/>
        </w:rPr>
        <w:t>風險因子。使用</w:t>
      </w:r>
      <w:proofErr w:type="gramStart"/>
      <w:r w:rsidRPr="00CA1A43">
        <w:rPr>
          <w:rFonts w:eastAsia="標楷體" w:cstheme="minorHAnsi"/>
          <w:szCs w:val="24"/>
        </w:rPr>
        <w:t>外推法不</w:t>
      </w:r>
      <w:proofErr w:type="gramEnd"/>
      <w:r w:rsidRPr="00CA1A43">
        <w:rPr>
          <w:rFonts w:eastAsia="標楷體" w:cstheme="minorHAnsi"/>
          <w:szCs w:val="24"/>
        </w:rPr>
        <w:t>應僅採用最接近之可模型化風險因子，而應採用一個以上之可模型化風險因子。在銀行採用</w:t>
      </w:r>
      <w:proofErr w:type="gramStart"/>
      <w:r w:rsidRPr="00CA1A43">
        <w:rPr>
          <w:rFonts w:eastAsia="標楷體" w:cstheme="minorHAnsi"/>
          <w:szCs w:val="24"/>
        </w:rPr>
        <w:t>外推法的</w:t>
      </w:r>
      <w:proofErr w:type="gramEnd"/>
      <w:r w:rsidRPr="00CA1A43">
        <w:rPr>
          <w:rFonts w:eastAsia="標楷體" w:cstheme="minorHAnsi"/>
          <w:szCs w:val="24"/>
        </w:rPr>
        <w:t>情況下，須在計算風險理論損益</w:t>
      </w:r>
      <w:r w:rsidRPr="00CA1A43">
        <w:rPr>
          <w:rFonts w:eastAsia="標楷體" w:cstheme="minorHAnsi"/>
          <w:szCs w:val="24"/>
        </w:rPr>
        <w:t>(RTPL)</w:t>
      </w:r>
      <w:r w:rsidRPr="00CA1A43">
        <w:rPr>
          <w:rFonts w:eastAsia="標楷體" w:cstheme="minorHAnsi"/>
          <w:szCs w:val="24"/>
        </w:rPr>
        <w:t>時一併考量</w:t>
      </w:r>
      <w:proofErr w:type="gramStart"/>
      <w:r w:rsidRPr="00CA1A43">
        <w:rPr>
          <w:rFonts w:eastAsia="標楷體" w:cstheme="minorHAnsi"/>
          <w:szCs w:val="24"/>
        </w:rPr>
        <w:t>外推法</w:t>
      </w:r>
      <w:proofErr w:type="gramEnd"/>
      <w:r w:rsidRPr="00CA1A43">
        <w:rPr>
          <w:rFonts w:eastAsia="標楷體" w:cstheme="minorHAnsi"/>
          <w:szCs w:val="24"/>
        </w:rPr>
        <w:t>。</w:t>
      </w:r>
    </w:p>
    <w:p w14:paraId="09974246" w14:textId="14643BAE" w:rsidR="00CA106F" w:rsidRPr="00CA1A43" w:rsidRDefault="00CA106F" w:rsidP="008C0E02">
      <w:pPr>
        <w:pStyle w:val="a7"/>
        <w:numPr>
          <w:ilvl w:val="0"/>
          <w:numId w:val="271"/>
        </w:numPr>
        <w:spacing w:beforeLines="50" w:before="180"/>
        <w:ind w:leftChars="0" w:left="964" w:hanging="482"/>
        <w:jc w:val="both"/>
        <w:rPr>
          <w:rFonts w:eastAsia="標楷體" w:cstheme="minorHAnsi"/>
          <w:szCs w:val="24"/>
        </w:rPr>
      </w:pPr>
      <w:r w:rsidRPr="00CA1A43">
        <w:rPr>
          <w:rFonts w:eastAsia="標楷體" w:cstheme="minorHAnsi"/>
          <w:szCs w:val="24"/>
        </w:rPr>
        <w:t>所使用的資料必須使模型能捕捉非系統性風險及一般市場風險。一般市場風險為</w:t>
      </w:r>
      <w:r w:rsidR="009653EE" w:rsidRPr="00A07A2E">
        <w:rPr>
          <w:rFonts w:eastAsia="標楷體" w:cstheme="minorHAnsi"/>
          <w:szCs w:val="24"/>
        </w:rPr>
        <w:t>工具</w:t>
      </w:r>
      <w:r w:rsidRPr="00A07A2E">
        <w:rPr>
          <w:rFonts w:eastAsia="標楷體" w:cstheme="minorHAnsi"/>
          <w:szCs w:val="24"/>
        </w:rPr>
        <w:t>價</w:t>
      </w:r>
      <w:r w:rsidRPr="00CA1A43">
        <w:rPr>
          <w:rFonts w:eastAsia="標楷體" w:cstheme="minorHAnsi"/>
          <w:szCs w:val="24"/>
        </w:rPr>
        <w:t>值隨大盤價值變動之趨勢，由適當之指標或指數所呈現。非系統性風險則與特定發行條件有關，包含違約條款、到期日、及償還順位。使用的資料必須使以計算資本要求之市場風險模型得以捕捉前述市場風險的兩類風險。倘若資料無法反應非系統性風險或一般市場風險，銀行對於無法以模型適當捕捉之部份，必須採用不可模型化的風險因子</w:t>
      </w:r>
      <w:r w:rsidRPr="00CA1A43">
        <w:rPr>
          <w:rFonts w:eastAsia="標楷體" w:cstheme="minorHAnsi"/>
          <w:szCs w:val="24"/>
        </w:rPr>
        <w:t>(NMRF)</w:t>
      </w:r>
      <w:r w:rsidRPr="00CA1A43">
        <w:rPr>
          <w:rFonts w:eastAsia="標楷體" w:cstheme="minorHAnsi"/>
          <w:szCs w:val="24"/>
        </w:rPr>
        <w:t>計提。</w:t>
      </w:r>
    </w:p>
    <w:p w14:paraId="0AD6339A" w14:textId="77777777" w:rsidR="00CA106F" w:rsidRPr="00CA1A43" w:rsidRDefault="00CA106F" w:rsidP="008C0E02">
      <w:pPr>
        <w:pStyle w:val="a7"/>
        <w:numPr>
          <w:ilvl w:val="0"/>
          <w:numId w:val="271"/>
        </w:numPr>
        <w:spacing w:beforeLines="50" w:before="180"/>
        <w:ind w:leftChars="0" w:left="964" w:hanging="482"/>
        <w:jc w:val="both"/>
        <w:rPr>
          <w:rFonts w:eastAsia="標楷體" w:cstheme="minorHAnsi"/>
          <w:szCs w:val="24"/>
        </w:rPr>
      </w:pPr>
      <w:r w:rsidRPr="00CA1A43">
        <w:rPr>
          <w:rFonts w:eastAsia="標楷體" w:cstheme="minorHAnsi"/>
          <w:szCs w:val="24"/>
        </w:rPr>
        <w:t>所使用的資料必須能使模型反應風險部位之波動度及相關性。銀行必須確保不會低估資產之波動度</w:t>
      </w:r>
      <w:r w:rsidRPr="00CA1A43">
        <w:rPr>
          <w:rFonts w:eastAsia="標楷體" w:cstheme="minorHAnsi"/>
          <w:szCs w:val="24"/>
        </w:rPr>
        <w:t>(</w:t>
      </w:r>
      <w:r w:rsidRPr="00CA1A43">
        <w:rPr>
          <w:rFonts w:eastAsia="標楷體" w:cstheme="minorHAnsi"/>
          <w:szCs w:val="24"/>
        </w:rPr>
        <w:t>例如使用了不適當的資料或替代變數的平均數</w:t>
      </w:r>
      <w:r w:rsidRPr="00CA1A43">
        <w:rPr>
          <w:rFonts w:eastAsia="標楷體" w:cstheme="minorHAnsi"/>
          <w:szCs w:val="24"/>
        </w:rPr>
        <w:t>)</w:t>
      </w:r>
      <w:r w:rsidRPr="00CA1A43">
        <w:rPr>
          <w:rFonts w:eastAsia="標楷體" w:cstheme="minorHAnsi"/>
          <w:szCs w:val="24"/>
        </w:rPr>
        <w:t>。銀行必須確保能準確反映資產價格間、跨</w:t>
      </w:r>
      <w:proofErr w:type="gramStart"/>
      <w:r w:rsidRPr="00CA1A43">
        <w:rPr>
          <w:rFonts w:eastAsia="標楷體" w:cstheme="minorHAnsi"/>
          <w:szCs w:val="24"/>
        </w:rPr>
        <w:t>殖</w:t>
      </w:r>
      <w:proofErr w:type="gramEnd"/>
      <w:r w:rsidRPr="00CA1A43">
        <w:rPr>
          <w:rFonts w:eastAsia="標楷體" w:cstheme="minorHAnsi"/>
          <w:szCs w:val="24"/>
        </w:rPr>
        <w:t>利率曲線利率</w:t>
      </w:r>
      <w:proofErr w:type="gramStart"/>
      <w:r w:rsidRPr="00CA1A43">
        <w:rPr>
          <w:rFonts w:eastAsia="標楷體" w:cstheme="minorHAnsi"/>
          <w:szCs w:val="24"/>
        </w:rPr>
        <w:t>之間、</w:t>
      </w:r>
      <w:proofErr w:type="gramEnd"/>
      <w:r w:rsidRPr="00CA1A43">
        <w:rPr>
          <w:rFonts w:eastAsia="標楷體" w:cstheme="minorHAnsi"/>
          <w:szCs w:val="24"/>
        </w:rPr>
        <w:t>及</w:t>
      </w:r>
      <w:r w:rsidRPr="00CA1A43">
        <w:rPr>
          <w:rFonts w:eastAsia="標楷體" w:cstheme="minorHAnsi"/>
          <w:szCs w:val="24"/>
        </w:rPr>
        <w:t>/</w:t>
      </w:r>
      <w:r w:rsidRPr="00CA1A43">
        <w:rPr>
          <w:rFonts w:eastAsia="標楷體" w:cstheme="minorHAnsi"/>
          <w:szCs w:val="24"/>
        </w:rPr>
        <w:t>或波動度曲面之波動</w:t>
      </w:r>
      <w:proofErr w:type="gramStart"/>
      <w:r w:rsidRPr="00CA1A43">
        <w:rPr>
          <w:rFonts w:eastAsia="標楷體" w:cstheme="minorHAnsi"/>
          <w:szCs w:val="24"/>
        </w:rPr>
        <w:t>度間的相關性</w:t>
      </w:r>
      <w:proofErr w:type="gramEnd"/>
      <w:r w:rsidRPr="00CA1A43">
        <w:rPr>
          <w:rFonts w:eastAsia="標楷體" w:cstheme="minorHAnsi"/>
          <w:szCs w:val="24"/>
        </w:rPr>
        <w:t>。在估計資產價格時，不同的資料來源可能為資產價格有截然不同的</w:t>
      </w:r>
      <w:proofErr w:type="gramStart"/>
      <w:r w:rsidRPr="00CA1A43">
        <w:rPr>
          <w:rFonts w:eastAsia="標楷體" w:cstheme="minorHAnsi"/>
          <w:szCs w:val="24"/>
        </w:rPr>
        <w:t>的</w:t>
      </w:r>
      <w:proofErr w:type="gramEnd"/>
      <w:r w:rsidRPr="00CA1A43">
        <w:rPr>
          <w:rFonts w:eastAsia="標楷體" w:cstheme="minorHAnsi"/>
          <w:szCs w:val="24"/>
        </w:rPr>
        <w:t>波動度及相關性估計。銀行選擇</w:t>
      </w:r>
      <w:proofErr w:type="gramStart"/>
      <w:r w:rsidRPr="00CA1A43">
        <w:rPr>
          <w:rFonts w:eastAsia="標楷體" w:cstheme="minorHAnsi"/>
          <w:szCs w:val="24"/>
        </w:rPr>
        <w:t>資料源時應</w:t>
      </w:r>
      <w:proofErr w:type="gramEnd"/>
      <w:r w:rsidRPr="00CA1A43">
        <w:rPr>
          <w:rFonts w:eastAsia="標楷體" w:cstheme="minorHAnsi"/>
          <w:szCs w:val="24"/>
        </w:rPr>
        <w:t>確保</w:t>
      </w:r>
      <w:r w:rsidRPr="00CA1A43">
        <w:rPr>
          <w:rFonts w:eastAsia="標楷體" w:cstheme="minorHAnsi"/>
          <w:szCs w:val="24"/>
        </w:rPr>
        <w:t>(</w:t>
      </w:r>
      <w:proofErr w:type="spellStart"/>
      <w:r w:rsidRPr="00CA1A43">
        <w:rPr>
          <w:rFonts w:eastAsia="標楷體" w:cstheme="minorHAnsi"/>
          <w:szCs w:val="24"/>
        </w:rPr>
        <w:t>i</w:t>
      </w:r>
      <w:proofErr w:type="spellEnd"/>
      <w:r w:rsidRPr="00CA1A43">
        <w:rPr>
          <w:rFonts w:eastAsia="標楷體" w:cstheme="minorHAnsi"/>
          <w:szCs w:val="24"/>
        </w:rPr>
        <w:t>)</w:t>
      </w:r>
      <w:r w:rsidRPr="00CA1A43">
        <w:rPr>
          <w:rFonts w:eastAsia="標楷體" w:cstheme="minorHAnsi"/>
          <w:szCs w:val="24"/>
        </w:rPr>
        <w:t>資料具真實價格觀察值之代表性；</w:t>
      </w:r>
      <w:r w:rsidRPr="00CA1A43">
        <w:rPr>
          <w:rFonts w:eastAsia="標楷體" w:cstheme="minorHAnsi"/>
          <w:szCs w:val="24"/>
        </w:rPr>
        <w:t>(ii)</w:t>
      </w:r>
      <w:r w:rsidRPr="00CA1A43">
        <w:rPr>
          <w:rFonts w:eastAsia="標楷體" w:cstheme="minorHAnsi"/>
          <w:szCs w:val="24"/>
        </w:rPr>
        <w:t>價格波動度不因資料選擇而低估；</w:t>
      </w:r>
      <w:r w:rsidRPr="00CA1A43">
        <w:rPr>
          <w:rFonts w:eastAsia="標楷體" w:cstheme="minorHAnsi"/>
          <w:szCs w:val="24"/>
        </w:rPr>
        <w:t>(iii)</w:t>
      </w:r>
      <w:r w:rsidRPr="00CA1A43">
        <w:rPr>
          <w:rFonts w:eastAsia="標楷體" w:cstheme="minorHAnsi"/>
          <w:szCs w:val="24"/>
        </w:rPr>
        <w:t>相關性為真實價格觀察值間相關性之合理近似值。任何轉換皆不應低估由風險因子產生的波動度，且須準確反映使用於</w:t>
      </w:r>
      <w:r w:rsidRPr="00CA1A43">
        <w:rPr>
          <w:rFonts w:eastAsia="標楷體" w:cstheme="minorHAnsi"/>
        </w:rPr>
        <w:t>預期短</w:t>
      </w:r>
      <w:r w:rsidRPr="00CA1A43">
        <w:rPr>
          <w:rFonts w:eastAsia="標楷體" w:cstheme="minorHAnsi"/>
          <w:szCs w:val="24"/>
        </w:rPr>
        <w:t>缺</w:t>
      </w:r>
      <w:r w:rsidRPr="00CA1A43">
        <w:rPr>
          <w:rFonts w:eastAsia="標楷體" w:cstheme="minorHAnsi"/>
          <w:szCs w:val="24"/>
        </w:rPr>
        <w:t>(ES)</w:t>
      </w:r>
      <w:r w:rsidRPr="00CA1A43">
        <w:rPr>
          <w:rFonts w:eastAsia="標楷體" w:cstheme="minorHAnsi"/>
          <w:szCs w:val="24"/>
        </w:rPr>
        <w:t>模型中由風險因子產出之相關性。</w:t>
      </w:r>
    </w:p>
    <w:p w14:paraId="568648F3" w14:textId="77777777" w:rsidR="00CA106F" w:rsidRPr="00CA1A43" w:rsidRDefault="00CA106F" w:rsidP="008C0E02">
      <w:pPr>
        <w:pStyle w:val="a7"/>
        <w:numPr>
          <w:ilvl w:val="0"/>
          <w:numId w:val="271"/>
        </w:numPr>
        <w:spacing w:beforeLines="50" w:before="180"/>
        <w:ind w:leftChars="0" w:left="964" w:hanging="482"/>
        <w:jc w:val="both"/>
        <w:rPr>
          <w:rFonts w:eastAsia="標楷體" w:cstheme="minorHAnsi"/>
          <w:szCs w:val="24"/>
        </w:rPr>
      </w:pPr>
      <w:r w:rsidRPr="00CA1A43">
        <w:rPr>
          <w:rFonts w:eastAsia="標楷體" w:cstheme="minorHAnsi"/>
          <w:szCs w:val="24"/>
        </w:rPr>
        <w:t>所使用資料必須能反映市場價格及</w:t>
      </w:r>
      <w:r w:rsidRPr="00CA1A43">
        <w:rPr>
          <w:rFonts w:eastAsia="標楷體" w:cstheme="minorHAnsi"/>
          <w:szCs w:val="24"/>
        </w:rPr>
        <w:t>/</w:t>
      </w:r>
      <w:r w:rsidRPr="00CA1A43">
        <w:rPr>
          <w:rFonts w:eastAsia="標楷體" w:cstheme="minorHAnsi"/>
          <w:szCs w:val="24"/>
        </w:rPr>
        <w:t>或報價。當資料非由實際價格觀察值導出時，銀行必須證明採用的資料具實際價格觀察值之合理代表性。為了達到前述目的，銀行須就風險模型中使用之價格與前台之價格定期核對。前台價格與風險價格之比較，應包括風險價格及實際價格觀察值</w:t>
      </w:r>
      <w:r w:rsidRPr="00CA1A43">
        <w:rPr>
          <w:rFonts w:eastAsia="標楷體" w:cstheme="minorHAnsi"/>
          <w:szCs w:val="24"/>
        </w:rPr>
        <w:lastRenderedPageBreak/>
        <w:t>之比較。但當實際價格觀察值不可得時，</w:t>
      </w:r>
      <w:proofErr w:type="gramStart"/>
      <w:r w:rsidRPr="00CA1A43">
        <w:rPr>
          <w:rFonts w:eastAsia="標楷體" w:cstheme="minorHAnsi"/>
          <w:szCs w:val="24"/>
        </w:rPr>
        <w:t>可僅比較</w:t>
      </w:r>
      <w:proofErr w:type="gramEnd"/>
      <w:r w:rsidRPr="00CA1A43">
        <w:rPr>
          <w:rFonts w:eastAsia="標楷體" w:cstheme="minorHAnsi"/>
          <w:szCs w:val="24"/>
        </w:rPr>
        <w:t>前台價格。銀行必須將其由市場價格導出風險因子之方法論文件化。</w:t>
      </w:r>
    </w:p>
    <w:p w14:paraId="78A98058" w14:textId="77777777" w:rsidR="00CA106F" w:rsidRPr="00CA1A43" w:rsidRDefault="00CA106F" w:rsidP="008C0E02">
      <w:pPr>
        <w:pStyle w:val="a7"/>
        <w:numPr>
          <w:ilvl w:val="0"/>
          <w:numId w:val="271"/>
        </w:numPr>
        <w:spacing w:beforeLines="50" w:before="180"/>
        <w:ind w:leftChars="0" w:left="964" w:hanging="482"/>
        <w:jc w:val="both"/>
        <w:rPr>
          <w:rFonts w:eastAsia="標楷體" w:cstheme="minorHAnsi"/>
          <w:szCs w:val="24"/>
        </w:rPr>
      </w:pPr>
      <w:r w:rsidRPr="00CA1A43">
        <w:rPr>
          <w:rFonts w:eastAsia="標楷體" w:cstheme="minorHAnsi"/>
          <w:szCs w:val="24"/>
        </w:rPr>
        <w:t>資料的更新頻率必須充足。面對周轉快速之交易投資組合部位及變化快速之市場狀況，銀行應盡可能頻繁更新模型資料。銀行更新資料之頻率為每日，惟如無法每日更新，則更新頻率為每月至少一次。銀行應訂有更新資料源之工作流程。當銀行使用</w:t>
      </w:r>
      <w:proofErr w:type="gramStart"/>
      <w:r w:rsidRPr="00CA1A43">
        <w:rPr>
          <w:rFonts w:eastAsia="標楷體" w:cstheme="minorHAnsi"/>
          <w:szCs w:val="24"/>
        </w:rPr>
        <w:t>迴</w:t>
      </w:r>
      <w:proofErr w:type="gramEnd"/>
      <w:r w:rsidRPr="00CA1A43">
        <w:rPr>
          <w:rFonts w:eastAsia="標楷體" w:cstheme="minorHAnsi"/>
          <w:szCs w:val="24"/>
        </w:rPr>
        <w:t>歸方法以估計風險因子參數時，這些參數必須每兩</w:t>
      </w:r>
      <w:proofErr w:type="gramStart"/>
      <w:r w:rsidRPr="00CA1A43">
        <w:rPr>
          <w:rFonts w:eastAsia="標楷體" w:cstheme="minorHAnsi"/>
          <w:szCs w:val="24"/>
        </w:rPr>
        <w:t>週</w:t>
      </w:r>
      <w:proofErr w:type="gramEnd"/>
      <w:r w:rsidRPr="00CA1A43">
        <w:rPr>
          <w:rFonts w:eastAsia="標楷體" w:cstheme="minorHAnsi"/>
          <w:szCs w:val="24"/>
        </w:rPr>
        <w:t>至少一次重估計。以當時市場價格校準評價模型之頻率亦應充足，且不應低於前台校準評價模型之頻率。銀行對於缺漏資料的</w:t>
      </w:r>
      <w:proofErr w:type="gramStart"/>
      <w:r w:rsidRPr="00CA1A43">
        <w:rPr>
          <w:rFonts w:eastAsia="標楷體" w:cstheme="minorHAnsi"/>
          <w:szCs w:val="24"/>
        </w:rPr>
        <w:t>回填及</w:t>
      </w:r>
      <w:proofErr w:type="gramEnd"/>
      <w:r w:rsidRPr="00CA1A43">
        <w:rPr>
          <w:rFonts w:eastAsia="標楷體" w:cstheme="minorHAnsi"/>
          <w:szCs w:val="24"/>
        </w:rPr>
        <w:t>/</w:t>
      </w:r>
      <w:r w:rsidRPr="00CA1A43">
        <w:rPr>
          <w:rFonts w:eastAsia="標楷體" w:cstheme="minorHAnsi"/>
          <w:szCs w:val="24"/>
        </w:rPr>
        <w:t>或空白填充，應訂有明確的政策。</w:t>
      </w:r>
    </w:p>
    <w:p w14:paraId="19ADA9A8" w14:textId="2B895373" w:rsidR="00B560F9" w:rsidRPr="00CA1A43" w:rsidRDefault="00B560F9" w:rsidP="008C0E02">
      <w:pPr>
        <w:pStyle w:val="a7"/>
        <w:numPr>
          <w:ilvl w:val="0"/>
          <w:numId w:val="271"/>
        </w:numPr>
        <w:spacing w:beforeLines="50" w:before="180"/>
        <w:ind w:leftChars="0" w:left="964" w:hanging="482"/>
        <w:jc w:val="both"/>
        <w:rPr>
          <w:rFonts w:eastAsia="標楷體" w:cstheme="minorHAnsi"/>
          <w:szCs w:val="24"/>
        </w:rPr>
      </w:pPr>
      <w:r w:rsidRPr="00CA1A43">
        <w:rPr>
          <w:rFonts w:eastAsia="標楷體" w:cstheme="minorHAnsi"/>
          <w:szCs w:val="24"/>
        </w:rPr>
        <w:t>用以決定加壓後預期短缺</w:t>
      </w:r>
      <w:r w:rsidRPr="00CA1A43">
        <w:rPr>
          <w:rFonts w:eastAsia="標楷體" w:cstheme="minorHAnsi"/>
          <w:szCs w:val="24"/>
        </w:rPr>
        <w:t>(ES</w:t>
      </w:r>
      <w:r w:rsidRPr="00A07A2E">
        <w:rPr>
          <w:rFonts w:eastAsia="標楷體" w:cstheme="minorHAnsi"/>
          <w:szCs w:val="24"/>
          <w:vertAlign w:val="subscript"/>
        </w:rPr>
        <w:t>R,S</w:t>
      </w:r>
      <w:r w:rsidRPr="00CA1A43">
        <w:rPr>
          <w:rFonts w:eastAsia="標楷體" w:cstheme="minorHAnsi"/>
          <w:szCs w:val="24"/>
        </w:rPr>
        <w:t>)</w:t>
      </w:r>
      <w:r w:rsidRPr="00CA1A43">
        <w:rPr>
          <w:rFonts w:eastAsia="標楷體" w:cstheme="minorHAnsi"/>
          <w:szCs w:val="24"/>
        </w:rPr>
        <w:t>之資料必須能反映於壓力期間的市場價格及</w:t>
      </w:r>
      <w:r w:rsidRPr="00CA1A43">
        <w:rPr>
          <w:rFonts w:eastAsia="標楷體" w:cstheme="minorHAnsi"/>
          <w:szCs w:val="24"/>
        </w:rPr>
        <w:t>/</w:t>
      </w:r>
      <w:r w:rsidRPr="00CA1A43">
        <w:rPr>
          <w:rFonts w:eastAsia="標楷體" w:cstheme="minorHAnsi"/>
          <w:szCs w:val="24"/>
        </w:rPr>
        <w:t>或報價。用於加壓後預期短缺</w:t>
      </w:r>
      <w:r w:rsidRPr="00CA1A43">
        <w:rPr>
          <w:rFonts w:eastAsia="標楷體" w:cstheme="minorHAnsi"/>
          <w:szCs w:val="24"/>
        </w:rPr>
        <w:t>(ES</w:t>
      </w:r>
      <w:r w:rsidRPr="00A07A2E">
        <w:rPr>
          <w:rFonts w:eastAsia="標楷體" w:cstheme="minorHAnsi"/>
          <w:szCs w:val="24"/>
          <w:vertAlign w:val="subscript"/>
        </w:rPr>
        <w:t>R,S</w:t>
      </w:r>
      <w:r w:rsidRPr="00CA1A43">
        <w:rPr>
          <w:rFonts w:eastAsia="標楷體" w:cstheme="minorHAnsi"/>
          <w:szCs w:val="24"/>
        </w:rPr>
        <w:t>)</w:t>
      </w:r>
      <w:r w:rsidRPr="00CA1A43">
        <w:rPr>
          <w:rFonts w:eastAsia="標楷體" w:cstheme="minorHAnsi"/>
          <w:szCs w:val="24"/>
        </w:rPr>
        <w:t>模型之資料應盡可能直接由歷史期間取得。在某些情況下，當前市場上</w:t>
      </w:r>
      <w:r w:rsidR="009653EE" w:rsidRPr="00A07A2E">
        <w:rPr>
          <w:rFonts w:eastAsia="標楷體" w:cstheme="minorHAnsi"/>
          <w:szCs w:val="24"/>
        </w:rPr>
        <w:t>工具</w:t>
      </w:r>
      <w:r w:rsidRPr="00A07A2E">
        <w:rPr>
          <w:rFonts w:eastAsia="標楷體" w:cstheme="minorHAnsi"/>
          <w:szCs w:val="24"/>
        </w:rPr>
        <w:t>的</w:t>
      </w:r>
      <w:r w:rsidRPr="00CA1A43">
        <w:rPr>
          <w:rFonts w:eastAsia="標楷體" w:cstheme="minorHAnsi"/>
          <w:szCs w:val="24"/>
        </w:rPr>
        <w:t>特性與在壓力期間的特性可能不同。儘管如此，銀行必須證明壓力期間使用的市場價格與在此期間實際觀察到的市場價格不同的情況。</w:t>
      </w:r>
      <w:proofErr w:type="gramStart"/>
      <w:r w:rsidRPr="00CA1A43">
        <w:rPr>
          <w:rFonts w:eastAsia="標楷體" w:cstheme="minorHAnsi"/>
          <w:szCs w:val="24"/>
        </w:rPr>
        <w:t>此外，</w:t>
      </w:r>
      <w:proofErr w:type="gramEnd"/>
      <w:r w:rsidRPr="00CA1A43">
        <w:rPr>
          <w:rFonts w:eastAsia="標楷體" w:cstheme="minorHAnsi"/>
          <w:szCs w:val="24"/>
        </w:rPr>
        <w:t>如果在重大金融壓力期間尚無當前交易</w:t>
      </w:r>
      <w:r w:rsidRPr="00A07A2E">
        <w:rPr>
          <w:rFonts w:eastAsia="標楷體" w:cstheme="minorHAnsi"/>
          <w:szCs w:val="24"/>
        </w:rPr>
        <w:t>的</w:t>
      </w:r>
      <w:r w:rsidR="009653EE" w:rsidRPr="00A07A2E">
        <w:rPr>
          <w:rFonts w:eastAsia="標楷體" w:cstheme="minorHAnsi"/>
          <w:szCs w:val="24"/>
        </w:rPr>
        <w:t>工具</w:t>
      </w:r>
      <w:r w:rsidRPr="00A07A2E">
        <w:rPr>
          <w:rFonts w:eastAsia="標楷體" w:cstheme="minorHAnsi"/>
          <w:szCs w:val="24"/>
        </w:rPr>
        <w:t>，銀</w:t>
      </w:r>
      <w:r w:rsidRPr="00CA1A43">
        <w:rPr>
          <w:rFonts w:eastAsia="標楷體" w:cstheme="minorHAnsi"/>
          <w:szCs w:val="24"/>
        </w:rPr>
        <w:t>行必須證明所使用的價格與壓力期間類似</w:t>
      </w:r>
      <w:r w:rsidR="009653EE" w:rsidRPr="00A07A2E">
        <w:rPr>
          <w:rFonts w:eastAsia="標楷體" w:cstheme="minorHAnsi"/>
          <w:szCs w:val="24"/>
        </w:rPr>
        <w:t>工具</w:t>
      </w:r>
      <w:r w:rsidRPr="00CA1A43">
        <w:rPr>
          <w:rFonts w:eastAsia="標楷體" w:cstheme="minorHAnsi"/>
          <w:szCs w:val="24"/>
        </w:rPr>
        <w:t>的價格或價差變化相符。若銀行無法充分證明當前所採用市場資料之特性自壓力期間以來已有改變，銀行就必須捨棄壓力期間的風險因子，並滿足壓力期間下校準之預期短缺的要求，即簡化後的風險因子需能解釋以全部</w:t>
      </w:r>
      <w:r w:rsidRPr="00CA1A43">
        <w:rPr>
          <w:rFonts w:eastAsia="標楷體" w:cstheme="minorHAnsi"/>
        </w:rPr>
        <w:t>預期短缺</w:t>
      </w:r>
      <w:r w:rsidRPr="00CA1A43">
        <w:rPr>
          <w:rFonts w:eastAsia="標楷體" w:cstheme="minorHAnsi"/>
        </w:rPr>
        <w:t>(</w:t>
      </w:r>
      <w:r w:rsidRPr="00CA1A43">
        <w:rPr>
          <w:rFonts w:eastAsia="標楷體" w:cstheme="minorHAnsi"/>
          <w:szCs w:val="24"/>
        </w:rPr>
        <w:t>ES)</w:t>
      </w:r>
      <w:r w:rsidRPr="00CA1A43">
        <w:rPr>
          <w:rFonts w:eastAsia="標楷體" w:cstheme="minorHAnsi"/>
          <w:szCs w:val="24"/>
        </w:rPr>
        <w:t>模型之</w:t>
      </w:r>
      <w:r w:rsidRPr="00CA1A43">
        <w:rPr>
          <w:rFonts w:eastAsia="標楷體" w:cstheme="minorHAnsi"/>
          <w:szCs w:val="24"/>
        </w:rPr>
        <w:t>75%</w:t>
      </w:r>
      <w:r w:rsidRPr="00CA1A43">
        <w:rPr>
          <w:rFonts w:eastAsia="標楷體" w:cstheme="minorHAnsi"/>
          <w:szCs w:val="24"/>
        </w:rPr>
        <w:t>。</w:t>
      </w:r>
      <w:proofErr w:type="gramStart"/>
      <w:r w:rsidRPr="00CA1A43">
        <w:rPr>
          <w:rFonts w:eastAsia="標楷體" w:cstheme="minorHAnsi"/>
          <w:szCs w:val="24"/>
        </w:rPr>
        <w:t>此外，</w:t>
      </w:r>
      <w:proofErr w:type="gramEnd"/>
      <w:r w:rsidRPr="00CA1A43">
        <w:rPr>
          <w:rFonts w:eastAsia="標楷體" w:cstheme="minorHAnsi"/>
          <w:szCs w:val="24"/>
        </w:rPr>
        <w:t>若用於計算實際期間</w:t>
      </w:r>
      <w:r w:rsidRPr="00CA1A43">
        <w:rPr>
          <w:rFonts w:eastAsia="標楷體" w:cstheme="minorHAnsi"/>
        </w:rPr>
        <w:t>預期短缺</w:t>
      </w:r>
      <w:r w:rsidRPr="00CA1A43">
        <w:rPr>
          <w:rFonts w:eastAsia="標楷體" w:cstheme="minorHAnsi"/>
        </w:rPr>
        <w:t>(</w:t>
      </w:r>
      <w:r w:rsidRPr="00CA1A43">
        <w:rPr>
          <w:rFonts w:eastAsia="標楷體" w:cstheme="minorHAnsi"/>
          <w:szCs w:val="24"/>
        </w:rPr>
        <w:t>ES)</w:t>
      </w:r>
      <w:r w:rsidRPr="00CA1A43">
        <w:rPr>
          <w:rFonts w:eastAsia="標楷體" w:cstheme="minorHAnsi"/>
          <w:szCs w:val="24"/>
        </w:rPr>
        <w:t>之特定的風險因子</w:t>
      </w:r>
      <w:r w:rsidRPr="00CA1A43">
        <w:rPr>
          <w:rFonts w:eastAsia="標楷體" w:cstheme="minorHAnsi"/>
          <w:szCs w:val="24"/>
        </w:rPr>
        <w:t>(names)</w:t>
      </w:r>
      <w:r w:rsidRPr="00CA1A43">
        <w:rPr>
          <w:rFonts w:eastAsia="標楷體" w:cstheme="minorHAnsi"/>
          <w:szCs w:val="24"/>
        </w:rPr>
        <w:t>無法於壓力期間取得，則可推定這些風險因子之獨特性不存在於風險因子之簡化集合中。在計算壓力期間之</w:t>
      </w:r>
      <w:r w:rsidRPr="00CA1A43">
        <w:rPr>
          <w:rFonts w:eastAsia="標楷體" w:cstheme="minorHAnsi"/>
        </w:rPr>
        <w:t>預期短缺</w:t>
      </w:r>
      <w:r w:rsidRPr="00CA1A43">
        <w:rPr>
          <w:rFonts w:eastAsia="標楷體" w:cstheme="minorHAnsi"/>
        </w:rPr>
        <w:t>(</w:t>
      </w:r>
      <w:r w:rsidRPr="00CA1A43">
        <w:rPr>
          <w:rFonts w:eastAsia="標楷體" w:cstheme="minorHAnsi"/>
          <w:szCs w:val="24"/>
        </w:rPr>
        <w:t>ES)</w:t>
      </w:r>
      <w:r w:rsidRPr="00CA1A43">
        <w:rPr>
          <w:rFonts w:eastAsia="標楷體" w:cstheme="minorHAnsi"/>
          <w:szCs w:val="24"/>
        </w:rPr>
        <w:t>時，需要將當前風險因子集合中未包含於簡化集合</w:t>
      </w:r>
      <w:proofErr w:type="gramStart"/>
      <w:r w:rsidRPr="00CA1A43">
        <w:rPr>
          <w:rFonts w:eastAsia="標楷體" w:cstheme="minorHAnsi"/>
          <w:szCs w:val="24"/>
        </w:rPr>
        <w:t>之暴險</w:t>
      </w:r>
      <w:proofErr w:type="gramEnd"/>
      <w:r w:rsidRPr="00CA1A43">
        <w:rPr>
          <w:rFonts w:eastAsia="標楷體" w:cstheme="minorHAnsi"/>
          <w:szCs w:val="24"/>
        </w:rPr>
        <w:t>，對應至簡化集合中最合適之風險因子。</w:t>
      </w:r>
    </w:p>
    <w:p w14:paraId="365244E9" w14:textId="1AAFD273" w:rsidR="00B560F9" w:rsidRPr="00CA1A43" w:rsidRDefault="00B560F9" w:rsidP="008C0E02">
      <w:pPr>
        <w:pStyle w:val="a7"/>
        <w:numPr>
          <w:ilvl w:val="0"/>
          <w:numId w:val="271"/>
        </w:numPr>
        <w:spacing w:beforeLines="50" w:before="180"/>
        <w:ind w:leftChars="0" w:left="964" w:hanging="482"/>
        <w:jc w:val="both"/>
        <w:rPr>
          <w:rFonts w:eastAsia="標楷體" w:cstheme="minorHAnsi"/>
          <w:szCs w:val="24"/>
        </w:rPr>
      </w:pPr>
      <w:r w:rsidRPr="00CA1A43">
        <w:rPr>
          <w:rFonts w:eastAsia="標楷體" w:cstheme="minorHAnsi"/>
          <w:szCs w:val="24"/>
        </w:rPr>
        <w:t>須限制替代變數之使用，並且替代變數應具有與其所代表之交易相似的特性。替代變數必須符合其所代表</w:t>
      </w:r>
      <w:r w:rsidR="009653EE" w:rsidRPr="005C1FCD">
        <w:rPr>
          <w:rFonts w:eastAsia="標楷體" w:cstheme="minorHAnsi"/>
          <w:szCs w:val="24"/>
        </w:rPr>
        <w:t>工具</w:t>
      </w:r>
      <w:r w:rsidRPr="005C1FCD">
        <w:rPr>
          <w:rFonts w:eastAsia="標楷體" w:cstheme="minorHAnsi"/>
          <w:szCs w:val="24"/>
        </w:rPr>
        <w:t>之</w:t>
      </w:r>
      <w:r w:rsidRPr="00CA1A43">
        <w:rPr>
          <w:rFonts w:eastAsia="標楷體" w:cstheme="minorHAnsi"/>
          <w:szCs w:val="24"/>
        </w:rPr>
        <w:t>區域、品質和類型。本會將評估風險因子之組合方式在概念上和實證上是否完備。</w:t>
      </w:r>
    </w:p>
    <w:p w14:paraId="0D2A5EF0" w14:textId="77777777" w:rsidR="00B560F9" w:rsidRPr="00CA1A43" w:rsidRDefault="00B560F9" w:rsidP="008C0E02">
      <w:pPr>
        <w:pStyle w:val="a7"/>
        <w:numPr>
          <w:ilvl w:val="0"/>
          <w:numId w:val="273"/>
        </w:numPr>
        <w:spacing w:beforeLines="50" w:before="180"/>
        <w:ind w:leftChars="0" w:left="1446" w:hanging="482"/>
        <w:jc w:val="both"/>
        <w:rPr>
          <w:rFonts w:eastAsia="標楷體" w:cstheme="minorHAnsi"/>
          <w:szCs w:val="24"/>
        </w:rPr>
      </w:pPr>
      <w:r w:rsidRPr="00CA1A43">
        <w:rPr>
          <w:rFonts w:eastAsia="標楷體" w:cstheme="minorHAnsi"/>
          <w:szCs w:val="24"/>
        </w:rPr>
        <w:t>例如，在多因子模型中使用指數應能捕捉指數所代表資產之相關風險，且證明剩餘的非系統性風險在不同的發行人之間不相關。多因子模型應對資產的價格變動具有顯著的解釋力，且必須提供使用替代變數所導致的最終結果不確定性之評估。多因子模型的係數</w:t>
      </w:r>
      <w:r w:rsidRPr="00CA1A43">
        <w:rPr>
          <w:rFonts w:eastAsia="標楷體" w:cstheme="minorHAnsi"/>
          <w:szCs w:val="24"/>
        </w:rPr>
        <w:t>(betas)</w:t>
      </w:r>
      <w:r w:rsidRPr="00CA1A43">
        <w:rPr>
          <w:rFonts w:eastAsia="標楷體" w:cstheme="minorHAnsi"/>
          <w:szCs w:val="24"/>
        </w:rPr>
        <w:t>須以實證為基礎，並且不得基於判斷來決定，以判斷所決定之係數應被視為不可模型化的風險因子</w:t>
      </w:r>
      <w:r w:rsidRPr="00CA1A43">
        <w:rPr>
          <w:rFonts w:eastAsia="標楷體" w:cstheme="minorHAnsi"/>
          <w:szCs w:val="24"/>
        </w:rPr>
        <w:t>(NMRF)</w:t>
      </w:r>
      <w:r w:rsidRPr="00CA1A43">
        <w:rPr>
          <w:rFonts w:eastAsia="標楷體" w:cstheme="minorHAnsi"/>
          <w:szCs w:val="24"/>
        </w:rPr>
        <w:t>。</w:t>
      </w:r>
    </w:p>
    <w:p w14:paraId="2D88CAD2" w14:textId="77777777" w:rsidR="00B560F9" w:rsidRPr="00CA1A43" w:rsidRDefault="00B560F9" w:rsidP="008C0E02">
      <w:pPr>
        <w:pStyle w:val="a7"/>
        <w:numPr>
          <w:ilvl w:val="0"/>
          <w:numId w:val="273"/>
        </w:numPr>
        <w:spacing w:beforeLines="50" w:before="180"/>
        <w:ind w:leftChars="0" w:left="1446" w:hanging="482"/>
        <w:jc w:val="both"/>
        <w:rPr>
          <w:rFonts w:eastAsia="標楷體" w:cstheme="minorHAnsi"/>
          <w:szCs w:val="24"/>
        </w:rPr>
      </w:pPr>
      <w:r w:rsidRPr="00CA1A43">
        <w:rPr>
          <w:rFonts w:eastAsia="標楷體" w:cstheme="minorHAnsi"/>
          <w:szCs w:val="24"/>
        </w:rPr>
        <w:t>若風險因子由當前期間</w:t>
      </w:r>
      <w:r w:rsidRPr="00CA1A43">
        <w:rPr>
          <w:rFonts w:eastAsia="標楷體" w:cstheme="minorHAnsi"/>
        </w:rPr>
        <w:t>預期短缺</w:t>
      </w:r>
      <w:r w:rsidRPr="00CA1A43">
        <w:rPr>
          <w:rFonts w:eastAsia="標楷體" w:cstheme="minorHAnsi"/>
        </w:rPr>
        <w:t>(</w:t>
      </w:r>
      <w:r w:rsidRPr="00CA1A43">
        <w:rPr>
          <w:rFonts w:eastAsia="標楷體" w:cstheme="minorHAnsi"/>
          <w:szCs w:val="24"/>
        </w:rPr>
        <w:t>ES)</w:t>
      </w:r>
      <w:r w:rsidRPr="00CA1A43">
        <w:rPr>
          <w:rFonts w:eastAsia="標楷體" w:cstheme="minorHAnsi"/>
          <w:szCs w:val="24"/>
        </w:rPr>
        <w:t>模型中的替代變數資料表示，則代表風險因子之替代變數資料</w:t>
      </w:r>
      <w:r w:rsidRPr="00CA1A43">
        <w:rPr>
          <w:rFonts w:eastAsia="標楷體" w:cstheme="minorHAnsi"/>
          <w:szCs w:val="24"/>
        </w:rPr>
        <w:t>-</w:t>
      </w:r>
      <w:r w:rsidRPr="00CA1A43">
        <w:rPr>
          <w:rFonts w:eastAsia="標楷體" w:cstheme="minorHAnsi"/>
          <w:szCs w:val="24"/>
        </w:rPr>
        <w:t>非風險因子本身</w:t>
      </w:r>
      <w:r w:rsidRPr="00CA1A43">
        <w:rPr>
          <w:rFonts w:eastAsia="標楷體" w:cstheme="minorHAnsi"/>
          <w:szCs w:val="24"/>
        </w:rPr>
        <w:t>-</w:t>
      </w:r>
      <w:r w:rsidRPr="00CA1A43">
        <w:rPr>
          <w:rFonts w:eastAsia="標楷體" w:cstheme="minorHAnsi"/>
          <w:szCs w:val="24"/>
        </w:rPr>
        <w:t>須用於風險理論損益</w:t>
      </w:r>
      <w:r w:rsidRPr="00CA1A43">
        <w:rPr>
          <w:rFonts w:eastAsia="標楷體" w:cstheme="minorHAnsi"/>
          <w:szCs w:val="24"/>
        </w:rPr>
        <w:t>(RTPL)</w:t>
      </w:r>
      <w:r w:rsidRPr="00CA1A43">
        <w:rPr>
          <w:rFonts w:eastAsia="標楷體" w:cstheme="minorHAnsi"/>
          <w:szCs w:val="24"/>
        </w:rPr>
        <w:t>中，除非銀行已可辨識替代變數與實際風險因子間</w:t>
      </w:r>
      <w:proofErr w:type="gramStart"/>
      <w:r w:rsidRPr="00CA1A43">
        <w:rPr>
          <w:rFonts w:eastAsia="標楷體" w:cstheme="minorHAnsi"/>
          <w:szCs w:val="24"/>
        </w:rPr>
        <w:t>之基差</w:t>
      </w:r>
      <w:proofErr w:type="gramEnd"/>
      <w:r w:rsidRPr="00CA1A43">
        <w:rPr>
          <w:rFonts w:eastAsia="標楷體" w:cstheme="minorHAnsi"/>
          <w:szCs w:val="24"/>
        </w:rPr>
        <w:t>，並藉由將</w:t>
      </w:r>
      <w:proofErr w:type="gramStart"/>
      <w:r w:rsidRPr="00CA1A43">
        <w:rPr>
          <w:rFonts w:eastAsia="標楷體" w:cstheme="minorHAnsi"/>
          <w:szCs w:val="24"/>
        </w:rPr>
        <w:t>該基差納入</w:t>
      </w:r>
      <w:proofErr w:type="gramEnd"/>
      <w:r w:rsidRPr="00CA1A43">
        <w:rPr>
          <w:rFonts w:eastAsia="標楷體" w:cstheme="minorHAnsi"/>
          <w:szCs w:val="24"/>
        </w:rPr>
        <w:t>預期短缺模型，或</w:t>
      </w:r>
      <w:proofErr w:type="gramStart"/>
      <w:r w:rsidRPr="00CA1A43">
        <w:rPr>
          <w:rFonts w:eastAsia="標楷體" w:cstheme="minorHAnsi"/>
          <w:szCs w:val="24"/>
        </w:rPr>
        <w:t>捕捉基差作為</w:t>
      </w:r>
      <w:proofErr w:type="gramEnd"/>
      <w:r w:rsidRPr="00CA1A43">
        <w:rPr>
          <w:rFonts w:eastAsia="標楷體" w:cstheme="minorHAnsi"/>
          <w:szCs w:val="24"/>
        </w:rPr>
        <w:t>不可模</w:t>
      </w:r>
      <w:r w:rsidRPr="00CA1A43">
        <w:rPr>
          <w:rFonts w:eastAsia="標楷體" w:cstheme="minorHAnsi"/>
          <w:szCs w:val="24"/>
        </w:rPr>
        <w:lastRenderedPageBreak/>
        <w:t>型化的風險因子</w:t>
      </w:r>
      <w:r w:rsidRPr="00CA1A43">
        <w:rPr>
          <w:rFonts w:eastAsia="標楷體" w:cstheme="minorHAnsi"/>
          <w:szCs w:val="24"/>
        </w:rPr>
        <w:t>(NMRF)</w:t>
      </w:r>
      <w:r w:rsidRPr="00CA1A43">
        <w:rPr>
          <w:rFonts w:eastAsia="標楷體" w:cstheme="minorHAnsi"/>
          <w:szCs w:val="24"/>
        </w:rPr>
        <w:t>，正確將</w:t>
      </w:r>
      <w:proofErr w:type="gramStart"/>
      <w:r w:rsidRPr="00CA1A43">
        <w:rPr>
          <w:rFonts w:eastAsia="標楷體" w:cstheme="minorHAnsi"/>
          <w:szCs w:val="24"/>
        </w:rPr>
        <w:t>該基差資本</w:t>
      </w:r>
      <w:proofErr w:type="gramEnd"/>
      <w:r w:rsidRPr="00CA1A43">
        <w:rPr>
          <w:rFonts w:eastAsia="標楷體" w:cstheme="minorHAnsi"/>
          <w:szCs w:val="24"/>
        </w:rPr>
        <w:t>化。為正確計算</w:t>
      </w:r>
      <w:proofErr w:type="gramStart"/>
      <w:r w:rsidRPr="00CA1A43">
        <w:rPr>
          <w:rFonts w:eastAsia="標楷體" w:cstheme="minorHAnsi"/>
          <w:szCs w:val="24"/>
        </w:rPr>
        <w:t>該基差之</w:t>
      </w:r>
      <w:proofErr w:type="gramEnd"/>
      <w:r w:rsidRPr="00CA1A43">
        <w:rPr>
          <w:rFonts w:eastAsia="標楷體" w:cstheme="minorHAnsi"/>
          <w:szCs w:val="24"/>
        </w:rPr>
        <w:t>資本要求，則銀行可以選擇在風險理論損益</w:t>
      </w:r>
      <w:r w:rsidRPr="00CA1A43">
        <w:rPr>
          <w:rFonts w:eastAsia="標楷體" w:cstheme="minorHAnsi"/>
          <w:szCs w:val="24"/>
        </w:rPr>
        <w:t>(RTPL)</w:t>
      </w:r>
      <w:r w:rsidRPr="00CA1A43">
        <w:rPr>
          <w:rFonts w:eastAsia="標楷體" w:cstheme="minorHAnsi"/>
          <w:szCs w:val="24"/>
        </w:rPr>
        <w:t>中包括：</w:t>
      </w:r>
    </w:p>
    <w:p w14:paraId="73D9A584" w14:textId="77777777" w:rsidR="00B560F9" w:rsidRPr="00CA1A43" w:rsidRDefault="00B560F9" w:rsidP="008C0E02">
      <w:pPr>
        <w:pStyle w:val="a7"/>
        <w:numPr>
          <w:ilvl w:val="0"/>
          <w:numId w:val="274"/>
        </w:numPr>
        <w:spacing w:beforeLines="50" w:before="180"/>
        <w:ind w:leftChars="0"/>
        <w:jc w:val="both"/>
        <w:rPr>
          <w:rFonts w:eastAsia="標楷體" w:cstheme="minorHAnsi"/>
          <w:szCs w:val="24"/>
        </w:rPr>
      </w:pPr>
      <w:r w:rsidRPr="00CA1A43">
        <w:rPr>
          <w:rFonts w:eastAsia="標楷體" w:cstheme="minorHAnsi"/>
          <w:szCs w:val="24"/>
        </w:rPr>
        <w:t>替代變數的風險因子及</w:t>
      </w:r>
      <w:proofErr w:type="gramStart"/>
      <w:r w:rsidRPr="00CA1A43">
        <w:rPr>
          <w:rFonts w:eastAsia="標楷體" w:cstheme="minorHAnsi"/>
          <w:szCs w:val="24"/>
        </w:rPr>
        <w:t>其基差</w:t>
      </w:r>
      <w:proofErr w:type="gramEnd"/>
      <w:r w:rsidRPr="00CA1A43">
        <w:rPr>
          <w:rFonts w:eastAsia="標楷體" w:cstheme="minorHAnsi"/>
          <w:szCs w:val="24"/>
        </w:rPr>
        <w:t>；</w:t>
      </w:r>
    </w:p>
    <w:p w14:paraId="7FAFA0E0" w14:textId="77777777" w:rsidR="00B560F9" w:rsidRPr="00CA1A43" w:rsidRDefault="00B560F9" w:rsidP="008C0E02">
      <w:pPr>
        <w:pStyle w:val="a7"/>
        <w:numPr>
          <w:ilvl w:val="0"/>
          <w:numId w:val="274"/>
        </w:numPr>
        <w:spacing w:beforeLines="50" w:before="180"/>
        <w:ind w:leftChars="0"/>
        <w:jc w:val="both"/>
        <w:rPr>
          <w:rFonts w:eastAsia="標楷體" w:cstheme="minorHAnsi"/>
          <w:szCs w:val="24"/>
        </w:rPr>
      </w:pPr>
      <w:r w:rsidRPr="00CA1A43">
        <w:rPr>
          <w:rFonts w:eastAsia="標楷體" w:cstheme="minorHAnsi"/>
          <w:szCs w:val="24"/>
        </w:rPr>
        <w:t>實際風險因子本身。</w:t>
      </w:r>
    </w:p>
    <w:p w14:paraId="0FBBAF2F" w14:textId="77777777" w:rsidR="0002416C" w:rsidRPr="00CA1A43" w:rsidRDefault="00977CB7" w:rsidP="00977CB7">
      <w:pPr>
        <w:pStyle w:val="a7"/>
        <w:numPr>
          <w:ilvl w:val="0"/>
          <w:numId w:val="246"/>
        </w:numPr>
        <w:spacing w:beforeLines="50" w:before="180"/>
        <w:ind w:leftChars="0"/>
        <w:jc w:val="both"/>
        <w:outlineLvl w:val="0"/>
        <w:rPr>
          <w:rFonts w:eastAsia="標楷體" w:cstheme="minorHAnsi"/>
          <w:szCs w:val="24"/>
        </w:rPr>
      </w:pPr>
      <w:bookmarkStart w:id="31" w:name="_Toc67992471"/>
      <w:r w:rsidRPr="00CA1A43">
        <w:rPr>
          <w:rFonts w:eastAsia="標楷體" w:cstheme="minorHAnsi"/>
          <w:szCs w:val="24"/>
        </w:rPr>
        <w:t>損益歸因</w:t>
      </w:r>
      <w:r w:rsidRPr="00CA1A43">
        <w:rPr>
          <w:rFonts w:eastAsia="標楷體" w:cstheme="minorHAnsi"/>
          <w:szCs w:val="24"/>
        </w:rPr>
        <w:t>(PLA)</w:t>
      </w:r>
      <w:r w:rsidRPr="00CA1A43">
        <w:rPr>
          <w:rFonts w:eastAsia="標楷體" w:cstheme="minorHAnsi"/>
          <w:szCs w:val="24"/>
        </w:rPr>
        <w:t>測試及回溯測試損益定義</w:t>
      </w:r>
      <w:bookmarkEnd w:id="31"/>
    </w:p>
    <w:p w14:paraId="2E3C50A7" w14:textId="77777777" w:rsidR="004D5427" w:rsidRPr="00CA1A43" w:rsidRDefault="004D5427" w:rsidP="00B277A4">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szCs w:val="24"/>
        </w:rPr>
        <w:t>風險理論損益</w:t>
      </w:r>
      <w:r w:rsidRPr="00CA1A43">
        <w:rPr>
          <w:rFonts w:eastAsia="標楷體" w:cstheme="minorHAnsi"/>
          <w:szCs w:val="24"/>
        </w:rPr>
        <w:t>(RTPL)</w:t>
      </w:r>
      <w:r w:rsidRPr="00CA1A43">
        <w:rPr>
          <w:rFonts w:eastAsia="標楷體" w:cstheme="minorHAnsi"/>
          <w:szCs w:val="24"/>
        </w:rPr>
        <w:t>：係指由交易台風險管理模型評價所產出之每日交易台層級損益。交易台風險管理模型須包含</w:t>
      </w:r>
      <w:r w:rsidRPr="00CA1A43">
        <w:rPr>
          <w:rFonts w:eastAsia="標楷體" w:cstheme="minorHAnsi"/>
        </w:rPr>
        <w:t>預期短缺</w:t>
      </w:r>
      <w:r w:rsidRPr="00CA1A43">
        <w:rPr>
          <w:rFonts w:eastAsia="標楷體" w:cstheme="minorHAnsi"/>
        </w:rPr>
        <w:t>(</w:t>
      </w:r>
      <w:r w:rsidRPr="00CA1A43">
        <w:rPr>
          <w:rFonts w:eastAsia="標楷體" w:cstheme="minorHAnsi"/>
          <w:szCs w:val="24"/>
        </w:rPr>
        <w:t>ES)</w:t>
      </w:r>
      <w:r w:rsidRPr="00CA1A43">
        <w:rPr>
          <w:rFonts w:eastAsia="標楷體" w:cstheme="minorHAnsi"/>
          <w:szCs w:val="24"/>
        </w:rPr>
        <w:t>模型中所有監管風險因子及無論是否被納入</w:t>
      </w:r>
      <w:r w:rsidRPr="00CA1A43">
        <w:rPr>
          <w:rFonts w:eastAsia="標楷體" w:cstheme="minorHAnsi"/>
        </w:rPr>
        <w:t>預期短缺</w:t>
      </w:r>
      <w:r w:rsidRPr="00CA1A43">
        <w:rPr>
          <w:rFonts w:eastAsia="標楷體" w:cstheme="minorHAnsi"/>
        </w:rPr>
        <w:t>(</w:t>
      </w:r>
      <w:r w:rsidRPr="00CA1A43">
        <w:rPr>
          <w:rFonts w:eastAsia="標楷體" w:cstheme="minorHAnsi"/>
          <w:szCs w:val="24"/>
        </w:rPr>
        <w:t>ES)</w:t>
      </w:r>
      <w:r w:rsidRPr="00CA1A43">
        <w:rPr>
          <w:rFonts w:eastAsia="標楷體" w:cstheme="minorHAnsi"/>
          <w:szCs w:val="24"/>
        </w:rPr>
        <w:t>模型之不可模型化的風險因子</w:t>
      </w:r>
      <w:r w:rsidRPr="00CA1A43">
        <w:rPr>
          <w:rFonts w:eastAsia="標楷體" w:cstheme="minorHAnsi"/>
          <w:szCs w:val="24"/>
        </w:rPr>
        <w:t>(NMRF)</w:t>
      </w:r>
      <w:r w:rsidRPr="00CA1A43">
        <w:rPr>
          <w:rFonts w:eastAsia="標楷體" w:cstheme="minorHAnsi"/>
          <w:szCs w:val="24"/>
        </w:rPr>
        <w:t>。風險理論損益</w:t>
      </w:r>
      <w:r w:rsidRPr="00CA1A43">
        <w:rPr>
          <w:rFonts w:eastAsia="標楷體" w:cstheme="minorHAnsi"/>
          <w:szCs w:val="24"/>
        </w:rPr>
        <w:t>(RTPL)</w:t>
      </w:r>
      <w:r w:rsidRPr="00CA1A43">
        <w:rPr>
          <w:rFonts w:eastAsia="標楷體" w:cstheme="minorHAnsi"/>
          <w:szCs w:val="24"/>
        </w:rPr>
        <w:t>不得納入任何交易台風險管理模型中未包含之風險因子。</w:t>
      </w:r>
    </w:p>
    <w:p w14:paraId="5AEEE172" w14:textId="77777777" w:rsidR="004D5427" w:rsidRPr="00CA1A43" w:rsidRDefault="004D5427" w:rsidP="00B277A4">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szCs w:val="24"/>
        </w:rPr>
        <w:t>假設損益</w:t>
      </w:r>
      <w:r w:rsidRPr="00CA1A43">
        <w:rPr>
          <w:rFonts w:eastAsia="標楷體" w:cstheme="minorHAnsi"/>
          <w:szCs w:val="24"/>
        </w:rPr>
        <w:t>(HPL)</w:t>
      </w:r>
      <w:r w:rsidRPr="00CA1A43">
        <w:rPr>
          <w:rFonts w:eastAsia="標楷體" w:cstheme="minorHAnsi"/>
          <w:szCs w:val="24"/>
        </w:rPr>
        <w:t>：係將前日</w:t>
      </w:r>
      <w:proofErr w:type="gramStart"/>
      <w:r w:rsidRPr="00CA1A43">
        <w:rPr>
          <w:rFonts w:eastAsia="標楷體" w:cstheme="minorHAnsi"/>
          <w:szCs w:val="24"/>
        </w:rPr>
        <w:t>日</w:t>
      </w:r>
      <w:proofErr w:type="gramEnd"/>
      <w:r w:rsidRPr="00CA1A43">
        <w:rPr>
          <w:rFonts w:eastAsia="標楷體" w:cstheme="minorHAnsi"/>
          <w:szCs w:val="24"/>
        </w:rPr>
        <w:t>終部位以當日市場數據重新評價所計算之損益，即假定前日</w:t>
      </w:r>
      <w:proofErr w:type="gramStart"/>
      <w:r w:rsidRPr="00CA1A43">
        <w:rPr>
          <w:rFonts w:eastAsia="標楷體" w:cstheme="minorHAnsi"/>
          <w:szCs w:val="24"/>
        </w:rPr>
        <w:t>日</w:t>
      </w:r>
      <w:proofErr w:type="gramEnd"/>
      <w:r w:rsidRPr="00CA1A43">
        <w:rPr>
          <w:rFonts w:eastAsia="標楷體" w:cstheme="minorHAnsi"/>
          <w:szCs w:val="24"/>
        </w:rPr>
        <w:t>終部位不變下所可能發生的價值變化。相較於實際損益</w:t>
      </w:r>
      <w:r w:rsidRPr="00CA1A43">
        <w:rPr>
          <w:rFonts w:eastAsia="標楷體" w:cstheme="minorHAnsi"/>
          <w:szCs w:val="24"/>
        </w:rPr>
        <w:t>(APL)</w:t>
      </w:r>
      <w:r w:rsidRPr="00CA1A43">
        <w:rPr>
          <w:rFonts w:eastAsia="標楷體" w:cstheme="minorHAnsi"/>
          <w:szCs w:val="24"/>
        </w:rPr>
        <w:t>，假設損益</w:t>
      </w:r>
      <w:r w:rsidRPr="00CA1A43">
        <w:rPr>
          <w:rFonts w:eastAsia="標楷體" w:cstheme="minorHAnsi"/>
          <w:szCs w:val="24"/>
        </w:rPr>
        <w:t>(HPL)</w:t>
      </w:r>
      <w:r w:rsidRPr="00CA1A43">
        <w:rPr>
          <w:rFonts w:eastAsia="標楷體" w:cstheme="minorHAnsi"/>
          <w:szCs w:val="24"/>
        </w:rPr>
        <w:t>不考慮日中交易、新交易或修改交易，但兩者皆需包含銀行簿之外匯部位及商品部位。</w:t>
      </w:r>
    </w:p>
    <w:p w14:paraId="194BB6E5" w14:textId="77777777" w:rsidR="004D5427" w:rsidRPr="00CA1A43" w:rsidRDefault="004D5427" w:rsidP="00B277A4">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szCs w:val="24"/>
        </w:rPr>
        <w:t>交易台風險管理模型中所有風險因子之變動皆須被納入風險理論損益</w:t>
      </w:r>
      <w:r w:rsidRPr="00CA1A43">
        <w:rPr>
          <w:rFonts w:eastAsia="標楷體" w:cstheme="minorHAnsi"/>
          <w:szCs w:val="24"/>
        </w:rPr>
        <w:t>(RTPL)</w:t>
      </w:r>
      <w:r w:rsidRPr="00CA1A43">
        <w:rPr>
          <w:rFonts w:eastAsia="標楷體" w:cstheme="minorHAnsi"/>
          <w:szCs w:val="24"/>
        </w:rPr>
        <w:t>及假設損益</w:t>
      </w:r>
      <w:r w:rsidRPr="00CA1A43">
        <w:rPr>
          <w:rFonts w:eastAsia="標楷體" w:cstheme="minorHAnsi"/>
          <w:szCs w:val="24"/>
        </w:rPr>
        <w:t>(HPL)</w:t>
      </w:r>
      <w:r w:rsidRPr="00CA1A43">
        <w:rPr>
          <w:rFonts w:eastAsia="標楷體" w:cstheme="minorHAnsi"/>
          <w:szCs w:val="24"/>
        </w:rPr>
        <w:t>中，包括內部模型中的預測因子採用額外的殘餘風險</w:t>
      </w:r>
      <w:r w:rsidR="008D2959" w:rsidRPr="00CA1A43">
        <w:rPr>
          <w:rStyle w:val="a5"/>
          <w:rFonts w:eastAsia="標楷體" w:cstheme="minorHAnsi"/>
          <w:szCs w:val="24"/>
        </w:rPr>
        <w:footnoteReference w:id="101"/>
      </w:r>
      <w:r w:rsidRPr="00CA1A43">
        <w:rPr>
          <w:rFonts w:eastAsia="標楷體" w:cstheme="minorHAnsi"/>
          <w:szCs w:val="24"/>
        </w:rPr>
        <w:t>。</w:t>
      </w:r>
    </w:p>
    <w:p w14:paraId="08B438ED" w14:textId="77777777" w:rsidR="00977CB7" w:rsidRPr="00CA1A43" w:rsidRDefault="00977CB7" w:rsidP="00977CB7">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rPr>
        <w:t>損益歸因</w:t>
      </w:r>
      <w:r w:rsidRPr="00CA1A43">
        <w:rPr>
          <w:rFonts w:eastAsia="標楷體" w:cstheme="minorHAnsi"/>
        </w:rPr>
        <w:t>(PLA)</w:t>
      </w:r>
      <w:r w:rsidRPr="00CA1A43">
        <w:rPr>
          <w:rFonts w:eastAsia="標楷體" w:cstheme="minorHAnsi"/>
        </w:rPr>
        <w:t>測試應</w:t>
      </w:r>
      <w:r w:rsidRPr="00CA1A43">
        <w:rPr>
          <w:rFonts w:eastAsia="標楷體" w:cstheme="minorHAnsi"/>
          <w:szCs w:val="24"/>
        </w:rPr>
        <w:t>比較</w:t>
      </w:r>
      <w:r w:rsidRPr="00CA1A43">
        <w:rPr>
          <w:rFonts w:eastAsia="標楷體" w:cstheme="minorHAnsi"/>
        </w:rPr>
        <w:t>交易台之</w:t>
      </w:r>
      <w:r w:rsidRPr="00CA1A43">
        <w:rPr>
          <w:rFonts w:eastAsia="標楷體" w:cstheme="minorHAnsi"/>
          <w:szCs w:val="24"/>
        </w:rPr>
        <w:t>風險理論損益</w:t>
      </w:r>
      <w:r w:rsidRPr="00CA1A43">
        <w:rPr>
          <w:rFonts w:eastAsia="標楷體" w:cstheme="minorHAnsi"/>
          <w:szCs w:val="24"/>
        </w:rPr>
        <w:t>(RTPL)</w:t>
      </w:r>
      <w:r w:rsidRPr="00CA1A43">
        <w:rPr>
          <w:rFonts w:eastAsia="標楷體" w:cstheme="minorHAnsi"/>
        </w:rPr>
        <w:t>與</w:t>
      </w:r>
      <w:r w:rsidRPr="00CA1A43">
        <w:rPr>
          <w:rFonts w:eastAsia="標楷體" w:cstheme="minorHAnsi"/>
          <w:szCs w:val="24"/>
        </w:rPr>
        <w:t>假設損益</w:t>
      </w:r>
      <w:r w:rsidRPr="00CA1A43">
        <w:rPr>
          <w:rFonts w:eastAsia="標楷體" w:cstheme="minorHAnsi"/>
          <w:szCs w:val="24"/>
        </w:rPr>
        <w:t>(HPL)</w:t>
      </w:r>
      <w:r w:rsidRPr="00CA1A43">
        <w:rPr>
          <w:rFonts w:eastAsia="標楷體" w:cstheme="minorHAnsi"/>
        </w:rPr>
        <w:t>，觀察一段適當期間下兩者間是否有顯著程度的關聯性，以確定交易台風險管理模型能納入所有風險因子，並且確定採用之模型評價能捕捉影響損益之重要來源。</w:t>
      </w:r>
    </w:p>
    <w:p w14:paraId="04F88563" w14:textId="77777777" w:rsidR="00DB60FA" w:rsidRPr="00CA1A43" w:rsidRDefault="00977CB7" w:rsidP="00977CB7">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rPr>
        <w:t>損益歸因</w:t>
      </w:r>
      <w:r w:rsidRPr="00CA1A43">
        <w:rPr>
          <w:rFonts w:eastAsia="標楷體" w:cstheme="minorHAnsi"/>
        </w:rPr>
        <w:t>(PLA)</w:t>
      </w:r>
      <w:r w:rsidRPr="00CA1A43">
        <w:rPr>
          <w:rFonts w:eastAsia="標楷體" w:cstheme="minorHAnsi"/>
          <w:szCs w:val="24"/>
        </w:rPr>
        <w:t>測試應與回溯</w:t>
      </w:r>
      <w:r w:rsidRPr="00CA1A43">
        <w:rPr>
          <w:rFonts w:eastAsia="標楷體" w:cstheme="minorHAnsi"/>
        </w:rPr>
        <w:t>測試</w:t>
      </w:r>
      <w:r w:rsidRPr="00CA1A43">
        <w:rPr>
          <w:rFonts w:eastAsia="標楷體" w:cstheme="minorHAnsi"/>
          <w:szCs w:val="24"/>
        </w:rPr>
        <w:t>採用相同之假設損益</w:t>
      </w:r>
      <w:r w:rsidRPr="00CA1A43">
        <w:rPr>
          <w:rFonts w:eastAsia="標楷體" w:cstheme="minorHAnsi"/>
          <w:szCs w:val="24"/>
        </w:rPr>
        <w:t>(HPL)</w:t>
      </w:r>
      <w:r w:rsidRPr="00CA1A43">
        <w:rPr>
          <w:rFonts w:eastAsia="標楷體" w:cstheme="minorHAnsi"/>
          <w:szCs w:val="24"/>
        </w:rPr>
        <w:t>。</w:t>
      </w:r>
    </w:p>
    <w:p w14:paraId="4D21DDA9" w14:textId="77777777" w:rsidR="00977CB7" w:rsidRPr="00CA1A43" w:rsidRDefault="00977CB7" w:rsidP="00977CB7">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szCs w:val="24"/>
        </w:rPr>
        <w:t>實際</w:t>
      </w:r>
      <w:r w:rsidRPr="00CA1A43">
        <w:rPr>
          <w:rFonts w:eastAsia="標楷體" w:cstheme="minorHAnsi"/>
        </w:rPr>
        <w:t>損益</w:t>
      </w:r>
      <w:r w:rsidRPr="00CA1A43">
        <w:rPr>
          <w:rFonts w:eastAsia="標楷體" w:cstheme="minorHAnsi"/>
          <w:szCs w:val="24"/>
        </w:rPr>
        <w:t>(APL)</w:t>
      </w:r>
      <w:r w:rsidRPr="00CA1A43">
        <w:rPr>
          <w:rFonts w:eastAsia="標楷體" w:cstheme="minorHAnsi"/>
          <w:szCs w:val="24"/>
        </w:rPr>
        <w:t>與假設損益</w:t>
      </w:r>
      <w:r w:rsidRPr="00CA1A43">
        <w:rPr>
          <w:rFonts w:eastAsia="標楷體" w:cstheme="minorHAnsi"/>
          <w:szCs w:val="24"/>
        </w:rPr>
        <w:t>(HPL)</w:t>
      </w:r>
      <w:r w:rsidRPr="00CA1A43">
        <w:rPr>
          <w:rFonts w:eastAsia="標楷體" w:cstheme="minorHAnsi"/>
          <w:szCs w:val="24"/>
        </w:rPr>
        <w:t>須排除費用、佣金、已採用其他法定資本計提方法之評價調整數</w:t>
      </w:r>
      <w:r w:rsidRPr="00CA1A43">
        <w:rPr>
          <w:rFonts w:eastAsia="標楷體" w:cstheme="minorHAnsi"/>
          <w:szCs w:val="24"/>
        </w:rPr>
        <w:t>(</w:t>
      </w:r>
      <w:r w:rsidRPr="00CA1A43">
        <w:rPr>
          <w:rFonts w:eastAsia="標楷體" w:cstheme="minorHAnsi"/>
          <w:szCs w:val="24"/>
        </w:rPr>
        <w:t>如</w:t>
      </w:r>
      <w:r w:rsidRPr="00CA1A43">
        <w:rPr>
          <w:rFonts w:eastAsia="標楷體" w:cstheme="minorHAnsi"/>
          <w:szCs w:val="24"/>
        </w:rPr>
        <w:t>CVA</w:t>
      </w:r>
      <w:r w:rsidRPr="00CA1A43">
        <w:rPr>
          <w:rFonts w:eastAsia="標楷體" w:cstheme="minorHAnsi"/>
          <w:szCs w:val="24"/>
        </w:rPr>
        <w:t>及其相關的合格避險等</w:t>
      </w:r>
      <w:r w:rsidRPr="00CA1A43">
        <w:rPr>
          <w:rFonts w:eastAsia="標楷體" w:cstheme="minorHAnsi"/>
          <w:szCs w:val="24"/>
        </w:rPr>
        <w:t>)</w:t>
      </w:r>
      <w:r w:rsidRPr="00CA1A43">
        <w:rPr>
          <w:rFonts w:eastAsia="標楷體" w:cstheme="minorHAnsi"/>
          <w:szCs w:val="24"/>
        </w:rPr>
        <w:t>、及可從普通股權益第一類資本中扣除的評價調整數</w:t>
      </w:r>
      <w:r w:rsidRPr="00CA1A43">
        <w:rPr>
          <w:rFonts w:eastAsia="標楷體" w:cstheme="minorHAnsi"/>
          <w:szCs w:val="24"/>
        </w:rPr>
        <w:t>(</w:t>
      </w:r>
      <w:r w:rsidRPr="00CA1A43">
        <w:rPr>
          <w:rFonts w:eastAsia="標楷體" w:cstheme="minorHAnsi"/>
          <w:szCs w:val="24"/>
        </w:rPr>
        <w:t>如</w:t>
      </w:r>
      <w:r w:rsidRPr="00CA1A43">
        <w:rPr>
          <w:rFonts w:eastAsia="標楷體" w:cstheme="minorHAnsi"/>
          <w:szCs w:val="24"/>
        </w:rPr>
        <w:t>DVA</w:t>
      </w:r>
      <w:r w:rsidRPr="00CA1A43">
        <w:rPr>
          <w:rFonts w:eastAsia="標楷體" w:cstheme="minorHAnsi"/>
          <w:szCs w:val="24"/>
        </w:rPr>
        <w:t>對公允價值之影響等</w:t>
      </w:r>
      <w:r w:rsidRPr="00CA1A43">
        <w:rPr>
          <w:rFonts w:eastAsia="標楷體" w:cstheme="minorHAnsi"/>
          <w:szCs w:val="24"/>
        </w:rPr>
        <w:t>)</w:t>
      </w:r>
      <w:r w:rsidRPr="00CA1A43">
        <w:rPr>
          <w:rFonts w:eastAsia="標楷體" w:cstheme="minorHAnsi"/>
          <w:szCs w:val="24"/>
        </w:rPr>
        <w:t>。且兩者皆須使用與產製每日損益報告相同的評價模型</w:t>
      </w:r>
      <w:r w:rsidRPr="00CA1A43">
        <w:rPr>
          <w:rFonts w:eastAsia="標楷體" w:cstheme="minorHAnsi"/>
          <w:szCs w:val="24"/>
        </w:rPr>
        <w:t>(</w:t>
      </w:r>
      <w:r w:rsidRPr="00CA1A43">
        <w:rPr>
          <w:rFonts w:eastAsia="標楷體" w:cstheme="minorHAnsi"/>
          <w:szCs w:val="24"/>
        </w:rPr>
        <w:t>如相同的評價公式、評價參數、模型參數、市場數據和系統</w:t>
      </w:r>
      <w:r w:rsidRPr="00CA1A43">
        <w:rPr>
          <w:rFonts w:eastAsia="標楷體" w:cstheme="minorHAnsi"/>
          <w:szCs w:val="24"/>
        </w:rPr>
        <w:t>)</w:t>
      </w:r>
      <w:r w:rsidRPr="00CA1A43">
        <w:rPr>
          <w:rFonts w:eastAsia="標楷體" w:cstheme="minorHAnsi"/>
          <w:szCs w:val="24"/>
        </w:rPr>
        <w:t>。</w:t>
      </w:r>
    </w:p>
    <w:p w14:paraId="27418D2A" w14:textId="77777777" w:rsidR="00977CB7" w:rsidRPr="00CA1A43" w:rsidRDefault="00977CB7" w:rsidP="00977CB7">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szCs w:val="24"/>
        </w:rPr>
        <w:t>實際損益</w:t>
      </w:r>
      <w:r w:rsidRPr="00CA1A43">
        <w:rPr>
          <w:rFonts w:eastAsia="標楷體" w:cstheme="minorHAnsi"/>
          <w:szCs w:val="24"/>
        </w:rPr>
        <w:t>(APL)</w:t>
      </w:r>
      <w:r w:rsidRPr="00CA1A43">
        <w:rPr>
          <w:rFonts w:eastAsia="標楷體" w:cstheme="minorHAnsi"/>
          <w:szCs w:val="24"/>
        </w:rPr>
        <w:t>必須包含其他與市場風險相關的所有評價調整。而假設損</w:t>
      </w:r>
      <w:r w:rsidRPr="00CA1A43">
        <w:rPr>
          <w:rFonts w:eastAsia="標楷體" w:cstheme="minorHAnsi"/>
          <w:szCs w:val="24"/>
        </w:rPr>
        <w:lastRenderedPageBreak/>
        <w:t>益</w:t>
      </w:r>
      <w:r w:rsidRPr="00CA1A43">
        <w:rPr>
          <w:rFonts w:eastAsia="標楷體" w:cstheme="minorHAnsi"/>
          <w:szCs w:val="24"/>
        </w:rPr>
        <w:t>(HPL)</w:t>
      </w:r>
      <w:r w:rsidRPr="00CA1A43">
        <w:rPr>
          <w:rFonts w:eastAsia="標楷體" w:cstheme="minorHAnsi"/>
          <w:szCs w:val="24"/>
        </w:rPr>
        <w:t>僅必須包含每日更新的評價調整，除經本會許可，方可將評價調整排除在假設損益</w:t>
      </w:r>
      <w:r w:rsidRPr="00CA1A43">
        <w:rPr>
          <w:rFonts w:eastAsia="標楷體" w:cstheme="minorHAnsi"/>
          <w:szCs w:val="24"/>
        </w:rPr>
        <w:t>(HPL)</w:t>
      </w:r>
      <w:r w:rsidRPr="00CA1A43">
        <w:rPr>
          <w:rFonts w:eastAsia="標楷體" w:cstheme="minorHAnsi"/>
          <w:szCs w:val="24"/>
        </w:rPr>
        <w:t>之外。</w:t>
      </w:r>
    </w:p>
    <w:p w14:paraId="18D145E6" w14:textId="77777777" w:rsidR="00977CB7" w:rsidRPr="00CA1A43" w:rsidRDefault="00977CB7" w:rsidP="00977CB7">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szCs w:val="24"/>
        </w:rPr>
        <w:t>銀行不得執行非每日之評價調整平滑化處理。若因時間推移所造成之損益</w:t>
      </w:r>
      <w:r w:rsidRPr="00CA1A43">
        <w:rPr>
          <w:rFonts w:eastAsia="標楷體" w:cstheme="minorHAnsi"/>
          <w:szCs w:val="24"/>
        </w:rPr>
        <w:t>(</w:t>
      </w:r>
      <w:r w:rsidRPr="00CA1A43">
        <w:rPr>
          <w:rFonts w:eastAsia="標楷體" w:cstheme="minorHAnsi"/>
          <w:szCs w:val="24"/>
        </w:rPr>
        <w:t>如</w:t>
      </w:r>
      <w:r w:rsidRPr="00CA1A43">
        <w:rPr>
          <w:rFonts w:eastAsia="標楷體" w:cstheme="minorHAnsi"/>
          <w:szCs w:val="24"/>
        </w:rPr>
        <w:t>Theta</w:t>
      </w:r>
      <w:r w:rsidRPr="00CA1A43">
        <w:rPr>
          <w:rFonts w:eastAsia="標楷體" w:cstheme="minorHAnsi"/>
          <w:szCs w:val="24"/>
        </w:rPr>
        <w:t>效應、資金成本或收益等</w:t>
      </w:r>
      <w:r w:rsidRPr="00CA1A43">
        <w:rPr>
          <w:rFonts w:eastAsia="標楷體" w:cstheme="minorHAnsi"/>
          <w:szCs w:val="24"/>
        </w:rPr>
        <w:t>)</w:t>
      </w:r>
      <w:r w:rsidRPr="00CA1A43">
        <w:rPr>
          <w:rFonts w:eastAsia="標楷體" w:cstheme="minorHAnsi"/>
          <w:szCs w:val="24"/>
        </w:rPr>
        <w:t>應包含在實際損益</w:t>
      </w:r>
      <w:r w:rsidRPr="00CA1A43">
        <w:rPr>
          <w:rFonts w:eastAsia="標楷體" w:cstheme="minorHAnsi"/>
          <w:szCs w:val="24"/>
        </w:rPr>
        <w:t>(APL)</w:t>
      </w:r>
      <w:r w:rsidRPr="00CA1A43">
        <w:rPr>
          <w:rFonts w:eastAsia="標楷體" w:cstheme="minorHAnsi"/>
          <w:szCs w:val="24"/>
        </w:rPr>
        <w:t>中，並在假設損益</w:t>
      </w:r>
      <w:r w:rsidRPr="00CA1A43">
        <w:rPr>
          <w:rFonts w:eastAsia="標楷體" w:cstheme="minorHAnsi"/>
          <w:szCs w:val="24"/>
        </w:rPr>
        <w:t>(HPL)</w:t>
      </w:r>
      <w:r w:rsidRPr="00CA1A43">
        <w:rPr>
          <w:rFonts w:eastAsia="標楷體" w:cstheme="minorHAnsi"/>
          <w:szCs w:val="24"/>
        </w:rPr>
        <w:t>及風險理論損益</w:t>
      </w:r>
      <w:r w:rsidRPr="00CA1A43">
        <w:rPr>
          <w:rFonts w:eastAsia="標楷體" w:cstheme="minorHAnsi"/>
          <w:szCs w:val="24"/>
        </w:rPr>
        <w:t>(RTPL)</w:t>
      </w:r>
      <w:r w:rsidRPr="00CA1A43">
        <w:rPr>
          <w:rFonts w:eastAsia="標楷體" w:cstheme="minorHAnsi"/>
          <w:szCs w:val="24"/>
        </w:rPr>
        <w:t>中有一致的處理方式。</w:t>
      </w:r>
    </w:p>
    <w:p w14:paraId="2F734087" w14:textId="77777777" w:rsidR="00DB60FA" w:rsidRPr="00CA1A43" w:rsidRDefault="00977CB7" w:rsidP="00DB60FA">
      <w:pPr>
        <w:pStyle w:val="a7"/>
        <w:numPr>
          <w:ilvl w:val="0"/>
          <w:numId w:val="275"/>
        </w:numPr>
        <w:spacing w:beforeLines="50" w:before="180"/>
        <w:ind w:leftChars="0" w:left="737" w:hanging="737"/>
        <w:jc w:val="both"/>
        <w:rPr>
          <w:rFonts w:eastAsia="標楷體" w:cstheme="minorHAnsi"/>
          <w:szCs w:val="24"/>
        </w:rPr>
      </w:pPr>
      <w:r w:rsidRPr="00CA1A43">
        <w:rPr>
          <w:rFonts w:eastAsia="標楷體" w:cstheme="minorHAnsi"/>
          <w:szCs w:val="24"/>
        </w:rPr>
        <w:t>無法計算至交易台層級之評價調整可不納入交易台層級之回溯測試中，唯仍應被包含於全行層級之回溯測試。且銀行必須對無法在交易台層級計算的評價調整留存證明佐證文件。</w:t>
      </w:r>
    </w:p>
    <w:p w14:paraId="737F48D1" w14:textId="77777777" w:rsidR="004D5427" w:rsidRPr="00CA1A43" w:rsidRDefault="004D5427" w:rsidP="009A30CD">
      <w:pPr>
        <w:pStyle w:val="a7"/>
        <w:numPr>
          <w:ilvl w:val="0"/>
          <w:numId w:val="246"/>
        </w:numPr>
        <w:spacing w:beforeLines="50" w:before="180"/>
        <w:ind w:leftChars="0" w:left="737" w:hanging="737"/>
        <w:jc w:val="both"/>
        <w:outlineLvl w:val="0"/>
        <w:rPr>
          <w:rFonts w:eastAsia="標楷體" w:cstheme="minorHAnsi"/>
          <w:szCs w:val="24"/>
        </w:rPr>
      </w:pPr>
      <w:bookmarkStart w:id="32" w:name="_Toc67992472"/>
      <w:r w:rsidRPr="00CA1A43">
        <w:rPr>
          <w:rFonts w:eastAsia="標楷體" w:cstheme="minorHAnsi"/>
        </w:rPr>
        <w:t>回溯測試及</w:t>
      </w:r>
      <w:r w:rsidRPr="00CA1A43">
        <w:rPr>
          <w:rFonts w:eastAsia="標楷體" w:cstheme="minorHAnsi"/>
          <w:szCs w:val="24"/>
        </w:rPr>
        <w:t>損益</w:t>
      </w:r>
      <w:r w:rsidRPr="00CA1A43">
        <w:rPr>
          <w:rFonts w:eastAsia="標楷體" w:cstheme="minorHAnsi"/>
        </w:rPr>
        <w:t>歸因測試之要求</w:t>
      </w:r>
      <w:bookmarkEnd w:id="32"/>
    </w:p>
    <w:p w14:paraId="75196898" w14:textId="77777777" w:rsidR="0002416C" w:rsidRPr="00CA1A43" w:rsidRDefault="0002416C" w:rsidP="005066C2">
      <w:pPr>
        <w:pStyle w:val="a7"/>
        <w:numPr>
          <w:ilvl w:val="0"/>
          <w:numId w:val="283"/>
        </w:numPr>
        <w:spacing w:beforeLines="50" w:before="180"/>
        <w:ind w:leftChars="0" w:left="737" w:hanging="737"/>
        <w:jc w:val="both"/>
        <w:rPr>
          <w:rFonts w:eastAsia="標楷體" w:cstheme="minorHAnsi"/>
        </w:rPr>
      </w:pPr>
      <w:r w:rsidRPr="00CA1A43">
        <w:rPr>
          <w:rFonts w:eastAsia="標楷體" w:cstheme="minorHAnsi"/>
        </w:rPr>
        <w:t>使用內部模型法</w:t>
      </w:r>
      <w:r w:rsidRPr="00CA1A43">
        <w:rPr>
          <w:rFonts w:eastAsia="標楷體" w:cstheme="minorHAnsi"/>
        </w:rPr>
        <w:t>(IMA)</w:t>
      </w:r>
      <w:r w:rsidRPr="00CA1A43">
        <w:rPr>
          <w:rFonts w:eastAsia="標楷體" w:cstheme="minorHAnsi"/>
        </w:rPr>
        <w:t>來決定交易台市場風險資本要求的銀行，必須以全行層級成功通過回溯測試，並同時符合交易台層級之回溯測試及損益歸因</w:t>
      </w:r>
      <w:r w:rsidRPr="00CA1A43">
        <w:rPr>
          <w:rFonts w:eastAsia="標楷體" w:cstheme="minorHAnsi"/>
        </w:rPr>
        <w:t>(PLA)</w:t>
      </w:r>
      <w:r w:rsidRPr="00CA1A43">
        <w:rPr>
          <w:rFonts w:eastAsia="標楷體" w:cstheme="minorHAnsi"/>
        </w:rPr>
        <w:t>測試。</w:t>
      </w:r>
    </w:p>
    <w:p w14:paraId="6ACE73FF" w14:textId="77777777" w:rsidR="0002416C" w:rsidRPr="00CA1A43" w:rsidRDefault="0002416C" w:rsidP="005066C2">
      <w:pPr>
        <w:pStyle w:val="a7"/>
        <w:numPr>
          <w:ilvl w:val="0"/>
          <w:numId w:val="283"/>
        </w:numPr>
        <w:spacing w:beforeLines="50" w:before="180"/>
        <w:ind w:leftChars="0" w:left="737" w:hanging="737"/>
        <w:jc w:val="both"/>
        <w:rPr>
          <w:rFonts w:eastAsia="標楷體" w:cstheme="minorHAnsi"/>
        </w:rPr>
      </w:pPr>
      <w:r w:rsidRPr="00CA1A43">
        <w:rPr>
          <w:rFonts w:eastAsia="標楷體" w:cstheme="minorHAnsi"/>
        </w:rPr>
        <w:t>銀行必須每季評估整體市場風險資本要求中至少有</w:t>
      </w:r>
      <w:r w:rsidRPr="00CA1A43">
        <w:rPr>
          <w:rFonts w:eastAsia="標楷體" w:cstheme="minorHAnsi"/>
        </w:rPr>
        <w:t>10%</w:t>
      </w:r>
      <w:r w:rsidRPr="00CA1A43">
        <w:rPr>
          <w:rFonts w:eastAsia="標楷體" w:cstheme="minorHAnsi"/>
        </w:rPr>
        <w:t>是來自可合格使用銀行內部模型計算市場風險資本要求之交易台持有部位，才可繼續使用內部模型法計算市場風險資本要求。</w:t>
      </w:r>
    </w:p>
    <w:p w14:paraId="0D44E351" w14:textId="77777777" w:rsidR="0002416C" w:rsidRPr="00CA1A43" w:rsidRDefault="0002416C" w:rsidP="005066C2">
      <w:pPr>
        <w:pStyle w:val="a7"/>
        <w:numPr>
          <w:ilvl w:val="0"/>
          <w:numId w:val="283"/>
        </w:numPr>
        <w:spacing w:beforeLines="50" w:before="180"/>
        <w:ind w:leftChars="0" w:left="737" w:hanging="737"/>
        <w:jc w:val="both"/>
        <w:rPr>
          <w:rFonts w:eastAsia="標楷體" w:cstheme="minorHAnsi"/>
          <w:szCs w:val="24"/>
        </w:rPr>
      </w:pPr>
      <w:r w:rsidRPr="00CA1A43">
        <w:rPr>
          <w:rFonts w:eastAsia="標楷體" w:cstheme="minorHAnsi"/>
        </w:rPr>
        <w:t>回溯測試程序及損益歸因</w:t>
      </w:r>
      <w:r w:rsidRPr="00CA1A43">
        <w:rPr>
          <w:rFonts w:eastAsia="標楷體" w:cstheme="minorHAnsi"/>
        </w:rPr>
        <w:t>(PLA)</w:t>
      </w:r>
      <w:r w:rsidRPr="00CA1A43">
        <w:rPr>
          <w:rFonts w:eastAsia="標楷體" w:cstheme="minorHAnsi"/>
        </w:rPr>
        <w:t>測試之實施，必須在內部模型資本要求生效日開始。</w:t>
      </w:r>
    </w:p>
    <w:p w14:paraId="26D160A3" w14:textId="77777777" w:rsidR="0002416C" w:rsidRPr="00CA1A43" w:rsidRDefault="0002416C" w:rsidP="008C0E02">
      <w:pPr>
        <w:pStyle w:val="a7"/>
        <w:numPr>
          <w:ilvl w:val="0"/>
          <w:numId w:val="276"/>
        </w:numPr>
        <w:spacing w:beforeLines="50" w:before="180"/>
        <w:ind w:leftChars="0" w:left="964" w:hanging="482"/>
        <w:jc w:val="both"/>
        <w:rPr>
          <w:rFonts w:eastAsia="標楷體" w:cstheme="minorHAnsi"/>
          <w:szCs w:val="24"/>
        </w:rPr>
      </w:pPr>
      <w:r w:rsidRPr="00CA1A43">
        <w:rPr>
          <w:rFonts w:eastAsia="標楷體" w:cstheme="minorHAnsi"/>
          <w:szCs w:val="24"/>
        </w:rPr>
        <w:t>銀行必須提供為期一年的回溯測試及</w:t>
      </w:r>
      <w:r w:rsidRPr="00CA1A43">
        <w:rPr>
          <w:rFonts w:eastAsia="標楷體" w:cstheme="minorHAnsi"/>
        </w:rPr>
        <w:t>損益歸因</w:t>
      </w:r>
      <w:r w:rsidRPr="00CA1A43">
        <w:rPr>
          <w:rFonts w:eastAsia="標楷體" w:cstheme="minorHAnsi"/>
        </w:rPr>
        <w:t>(PLA)</w:t>
      </w:r>
      <w:r w:rsidRPr="00CA1A43">
        <w:rPr>
          <w:rFonts w:eastAsia="標楷體" w:cstheme="minorHAnsi"/>
          <w:szCs w:val="24"/>
        </w:rPr>
        <w:t>測試報告給予本會，以確認模型之品質。</w:t>
      </w:r>
    </w:p>
    <w:p w14:paraId="49750842" w14:textId="77777777" w:rsidR="0002416C" w:rsidRPr="00CA1A43" w:rsidRDefault="0002416C" w:rsidP="008C0E02">
      <w:pPr>
        <w:pStyle w:val="a7"/>
        <w:numPr>
          <w:ilvl w:val="0"/>
          <w:numId w:val="276"/>
        </w:numPr>
        <w:spacing w:beforeLines="50" w:before="180"/>
        <w:ind w:leftChars="0" w:left="964" w:hanging="482"/>
        <w:jc w:val="both"/>
        <w:rPr>
          <w:rFonts w:eastAsia="標楷體" w:cstheme="minorHAnsi"/>
          <w:szCs w:val="24"/>
        </w:rPr>
      </w:pPr>
      <w:r w:rsidRPr="00CA1A43">
        <w:rPr>
          <w:rFonts w:eastAsia="標楷體" w:cstheme="minorHAnsi"/>
          <w:szCs w:val="24"/>
        </w:rPr>
        <w:t>本會可視情況要求銀行之回溯測試和</w:t>
      </w:r>
      <w:r w:rsidRPr="00CA1A43">
        <w:rPr>
          <w:rFonts w:eastAsia="標楷體" w:cstheme="minorHAnsi"/>
        </w:rPr>
        <w:t>損益歸因</w:t>
      </w:r>
      <w:r w:rsidRPr="00CA1A43">
        <w:rPr>
          <w:rFonts w:eastAsia="標楷體" w:cstheme="minorHAnsi"/>
        </w:rPr>
        <w:t>(PLA)</w:t>
      </w:r>
      <w:r w:rsidRPr="00CA1A43">
        <w:rPr>
          <w:rFonts w:eastAsia="標楷體" w:cstheme="minorHAnsi"/>
          <w:szCs w:val="24"/>
        </w:rPr>
        <w:t>測試結果需早於內部模型資本要求生效日。</w:t>
      </w:r>
    </w:p>
    <w:p w14:paraId="29CAAAEA" w14:textId="77777777" w:rsidR="0002416C" w:rsidRPr="00CA1A43" w:rsidRDefault="0002416C" w:rsidP="008C0E02">
      <w:pPr>
        <w:pStyle w:val="a7"/>
        <w:numPr>
          <w:ilvl w:val="0"/>
          <w:numId w:val="276"/>
        </w:numPr>
        <w:spacing w:beforeLines="50" w:before="180"/>
        <w:ind w:leftChars="0" w:left="964" w:hanging="482"/>
        <w:jc w:val="both"/>
        <w:rPr>
          <w:rFonts w:eastAsia="標楷體" w:cstheme="minorHAnsi"/>
          <w:szCs w:val="24"/>
        </w:rPr>
      </w:pPr>
      <w:r w:rsidRPr="00CA1A43">
        <w:rPr>
          <w:rFonts w:eastAsia="標楷體" w:cstheme="minorHAnsi"/>
          <w:szCs w:val="24"/>
        </w:rPr>
        <w:t>本會將根據銀行內部模型之回溯測試結果，在</w:t>
      </w:r>
      <w:r w:rsidRPr="00CA1A43">
        <w:rPr>
          <w:rFonts w:eastAsia="標楷體" w:cstheme="minorHAnsi"/>
          <w:szCs w:val="24"/>
        </w:rPr>
        <w:t>250</w:t>
      </w:r>
      <w:r w:rsidRPr="00CA1A43">
        <w:rPr>
          <w:rFonts w:eastAsia="標楷體" w:cstheme="minorHAnsi"/>
          <w:szCs w:val="24"/>
        </w:rPr>
        <w:t>個交易日期間產生的穿透次數採取必要監理措施，如下：</w:t>
      </w:r>
      <w:r w:rsidRPr="00CA1A43">
        <w:rPr>
          <w:rFonts w:eastAsia="標楷體" w:cstheme="minorHAnsi"/>
          <w:szCs w:val="24"/>
        </w:rPr>
        <w:t xml:space="preserve"> </w:t>
      </w:r>
    </w:p>
    <w:p w14:paraId="5F0B8BCD" w14:textId="77777777" w:rsidR="0002416C" w:rsidRPr="00CA1A43" w:rsidRDefault="0002416C" w:rsidP="008C0E02">
      <w:pPr>
        <w:pStyle w:val="a7"/>
        <w:numPr>
          <w:ilvl w:val="0"/>
          <w:numId w:val="277"/>
        </w:numPr>
        <w:spacing w:beforeLines="50" w:before="180"/>
        <w:ind w:leftChars="0" w:left="1446" w:hanging="482"/>
        <w:jc w:val="both"/>
        <w:rPr>
          <w:rFonts w:eastAsia="標楷體" w:cstheme="minorHAnsi"/>
          <w:szCs w:val="24"/>
        </w:rPr>
      </w:pPr>
      <w:r w:rsidRPr="00CA1A43">
        <w:rPr>
          <w:rFonts w:eastAsia="標楷體" w:cstheme="minorHAnsi"/>
          <w:szCs w:val="24"/>
        </w:rPr>
        <w:t>根據例外情況的重要性評估，本會將要求銀行提供佐證文件，以確定銀行模型是否存在問題。</w:t>
      </w:r>
    </w:p>
    <w:p w14:paraId="58FF2B89" w14:textId="77777777" w:rsidR="0002416C" w:rsidRPr="00CA1A43" w:rsidRDefault="0002416C" w:rsidP="008C0E02">
      <w:pPr>
        <w:pStyle w:val="a7"/>
        <w:numPr>
          <w:ilvl w:val="0"/>
          <w:numId w:val="277"/>
        </w:numPr>
        <w:spacing w:beforeLines="50" w:before="180"/>
        <w:ind w:leftChars="0" w:left="1446" w:hanging="482"/>
        <w:jc w:val="both"/>
        <w:rPr>
          <w:rFonts w:eastAsia="標楷體" w:cstheme="minorHAnsi"/>
          <w:szCs w:val="24"/>
        </w:rPr>
      </w:pPr>
      <w:r w:rsidRPr="00CA1A43">
        <w:rPr>
          <w:rFonts w:eastAsia="標楷體" w:cstheme="minorHAnsi"/>
          <w:szCs w:val="24"/>
        </w:rPr>
        <w:t>在最嚴重的情況下，本會將額外增加銀行的資本要求或不允許使用該模型。</w:t>
      </w:r>
    </w:p>
    <w:p w14:paraId="50360E78" w14:textId="77777777" w:rsidR="0002416C" w:rsidRPr="00CA1A43" w:rsidRDefault="0002416C" w:rsidP="005066C2">
      <w:pPr>
        <w:pStyle w:val="a7"/>
        <w:numPr>
          <w:ilvl w:val="0"/>
          <w:numId w:val="283"/>
        </w:numPr>
        <w:spacing w:beforeLines="50" w:before="180"/>
        <w:ind w:leftChars="0" w:left="737" w:hanging="737"/>
        <w:jc w:val="both"/>
        <w:rPr>
          <w:rFonts w:eastAsia="標楷體" w:cstheme="minorHAnsi"/>
        </w:rPr>
      </w:pPr>
      <w:r w:rsidRPr="00CA1A43">
        <w:rPr>
          <w:rFonts w:eastAsia="標楷體" w:cstheme="minorHAnsi"/>
        </w:rPr>
        <w:t>回溯測試要求</w:t>
      </w:r>
    </w:p>
    <w:p w14:paraId="44D5FA6B" w14:textId="77777777" w:rsidR="0002416C" w:rsidRPr="00CA1A43" w:rsidRDefault="0002416C" w:rsidP="008C0E02">
      <w:pPr>
        <w:pStyle w:val="a7"/>
        <w:numPr>
          <w:ilvl w:val="0"/>
          <w:numId w:val="278"/>
        </w:numPr>
        <w:spacing w:beforeLines="50" w:before="180"/>
        <w:ind w:leftChars="0" w:left="964" w:hanging="482"/>
        <w:jc w:val="both"/>
        <w:rPr>
          <w:rFonts w:eastAsia="標楷體" w:cstheme="minorHAnsi"/>
        </w:rPr>
      </w:pPr>
      <w:r w:rsidRPr="00CA1A43">
        <w:rPr>
          <w:rFonts w:eastAsia="標楷體" w:cstheme="minorHAnsi"/>
        </w:rPr>
        <w:t>回溯測試係要求將持有期間為一日之風險值</w:t>
      </w:r>
      <w:r w:rsidRPr="00CA1A43">
        <w:rPr>
          <w:rFonts w:eastAsia="標楷體" w:cstheme="minorHAnsi"/>
        </w:rPr>
        <w:t>(</w:t>
      </w:r>
      <w:proofErr w:type="spellStart"/>
      <w:r w:rsidRPr="00CA1A43">
        <w:rPr>
          <w:rFonts w:eastAsia="標楷體" w:cstheme="minorHAnsi"/>
        </w:rPr>
        <w:t>VaR</w:t>
      </w:r>
      <w:proofErr w:type="spellEnd"/>
      <w:r w:rsidRPr="00CA1A43">
        <w:rPr>
          <w:rFonts w:eastAsia="標楷體" w:cstheme="minorHAnsi"/>
        </w:rPr>
        <w:t>)</w:t>
      </w:r>
      <w:r w:rsidRPr="00CA1A43">
        <w:rPr>
          <w:rFonts w:eastAsia="標楷體" w:cstheme="minorHAnsi"/>
        </w:rPr>
        <w:t>與近</w:t>
      </w:r>
      <w:r w:rsidRPr="00CA1A43">
        <w:rPr>
          <w:rFonts w:eastAsia="標楷體" w:cstheme="minorHAnsi"/>
        </w:rPr>
        <w:t>250</w:t>
      </w:r>
      <w:r w:rsidRPr="00CA1A43">
        <w:rPr>
          <w:rFonts w:eastAsia="標楷體" w:cstheme="minorHAnsi"/>
        </w:rPr>
        <w:t>個交易日之實際損益</w:t>
      </w:r>
      <w:r w:rsidRPr="00CA1A43">
        <w:rPr>
          <w:rFonts w:eastAsia="標楷體" w:cstheme="minorHAnsi"/>
        </w:rPr>
        <w:t>(APL)</w:t>
      </w:r>
      <w:r w:rsidRPr="00CA1A43">
        <w:rPr>
          <w:rFonts w:eastAsia="標楷體" w:cstheme="minorHAnsi"/>
        </w:rPr>
        <w:t>及假設損益</w:t>
      </w:r>
      <w:r w:rsidRPr="00CA1A43">
        <w:rPr>
          <w:rFonts w:eastAsia="標楷體" w:cstheme="minorHAnsi"/>
        </w:rPr>
        <w:t>(HPL)</w:t>
      </w:r>
      <w:r w:rsidRPr="00CA1A43">
        <w:rPr>
          <w:rFonts w:eastAsia="標楷體" w:cstheme="minorHAnsi"/>
        </w:rPr>
        <w:t>進行比較。</w:t>
      </w:r>
    </w:p>
    <w:p w14:paraId="5FF4B921" w14:textId="77777777" w:rsidR="0002416C" w:rsidRPr="00CA1A43" w:rsidRDefault="0002416C" w:rsidP="008C0E02">
      <w:pPr>
        <w:pStyle w:val="a7"/>
        <w:numPr>
          <w:ilvl w:val="0"/>
          <w:numId w:val="278"/>
        </w:numPr>
        <w:spacing w:beforeLines="50" w:before="180"/>
        <w:ind w:leftChars="0" w:left="964" w:hanging="482"/>
        <w:jc w:val="both"/>
        <w:rPr>
          <w:rFonts w:eastAsia="標楷體" w:cstheme="minorHAnsi"/>
        </w:rPr>
      </w:pPr>
      <w:r w:rsidRPr="00CA1A43">
        <w:rPr>
          <w:rFonts w:eastAsia="標楷體" w:cstheme="minorHAnsi"/>
        </w:rPr>
        <w:t>全行層級風險模型之回溯測試必須以</w:t>
      </w:r>
      <w:r w:rsidRPr="00CA1A43">
        <w:rPr>
          <w:rFonts w:eastAsia="標楷體" w:cstheme="minorHAnsi"/>
        </w:rPr>
        <w:t>99%</w:t>
      </w:r>
      <w:r w:rsidRPr="00CA1A43">
        <w:rPr>
          <w:rFonts w:eastAsia="標楷體" w:cstheme="minorHAnsi"/>
        </w:rPr>
        <w:t>信賴水準之風險值為基礎。</w:t>
      </w:r>
    </w:p>
    <w:p w14:paraId="4A6F1429" w14:textId="77777777" w:rsidR="0002416C" w:rsidRPr="00CA1A43" w:rsidRDefault="0002416C" w:rsidP="008C0E02">
      <w:pPr>
        <w:pStyle w:val="a7"/>
        <w:numPr>
          <w:ilvl w:val="0"/>
          <w:numId w:val="279"/>
        </w:numPr>
        <w:spacing w:beforeLines="50" w:before="180"/>
        <w:ind w:leftChars="0" w:left="1446" w:hanging="482"/>
        <w:jc w:val="both"/>
        <w:rPr>
          <w:rFonts w:eastAsia="標楷體" w:cstheme="minorHAnsi"/>
          <w:szCs w:val="24"/>
        </w:rPr>
      </w:pPr>
      <w:r w:rsidRPr="00CA1A43">
        <w:rPr>
          <w:rFonts w:eastAsia="標楷體" w:cstheme="minorHAnsi"/>
          <w:szCs w:val="24"/>
        </w:rPr>
        <w:lastRenderedPageBreak/>
        <w:t>在回溯測試</w:t>
      </w:r>
      <w:proofErr w:type="gramStart"/>
      <w:r w:rsidRPr="00CA1A43">
        <w:rPr>
          <w:rFonts w:eastAsia="標楷體" w:cstheme="minorHAnsi"/>
          <w:szCs w:val="24"/>
        </w:rPr>
        <w:t>期間，</w:t>
      </w:r>
      <w:proofErr w:type="gramEnd"/>
      <w:r w:rsidRPr="00CA1A43">
        <w:rPr>
          <w:rFonts w:eastAsia="標楷體" w:cstheme="minorHAnsi"/>
          <w:szCs w:val="24"/>
        </w:rPr>
        <w:t>當全行交易簿之一日實際或假設損失，穿透對應銀行內部模型產出之一日風險值時，視為發生一個穿透次數或極端值。根據交易台層級之回溯測試，實際損失的穿透次數與假設損失的穿透次數需分開計算；穿透次數的總數，則取兩個數值中的較大者。</w:t>
      </w:r>
    </w:p>
    <w:p w14:paraId="22653553" w14:textId="77777777" w:rsidR="0002416C" w:rsidRPr="00CA1A43" w:rsidRDefault="0002416C" w:rsidP="008C0E02">
      <w:pPr>
        <w:pStyle w:val="a7"/>
        <w:numPr>
          <w:ilvl w:val="0"/>
          <w:numId w:val="279"/>
        </w:numPr>
        <w:spacing w:beforeLines="50" w:before="180"/>
        <w:ind w:leftChars="0" w:left="1446" w:hanging="482"/>
        <w:jc w:val="both"/>
        <w:rPr>
          <w:rFonts w:eastAsia="標楷體" w:cstheme="minorHAnsi"/>
          <w:szCs w:val="24"/>
        </w:rPr>
      </w:pPr>
      <w:r w:rsidRPr="00CA1A43">
        <w:rPr>
          <w:rFonts w:eastAsia="標楷體" w:cstheme="minorHAnsi"/>
          <w:szCs w:val="24"/>
        </w:rPr>
        <w:t>若損益或每日風險值不可得或無法計算時，則將視為極端值。</w:t>
      </w:r>
    </w:p>
    <w:p w14:paraId="1FBB6F1F" w14:textId="77777777" w:rsidR="0002416C" w:rsidRPr="00CA1A43" w:rsidRDefault="0002416C" w:rsidP="008C0E02">
      <w:pPr>
        <w:pStyle w:val="a7"/>
        <w:numPr>
          <w:ilvl w:val="0"/>
          <w:numId w:val="278"/>
        </w:numPr>
        <w:spacing w:beforeLines="50" w:before="180"/>
        <w:ind w:leftChars="0" w:left="964" w:hanging="482"/>
        <w:jc w:val="both"/>
        <w:rPr>
          <w:rFonts w:eastAsia="標楷體" w:cstheme="minorHAnsi"/>
          <w:szCs w:val="24"/>
        </w:rPr>
      </w:pPr>
      <w:r w:rsidRPr="00CA1A43">
        <w:rPr>
          <w:rFonts w:eastAsia="標楷體" w:cstheme="minorHAnsi"/>
          <w:szCs w:val="24"/>
        </w:rPr>
        <w:t>若銀行可以證明</w:t>
      </w:r>
      <w:r w:rsidRPr="00CA1A43">
        <w:rPr>
          <w:rFonts w:eastAsia="標楷體" w:cstheme="minorHAnsi"/>
        </w:rPr>
        <w:t>極端</w:t>
      </w:r>
      <w:r w:rsidRPr="00CA1A43">
        <w:rPr>
          <w:rFonts w:eastAsia="標楷體" w:cstheme="minorHAnsi"/>
          <w:szCs w:val="24"/>
        </w:rPr>
        <w:t>值與不可模型化風險因子相關，且該不可模型化風險因子的資本要求超逾當日之實際或假設損失時，並已通知本會而本會未表示反對，則銀行可在整體回溯測試中忽略該極端值。</w:t>
      </w:r>
      <w:proofErr w:type="gramStart"/>
      <w:r w:rsidRPr="00CA1A43">
        <w:rPr>
          <w:rFonts w:eastAsia="標楷體" w:cstheme="minorHAnsi"/>
          <w:szCs w:val="24"/>
        </w:rPr>
        <w:t>惟</w:t>
      </w:r>
      <w:proofErr w:type="gramEnd"/>
      <w:r w:rsidRPr="00CA1A43">
        <w:rPr>
          <w:rFonts w:eastAsia="標楷體" w:cstheme="minorHAnsi"/>
          <w:szCs w:val="24"/>
        </w:rPr>
        <w:t>銀行必須記錄相關不可模型化風險因子價值的歷史變動，並具備證據證明不可模型化風險因子導致相關損失</w:t>
      </w:r>
      <w:r w:rsidRPr="00CA1A43">
        <w:rPr>
          <w:rStyle w:val="a5"/>
          <w:rFonts w:eastAsia="標楷體" w:cstheme="minorHAnsi"/>
          <w:szCs w:val="24"/>
        </w:rPr>
        <w:footnoteReference w:id="102"/>
      </w:r>
      <w:r w:rsidRPr="00CA1A43">
        <w:rPr>
          <w:rFonts w:eastAsia="標楷體" w:cstheme="minorHAnsi"/>
          <w:szCs w:val="24"/>
        </w:rPr>
        <w:t>。</w:t>
      </w:r>
    </w:p>
    <w:p w14:paraId="74A2B40D"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szCs w:val="24"/>
        </w:rPr>
      </w:pPr>
      <w:r w:rsidRPr="00CA1A43">
        <w:rPr>
          <w:rFonts w:eastAsia="標楷體" w:cstheme="minorHAnsi"/>
          <w:szCs w:val="24"/>
        </w:rPr>
        <w:t>全行投資組合之回溯測試適用範圍應每季基於最近期交易台層級回溯測試、風險因子合格性測試、損益歸因</w:t>
      </w:r>
      <w:r w:rsidRPr="00CA1A43">
        <w:rPr>
          <w:rFonts w:eastAsia="標楷體" w:cstheme="minorHAnsi"/>
          <w:szCs w:val="24"/>
        </w:rPr>
        <w:t>(PLA)</w:t>
      </w:r>
      <w:r w:rsidRPr="00CA1A43">
        <w:rPr>
          <w:rFonts w:eastAsia="標楷體" w:cstheme="minorHAnsi"/>
          <w:szCs w:val="24"/>
        </w:rPr>
        <w:t>測試結果進行更新。</w:t>
      </w:r>
    </w:p>
    <w:p w14:paraId="20E254FB"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szCs w:val="24"/>
        </w:rPr>
      </w:pPr>
      <w:r w:rsidRPr="00CA1A43">
        <w:rPr>
          <w:rFonts w:eastAsia="標楷體" w:cstheme="minorHAnsi"/>
          <w:szCs w:val="24"/>
        </w:rPr>
        <w:t>本會對銀行整體資本模型回溯測試結果解譯回應，可分類至三個回溯測試區間，並以顏色區別，同時依據穿透次數制定增加資本計提之附加乘數</w:t>
      </w:r>
      <w:r w:rsidRPr="00CA1A43">
        <w:rPr>
          <w:rFonts w:eastAsia="標楷體" w:cstheme="minorHAnsi"/>
          <w:szCs w:val="24"/>
        </w:rPr>
        <w:t>(</w:t>
      </w:r>
      <w:r w:rsidRPr="00CA1A43">
        <w:rPr>
          <w:rFonts w:eastAsia="標楷體" w:cstheme="minorHAnsi"/>
          <w:szCs w:val="24"/>
        </w:rPr>
        <w:t>如表</w:t>
      </w:r>
      <w:r w:rsidR="00225E83">
        <w:rPr>
          <w:rFonts w:eastAsia="標楷體" w:cstheme="minorHAnsi" w:hint="eastAsia"/>
          <w:szCs w:val="24"/>
        </w:rPr>
        <w:t>26</w:t>
      </w:r>
      <w:r w:rsidRPr="00CA1A43">
        <w:rPr>
          <w:rFonts w:eastAsia="標楷體" w:cstheme="minorHAnsi"/>
          <w:szCs w:val="24"/>
        </w:rPr>
        <w:t>)</w:t>
      </w:r>
      <w:r w:rsidRPr="00CA1A43">
        <w:rPr>
          <w:rFonts w:eastAsia="標楷體" w:cstheme="minorHAnsi"/>
          <w:szCs w:val="24"/>
        </w:rPr>
        <w:t>，說明如下：</w:t>
      </w:r>
    </w:p>
    <w:p w14:paraId="25E2D735" w14:textId="77777777" w:rsidR="009A4525" w:rsidRPr="00CA1A43" w:rsidRDefault="009A4525" w:rsidP="008C0E02">
      <w:pPr>
        <w:pStyle w:val="a7"/>
        <w:numPr>
          <w:ilvl w:val="0"/>
          <w:numId w:val="280"/>
        </w:numPr>
        <w:spacing w:beforeLines="50" w:before="180"/>
        <w:ind w:leftChars="0" w:left="1446" w:hanging="482"/>
        <w:jc w:val="both"/>
        <w:rPr>
          <w:rFonts w:eastAsia="標楷體" w:cstheme="minorHAnsi"/>
          <w:szCs w:val="24"/>
        </w:rPr>
      </w:pPr>
      <w:proofErr w:type="gramStart"/>
      <w:r w:rsidRPr="00CA1A43">
        <w:rPr>
          <w:rFonts w:eastAsia="標楷體" w:cstheme="minorHAnsi"/>
          <w:szCs w:val="24"/>
        </w:rPr>
        <w:t>綠區</w:t>
      </w:r>
      <w:proofErr w:type="gramEnd"/>
      <w:r w:rsidRPr="00CA1A43">
        <w:rPr>
          <w:rFonts w:eastAsia="標楷體" w:cstheme="minorHAnsi"/>
          <w:szCs w:val="24"/>
        </w:rPr>
        <w:t>。代表測試結果未發現銀行模型的品質或準確性存在問題。</w:t>
      </w:r>
    </w:p>
    <w:p w14:paraId="0A66E4AC" w14:textId="77777777" w:rsidR="009A4525" w:rsidRPr="00CA1A43" w:rsidRDefault="009A4525" w:rsidP="008C0E02">
      <w:pPr>
        <w:pStyle w:val="a7"/>
        <w:numPr>
          <w:ilvl w:val="0"/>
          <w:numId w:val="280"/>
        </w:numPr>
        <w:spacing w:beforeLines="50" w:before="180"/>
        <w:ind w:leftChars="0" w:left="1446" w:hanging="482"/>
        <w:jc w:val="both"/>
        <w:rPr>
          <w:rFonts w:eastAsia="標楷體" w:cstheme="minorHAnsi"/>
          <w:szCs w:val="24"/>
        </w:rPr>
      </w:pPr>
      <w:proofErr w:type="gramStart"/>
      <w:r w:rsidRPr="00CA1A43">
        <w:rPr>
          <w:rFonts w:eastAsia="標楷體" w:cstheme="minorHAnsi"/>
          <w:szCs w:val="24"/>
        </w:rPr>
        <w:t>黃區</w:t>
      </w:r>
      <w:proofErr w:type="gramEnd"/>
      <w:r w:rsidRPr="00CA1A43">
        <w:rPr>
          <w:rFonts w:eastAsia="標楷體" w:cstheme="minorHAnsi"/>
          <w:szCs w:val="24"/>
        </w:rPr>
        <w:t>。代表測試結果的確發生問題，但仍需持續觀察。</w:t>
      </w:r>
    </w:p>
    <w:p w14:paraId="285F5AD9" w14:textId="77777777" w:rsidR="009A4525" w:rsidRPr="00CA1A43" w:rsidRDefault="009A4525" w:rsidP="008C0E02">
      <w:pPr>
        <w:pStyle w:val="a7"/>
        <w:numPr>
          <w:ilvl w:val="0"/>
          <w:numId w:val="280"/>
        </w:numPr>
        <w:spacing w:beforeLines="50" w:before="180"/>
        <w:ind w:leftChars="0" w:left="1446" w:hanging="482"/>
        <w:jc w:val="both"/>
        <w:rPr>
          <w:rFonts w:eastAsia="標楷體" w:cstheme="minorHAnsi"/>
          <w:szCs w:val="24"/>
        </w:rPr>
      </w:pPr>
      <w:proofErr w:type="gramStart"/>
      <w:r w:rsidRPr="00CA1A43">
        <w:rPr>
          <w:rFonts w:eastAsia="標楷體" w:cstheme="minorHAnsi"/>
          <w:szCs w:val="24"/>
        </w:rPr>
        <w:t>紅區</w:t>
      </w:r>
      <w:proofErr w:type="gramEnd"/>
      <w:r w:rsidRPr="00CA1A43">
        <w:rPr>
          <w:rFonts w:eastAsia="標楷體" w:cstheme="minorHAnsi"/>
          <w:szCs w:val="24"/>
        </w:rPr>
        <w:t>。代表測試結果幾乎可確定銀行風險模型存在問題。</w:t>
      </w:r>
    </w:p>
    <w:p w14:paraId="6D2D11CB" w14:textId="77777777" w:rsidR="00141579" w:rsidRPr="00CA1A43" w:rsidRDefault="00141579" w:rsidP="008C0E02">
      <w:pPr>
        <w:pStyle w:val="a7"/>
        <w:numPr>
          <w:ilvl w:val="0"/>
          <w:numId w:val="278"/>
        </w:numPr>
        <w:spacing w:beforeLines="50" w:before="180"/>
        <w:ind w:leftChars="0" w:left="964" w:hanging="482"/>
        <w:jc w:val="both"/>
        <w:rPr>
          <w:rFonts w:eastAsia="標楷體" w:cstheme="minorHAnsi"/>
          <w:kern w:val="0"/>
          <w:szCs w:val="24"/>
        </w:rPr>
      </w:pPr>
    </w:p>
    <w:tbl>
      <w:tblPr>
        <w:tblW w:w="4757" w:type="pct"/>
        <w:tblInd w:w="284"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275"/>
        <w:gridCol w:w="3667"/>
        <w:gridCol w:w="1260"/>
      </w:tblGrid>
      <w:tr w:rsidR="009A4525" w:rsidRPr="00CA1A43" w14:paraId="2C5481F3" w14:textId="77777777" w:rsidTr="009A4525">
        <w:trPr>
          <w:trHeight w:val="448"/>
        </w:trPr>
        <w:tc>
          <w:tcPr>
            <w:tcW w:w="4203" w:type="pct"/>
            <w:gridSpan w:val="3"/>
            <w:tcBorders>
              <w:right w:val="nil"/>
            </w:tcBorders>
            <w:vAlign w:val="center"/>
          </w:tcPr>
          <w:p w14:paraId="75108637" w14:textId="77777777" w:rsidR="009A4525" w:rsidRPr="00CA1A43" w:rsidRDefault="009A4525" w:rsidP="004D5427">
            <w:pPr>
              <w:pStyle w:val="Item"/>
              <w:ind w:leftChars="-30" w:left="-72"/>
              <w:jc w:val="both"/>
              <w:rPr>
                <w:rFonts w:asciiTheme="minorHAnsi" w:hAnsiTheme="minorHAnsi" w:cstheme="minorHAnsi"/>
                <w:sz w:val="24"/>
                <w:szCs w:val="24"/>
              </w:rPr>
            </w:pPr>
            <w:r w:rsidRPr="00CA1A43">
              <w:rPr>
                <w:rFonts w:asciiTheme="minorHAnsi" w:hAnsiTheme="minorHAnsi" w:cstheme="minorHAnsi"/>
                <w:sz w:val="24"/>
                <w:szCs w:val="24"/>
              </w:rPr>
              <w:t>回溯測試區間</w:t>
            </w:r>
          </w:p>
        </w:tc>
        <w:tc>
          <w:tcPr>
            <w:tcW w:w="797" w:type="pct"/>
            <w:tcBorders>
              <w:left w:val="nil"/>
            </w:tcBorders>
            <w:vAlign w:val="center"/>
          </w:tcPr>
          <w:p w14:paraId="15F9D45C" w14:textId="77777777" w:rsidR="009A4525" w:rsidRPr="00CA1A43" w:rsidRDefault="009A4525" w:rsidP="004D5427">
            <w:pPr>
              <w:pStyle w:val="Item"/>
              <w:ind w:leftChars="-30" w:left="-72"/>
              <w:jc w:val="right"/>
              <w:rPr>
                <w:rFonts w:asciiTheme="minorHAnsi" w:hAnsiTheme="minorHAnsi" w:cstheme="minorHAnsi"/>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2</w:t>
            </w:r>
            <w:r w:rsidR="00225E83">
              <w:rPr>
                <w:rFonts w:asciiTheme="minorHAnsi" w:hAnsiTheme="minorHAnsi" w:cstheme="minorHAnsi" w:hint="eastAsia"/>
                <w:sz w:val="24"/>
                <w:szCs w:val="24"/>
              </w:rPr>
              <w:t>6</w:t>
            </w:r>
          </w:p>
        </w:tc>
      </w:tr>
      <w:tr w:rsidR="009A4525" w:rsidRPr="00CA1A43" w14:paraId="4DB9DBA3" w14:textId="77777777" w:rsidTr="009A4525">
        <w:trPr>
          <w:trHeight w:val="315"/>
        </w:trPr>
        <w:tc>
          <w:tcPr>
            <w:tcW w:w="1076" w:type="pct"/>
            <w:tcBorders>
              <w:bottom w:val="single" w:sz="4" w:space="0" w:color="auto"/>
              <w:right w:val="single" w:sz="8" w:space="0" w:color="BFBFBF" w:themeColor="background1" w:themeShade="BF"/>
            </w:tcBorders>
            <w:vAlign w:val="center"/>
          </w:tcPr>
          <w:p w14:paraId="410A076B"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回溯測試區間</w:t>
            </w:r>
          </w:p>
        </w:tc>
        <w:tc>
          <w:tcPr>
            <w:tcW w:w="807" w:type="pct"/>
            <w:tcBorders>
              <w:left w:val="single" w:sz="8" w:space="0" w:color="BFBFBF" w:themeColor="background1" w:themeShade="BF"/>
              <w:bottom w:val="single" w:sz="4" w:space="0" w:color="auto"/>
              <w:right w:val="single" w:sz="8" w:space="0" w:color="BFBFBF" w:themeColor="background1" w:themeShade="BF"/>
            </w:tcBorders>
            <w:vAlign w:val="center"/>
          </w:tcPr>
          <w:p w14:paraId="38CB59EE"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穿透次數</w:t>
            </w:r>
          </w:p>
        </w:tc>
        <w:tc>
          <w:tcPr>
            <w:tcW w:w="3116" w:type="pct"/>
            <w:gridSpan w:val="2"/>
            <w:tcBorders>
              <w:left w:val="single" w:sz="8" w:space="0" w:color="BFBFBF" w:themeColor="background1" w:themeShade="BF"/>
              <w:bottom w:val="single" w:sz="4" w:space="0" w:color="auto"/>
            </w:tcBorders>
            <w:vAlign w:val="center"/>
          </w:tcPr>
          <w:p w14:paraId="6C45D2EE"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回溯測試對應乘數</w:t>
            </w:r>
            <w:r w:rsidRPr="00CA1A43">
              <w:rPr>
                <w:rFonts w:asciiTheme="minorHAnsi" w:hAnsiTheme="minorHAnsi" w:cstheme="minorHAnsi"/>
                <w:sz w:val="24"/>
                <w:szCs w:val="24"/>
              </w:rPr>
              <w:t>(</w:t>
            </w:r>
            <w:r w:rsidRPr="00CA1A43">
              <w:rPr>
                <w:rFonts w:asciiTheme="minorHAnsi" w:hAnsiTheme="minorHAnsi" w:cstheme="minorHAnsi"/>
                <w:sz w:val="24"/>
                <w:szCs w:val="24"/>
              </w:rPr>
              <w:t>增加資本計提之附加乘數</w:t>
            </w:r>
            <w:r w:rsidRPr="00CA1A43">
              <w:rPr>
                <w:rFonts w:asciiTheme="minorHAnsi" w:hAnsiTheme="minorHAnsi" w:cstheme="minorHAnsi"/>
                <w:sz w:val="24"/>
                <w:szCs w:val="24"/>
              </w:rPr>
              <w:t>)</w:t>
            </w:r>
          </w:p>
        </w:tc>
      </w:tr>
      <w:tr w:rsidR="009A4525" w:rsidRPr="00CA1A43" w14:paraId="56B81F0B" w14:textId="77777777" w:rsidTr="009A4525">
        <w:trPr>
          <w:trHeight w:val="601"/>
        </w:trPr>
        <w:tc>
          <w:tcPr>
            <w:tcW w:w="1076" w:type="pct"/>
            <w:tcBorders>
              <w:bottom w:val="single" w:sz="8" w:space="0" w:color="BFBFBF" w:themeColor="background1" w:themeShade="BF"/>
              <w:right w:val="single" w:sz="8" w:space="0" w:color="BFBFBF" w:themeColor="background1" w:themeShade="BF"/>
            </w:tcBorders>
          </w:tcPr>
          <w:p w14:paraId="6E2BDAB2" w14:textId="77777777" w:rsidR="009A4525" w:rsidRPr="00CA1A43" w:rsidRDefault="009A4525" w:rsidP="004D5427">
            <w:pPr>
              <w:pStyle w:val="Item"/>
              <w:ind w:leftChars="-30" w:left="-72"/>
              <w:jc w:val="center"/>
              <w:rPr>
                <w:rFonts w:asciiTheme="minorHAnsi" w:hAnsiTheme="minorHAnsi" w:cstheme="minorHAnsi"/>
                <w:sz w:val="24"/>
                <w:szCs w:val="24"/>
              </w:rPr>
            </w:pPr>
            <w:proofErr w:type="gramStart"/>
            <w:r w:rsidRPr="00CA1A43">
              <w:rPr>
                <w:rFonts w:asciiTheme="minorHAnsi" w:hAnsiTheme="minorHAnsi" w:cstheme="minorHAnsi"/>
                <w:sz w:val="24"/>
                <w:szCs w:val="24"/>
              </w:rPr>
              <w:t>綠區</w:t>
            </w:r>
            <w:proofErr w:type="gramEnd"/>
            <w:r w:rsidRPr="00CA1A43">
              <w:rPr>
                <w:rFonts w:asciiTheme="minorHAnsi" w:hAnsiTheme="minorHAnsi" w:cstheme="minorHAnsi"/>
                <w:sz w:val="24"/>
                <w:szCs w:val="24"/>
              </w:rPr>
              <w:t xml:space="preserve"> </w:t>
            </w:r>
          </w:p>
        </w:tc>
        <w:tc>
          <w:tcPr>
            <w:tcW w:w="807" w:type="pct"/>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71E0BE"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0</w:t>
            </w:r>
          </w:p>
          <w:p w14:paraId="62C79916"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w:t>
            </w:r>
          </w:p>
          <w:p w14:paraId="1E48C673"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2</w:t>
            </w:r>
          </w:p>
          <w:p w14:paraId="68F1DB01"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3</w:t>
            </w:r>
          </w:p>
          <w:p w14:paraId="216B9C2B"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lastRenderedPageBreak/>
              <w:t>4</w:t>
            </w:r>
          </w:p>
        </w:tc>
        <w:tc>
          <w:tcPr>
            <w:tcW w:w="3116" w:type="pct"/>
            <w:gridSpan w:val="2"/>
            <w:tcBorders>
              <w:left w:val="single" w:sz="8" w:space="0" w:color="BFBFBF" w:themeColor="background1" w:themeShade="BF"/>
              <w:bottom w:val="single" w:sz="8" w:space="0" w:color="BFBFBF" w:themeColor="background1" w:themeShade="BF"/>
            </w:tcBorders>
          </w:tcPr>
          <w:p w14:paraId="3852D931"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lastRenderedPageBreak/>
              <w:t>1.50</w:t>
            </w:r>
          </w:p>
          <w:p w14:paraId="5D62EFC9"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1.50</w:t>
            </w:r>
          </w:p>
          <w:p w14:paraId="3795DAB2"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1.50</w:t>
            </w:r>
          </w:p>
          <w:p w14:paraId="0AF3AEFE"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1.50</w:t>
            </w:r>
          </w:p>
          <w:p w14:paraId="418CEEF6"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lastRenderedPageBreak/>
              <w:t>1.50</w:t>
            </w:r>
          </w:p>
        </w:tc>
      </w:tr>
      <w:tr w:rsidR="009A4525" w:rsidRPr="00CA1A43" w14:paraId="0CE1F2EE" w14:textId="77777777" w:rsidTr="009A4525">
        <w:trPr>
          <w:trHeight w:val="601"/>
        </w:trPr>
        <w:tc>
          <w:tcPr>
            <w:tcW w:w="1076" w:type="pct"/>
            <w:tcBorders>
              <w:top w:val="single" w:sz="8" w:space="0" w:color="BFBFBF" w:themeColor="background1" w:themeShade="BF"/>
              <w:bottom w:val="single" w:sz="8" w:space="0" w:color="BFBFBF" w:themeColor="background1" w:themeShade="BF"/>
              <w:right w:val="single" w:sz="8" w:space="0" w:color="BFBFBF" w:themeColor="background1" w:themeShade="BF"/>
            </w:tcBorders>
          </w:tcPr>
          <w:p w14:paraId="708BD45E" w14:textId="77777777" w:rsidR="009A4525" w:rsidRPr="00CA1A43" w:rsidRDefault="009A4525" w:rsidP="004D5427">
            <w:pPr>
              <w:pStyle w:val="Item"/>
              <w:ind w:leftChars="-30" w:left="-72"/>
              <w:jc w:val="center"/>
              <w:rPr>
                <w:rFonts w:asciiTheme="minorHAnsi" w:hAnsiTheme="minorHAnsi" w:cstheme="minorHAnsi"/>
                <w:sz w:val="24"/>
                <w:szCs w:val="24"/>
              </w:rPr>
            </w:pPr>
            <w:proofErr w:type="gramStart"/>
            <w:r w:rsidRPr="00CA1A43">
              <w:rPr>
                <w:rFonts w:asciiTheme="minorHAnsi" w:hAnsiTheme="minorHAnsi" w:cstheme="minorHAnsi"/>
                <w:sz w:val="24"/>
                <w:szCs w:val="24"/>
              </w:rPr>
              <w:lastRenderedPageBreak/>
              <w:t>黃區</w:t>
            </w:r>
            <w:proofErr w:type="gramEnd"/>
            <w:r w:rsidRPr="00CA1A43">
              <w:rPr>
                <w:rFonts w:asciiTheme="minorHAnsi" w:hAnsiTheme="minorHAnsi" w:cstheme="minorHAnsi"/>
                <w:sz w:val="24"/>
                <w:szCs w:val="24"/>
              </w:rPr>
              <w:t xml:space="preserve"> </w:t>
            </w:r>
          </w:p>
        </w:tc>
        <w:tc>
          <w:tcPr>
            <w:tcW w:w="807" w:type="pc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F5EFF27"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5</w:t>
            </w:r>
          </w:p>
          <w:p w14:paraId="3A6F4F50"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6</w:t>
            </w:r>
          </w:p>
          <w:p w14:paraId="5B42893A"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7</w:t>
            </w:r>
          </w:p>
          <w:p w14:paraId="229755C2"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8</w:t>
            </w:r>
          </w:p>
          <w:p w14:paraId="22C1A53B"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9</w:t>
            </w:r>
          </w:p>
        </w:tc>
        <w:tc>
          <w:tcPr>
            <w:tcW w:w="3116"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tcPr>
          <w:p w14:paraId="79EC9349"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1.70</w:t>
            </w:r>
          </w:p>
          <w:p w14:paraId="03DB42F9"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1.76</w:t>
            </w:r>
          </w:p>
          <w:p w14:paraId="0DA4E9DB"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1.83</w:t>
            </w:r>
          </w:p>
          <w:p w14:paraId="0AAC2E29"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1.88</w:t>
            </w:r>
          </w:p>
          <w:p w14:paraId="0A7385D5"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1.92</w:t>
            </w:r>
          </w:p>
        </w:tc>
      </w:tr>
      <w:tr w:rsidR="009A4525" w:rsidRPr="00CA1A43" w14:paraId="0CECBBA0" w14:textId="77777777" w:rsidTr="009A4525">
        <w:trPr>
          <w:trHeight w:val="102"/>
        </w:trPr>
        <w:tc>
          <w:tcPr>
            <w:tcW w:w="1076" w:type="pct"/>
            <w:tcBorders>
              <w:top w:val="single" w:sz="8" w:space="0" w:color="BFBFBF" w:themeColor="background1" w:themeShade="BF"/>
              <w:right w:val="single" w:sz="8" w:space="0" w:color="BFBFBF" w:themeColor="background1" w:themeShade="BF"/>
            </w:tcBorders>
          </w:tcPr>
          <w:p w14:paraId="533150ED" w14:textId="77777777" w:rsidR="009A4525" w:rsidRPr="00CA1A43" w:rsidRDefault="009A4525" w:rsidP="004D5427">
            <w:pPr>
              <w:pStyle w:val="Item"/>
              <w:ind w:leftChars="-30" w:left="-72"/>
              <w:jc w:val="center"/>
              <w:rPr>
                <w:rFonts w:asciiTheme="minorHAnsi" w:hAnsiTheme="minorHAnsi" w:cstheme="minorHAnsi"/>
                <w:sz w:val="24"/>
                <w:szCs w:val="24"/>
              </w:rPr>
            </w:pPr>
            <w:proofErr w:type="gramStart"/>
            <w:r w:rsidRPr="00CA1A43">
              <w:rPr>
                <w:rFonts w:asciiTheme="minorHAnsi" w:hAnsiTheme="minorHAnsi" w:cstheme="minorHAnsi"/>
                <w:sz w:val="24"/>
                <w:szCs w:val="24"/>
              </w:rPr>
              <w:t>紅區</w:t>
            </w:r>
            <w:proofErr w:type="gramEnd"/>
            <w:r w:rsidRPr="00CA1A43">
              <w:rPr>
                <w:rFonts w:asciiTheme="minorHAnsi" w:hAnsiTheme="minorHAnsi" w:cstheme="minorHAnsi"/>
                <w:sz w:val="24"/>
                <w:szCs w:val="24"/>
              </w:rPr>
              <w:t xml:space="preserve"> </w:t>
            </w:r>
          </w:p>
        </w:tc>
        <w:tc>
          <w:tcPr>
            <w:tcW w:w="807" w:type="pct"/>
            <w:tcBorders>
              <w:top w:val="single" w:sz="8" w:space="0" w:color="BFBFBF" w:themeColor="background1" w:themeShade="BF"/>
              <w:left w:val="single" w:sz="8" w:space="0" w:color="BFBFBF" w:themeColor="background1" w:themeShade="BF"/>
              <w:right w:val="single" w:sz="8" w:space="0" w:color="BFBFBF" w:themeColor="background1" w:themeShade="BF"/>
            </w:tcBorders>
          </w:tcPr>
          <w:p w14:paraId="25FA8458"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10</w:t>
            </w:r>
            <w:r w:rsidRPr="00CA1A43">
              <w:rPr>
                <w:rFonts w:asciiTheme="minorHAnsi" w:hAnsiTheme="minorHAnsi" w:cstheme="minorHAnsi"/>
                <w:sz w:val="24"/>
                <w:szCs w:val="24"/>
              </w:rPr>
              <w:t>或以上</w:t>
            </w:r>
          </w:p>
        </w:tc>
        <w:tc>
          <w:tcPr>
            <w:tcW w:w="3116" w:type="pct"/>
            <w:gridSpan w:val="2"/>
            <w:tcBorders>
              <w:top w:val="single" w:sz="8" w:space="0" w:color="BFBFBF" w:themeColor="background1" w:themeShade="BF"/>
              <w:left w:val="single" w:sz="8" w:space="0" w:color="BFBFBF" w:themeColor="background1" w:themeShade="BF"/>
            </w:tcBorders>
          </w:tcPr>
          <w:p w14:paraId="16B3DB32" w14:textId="77777777" w:rsidR="009A4525" w:rsidRPr="00CA1A43" w:rsidRDefault="009A4525" w:rsidP="004D5427">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2.00</w:t>
            </w:r>
          </w:p>
        </w:tc>
      </w:tr>
    </w:tbl>
    <w:p w14:paraId="70E68DEA" w14:textId="77777777" w:rsidR="00141579" w:rsidRPr="00CA1A43" w:rsidRDefault="00141579" w:rsidP="00633E44">
      <w:pPr>
        <w:spacing w:beforeLines="50" w:before="180"/>
        <w:jc w:val="both"/>
        <w:rPr>
          <w:rFonts w:eastAsia="標楷體" w:cstheme="minorHAnsi"/>
          <w:kern w:val="0"/>
          <w:szCs w:val="24"/>
        </w:rPr>
      </w:pPr>
    </w:p>
    <w:p w14:paraId="57DF2AF7"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kern w:val="0"/>
          <w:szCs w:val="24"/>
        </w:rPr>
      </w:pPr>
      <w:r w:rsidRPr="00CA1A43">
        <w:rPr>
          <w:rFonts w:eastAsia="標楷體" w:cstheme="minorHAnsi"/>
          <w:szCs w:val="24"/>
        </w:rPr>
        <w:t>一般而言，本會</w:t>
      </w:r>
      <w:r w:rsidRPr="00CA1A43">
        <w:rPr>
          <w:rFonts w:eastAsia="標楷體" w:cstheme="minorHAnsi"/>
          <w:kern w:val="0"/>
          <w:szCs w:val="24"/>
        </w:rPr>
        <w:t>不會對回溯</w:t>
      </w:r>
      <w:proofErr w:type="gramStart"/>
      <w:r w:rsidRPr="00CA1A43">
        <w:rPr>
          <w:rFonts w:eastAsia="標楷體" w:cstheme="minorHAnsi"/>
          <w:kern w:val="0"/>
          <w:szCs w:val="24"/>
        </w:rPr>
        <w:t>測試綠區要求</w:t>
      </w:r>
      <w:proofErr w:type="gramEnd"/>
      <w:r w:rsidRPr="00CA1A43">
        <w:rPr>
          <w:rFonts w:eastAsia="標楷體" w:cstheme="minorHAnsi"/>
          <w:kern w:val="0"/>
          <w:szCs w:val="24"/>
        </w:rPr>
        <w:t>增加回溯測試資本要求</w:t>
      </w:r>
      <w:r w:rsidRPr="00CA1A43">
        <w:rPr>
          <w:rFonts w:eastAsia="標楷體" w:cstheme="minorHAnsi"/>
          <w:kern w:val="0"/>
          <w:szCs w:val="24"/>
        </w:rPr>
        <w:t>(</w:t>
      </w:r>
      <w:r w:rsidRPr="00CA1A43">
        <w:rPr>
          <w:rFonts w:eastAsia="標楷體" w:cstheme="minorHAnsi"/>
          <w:kern w:val="0"/>
          <w:szCs w:val="24"/>
        </w:rPr>
        <w:t>即無須被要求加計回溯測試附加金額</w:t>
      </w:r>
      <w:r w:rsidRPr="00CA1A43">
        <w:rPr>
          <w:rFonts w:eastAsia="標楷體" w:cstheme="minorHAnsi"/>
          <w:kern w:val="0"/>
          <w:szCs w:val="24"/>
        </w:rPr>
        <w:t>)</w:t>
      </w:r>
      <w:r w:rsidRPr="00CA1A43">
        <w:rPr>
          <w:rFonts w:eastAsia="標楷體" w:cstheme="minorHAnsi"/>
          <w:kern w:val="0"/>
          <w:szCs w:val="24"/>
        </w:rPr>
        <w:t>。</w:t>
      </w:r>
    </w:p>
    <w:p w14:paraId="2780215F"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回溯</w:t>
      </w:r>
      <w:proofErr w:type="gramStart"/>
      <w:r w:rsidRPr="00CA1A43">
        <w:rPr>
          <w:rFonts w:eastAsia="標楷體" w:cstheme="minorHAnsi"/>
          <w:kern w:val="0"/>
          <w:szCs w:val="24"/>
        </w:rPr>
        <w:t>測試黃區結果</w:t>
      </w:r>
      <w:proofErr w:type="gramEnd"/>
      <w:r w:rsidRPr="00CA1A43">
        <w:rPr>
          <w:rFonts w:eastAsia="標楷體" w:cstheme="minorHAnsi"/>
          <w:kern w:val="0"/>
          <w:szCs w:val="24"/>
        </w:rPr>
        <w:t>可能由準確或不準確之模型所致。但通常更可能被視為是不準確之模型而非準確模型。在回溯</w:t>
      </w:r>
      <w:proofErr w:type="gramStart"/>
      <w:r w:rsidRPr="00CA1A43">
        <w:rPr>
          <w:rFonts w:eastAsia="標楷體" w:cstheme="minorHAnsi"/>
          <w:kern w:val="0"/>
          <w:szCs w:val="24"/>
        </w:rPr>
        <w:t>測試黃區內</w:t>
      </w:r>
      <w:proofErr w:type="gramEnd"/>
      <w:r w:rsidRPr="00CA1A43">
        <w:rPr>
          <w:rFonts w:eastAsia="標楷體" w:cstheme="minorHAnsi"/>
          <w:kern w:val="0"/>
          <w:szCs w:val="24"/>
        </w:rPr>
        <w:t>，本會將以回溯測試附加金額方式要求計提更高的資本要求。發生穿透之次數通常代表了回溯測試附加金額之多寡，如表</w:t>
      </w:r>
      <w:r w:rsidRPr="00CA1A43">
        <w:rPr>
          <w:rFonts w:eastAsia="標楷體" w:cstheme="minorHAnsi"/>
          <w:kern w:val="0"/>
          <w:szCs w:val="24"/>
        </w:rPr>
        <w:t>2</w:t>
      </w:r>
      <w:r w:rsidR="00225E83">
        <w:rPr>
          <w:rFonts w:eastAsia="標楷體" w:cstheme="minorHAnsi" w:hint="eastAsia"/>
          <w:kern w:val="0"/>
          <w:szCs w:val="24"/>
        </w:rPr>
        <w:t>6</w:t>
      </w:r>
      <w:r w:rsidRPr="00CA1A43">
        <w:rPr>
          <w:rFonts w:eastAsia="標楷體" w:cstheme="minorHAnsi"/>
          <w:kern w:val="0"/>
          <w:szCs w:val="24"/>
        </w:rPr>
        <w:t>所示。</w:t>
      </w:r>
    </w:p>
    <w:p w14:paraId="798CF29B"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銀行必須將正在進行的回溯測試產生的所有穿透情況文件化，包括對每</w:t>
      </w:r>
      <w:proofErr w:type="gramStart"/>
      <w:r w:rsidRPr="00CA1A43">
        <w:rPr>
          <w:rFonts w:eastAsia="標楷體" w:cstheme="minorHAnsi"/>
          <w:kern w:val="0"/>
          <w:szCs w:val="24"/>
        </w:rPr>
        <w:t>個</w:t>
      </w:r>
      <w:proofErr w:type="gramEnd"/>
      <w:r w:rsidRPr="00CA1A43">
        <w:rPr>
          <w:rFonts w:eastAsia="標楷體" w:cstheme="minorHAnsi"/>
          <w:kern w:val="0"/>
          <w:szCs w:val="24"/>
        </w:rPr>
        <w:t>穿透情況的解釋。</w:t>
      </w:r>
    </w:p>
    <w:p w14:paraId="2F440DE2"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銀行也可執行非本計算說明規範之回溯測試，或另</w:t>
      </w:r>
      <w:proofErr w:type="gramStart"/>
      <w:r w:rsidRPr="00CA1A43">
        <w:rPr>
          <w:rFonts w:eastAsia="標楷體" w:cstheme="minorHAnsi"/>
          <w:kern w:val="0"/>
          <w:szCs w:val="24"/>
        </w:rPr>
        <w:t>採</w:t>
      </w:r>
      <w:proofErr w:type="gramEnd"/>
      <w:r w:rsidRPr="00CA1A43">
        <w:rPr>
          <w:rFonts w:eastAsia="標楷體" w:cstheme="minorHAnsi"/>
          <w:kern w:val="0"/>
          <w:szCs w:val="24"/>
        </w:rPr>
        <w:t>其他統計檢測進行回溯測試，惟此項作法必須經本會核准。</w:t>
      </w:r>
    </w:p>
    <w:p w14:paraId="60D56E64"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kern w:val="0"/>
          <w:szCs w:val="24"/>
        </w:rPr>
      </w:pPr>
      <w:r w:rsidRPr="00CA1A43">
        <w:rPr>
          <w:rFonts w:eastAsia="標楷體" w:cstheme="minorHAnsi"/>
          <w:kern w:val="0"/>
          <w:szCs w:val="24"/>
        </w:rPr>
        <w:t>除增加黃色區域之資本計提附加乘數外，如果模型基本完整性存在嚴重問題，本會經評估後將不允許銀行使用該模型於整體市場風險資本要求之目的。</w:t>
      </w:r>
    </w:p>
    <w:p w14:paraId="76F8E39E" w14:textId="77777777" w:rsidR="009A4525" w:rsidRPr="00CA1A43" w:rsidRDefault="009A4525" w:rsidP="008C0E02">
      <w:pPr>
        <w:pStyle w:val="a7"/>
        <w:numPr>
          <w:ilvl w:val="0"/>
          <w:numId w:val="278"/>
        </w:numPr>
        <w:spacing w:beforeLines="50" w:before="180"/>
        <w:ind w:leftChars="0" w:left="964" w:hanging="482"/>
        <w:jc w:val="both"/>
        <w:rPr>
          <w:rFonts w:eastAsia="標楷體" w:cstheme="minorHAnsi"/>
          <w:szCs w:val="24"/>
        </w:rPr>
      </w:pPr>
      <w:r w:rsidRPr="00CA1A43">
        <w:rPr>
          <w:rFonts w:eastAsia="標楷體" w:cstheme="minorHAnsi"/>
          <w:kern w:val="0"/>
          <w:szCs w:val="24"/>
        </w:rPr>
        <w:t>如果銀行</w:t>
      </w:r>
      <w:r w:rsidRPr="00CA1A43">
        <w:rPr>
          <w:rFonts w:eastAsia="標楷體" w:cstheme="minorHAnsi"/>
          <w:szCs w:val="24"/>
        </w:rPr>
        <w:t>模型落於回溯測試</w:t>
      </w:r>
      <w:proofErr w:type="gramStart"/>
      <w:r w:rsidRPr="00CA1A43">
        <w:rPr>
          <w:rFonts w:eastAsia="標楷體" w:cstheme="minorHAnsi"/>
          <w:szCs w:val="24"/>
        </w:rPr>
        <w:t>的紅區</w:t>
      </w:r>
      <w:proofErr w:type="gramEnd"/>
      <w:r w:rsidRPr="00CA1A43">
        <w:rPr>
          <w:rFonts w:eastAsia="標楷體" w:cstheme="minorHAnsi"/>
          <w:szCs w:val="24"/>
        </w:rPr>
        <w:t>，本會將增加適用於該銀行模型之乘數因子，或者不允許使用該模型。</w:t>
      </w:r>
    </w:p>
    <w:p w14:paraId="454116D0" w14:textId="77777777" w:rsidR="00CE5DBE" w:rsidRPr="00CA1A43" w:rsidRDefault="00CE5DBE" w:rsidP="005066C2">
      <w:pPr>
        <w:pStyle w:val="a7"/>
        <w:numPr>
          <w:ilvl w:val="0"/>
          <w:numId w:val="283"/>
        </w:numPr>
        <w:spacing w:beforeLines="50" w:before="180"/>
        <w:ind w:leftChars="0" w:left="737" w:hanging="737"/>
        <w:jc w:val="both"/>
        <w:rPr>
          <w:rFonts w:eastAsia="標楷體" w:cstheme="minorHAnsi"/>
        </w:rPr>
      </w:pPr>
      <w:r w:rsidRPr="00CA1A43">
        <w:rPr>
          <w:rFonts w:eastAsia="標楷體" w:cstheme="minorHAnsi"/>
        </w:rPr>
        <w:t>交易台層級的回溯測試</w:t>
      </w:r>
    </w:p>
    <w:p w14:paraId="6D15117C" w14:textId="77777777" w:rsidR="00CE5DBE" w:rsidRPr="00CA1A43" w:rsidRDefault="00CE5DBE" w:rsidP="008C0E02">
      <w:pPr>
        <w:pStyle w:val="a7"/>
        <w:numPr>
          <w:ilvl w:val="0"/>
          <w:numId w:val="281"/>
        </w:numPr>
        <w:spacing w:beforeLines="50" w:before="180"/>
        <w:ind w:leftChars="0" w:left="964" w:hanging="482"/>
        <w:jc w:val="both"/>
        <w:rPr>
          <w:rFonts w:eastAsia="標楷體" w:cstheme="minorHAnsi"/>
          <w:szCs w:val="24"/>
        </w:rPr>
      </w:pPr>
      <w:r w:rsidRPr="00CA1A43">
        <w:rPr>
          <w:rFonts w:eastAsia="標楷體" w:cstheme="minorHAnsi"/>
          <w:szCs w:val="24"/>
        </w:rPr>
        <w:t>交易台風險管理模型的表現將透過每日回溯測試進行檢測。</w:t>
      </w:r>
    </w:p>
    <w:p w14:paraId="5C4CBFC6" w14:textId="77777777" w:rsidR="00CE5DBE" w:rsidRPr="00CA1A43" w:rsidRDefault="00CE5DBE" w:rsidP="008C0E02">
      <w:pPr>
        <w:pStyle w:val="a7"/>
        <w:numPr>
          <w:ilvl w:val="0"/>
          <w:numId w:val="281"/>
        </w:numPr>
        <w:spacing w:beforeLines="50" w:before="180"/>
        <w:ind w:leftChars="0" w:left="964" w:hanging="482"/>
        <w:jc w:val="both"/>
        <w:rPr>
          <w:rFonts w:eastAsia="標楷體" w:cstheme="minorHAnsi"/>
          <w:szCs w:val="24"/>
        </w:rPr>
      </w:pPr>
      <w:r w:rsidRPr="00CA1A43">
        <w:rPr>
          <w:rFonts w:eastAsia="標楷體" w:cstheme="minorHAnsi"/>
          <w:szCs w:val="24"/>
        </w:rPr>
        <w:t>在決定交易台使用內部模型法</w:t>
      </w:r>
      <w:proofErr w:type="gramStart"/>
      <w:r w:rsidRPr="00CA1A43">
        <w:rPr>
          <w:rFonts w:eastAsia="標楷體" w:cstheme="minorHAnsi"/>
          <w:szCs w:val="24"/>
        </w:rPr>
        <w:t>合格性時</w:t>
      </w:r>
      <w:proofErr w:type="gramEnd"/>
      <w:r w:rsidRPr="00CA1A43">
        <w:rPr>
          <w:rFonts w:eastAsia="標楷體" w:cstheme="minorHAnsi"/>
          <w:szCs w:val="24"/>
        </w:rPr>
        <w:t>，回溯測試評估為對損益歸因</w:t>
      </w:r>
      <w:r w:rsidRPr="00CA1A43">
        <w:rPr>
          <w:rFonts w:eastAsia="標楷體" w:cstheme="minorHAnsi"/>
          <w:szCs w:val="24"/>
        </w:rPr>
        <w:t>(PLA)</w:t>
      </w:r>
      <w:r w:rsidRPr="00CA1A43">
        <w:rPr>
          <w:rFonts w:eastAsia="標楷體" w:cstheme="minorHAnsi"/>
          <w:szCs w:val="24"/>
        </w:rPr>
        <w:t>評估的補充。</w:t>
      </w:r>
    </w:p>
    <w:p w14:paraId="07660758" w14:textId="77777777" w:rsidR="00CE5DBE" w:rsidRPr="00CA1A43" w:rsidRDefault="00CE5DBE" w:rsidP="008C0E02">
      <w:pPr>
        <w:pStyle w:val="a7"/>
        <w:numPr>
          <w:ilvl w:val="0"/>
          <w:numId w:val="281"/>
        </w:numPr>
        <w:spacing w:beforeLines="50" w:before="180"/>
        <w:ind w:leftChars="0" w:left="964" w:hanging="482"/>
        <w:jc w:val="both"/>
        <w:rPr>
          <w:rFonts w:eastAsia="標楷體" w:cstheme="minorHAnsi"/>
          <w:szCs w:val="24"/>
        </w:rPr>
      </w:pPr>
      <w:r w:rsidRPr="00CA1A43">
        <w:rPr>
          <w:rFonts w:eastAsia="標楷體" w:cstheme="minorHAnsi"/>
          <w:szCs w:val="24"/>
        </w:rPr>
        <w:t>交易台層級之回溯</w:t>
      </w:r>
      <w:r w:rsidRPr="00CA1A43">
        <w:rPr>
          <w:rFonts w:eastAsia="標楷體" w:cstheme="minorHAnsi"/>
        </w:rPr>
        <w:t>測試</w:t>
      </w:r>
      <w:r w:rsidRPr="00CA1A43">
        <w:rPr>
          <w:rFonts w:eastAsia="標楷體" w:cstheme="minorHAnsi"/>
          <w:szCs w:val="24"/>
        </w:rPr>
        <w:t>必須</w:t>
      </w:r>
      <w:r w:rsidRPr="00CA1A43">
        <w:rPr>
          <w:rFonts w:eastAsia="標楷體" w:cstheme="minorHAnsi"/>
        </w:rPr>
        <w:t>比較</w:t>
      </w:r>
      <w:r w:rsidRPr="00CA1A43">
        <w:rPr>
          <w:rFonts w:eastAsia="標楷體" w:cstheme="minorHAnsi"/>
        </w:rPr>
        <w:t>97.5%</w:t>
      </w:r>
      <w:r w:rsidRPr="00CA1A43">
        <w:rPr>
          <w:rFonts w:eastAsia="標楷體" w:cstheme="minorHAnsi"/>
        </w:rPr>
        <w:t>及</w:t>
      </w:r>
      <w:r w:rsidRPr="00CA1A43">
        <w:rPr>
          <w:rFonts w:eastAsia="標楷體" w:cstheme="minorHAnsi"/>
        </w:rPr>
        <w:t>99%</w:t>
      </w:r>
      <w:r w:rsidRPr="00CA1A43">
        <w:rPr>
          <w:rFonts w:eastAsia="標楷體" w:cstheme="minorHAnsi"/>
        </w:rPr>
        <w:t>信賴水凖下之一日風險值</w:t>
      </w:r>
      <w:r w:rsidRPr="00CA1A43">
        <w:rPr>
          <w:rStyle w:val="a5"/>
          <w:rFonts w:eastAsia="標楷體" w:cstheme="minorHAnsi"/>
          <w:szCs w:val="24"/>
        </w:rPr>
        <w:footnoteReference w:id="103"/>
      </w:r>
      <w:r w:rsidRPr="00CA1A43">
        <w:rPr>
          <w:rFonts w:eastAsia="標楷體" w:cstheme="minorHAnsi"/>
        </w:rPr>
        <w:t>(</w:t>
      </w:r>
      <w:r w:rsidRPr="00CA1A43">
        <w:rPr>
          <w:rFonts w:eastAsia="標楷體" w:cstheme="minorHAnsi"/>
        </w:rPr>
        <w:t>以最近</w:t>
      </w:r>
      <w:r w:rsidRPr="00CA1A43">
        <w:rPr>
          <w:rFonts w:eastAsia="標楷體" w:cstheme="minorHAnsi"/>
        </w:rPr>
        <w:t>250</w:t>
      </w:r>
      <w:r w:rsidRPr="00CA1A43">
        <w:rPr>
          <w:rFonts w:eastAsia="標楷體" w:cstheme="minorHAnsi"/>
        </w:rPr>
        <w:t>個交易日資料且各觀測值權重相同方式進行校凖，且使</w:t>
      </w:r>
      <w:r w:rsidRPr="00CA1A43">
        <w:rPr>
          <w:rFonts w:eastAsia="標楷體" w:cstheme="minorHAnsi"/>
        </w:rPr>
        <w:lastRenderedPageBreak/>
        <w:t>用至少</w:t>
      </w:r>
      <w:r w:rsidRPr="00CA1A43">
        <w:rPr>
          <w:rFonts w:eastAsia="標楷體" w:cstheme="minorHAnsi"/>
        </w:rPr>
        <w:t>250</w:t>
      </w:r>
      <w:r w:rsidRPr="00CA1A43">
        <w:rPr>
          <w:rFonts w:eastAsia="標楷體" w:cstheme="minorHAnsi"/>
        </w:rPr>
        <w:t>個交易日之交易台每日損益觀測值</w:t>
      </w:r>
      <w:r w:rsidRPr="00CA1A43">
        <w:rPr>
          <w:rFonts w:eastAsia="標楷體" w:cstheme="minorHAnsi"/>
        </w:rPr>
        <w:t>)</w:t>
      </w:r>
      <w:r w:rsidRPr="00CA1A43">
        <w:rPr>
          <w:rFonts w:eastAsia="標楷體" w:cstheme="minorHAnsi"/>
        </w:rPr>
        <w:t>。</w:t>
      </w:r>
    </w:p>
    <w:p w14:paraId="70346A78" w14:textId="77777777" w:rsidR="00CE5DBE" w:rsidRPr="00CA1A43" w:rsidRDefault="00CE5DBE" w:rsidP="008C0E02">
      <w:pPr>
        <w:pStyle w:val="a7"/>
        <w:numPr>
          <w:ilvl w:val="0"/>
          <w:numId w:val="282"/>
        </w:numPr>
        <w:spacing w:beforeLines="50" w:before="180"/>
        <w:ind w:leftChars="0" w:left="1446" w:hanging="482"/>
        <w:jc w:val="both"/>
        <w:rPr>
          <w:rFonts w:eastAsia="標楷體" w:cstheme="minorHAnsi"/>
          <w:szCs w:val="24"/>
        </w:rPr>
      </w:pPr>
      <w:r w:rsidRPr="00CA1A43">
        <w:rPr>
          <w:rFonts w:eastAsia="標楷體" w:cstheme="minorHAnsi"/>
          <w:szCs w:val="24"/>
        </w:rPr>
        <w:t>穿透次數或極端值是指當在回溯測試期間中，交易台的一日實際損失或假設損失超過對應銀行模型所產出之每日風險值衡量結果。實際損失的穿透次數與假設損失的穿透次數需分開計算；穿透次數的總數，則取兩個數值中的較大者。</w:t>
      </w:r>
    </w:p>
    <w:p w14:paraId="25E583F1" w14:textId="77777777" w:rsidR="00CE5DBE" w:rsidRPr="00CA1A43" w:rsidRDefault="00CE5DBE" w:rsidP="008C0E02">
      <w:pPr>
        <w:pStyle w:val="a7"/>
        <w:numPr>
          <w:ilvl w:val="0"/>
          <w:numId w:val="282"/>
        </w:numPr>
        <w:spacing w:beforeLines="50" w:before="180"/>
        <w:ind w:leftChars="0" w:left="1446" w:hanging="482"/>
        <w:jc w:val="both"/>
        <w:rPr>
          <w:rFonts w:eastAsia="標楷體" w:cstheme="minorHAnsi"/>
          <w:szCs w:val="24"/>
        </w:rPr>
      </w:pPr>
      <w:r w:rsidRPr="00CA1A43">
        <w:rPr>
          <w:rFonts w:eastAsia="標楷體" w:cstheme="minorHAnsi"/>
          <w:szCs w:val="24"/>
        </w:rPr>
        <w:t>如果發生損益或風險衡量指標不可得或無法計算時，則將視為極端值。</w:t>
      </w:r>
    </w:p>
    <w:p w14:paraId="71038240" w14:textId="77777777" w:rsidR="00141579" w:rsidRPr="00CA1A43" w:rsidRDefault="00B762FF" w:rsidP="008C0E02">
      <w:pPr>
        <w:pStyle w:val="a7"/>
        <w:numPr>
          <w:ilvl w:val="0"/>
          <w:numId w:val="281"/>
        </w:numPr>
        <w:spacing w:beforeLines="50" w:before="180"/>
        <w:ind w:leftChars="0" w:left="964" w:hanging="482"/>
        <w:jc w:val="both"/>
        <w:rPr>
          <w:rFonts w:eastAsia="標楷體" w:cstheme="minorHAnsi"/>
          <w:kern w:val="0"/>
          <w:szCs w:val="24"/>
        </w:rPr>
      </w:pPr>
      <w:r w:rsidRPr="00CA1A43">
        <w:rPr>
          <w:rFonts w:eastAsia="標楷體" w:cstheme="minorHAnsi"/>
          <w:szCs w:val="24"/>
        </w:rPr>
        <w:t>若任一交易台在最近</w:t>
      </w:r>
      <w:r w:rsidRPr="00CA1A43">
        <w:rPr>
          <w:rFonts w:eastAsia="標楷體" w:cstheme="minorHAnsi"/>
          <w:szCs w:val="24"/>
        </w:rPr>
        <w:t>250</w:t>
      </w:r>
      <w:r w:rsidRPr="00CA1A43">
        <w:rPr>
          <w:rFonts w:eastAsia="標楷體" w:cstheme="minorHAnsi"/>
          <w:szCs w:val="24"/>
        </w:rPr>
        <w:t>個交易日內，於</w:t>
      </w:r>
      <w:r w:rsidRPr="00CA1A43">
        <w:rPr>
          <w:rFonts w:eastAsia="標楷體" w:cstheme="minorHAnsi"/>
          <w:szCs w:val="24"/>
        </w:rPr>
        <w:t>99%</w:t>
      </w:r>
      <w:r w:rsidRPr="00CA1A43">
        <w:rPr>
          <w:rFonts w:eastAsia="標楷體" w:cstheme="minorHAnsi"/>
          <w:szCs w:val="24"/>
        </w:rPr>
        <w:t>信賴水凖下超過</w:t>
      </w:r>
      <w:r w:rsidRPr="00CA1A43">
        <w:rPr>
          <w:rFonts w:eastAsia="標楷體" w:cstheme="minorHAnsi"/>
          <w:szCs w:val="24"/>
        </w:rPr>
        <w:t>12</w:t>
      </w:r>
      <w:r w:rsidRPr="00CA1A43">
        <w:rPr>
          <w:rFonts w:eastAsia="標楷體" w:cstheme="minorHAnsi"/>
          <w:szCs w:val="24"/>
        </w:rPr>
        <w:t>個穿透值或於</w:t>
      </w:r>
      <w:r w:rsidRPr="00CA1A43">
        <w:rPr>
          <w:rFonts w:eastAsia="標楷體" w:cstheme="minorHAnsi"/>
          <w:szCs w:val="24"/>
        </w:rPr>
        <w:t>97.5%</w:t>
      </w:r>
      <w:r w:rsidRPr="00CA1A43">
        <w:rPr>
          <w:rFonts w:eastAsia="標楷體" w:cstheme="minorHAnsi"/>
          <w:szCs w:val="24"/>
        </w:rPr>
        <w:t>信賴水凖下超過</w:t>
      </w:r>
      <w:r w:rsidRPr="00CA1A43">
        <w:rPr>
          <w:rFonts w:eastAsia="標楷體" w:cstheme="minorHAnsi"/>
          <w:szCs w:val="24"/>
        </w:rPr>
        <w:t>30</w:t>
      </w:r>
      <w:r w:rsidRPr="00CA1A43">
        <w:rPr>
          <w:rFonts w:eastAsia="標楷體" w:cstheme="minorHAnsi"/>
          <w:szCs w:val="24"/>
        </w:rPr>
        <w:t>個穿透值，則所有交易台部位之資本要求必須使用標準法。</w:t>
      </w:r>
      <w:r w:rsidRPr="00CA1A43">
        <w:rPr>
          <w:rStyle w:val="a5"/>
          <w:rFonts w:eastAsia="標楷體" w:cstheme="minorHAnsi"/>
          <w:szCs w:val="24"/>
        </w:rPr>
        <w:footnoteReference w:id="104"/>
      </w:r>
    </w:p>
    <w:p w14:paraId="2EA8B8F4" w14:textId="77777777" w:rsidR="00886E5D" w:rsidRPr="00CA1A43" w:rsidRDefault="00886E5D" w:rsidP="005066C2">
      <w:pPr>
        <w:pStyle w:val="a7"/>
        <w:numPr>
          <w:ilvl w:val="0"/>
          <w:numId w:val="283"/>
        </w:numPr>
        <w:spacing w:beforeLines="50" w:before="180"/>
        <w:ind w:leftChars="0" w:left="737" w:hanging="737"/>
        <w:jc w:val="both"/>
        <w:rPr>
          <w:rFonts w:eastAsia="標楷體" w:cstheme="minorHAnsi"/>
          <w:kern w:val="0"/>
          <w:szCs w:val="24"/>
        </w:rPr>
      </w:pPr>
      <w:r w:rsidRPr="00CA1A43">
        <w:rPr>
          <w:rFonts w:eastAsia="標楷體" w:cstheme="minorHAnsi"/>
          <w:szCs w:val="24"/>
        </w:rPr>
        <w:t>損益歸因</w:t>
      </w:r>
      <w:r w:rsidRPr="00CA1A43">
        <w:rPr>
          <w:rFonts w:eastAsia="標楷體" w:cstheme="minorHAnsi"/>
          <w:szCs w:val="24"/>
        </w:rPr>
        <w:t>(P&amp;L attribution, PLA)</w:t>
      </w:r>
      <w:r w:rsidRPr="00CA1A43">
        <w:rPr>
          <w:rFonts w:eastAsia="標楷體" w:cstheme="minorHAnsi"/>
          <w:szCs w:val="24"/>
        </w:rPr>
        <w:t>測試：</w:t>
      </w:r>
    </w:p>
    <w:p w14:paraId="19CC2B1B" w14:textId="77777777" w:rsidR="00886E5D" w:rsidRPr="00CA1A43" w:rsidRDefault="00886E5D" w:rsidP="00886E5D">
      <w:pPr>
        <w:pStyle w:val="a7"/>
        <w:spacing w:beforeLines="50" w:before="180"/>
        <w:ind w:leftChars="0" w:left="737"/>
        <w:jc w:val="both"/>
        <w:rPr>
          <w:rFonts w:eastAsia="標楷體" w:cstheme="minorHAnsi"/>
          <w:kern w:val="0"/>
          <w:szCs w:val="24"/>
        </w:rPr>
      </w:pPr>
      <w:r w:rsidRPr="00CA1A43">
        <w:rPr>
          <w:rFonts w:eastAsia="標楷體" w:cstheme="minorHAnsi"/>
          <w:szCs w:val="24"/>
        </w:rPr>
        <w:t>採用內部模型法計算市場風險資本計提之銀行，應於個別交易台獨立基礎下，將每日風險理論損益</w:t>
      </w:r>
      <w:r w:rsidRPr="00CA1A43">
        <w:rPr>
          <w:rFonts w:eastAsia="標楷體" w:cstheme="minorHAnsi"/>
          <w:szCs w:val="24"/>
        </w:rPr>
        <w:t>(RTPL)</w:t>
      </w:r>
      <w:r w:rsidRPr="00CA1A43">
        <w:rPr>
          <w:rFonts w:eastAsia="標楷體" w:cstheme="minorHAnsi"/>
          <w:szCs w:val="24"/>
        </w:rPr>
        <w:t>與每日假設損益</w:t>
      </w:r>
      <w:r w:rsidRPr="00CA1A43">
        <w:rPr>
          <w:rFonts w:eastAsia="標楷體" w:cstheme="minorHAnsi"/>
          <w:szCs w:val="24"/>
        </w:rPr>
        <w:t>(HPL)</w:t>
      </w:r>
      <w:r w:rsidRPr="00CA1A43">
        <w:rPr>
          <w:rFonts w:eastAsia="標楷體" w:cstheme="minorHAnsi"/>
          <w:szCs w:val="24"/>
        </w:rPr>
        <w:t>進行比較，以衡量資本計提內部模型與前台系統部位評價之差異，若該差異過於重大，則銀行不得採用此內部模型進行資本計提。</w:t>
      </w:r>
    </w:p>
    <w:p w14:paraId="489E62B4" w14:textId="77777777" w:rsidR="00303185" w:rsidRPr="00CA1A43" w:rsidRDefault="00303185" w:rsidP="005066C2">
      <w:pPr>
        <w:pStyle w:val="a7"/>
        <w:numPr>
          <w:ilvl w:val="0"/>
          <w:numId w:val="287"/>
        </w:numPr>
        <w:spacing w:beforeLines="50" w:before="180"/>
        <w:ind w:leftChars="0" w:left="964" w:hanging="482"/>
        <w:jc w:val="both"/>
        <w:rPr>
          <w:rFonts w:eastAsia="標楷體" w:cstheme="minorHAnsi"/>
          <w:szCs w:val="24"/>
        </w:rPr>
      </w:pPr>
      <w:r w:rsidRPr="00CA1A43">
        <w:rPr>
          <w:rFonts w:eastAsia="標楷體" w:cstheme="minorHAnsi"/>
        </w:rPr>
        <w:t>損益歸因</w:t>
      </w:r>
      <w:r w:rsidRPr="00CA1A43">
        <w:rPr>
          <w:rFonts w:eastAsia="標楷體" w:cstheme="minorHAnsi"/>
        </w:rPr>
        <w:t>(PLA)</w:t>
      </w:r>
      <w:r w:rsidRPr="00CA1A43">
        <w:rPr>
          <w:rFonts w:eastAsia="標楷體" w:cstheme="minorHAnsi"/>
          <w:szCs w:val="24"/>
        </w:rPr>
        <w:t>測試數據調整：</w:t>
      </w:r>
    </w:p>
    <w:p w14:paraId="7F3D808F" w14:textId="77777777" w:rsidR="00303185" w:rsidRPr="00CA1A43" w:rsidRDefault="00303185" w:rsidP="005066C2">
      <w:pPr>
        <w:pStyle w:val="a7"/>
        <w:numPr>
          <w:ilvl w:val="0"/>
          <w:numId w:val="284"/>
        </w:numPr>
        <w:spacing w:beforeLines="50" w:before="180"/>
        <w:ind w:leftChars="0" w:left="1446" w:hanging="482"/>
        <w:jc w:val="both"/>
        <w:rPr>
          <w:rFonts w:eastAsia="標楷體" w:cstheme="minorHAnsi"/>
          <w:szCs w:val="24"/>
        </w:rPr>
      </w:pPr>
      <w:r w:rsidRPr="00CA1A43">
        <w:rPr>
          <w:rFonts w:eastAsia="標楷體" w:cstheme="minorHAnsi"/>
          <w:szCs w:val="24"/>
        </w:rPr>
        <w:t>為</w:t>
      </w:r>
      <w:r w:rsidRPr="00CA1A43">
        <w:rPr>
          <w:rFonts w:eastAsia="標楷體" w:cstheme="minorHAnsi"/>
        </w:rPr>
        <w:t>損益歸因</w:t>
      </w:r>
      <w:r w:rsidRPr="00CA1A43">
        <w:rPr>
          <w:rFonts w:eastAsia="標楷體" w:cstheme="minorHAnsi"/>
        </w:rPr>
        <w:t>(PLA)</w:t>
      </w:r>
      <w:r w:rsidRPr="00CA1A43">
        <w:rPr>
          <w:rFonts w:eastAsia="標楷體" w:cstheme="minorHAnsi"/>
          <w:szCs w:val="24"/>
        </w:rPr>
        <w:t>測試目的，銀行計算風險理論損益</w:t>
      </w:r>
      <w:r w:rsidRPr="00CA1A43">
        <w:rPr>
          <w:rFonts w:eastAsia="標楷體" w:cstheme="minorHAnsi"/>
          <w:szCs w:val="24"/>
        </w:rPr>
        <w:t>(RTPL)</w:t>
      </w:r>
      <w:r w:rsidRPr="00CA1A43">
        <w:rPr>
          <w:rFonts w:eastAsia="標楷體" w:cstheme="minorHAnsi"/>
          <w:szCs w:val="24"/>
        </w:rPr>
        <w:t>時可使用假設損益</w:t>
      </w:r>
      <w:r w:rsidRPr="00CA1A43">
        <w:rPr>
          <w:rFonts w:eastAsia="標楷體" w:cstheme="minorHAnsi"/>
          <w:szCs w:val="24"/>
        </w:rPr>
        <w:t>(HPL)</w:t>
      </w:r>
      <w:r w:rsidRPr="00CA1A43">
        <w:rPr>
          <w:rFonts w:eastAsia="標楷體" w:cstheme="minorHAnsi"/>
          <w:szCs w:val="24"/>
        </w:rPr>
        <w:t>風險因子輸入數據，但該項數據調整須經本會核准並符合以下要求，其調整過程須以文件化方式留存。</w:t>
      </w:r>
    </w:p>
    <w:p w14:paraId="7579E0BD" w14:textId="77777777" w:rsidR="00303185" w:rsidRPr="00CA1A43" w:rsidRDefault="00303185" w:rsidP="005066C2">
      <w:pPr>
        <w:pStyle w:val="a7"/>
        <w:numPr>
          <w:ilvl w:val="0"/>
          <w:numId w:val="285"/>
        </w:numPr>
        <w:spacing w:beforeLines="50" w:before="180"/>
        <w:ind w:leftChars="0"/>
        <w:jc w:val="both"/>
        <w:rPr>
          <w:rFonts w:eastAsia="標楷體" w:cstheme="minorHAnsi"/>
          <w:szCs w:val="24"/>
        </w:rPr>
      </w:pPr>
      <w:r w:rsidRPr="00CA1A43">
        <w:rPr>
          <w:rFonts w:eastAsia="標楷體" w:cstheme="minorHAnsi"/>
          <w:szCs w:val="24"/>
        </w:rPr>
        <w:t>證明將假設損益</w:t>
      </w:r>
      <w:r w:rsidRPr="00CA1A43">
        <w:rPr>
          <w:rFonts w:eastAsia="標楷體" w:cstheme="minorHAnsi"/>
          <w:szCs w:val="24"/>
        </w:rPr>
        <w:t>(HPL)</w:t>
      </w:r>
      <w:r w:rsidRPr="00CA1A43">
        <w:rPr>
          <w:rFonts w:eastAsia="標楷體" w:cstheme="minorHAnsi"/>
          <w:szCs w:val="24"/>
        </w:rPr>
        <w:t>輸入數據用於風險理論損益</w:t>
      </w:r>
      <w:r w:rsidRPr="00CA1A43">
        <w:rPr>
          <w:rFonts w:eastAsia="標楷體" w:cstheme="minorHAnsi"/>
          <w:szCs w:val="24"/>
        </w:rPr>
        <w:t>(RTPL)</w:t>
      </w:r>
      <w:r w:rsidRPr="00CA1A43">
        <w:rPr>
          <w:rFonts w:eastAsia="標楷體" w:cstheme="minorHAnsi"/>
          <w:szCs w:val="24"/>
        </w:rPr>
        <w:t>之適當性，並且在數據轉換過程中，沒有忽略任何風險因子或評價差異。</w:t>
      </w:r>
    </w:p>
    <w:p w14:paraId="5FAF96FD" w14:textId="77777777" w:rsidR="00303185" w:rsidRPr="00CA1A43" w:rsidRDefault="00303185" w:rsidP="005066C2">
      <w:pPr>
        <w:pStyle w:val="a7"/>
        <w:numPr>
          <w:ilvl w:val="0"/>
          <w:numId w:val="285"/>
        </w:numPr>
        <w:spacing w:beforeLines="50" w:before="180"/>
        <w:ind w:leftChars="0"/>
        <w:jc w:val="both"/>
        <w:rPr>
          <w:rFonts w:eastAsia="標楷體" w:cstheme="minorHAnsi"/>
          <w:szCs w:val="24"/>
        </w:rPr>
      </w:pPr>
      <w:r w:rsidRPr="00CA1A43">
        <w:rPr>
          <w:rFonts w:eastAsia="標楷體" w:cstheme="minorHAnsi"/>
          <w:szCs w:val="24"/>
        </w:rPr>
        <w:t>風險理論損益</w:t>
      </w:r>
      <w:r w:rsidRPr="00CA1A43">
        <w:rPr>
          <w:rFonts w:eastAsia="標楷體" w:cstheme="minorHAnsi"/>
          <w:szCs w:val="24"/>
        </w:rPr>
        <w:t>(RTPL)</w:t>
      </w:r>
      <w:r w:rsidRPr="00CA1A43">
        <w:rPr>
          <w:rFonts w:eastAsia="標楷體" w:cstheme="minorHAnsi"/>
          <w:szCs w:val="24"/>
        </w:rPr>
        <w:t>輸入數據的任何調整必須妥善記錄、驗證並向本會證明其合理性。</w:t>
      </w:r>
    </w:p>
    <w:p w14:paraId="6E404A23" w14:textId="77777777" w:rsidR="00303185" w:rsidRPr="00CA1A43" w:rsidRDefault="00303185" w:rsidP="005066C2">
      <w:pPr>
        <w:pStyle w:val="a7"/>
        <w:numPr>
          <w:ilvl w:val="0"/>
          <w:numId w:val="285"/>
        </w:numPr>
        <w:spacing w:beforeLines="50" w:before="180"/>
        <w:ind w:leftChars="0"/>
        <w:jc w:val="both"/>
        <w:rPr>
          <w:rFonts w:eastAsia="標楷體" w:cstheme="minorHAnsi"/>
          <w:szCs w:val="24"/>
        </w:rPr>
      </w:pPr>
      <w:r w:rsidRPr="00CA1A43">
        <w:rPr>
          <w:rFonts w:eastAsia="標楷體" w:cstheme="minorHAnsi"/>
          <w:szCs w:val="24"/>
        </w:rPr>
        <w:t>對風險理論損益</w:t>
      </w:r>
      <w:r w:rsidRPr="00CA1A43">
        <w:rPr>
          <w:rFonts w:eastAsia="標楷體" w:cstheme="minorHAnsi"/>
          <w:szCs w:val="24"/>
        </w:rPr>
        <w:t>(RTPL)</w:t>
      </w:r>
      <w:r w:rsidRPr="00CA1A43">
        <w:rPr>
          <w:rFonts w:eastAsia="標楷體" w:cstheme="minorHAnsi"/>
          <w:szCs w:val="24"/>
        </w:rPr>
        <w:t>輸入數據調整方式之變更須制定相關程序，若有任何變更皆須通知本會。</w:t>
      </w:r>
    </w:p>
    <w:p w14:paraId="336925F0" w14:textId="77777777" w:rsidR="00303185" w:rsidRPr="00CA1A43" w:rsidRDefault="00303185" w:rsidP="005066C2">
      <w:pPr>
        <w:pStyle w:val="a7"/>
        <w:numPr>
          <w:ilvl w:val="0"/>
          <w:numId w:val="285"/>
        </w:numPr>
        <w:spacing w:beforeLines="50" w:before="180"/>
        <w:ind w:leftChars="0"/>
        <w:jc w:val="both"/>
        <w:rPr>
          <w:rFonts w:eastAsia="標楷體" w:cstheme="minorHAnsi"/>
          <w:szCs w:val="24"/>
        </w:rPr>
      </w:pPr>
      <w:r w:rsidRPr="00CA1A43">
        <w:rPr>
          <w:rFonts w:eastAsia="標楷體" w:cstheme="minorHAnsi"/>
          <w:szCs w:val="24"/>
        </w:rPr>
        <w:t>在規劃及變更數據調整方法時，對於調整前後之風險理論損益</w:t>
      </w:r>
      <w:r w:rsidRPr="00CA1A43">
        <w:rPr>
          <w:rFonts w:eastAsia="標楷體" w:cstheme="minorHAnsi"/>
          <w:szCs w:val="24"/>
        </w:rPr>
        <w:t>(RTPL)</w:t>
      </w:r>
      <w:r w:rsidRPr="00CA1A43">
        <w:rPr>
          <w:rFonts w:eastAsia="標楷體" w:cstheme="minorHAnsi"/>
          <w:szCs w:val="24"/>
        </w:rPr>
        <w:t>進行比較，以評估數據調整對風險理論損益</w:t>
      </w:r>
      <w:r w:rsidRPr="00CA1A43">
        <w:rPr>
          <w:rFonts w:eastAsia="標楷體" w:cstheme="minorHAnsi"/>
          <w:szCs w:val="24"/>
        </w:rPr>
        <w:t>(RTPL)</w:t>
      </w:r>
      <w:r w:rsidRPr="00CA1A43">
        <w:rPr>
          <w:rFonts w:eastAsia="標楷體" w:cstheme="minorHAnsi"/>
          <w:szCs w:val="24"/>
        </w:rPr>
        <w:t>及</w:t>
      </w:r>
      <w:r w:rsidRPr="00CA1A43">
        <w:rPr>
          <w:rFonts w:eastAsia="標楷體" w:cstheme="minorHAnsi"/>
        </w:rPr>
        <w:t>損</w:t>
      </w:r>
      <w:r w:rsidRPr="00CA1A43">
        <w:rPr>
          <w:rFonts w:eastAsia="標楷體" w:cstheme="minorHAnsi"/>
        </w:rPr>
        <w:lastRenderedPageBreak/>
        <w:t>益歸因</w:t>
      </w:r>
      <w:r w:rsidRPr="00CA1A43">
        <w:rPr>
          <w:rFonts w:eastAsia="標楷體" w:cstheme="minorHAnsi"/>
        </w:rPr>
        <w:t>(PLA)</w:t>
      </w:r>
      <w:r w:rsidRPr="00CA1A43">
        <w:rPr>
          <w:rFonts w:eastAsia="標楷體" w:cstheme="minorHAnsi"/>
          <w:szCs w:val="24"/>
        </w:rPr>
        <w:t>測試之影響，並留存文件供本會備查。</w:t>
      </w:r>
    </w:p>
    <w:p w14:paraId="63E14087" w14:textId="77777777" w:rsidR="00303185" w:rsidRPr="00CA1A43" w:rsidRDefault="00303185" w:rsidP="005066C2">
      <w:pPr>
        <w:pStyle w:val="a7"/>
        <w:numPr>
          <w:ilvl w:val="0"/>
          <w:numId w:val="284"/>
        </w:numPr>
        <w:spacing w:beforeLines="50" w:before="180"/>
        <w:ind w:leftChars="0" w:left="1446" w:hanging="482"/>
        <w:jc w:val="both"/>
        <w:rPr>
          <w:rFonts w:eastAsia="標楷體" w:cstheme="minorHAnsi"/>
          <w:szCs w:val="24"/>
        </w:rPr>
      </w:pPr>
      <w:r w:rsidRPr="00CA1A43">
        <w:rPr>
          <w:rFonts w:eastAsia="標楷體" w:cstheme="minorHAnsi"/>
          <w:szCs w:val="24"/>
        </w:rPr>
        <w:t>銀行因採用不同</w:t>
      </w:r>
      <w:r w:rsidRPr="00CA1A43">
        <w:rPr>
          <w:rFonts w:eastAsia="標楷體" w:cstheme="minorHAnsi"/>
        </w:rPr>
        <w:t>市場</w:t>
      </w:r>
      <w:r w:rsidRPr="00CA1A43">
        <w:rPr>
          <w:rFonts w:eastAsia="標楷體" w:cstheme="minorHAnsi"/>
          <w:szCs w:val="24"/>
        </w:rPr>
        <w:t>數據來源、不同時間點之市場資料或將市場數據轉換為適合該模型的風險因子的輸入數據而造成風險理論損益</w:t>
      </w:r>
      <w:r w:rsidRPr="00CA1A43">
        <w:rPr>
          <w:rFonts w:eastAsia="標楷體" w:cstheme="minorHAnsi"/>
          <w:szCs w:val="24"/>
        </w:rPr>
        <w:t>(RTPL)</w:t>
      </w:r>
      <w:r w:rsidRPr="00CA1A43">
        <w:rPr>
          <w:rFonts w:eastAsia="標楷體" w:cstheme="minorHAnsi"/>
          <w:szCs w:val="24"/>
        </w:rPr>
        <w:t>及假設損益</w:t>
      </w:r>
      <w:r w:rsidRPr="00CA1A43">
        <w:rPr>
          <w:rFonts w:eastAsia="標楷體" w:cstheme="minorHAnsi"/>
          <w:szCs w:val="24"/>
        </w:rPr>
        <w:t>(HPL)</w:t>
      </w:r>
      <w:r w:rsidRPr="00CA1A43">
        <w:rPr>
          <w:rFonts w:eastAsia="標楷體" w:cstheme="minorHAnsi"/>
          <w:szCs w:val="24"/>
        </w:rPr>
        <w:t>的風險因子的輸入數據差異時，對風險理論損益</w:t>
      </w:r>
      <w:r w:rsidRPr="00CA1A43">
        <w:rPr>
          <w:rFonts w:eastAsia="標楷體" w:cstheme="minorHAnsi"/>
          <w:szCs w:val="24"/>
        </w:rPr>
        <w:t>(RTPL)</w:t>
      </w:r>
      <w:r w:rsidRPr="00CA1A43">
        <w:rPr>
          <w:rFonts w:eastAsia="標楷體" w:cstheme="minorHAnsi"/>
          <w:szCs w:val="24"/>
        </w:rPr>
        <w:t>輸入數據可依以下任</w:t>
      </w:r>
      <w:proofErr w:type="gramStart"/>
      <w:r w:rsidRPr="00CA1A43">
        <w:rPr>
          <w:rFonts w:eastAsia="標楷體" w:cstheme="minorHAnsi"/>
          <w:szCs w:val="24"/>
        </w:rPr>
        <w:t>一</w:t>
      </w:r>
      <w:proofErr w:type="gramEnd"/>
      <w:r w:rsidRPr="00CA1A43">
        <w:rPr>
          <w:rFonts w:eastAsia="標楷體" w:cstheme="minorHAnsi"/>
          <w:szCs w:val="24"/>
        </w:rPr>
        <w:t>方式進行調整：</w:t>
      </w:r>
    </w:p>
    <w:p w14:paraId="53755ACD" w14:textId="77777777" w:rsidR="00303185" w:rsidRPr="00CA1A43" w:rsidRDefault="00303185" w:rsidP="005066C2">
      <w:pPr>
        <w:pStyle w:val="a7"/>
        <w:numPr>
          <w:ilvl w:val="0"/>
          <w:numId w:val="286"/>
        </w:numPr>
        <w:spacing w:beforeLines="50" w:before="180"/>
        <w:ind w:leftChars="0"/>
        <w:jc w:val="both"/>
        <w:rPr>
          <w:rFonts w:eastAsia="標楷體" w:cstheme="minorHAnsi"/>
          <w:szCs w:val="24"/>
        </w:rPr>
      </w:pPr>
      <w:r w:rsidRPr="00CA1A43">
        <w:rPr>
          <w:rFonts w:eastAsia="標楷體" w:cstheme="minorHAnsi"/>
          <w:szCs w:val="24"/>
        </w:rPr>
        <w:t>以假設損益</w:t>
      </w:r>
      <w:r w:rsidRPr="00CA1A43">
        <w:rPr>
          <w:rFonts w:eastAsia="標楷體" w:cstheme="minorHAnsi"/>
          <w:szCs w:val="24"/>
        </w:rPr>
        <w:t>(HPL)</w:t>
      </w:r>
      <w:r w:rsidRPr="00CA1A43">
        <w:rPr>
          <w:rFonts w:eastAsia="標楷體" w:cstheme="minorHAnsi"/>
          <w:szCs w:val="24"/>
        </w:rPr>
        <w:t>輸入數據替代風險理論損益</w:t>
      </w:r>
      <w:r w:rsidRPr="00CA1A43">
        <w:rPr>
          <w:rFonts w:eastAsia="標楷體" w:cstheme="minorHAnsi"/>
          <w:szCs w:val="24"/>
        </w:rPr>
        <w:t>(RTPL)</w:t>
      </w:r>
      <w:r w:rsidRPr="00CA1A43">
        <w:rPr>
          <w:rFonts w:eastAsia="標楷體" w:cstheme="minorHAnsi"/>
          <w:szCs w:val="24"/>
        </w:rPr>
        <w:t>輸入數據</w:t>
      </w:r>
    </w:p>
    <w:p w14:paraId="5829498E" w14:textId="77777777" w:rsidR="00303185" w:rsidRPr="00CA1A43" w:rsidRDefault="00303185" w:rsidP="005066C2">
      <w:pPr>
        <w:pStyle w:val="a7"/>
        <w:numPr>
          <w:ilvl w:val="0"/>
          <w:numId w:val="286"/>
        </w:numPr>
        <w:spacing w:beforeLines="50" w:before="180"/>
        <w:ind w:leftChars="0"/>
        <w:jc w:val="both"/>
        <w:rPr>
          <w:rFonts w:eastAsia="標楷體" w:cstheme="minorHAnsi"/>
          <w:szCs w:val="24"/>
        </w:rPr>
      </w:pPr>
      <w:r w:rsidRPr="00CA1A43">
        <w:rPr>
          <w:rFonts w:eastAsia="標楷體" w:cstheme="minorHAnsi"/>
          <w:szCs w:val="24"/>
        </w:rPr>
        <w:t>採用假設損益</w:t>
      </w:r>
      <w:r w:rsidRPr="00CA1A43">
        <w:rPr>
          <w:rFonts w:eastAsia="標楷體" w:cstheme="minorHAnsi"/>
          <w:szCs w:val="24"/>
        </w:rPr>
        <w:t>(HPL)</w:t>
      </w:r>
      <w:r w:rsidRPr="00CA1A43">
        <w:rPr>
          <w:rFonts w:eastAsia="標楷體" w:cstheme="minorHAnsi"/>
          <w:szCs w:val="24"/>
        </w:rPr>
        <w:t>輸入數據計算風險理論損益</w:t>
      </w:r>
      <w:r w:rsidRPr="00CA1A43">
        <w:rPr>
          <w:rFonts w:eastAsia="標楷體" w:cstheme="minorHAnsi"/>
          <w:szCs w:val="24"/>
        </w:rPr>
        <w:t>(RTPL)/</w:t>
      </w:r>
      <w:r w:rsidRPr="00CA1A43">
        <w:rPr>
          <w:rFonts w:eastAsia="標楷體" w:cstheme="minorHAnsi"/>
          <w:szCs w:val="24"/>
        </w:rPr>
        <w:t>預期短缺</w:t>
      </w:r>
      <w:r w:rsidRPr="00CA1A43">
        <w:rPr>
          <w:rFonts w:eastAsia="標楷體" w:cstheme="minorHAnsi"/>
          <w:szCs w:val="24"/>
        </w:rPr>
        <w:t>(ES)</w:t>
      </w:r>
      <w:r w:rsidRPr="00CA1A43">
        <w:rPr>
          <w:rFonts w:eastAsia="標楷體" w:cstheme="minorHAnsi"/>
          <w:szCs w:val="24"/>
        </w:rPr>
        <w:t>模型中所需的風險因子輸入數據</w:t>
      </w:r>
    </w:p>
    <w:p w14:paraId="42F7B9AF" w14:textId="77777777" w:rsidR="00893750" w:rsidRPr="00CA1A43" w:rsidRDefault="00893750" w:rsidP="005066C2">
      <w:pPr>
        <w:pStyle w:val="a7"/>
        <w:numPr>
          <w:ilvl w:val="0"/>
          <w:numId w:val="284"/>
        </w:numPr>
        <w:spacing w:beforeLines="50" w:before="180"/>
        <w:ind w:leftChars="0" w:left="1446" w:hanging="482"/>
        <w:jc w:val="both"/>
        <w:rPr>
          <w:rFonts w:eastAsia="標楷體" w:cstheme="minorHAnsi"/>
        </w:rPr>
      </w:pPr>
      <w:r w:rsidRPr="00CA1A43">
        <w:rPr>
          <w:rFonts w:eastAsia="標楷體" w:cstheme="minorHAnsi"/>
          <w:szCs w:val="24"/>
        </w:rPr>
        <w:t>若計算假設損益</w:t>
      </w:r>
      <w:r w:rsidRPr="00CA1A43">
        <w:rPr>
          <w:rFonts w:eastAsia="標楷體" w:cstheme="minorHAnsi"/>
          <w:szCs w:val="24"/>
        </w:rPr>
        <w:t>(HPL)</w:t>
      </w:r>
      <w:r w:rsidRPr="00CA1A43">
        <w:rPr>
          <w:rFonts w:eastAsia="標楷體" w:cstheme="minorHAnsi"/>
          <w:szCs w:val="24"/>
        </w:rPr>
        <w:t>之市場資料與風險理論損益</w:t>
      </w:r>
      <w:r w:rsidRPr="00CA1A43">
        <w:rPr>
          <w:rFonts w:eastAsia="標楷體" w:cstheme="minorHAnsi"/>
          <w:szCs w:val="24"/>
        </w:rPr>
        <w:t>(RTPL)</w:t>
      </w:r>
      <w:r w:rsidRPr="00CA1A43">
        <w:rPr>
          <w:rFonts w:eastAsia="標楷體" w:cstheme="minorHAnsi"/>
          <w:szCs w:val="24"/>
        </w:rPr>
        <w:t>之評價參數採用不同方法，仍須使用相同市場數據為基礎，但採用各自方法計算對應之評價參數，且該差異必須被反映在損益歸因</w:t>
      </w:r>
      <w:r w:rsidRPr="00CA1A43">
        <w:rPr>
          <w:rFonts w:eastAsia="標楷體" w:cstheme="minorHAnsi"/>
          <w:szCs w:val="24"/>
        </w:rPr>
        <w:t>(PLA)</w:t>
      </w:r>
      <w:r w:rsidRPr="00CA1A43">
        <w:rPr>
          <w:rFonts w:eastAsia="標楷體" w:cstheme="minorHAnsi"/>
          <w:szCs w:val="24"/>
        </w:rPr>
        <w:t>測試及假設損益</w:t>
      </w:r>
      <w:r w:rsidRPr="00CA1A43">
        <w:rPr>
          <w:rFonts w:eastAsia="標楷體" w:cstheme="minorHAnsi"/>
          <w:szCs w:val="24"/>
        </w:rPr>
        <w:t>(HPL)</w:t>
      </w:r>
      <w:r w:rsidRPr="00CA1A43">
        <w:rPr>
          <w:rFonts w:eastAsia="標楷體" w:cstheme="minorHAnsi"/>
          <w:szCs w:val="24"/>
        </w:rPr>
        <w:t>與風險</w:t>
      </w:r>
      <w:r w:rsidRPr="00CA1A43">
        <w:rPr>
          <w:rFonts w:eastAsia="標楷體" w:cstheme="minorHAnsi"/>
        </w:rPr>
        <w:t>理論損益</w:t>
      </w:r>
      <w:r w:rsidRPr="00CA1A43">
        <w:rPr>
          <w:rFonts w:eastAsia="標楷體" w:cstheme="minorHAnsi"/>
        </w:rPr>
        <w:t>(RTPL)</w:t>
      </w:r>
      <w:r w:rsidRPr="00CA1A43">
        <w:rPr>
          <w:rFonts w:eastAsia="標楷體" w:cstheme="minorHAnsi"/>
        </w:rPr>
        <w:t>的計算結果。市場資料之對齊應發生在轉換計算前而非轉換後。</w:t>
      </w:r>
    </w:p>
    <w:p w14:paraId="349B3409" w14:textId="77777777" w:rsidR="00893750" w:rsidRPr="00CA1A43" w:rsidRDefault="00893750" w:rsidP="005066C2">
      <w:pPr>
        <w:pStyle w:val="a7"/>
        <w:numPr>
          <w:ilvl w:val="0"/>
          <w:numId w:val="284"/>
        </w:numPr>
        <w:spacing w:beforeLines="50" w:before="180"/>
        <w:ind w:leftChars="0" w:left="1446" w:hanging="482"/>
        <w:jc w:val="both"/>
        <w:rPr>
          <w:rFonts w:eastAsia="標楷體" w:cstheme="minorHAnsi"/>
        </w:rPr>
      </w:pPr>
      <w:r w:rsidRPr="00CA1A43">
        <w:rPr>
          <w:rFonts w:eastAsia="標楷體" w:cstheme="minorHAnsi"/>
        </w:rPr>
        <w:t>銀行不得採用風險理論損益</w:t>
      </w:r>
      <w:r w:rsidRPr="00CA1A43">
        <w:rPr>
          <w:rFonts w:eastAsia="標楷體" w:cstheme="minorHAnsi"/>
        </w:rPr>
        <w:t>(RTPL)</w:t>
      </w:r>
      <w:r w:rsidRPr="00CA1A43">
        <w:rPr>
          <w:rFonts w:eastAsia="標楷體" w:cstheme="minorHAnsi"/>
        </w:rPr>
        <w:t>之風險因子輸入數據用於計算假設損益</w:t>
      </w:r>
      <w:r w:rsidRPr="00CA1A43">
        <w:rPr>
          <w:rFonts w:eastAsia="標楷體" w:cstheme="minorHAnsi"/>
        </w:rPr>
        <w:t>(HPL)</w:t>
      </w:r>
      <w:r w:rsidRPr="00CA1A43">
        <w:rPr>
          <w:rFonts w:eastAsia="標楷體" w:cstheme="minorHAnsi"/>
        </w:rPr>
        <w:t>。</w:t>
      </w:r>
    </w:p>
    <w:p w14:paraId="4127FF5B" w14:textId="77777777" w:rsidR="00893750" w:rsidRPr="00CA1A43" w:rsidRDefault="00893750" w:rsidP="005066C2">
      <w:pPr>
        <w:pStyle w:val="a7"/>
        <w:numPr>
          <w:ilvl w:val="0"/>
          <w:numId w:val="284"/>
        </w:numPr>
        <w:spacing w:beforeLines="50" w:before="180"/>
        <w:ind w:leftChars="0" w:left="1446" w:hanging="482"/>
        <w:jc w:val="both"/>
        <w:rPr>
          <w:rFonts w:eastAsia="標楷體" w:cstheme="minorHAnsi"/>
          <w:szCs w:val="24"/>
        </w:rPr>
      </w:pPr>
      <w:r w:rsidRPr="00CA1A43">
        <w:rPr>
          <w:rFonts w:eastAsia="標楷體" w:cstheme="minorHAnsi"/>
        </w:rPr>
        <w:t>銀行</w:t>
      </w:r>
      <w:r w:rsidRPr="00CA1A43">
        <w:rPr>
          <w:rFonts w:eastAsia="標楷體" w:cstheme="minorHAnsi"/>
          <w:szCs w:val="24"/>
        </w:rPr>
        <w:t>不得為解決其餘作業問題</w:t>
      </w:r>
      <w:r w:rsidRPr="00CA1A43">
        <w:rPr>
          <w:rStyle w:val="a5"/>
          <w:rFonts w:eastAsia="標楷體" w:cstheme="minorHAnsi"/>
          <w:szCs w:val="24"/>
        </w:rPr>
        <w:footnoteReference w:id="105"/>
      </w:r>
      <w:r w:rsidRPr="00CA1A43">
        <w:rPr>
          <w:rFonts w:eastAsia="標楷體" w:cstheme="minorHAnsi"/>
          <w:szCs w:val="24"/>
        </w:rPr>
        <w:t>而調整風險理論損益</w:t>
      </w:r>
      <w:r w:rsidRPr="00CA1A43">
        <w:rPr>
          <w:rFonts w:eastAsia="標楷體" w:cstheme="minorHAnsi"/>
          <w:szCs w:val="24"/>
        </w:rPr>
        <w:t>(RTPL)</w:t>
      </w:r>
      <w:r w:rsidRPr="00CA1A43">
        <w:rPr>
          <w:rFonts w:eastAsia="標楷體" w:cstheme="minorHAnsi"/>
          <w:szCs w:val="24"/>
        </w:rPr>
        <w:t>及假設損益</w:t>
      </w:r>
      <w:r w:rsidRPr="00CA1A43">
        <w:rPr>
          <w:rFonts w:eastAsia="標楷體" w:cstheme="minorHAnsi"/>
          <w:szCs w:val="24"/>
        </w:rPr>
        <w:t>(HPL)</w:t>
      </w:r>
      <w:r w:rsidRPr="00CA1A43">
        <w:rPr>
          <w:rFonts w:eastAsia="標楷體" w:cstheme="minorHAnsi"/>
          <w:szCs w:val="24"/>
        </w:rPr>
        <w:t>。</w:t>
      </w:r>
    </w:p>
    <w:p w14:paraId="367C27D7" w14:textId="77777777" w:rsidR="00893750" w:rsidRPr="00CA1A43" w:rsidRDefault="00893750" w:rsidP="005066C2">
      <w:pPr>
        <w:pStyle w:val="a7"/>
        <w:numPr>
          <w:ilvl w:val="0"/>
          <w:numId w:val="287"/>
        </w:numPr>
        <w:spacing w:beforeLines="50" w:before="180"/>
        <w:ind w:leftChars="0" w:left="964" w:hanging="482"/>
        <w:jc w:val="both"/>
        <w:rPr>
          <w:rFonts w:eastAsia="標楷體" w:cstheme="minorHAnsi"/>
          <w:szCs w:val="24"/>
        </w:rPr>
      </w:pPr>
      <w:r w:rsidRPr="00CA1A43">
        <w:rPr>
          <w:rFonts w:eastAsia="標楷體" w:cstheme="minorHAnsi"/>
          <w:szCs w:val="24"/>
        </w:rPr>
        <w:t>損益歸因</w:t>
      </w:r>
      <w:r w:rsidRPr="00CA1A43">
        <w:rPr>
          <w:rFonts w:eastAsia="標楷體" w:cstheme="minorHAnsi"/>
          <w:szCs w:val="24"/>
        </w:rPr>
        <w:t>(PLA)</w:t>
      </w:r>
      <w:r w:rsidRPr="00CA1A43">
        <w:rPr>
          <w:rFonts w:eastAsia="標楷體" w:cstheme="minorHAnsi"/>
          <w:szCs w:val="24"/>
        </w:rPr>
        <w:t>測試指標：</w:t>
      </w:r>
    </w:p>
    <w:p w14:paraId="54113E84" w14:textId="77777777" w:rsidR="00893750" w:rsidRPr="00CA1A43" w:rsidRDefault="005519EB" w:rsidP="005519EB">
      <w:pPr>
        <w:pStyle w:val="a7"/>
        <w:spacing w:beforeLines="50" w:before="180"/>
        <w:ind w:leftChars="0" w:left="964"/>
        <w:jc w:val="both"/>
        <w:rPr>
          <w:rFonts w:eastAsia="標楷體" w:cstheme="minorHAnsi"/>
          <w:szCs w:val="24"/>
        </w:rPr>
      </w:pPr>
      <w:r w:rsidRPr="00CA1A43">
        <w:rPr>
          <w:rFonts w:eastAsia="標楷體" w:cstheme="minorHAnsi"/>
          <w:szCs w:val="24"/>
        </w:rPr>
        <w:t>採用交易台最近</w:t>
      </w:r>
      <w:r w:rsidRPr="00CA1A43">
        <w:rPr>
          <w:rFonts w:eastAsia="標楷體" w:cstheme="minorHAnsi"/>
          <w:szCs w:val="24"/>
        </w:rPr>
        <w:t>250</w:t>
      </w:r>
      <w:r w:rsidRPr="00CA1A43">
        <w:rPr>
          <w:rFonts w:eastAsia="標楷體" w:cstheme="minorHAnsi"/>
          <w:szCs w:val="24"/>
        </w:rPr>
        <w:t>個交易日之觀測值，進行以下指標之計算：</w:t>
      </w:r>
    </w:p>
    <w:p w14:paraId="34983EDF" w14:textId="77777777" w:rsidR="00893750" w:rsidRPr="00CA1A43" w:rsidRDefault="00893750" w:rsidP="005066C2">
      <w:pPr>
        <w:pStyle w:val="a7"/>
        <w:numPr>
          <w:ilvl w:val="0"/>
          <w:numId w:val="289"/>
        </w:numPr>
        <w:spacing w:beforeLines="50" w:before="180"/>
        <w:ind w:leftChars="0" w:left="1446" w:hanging="482"/>
        <w:jc w:val="both"/>
        <w:rPr>
          <w:rFonts w:eastAsia="標楷體" w:cstheme="minorHAnsi"/>
          <w:szCs w:val="24"/>
        </w:rPr>
      </w:pPr>
      <w:r w:rsidRPr="00CA1A43">
        <w:rPr>
          <w:rFonts w:eastAsia="標楷體" w:cstheme="minorHAnsi"/>
          <w:szCs w:val="24"/>
        </w:rPr>
        <w:t>Spearman</w:t>
      </w:r>
      <w:r w:rsidRPr="00CA1A43">
        <w:rPr>
          <w:rFonts w:eastAsia="標楷體" w:cstheme="minorHAnsi"/>
        </w:rPr>
        <w:t>相關性</w:t>
      </w:r>
      <w:r w:rsidRPr="00CA1A43">
        <w:rPr>
          <w:rFonts w:eastAsia="標楷體" w:cstheme="minorHAnsi"/>
          <w:szCs w:val="24"/>
        </w:rPr>
        <w:t>指標：評估風險理論損益</w:t>
      </w:r>
      <w:r w:rsidRPr="00CA1A43">
        <w:rPr>
          <w:rFonts w:eastAsia="標楷體" w:cstheme="minorHAnsi"/>
          <w:szCs w:val="24"/>
        </w:rPr>
        <w:t>(RTPL)</w:t>
      </w:r>
      <w:r w:rsidRPr="00CA1A43">
        <w:rPr>
          <w:rFonts w:eastAsia="標楷體" w:cstheme="minorHAnsi"/>
          <w:szCs w:val="24"/>
        </w:rPr>
        <w:t>和假設損益</w:t>
      </w:r>
      <w:r w:rsidRPr="00CA1A43">
        <w:rPr>
          <w:rFonts w:eastAsia="標楷體" w:cstheme="minorHAnsi"/>
          <w:szCs w:val="24"/>
        </w:rPr>
        <w:t>(HPL)</w:t>
      </w:r>
      <w:r w:rsidRPr="00CA1A43">
        <w:rPr>
          <w:rFonts w:eastAsia="標楷體" w:cstheme="minorHAnsi"/>
          <w:szCs w:val="24"/>
        </w:rPr>
        <w:t>之間的相關性。</w:t>
      </w:r>
    </w:p>
    <w:p w14:paraId="4FB0C096" w14:textId="77777777" w:rsidR="00893750" w:rsidRPr="00CA1A43" w:rsidRDefault="00893750" w:rsidP="005066C2">
      <w:pPr>
        <w:pStyle w:val="a7"/>
        <w:numPr>
          <w:ilvl w:val="0"/>
          <w:numId w:val="288"/>
        </w:numPr>
        <w:spacing w:beforeLines="50" w:before="180"/>
        <w:ind w:leftChars="0"/>
        <w:jc w:val="both"/>
        <w:rPr>
          <w:rFonts w:eastAsia="標楷體" w:cstheme="minorHAnsi"/>
          <w:szCs w:val="24"/>
        </w:rPr>
      </w:pPr>
      <w:r w:rsidRPr="00CA1A43">
        <w:rPr>
          <w:rFonts w:eastAsia="標楷體" w:cstheme="minorHAnsi"/>
          <w:szCs w:val="24"/>
        </w:rPr>
        <w:t>針對於假設損益</w:t>
      </w:r>
      <w:r w:rsidRPr="00CA1A43">
        <w:rPr>
          <w:rFonts w:eastAsia="標楷體" w:cstheme="minorHAnsi"/>
          <w:szCs w:val="24"/>
        </w:rPr>
        <w:t>(HPL)</w:t>
      </w:r>
      <w:r w:rsidRPr="00CA1A43">
        <w:rPr>
          <w:rFonts w:eastAsia="標楷體" w:cstheme="minorHAnsi"/>
          <w:szCs w:val="24"/>
        </w:rPr>
        <w:t>與風險理論損益</w:t>
      </w:r>
      <w:r w:rsidRPr="00CA1A43">
        <w:rPr>
          <w:rFonts w:eastAsia="標楷體" w:cstheme="minorHAnsi"/>
          <w:szCs w:val="24"/>
        </w:rPr>
        <w:t>(RTPL)</w:t>
      </w:r>
      <w:r w:rsidRPr="00CA1A43">
        <w:rPr>
          <w:rFonts w:eastAsia="標楷體" w:cstheme="minorHAnsi"/>
          <w:szCs w:val="24"/>
        </w:rPr>
        <w:t>的時間序列，須分別根據兩者損益的大小為基礎，產生對應的個別時間序列等級</w:t>
      </w:r>
      <w:r w:rsidRPr="00CA1A43">
        <w:rPr>
          <w:rFonts w:eastAsia="標楷體" w:cstheme="minorHAnsi"/>
          <w:szCs w:val="24"/>
        </w:rPr>
        <w:t>(</w:t>
      </w:r>
      <w:r w:rsidRPr="00CA1A43">
        <w:rPr>
          <w:rFonts w:ascii="Cambria Math" w:eastAsia="標楷體" w:hAnsi="Cambria Math" w:cs="Cambria Math"/>
          <w:szCs w:val="24"/>
        </w:rPr>
        <w:t>𝑅</w:t>
      </w:r>
      <w:r w:rsidRPr="00CA1A43">
        <w:rPr>
          <w:rFonts w:eastAsia="標楷體" w:cstheme="minorHAnsi"/>
          <w:i/>
          <w:szCs w:val="24"/>
          <w:vertAlign w:val="subscript"/>
        </w:rPr>
        <w:t>HPL</w:t>
      </w:r>
      <w:r w:rsidRPr="00CA1A43">
        <w:rPr>
          <w:rFonts w:eastAsia="標楷體" w:cstheme="minorHAnsi"/>
          <w:szCs w:val="24"/>
        </w:rPr>
        <w:t>與</w:t>
      </w:r>
      <w:r w:rsidRPr="00CA1A43">
        <w:rPr>
          <w:rFonts w:ascii="Cambria Math" w:eastAsia="標楷體" w:hAnsi="Cambria Math" w:cs="Cambria Math"/>
          <w:szCs w:val="24"/>
        </w:rPr>
        <w:t>𝑅</w:t>
      </w:r>
      <w:r w:rsidRPr="00CA1A43">
        <w:rPr>
          <w:rFonts w:eastAsia="標楷體" w:cstheme="minorHAnsi"/>
          <w:i/>
          <w:szCs w:val="24"/>
          <w:vertAlign w:val="subscript"/>
        </w:rPr>
        <w:t>RTPL</w:t>
      </w:r>
      <w:r w:rsidRPr="00CA1A43">
        <w:rPr>
          <w:rFonts w:eastAsia="標楷體" w:cstheme="minorHAnsi"/>
          <w:szCs w:val="24"/>
        </w:rPr>
        <w:t>)</w:t>
      </w:r>
      <w:r w:rsidRPr="00CA1A43">
        <w:rPr>
          <w:rFonts w:eastAsia="標楷體" w:cstheme="minorHAnsi"/>
          <w:szCs w:val="24"/>
        </w:rPr>
        <w:t>。時間序列中的最低值為等級</w:t>
      </w:r>
      <w:r w:rsidRPr="00CA1A43">
        <w:rPr>
          <w:rFonts w:eastAsia="標楷體" w:cstheme="minorHAnsi"/>
          <w:szCs w:val="24"/>
        </w:rPr>
        <w:t>1</w:t>
      </w:r>
      <w:r w:rsidRPr="00CA1A43">
        <w:rPr>
          <w:rFonts w:eastAsia="標楷體" w:cstheme="minorHAnsi"/>
          <w:szCs w:val="24"/>
        </w:rPr>
        <w:t>，下一個最低值為等級</w:t>
      </w:r>
      <w:r w:rsidRPr="00CA1A43">
        <w:rPr>
          <w:rFonts w:eastAsia="標楷體" w:cstheme="minorHAnsi"/>
          <w:szCs w:val="24"/>
        </w:rPr>
        <w:t>2</w:t>
      </w:r>
      <w:r w:rsidRPr="00CA1A43">
        <w:rPr>
          <w:rFonts w:eastAsia="標楷體" w:cstheme="minorHAnsi"/>
          <w:szCs w:val="24"/>
        </w:rPr>
        <w:t>，依此類推。</w:t>
      </w:r>
    </w:p>
    <w:p w14:paraId="4AD91096" w14:textId="77777777" w:rsidR="00893750" w:rsidRPr="00CA1A43" w:rsidRDefault="00893750" w:rsidP="005066C2">
      <w:pPr>
        <w:pStyle w:val="a7"/>
        <w:numPr>
          <w:ilvl w:val="0"/>
          <w:numId w:val="288"/>
        </w:numPr>
        <w:spacing w:beforeLines="50" w:before="180"/>
        <w:ind w:leftChars="0"/>
        <w:jc w:val="both"/>
        <w:rPr>
          <w:rFonts w:eastAsia="標楷體" w:cstheme="minorHAnsi"/>
          <w:szCs w:val="24"/>
        </w:rPr>
      </w:pPr>
      <w:r w:rsidRPr="00CA1A43">
        <w:rPr>
          <w:rFonts w:eastAsia="標楷體" w:cstheme="minorHAnsi"/>
          <w:szCs w:val="24"/>
        </w:rPr>
        <w:t>再使用下述以損益大小為基礎的公式，計算</w:t>
      </w:r>
      <w:r w:rsidRPr="00CA1A43">
        <w:rPr>
          <w:rFonts w:ascii="Cambria Math" w:eastAsia="標楷體" w:hAnsi="Cambria Math" w:cs="Cambria Math"/>
          <w:szCs w:val="24"/>
        </w:rPr>
        <w:t>𝑅</w:t>
      </w:r>
      <w:r w:rsidRPr="00CA1A43">
        <w:rPr>
          <w:rFonts w:eastAsia="標楷體" w:cstheme="minorHAnsi"/>
          <w:szCs w:val="24"/>
          <w:vertAlign w:val="subscript"/>
        </w:rPr>
        <w:t>RTPL</w:t>
      </w:r>
      <w:r w:rsidRPr="00CA1A43">
        <w:rPr>
          <w:rFonts w:eastAsia="標楷體" w:cstheme="minorHAnsi"/>
          <w:szCs w:val="24"/>
        </w:rPr>
        <w:t>和</w:t>
      </w:r>
      <w:r w:rsidRPr="00CA1A43">
        <w:rPr>
          <w:rFonts w:ascii="Cambria Math" w:eastAsia="標楷體" w:hAnsi="Cambria Math" w:cs="Cambria Math"/>
          <w:szCs w:val="24"/>
        </w:rPr>
        <w:t>𝑅</w:t>
      </w:r>
      <w:r w:rsidRPr="00CA1A43">
        <w:rPr>
          <w:rFonts w:eastAsia="標楷體" w:cstheme="minorHAnsi"/>
          <w:szCs w:val="24"/>
          <w:vertAlign w:val="subscript"/>
        </w:rPr>
        <w:t>HPL</w:t>
      </w:r>
      <w:r w:rsidRPr="00CA1A43">
        <w:rPr>
          <w:rFonts w:eastAsia="標楷體" w:cstheme="minorHAnsi"/>
          <w:szCs w:val="24"/>
        </w:rPr>
        <w:t>的兩個時間序列等級的</w:t>
      </w:r>
      <w:r w:rsidRPr="00CA1A43">
        <w:rPr>
          <w:rFonts w:eastAsia="標楷體" w:cstheme="minorHAnsi"/>
          <w:szCs w:val="24"/>
        </w:rPr>
        <w:t>Spearman</w:t>
      </w:r>
      <w:r w:rsidRPr="00CA1A43">
        <w:rPr>
          <w:rFonts w:eastAsia="標楷體" w:cstheme="minorHAnsi"/>
          <w:szCs w:val="24"/>
        </w:rPr>
        <w:t>相關係數。</w:t>
      </w:r>
    </w:p>
    <w:p w14:paraId="045E1905" w14:textId="77777777" w:rsidR="005519EB" w:rsidRPr="00CA1A43" w:rsidRDefault="00AA1117" w:rsidP="005519EB">
      <w:pPr>
        <w:pStyle w:val="Item"/>
        <w:ind w:left="1941"/>
        <w:jc w:val="center"/>
        <w:rPr>
          <w:rFonts w:asciiTheme="minorHAnsi" w:hAnsiTheme="minorHAnsi" w:cstheme="minorHAnsi"/>
          <w:noProof/>
          <w:sz w:val="24"/>
          <w:szCs w:val="24"/>
        </w:rPr>
      </w:pPr>
      <m:oMathPara>
        <m:oMath>
          <m:sSub>
            <m:sSubPr>
              <m:ctrlPr>
                <w:rPr>
                  <w:rFonts w:ascii="Cambria Math" w:hAnsi="Cambria Math" w:cstheme="minorHAnsi"/>
                  <w:noProof/>
                  <w:sz w:val="24"/>
                  <w:szCs w:val="24"/>
                </w:rPr>
              </m:ctrlPr>
            </m:sSubPr>
            <m:e>
              <m:r>
                <w:rPr>
                  <w:rFonts w:ascii="Cambria Math" w:hAnsi="Cambria Math" w:cstheme="minorHAnsi"/>
                  <w:noProof/>
                  <w:sz w:val="24"/>
                  <w:szCs w:val="24"/>
                </w:rPr>
                <m:t>r</m:t>
              </m:r>
            </m:e>
            <m:sub>
              <m:r>
                <w:rPr>
                  <w:rFonts w:ascii="Cambria Math" w:hAnsi="Cambria Math" w:cstheme="minorHAnsi"/>
                  <w:noProof/>
                  <w:sz w:val="24"/>
                  <w:szCs w:val="24"/>
                </w:rPr>
                <m:t>s</m:t>
              </m:r>
            </m:sub>
          </m:sSub>
          <m:r>
            <w:rPr>
              <w:rFonts w:ascii="Cambria Math" w:hAnsi="Cambria Math" w:cstheme="minorHAnsi"/>
              <w:noProof/>
              <w:sz w:val="24"/>
              <w:szCs w:val="24"/>
            </w:rPr>
            <m:t>=</m:t>
          </m:r>
          <m:f>
            <m:fPr>
              <m:ctrlPr>
                <w:rPr>
                  <w:rFonts w:ascii="Cambria Math" w:hAnsi="Cambria Math" w:cstheme="minorHAnsi"/>
                  <w:i/>
                  <w:noProof/>
                  <w:sz w:val="24"/>
                  <w:szCs w:val="24"/>
                </w:rPr>
              </m:ctrlPr>
            </m:fPr>
            <m:num>
              <m:r>
                <w:rPr>
                  <w:rFonts w:ascii="Cambria Math" w:hAnsi="Cambria Math" w:cstheme="minorHAnsi"/>
                  <w:noProof/>
                  <w:sz w:val="24"/>
                  <w:szCs w:val="24"/>
                </w:rPr>
                <m:t>cov</m:t>
              </m:r>
              <m:d>
                <m:dPr>
                  <m:ctrlPr>
                    <w:rPr>
                      <w:rFonts w:ascii="Cambria Math" w:hAnsi="Cambria Math" w:cstheme="minorHAnsi"/>
                      <w:i/>
                      <w:noProof/>
                      <w:sz w:val="24"/>
                      <w:szCs w:val="24"/>
                    </w:rPr>
                  </m:ctrlPr>
                </m:dPr>
                <m:e>
                  <m:sSub>
                    <m:sSubPr>
                      <m:ctrlPr>
                        <w:rPr>
                          <w:rFonts w:ascii="Cambria Math" w:hAnsi="Cambria Math" w:cstheme="minorHAnsi"/>
                          <w:i/>
                          <w:noProof/>
                          <w:sz w:val="24"/>
                          <w:szCs w:val="24"/>
                        </w:rPr>
                      </m:ctrlPr>
                    </m:sSubPr>
                    <m:e>
                      <m:r>
                        <w:rPr>
                          <w:rFonts w:ascii="Cambria Math" w:hAnsi="Cambria Math" w:cstheme="minorHAnsi"/>
                          <w:noProof/>
                          <w:sz w:val="24"/>
                          <w:szCs w:val="24"/>
                        </w:rPr>
                        <m:t>R</m:t>
                      </m:r>
                    </m:e>
                    <m:sub>
                      <m:r>
                        <w:rPr>
                          <w:rFonts w:ascii="Cambria Math" w:hAnsi="Cambria Math" w:cstheme="minorHAnsi"/>
                          <w:noProof/>
                          <w:sz w:val="24"/>
                          <w:szCs w:val="24"/>
                        </w:rPr>
                        <m:t>HPL</m:t>
                      </m:r>
                    </m:sub>
                  </m:sSub>
                  <m:r>
                    <w:rPr>
                      <w:rFonts w:ascii="Cambria Math" w:hAnsi="Cambria Math" w:cstheme="minorHAnsi"/>
                      <w:noProof/>
                      <w:sz w:val="24"/>
                      <w:szCs w:val="24"/>
                    </w:rPr>
                    <m:t xml:space="preserve">, </m:t>
                  </m:r>
                  <m:sSub>
                    <m:sSubPr>
                      <m:ctrlPr>
                        <w:rPr>
                          <w:rFonts w:ascii="Cambria Math" w:hAnsi="Cambria Math" w:cstheme="minorHAnsi"/>
                          <w:i/>
                          <w:noProof/>
                          <w:sz w:val="24"/>
                          <w:szCs w:val="24"/>
                        </w:rPr>
                      </m:ctrlPr>
                    </m:sSubPr>
                    <m:e>
                      <m:r>
                        <w:rPr>
                          <w:rFonts w:ascii="Cambria Math" w:hAnsi="Cambria Math" w:cstheme="minorHAnsi"/>
                          <w:noProof/>
                          <w:sz w:val="24"/>
                          <w:szCs w:val="24"/>
                        </w:rPr>
                        <m:t>R</m:t>
                      </m:r>
                    </m:e>
                    <m:sub>
                      <m:r>
                        <w:rPr>
                          <w:rFonts w:ascii="Cambria Math" w:hAnsi="Cambria Math" w:cstheme="minorHAnsi"/>
                          <w:noProof/>
                          <w:sz w:val="24"/>
                          <w:szCs w:val="24"/>
                        </w:rPr>
                        <m:t>RTPL</m:t>
                      </m:r>
                    </m:sub>
                  </m:sSub>
                </m:e>
              </m:d>
            </m:num>
            <m:den>
              <m:sSub>
                <m:sSubPr>
                  <m:ctrlPr>
                    <w:rPr>
                      <w:rFonts w:ascii="Cambria Math" w:hAnsi="Cambria Math" w:cstheme="minorHAnsi"/>
                      <w:sz w:val="24"/>
                      <w:szCs w:val="24"/>
                    </w:rPr>
                  </m:ctrlPr>
                </m:sSubPr>
                <m:e>
                  <m:r>
                    <w:rPr>
                      <w:rFonts w:ascii="Cambria Math" w:hAnsi="Cambria Math" w:cstheme="minorHAnsi"/>
                      <w:sz w:val="24"/>
                      <w:szCs w:val="24"/>
                    </w:rPr>
                    <m:t>σ</m:t>
                  </m:r>
                </m:e>
                <m: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HPL</m:t>
                      </m:r>
                    </m:sub>
                  </m:sSub>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σ</m:t>
                  </m:r>
                </m:e>
                <m: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RTPL</m:t>
                      </m:r>
                    </m:sub>
                  </m:sSub>
                </m:sub>
              </m:sSub>
            </m:den>
          </m:f>
        </m:oMath>
      </m:oMathPara>
    </w:p>
    <w:p w14:paraId="28F29615" w14:textId="77777777" w:rsidR="00893750" w:rsidRPr="00CA1A43" w:rsidRDefault="00893750" w:rsidP="005519EB">
      <w:pPr>
        <w:pStyle w:val="a7"/>
        <w:spacing w:beforeLines="50" w:before="180"/>
        <w:ind w:leftChars="0" w:left="1941"/>
        <w:jc w:val="both"/>
        <w:rPr>
          <w:rFonts w:eastAsia="標楷體" w:cstheme="minorHAnsi"/>
          <w:szCs w:val="24"/>
        </w:rPr>
      </w:pPr>
      <w:r w:rsidRPr="00CA1A43">
        <w:rPr>
          <w:rFonts w:eastAsia="標楷體" w:cstheme="minorHAnsi"/>
          <w:szCs w:val="24"/>
        </w:rPr>
        <w:lastRenderedPageBreak/>
        <w:t>其中</w:t>
      </w:r>
      <m:oMath>
        <m:sSub>
          <m:sSubPr>
            <m:ctrlPr>
              <w:rPr>
                <w:rFonts w:ascii="Cambria Math" w:eastAsia="標楷體" w:hAnsi="Cambria Math" w:cstheme="minorHAnsi"/>
                <w:szCs w:val="24"/>
              </w:rPr>
            </m:ctrlPr>
          </m:sSubPr>
          <m:e>
            <m:r>
              <w:rPr>
                <w:rFonts w:ascii="Cambria Math" w:eastAsia="標楷體" w:hAnsi="Cambria Math" w:cstheme="minorHAnsi"/>
                <w:szCs w:val="24"/>
              </w:rPr>
              <m:t>σ</m:t>
            </m:r>
          </m:e>
          <m:sub>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HPL</m:t>
                </m:r>
              </m:sub>
            </m:sSub>
          </m:sub>
        </m:sSub>
      </m:oMath>
      <w:r w:rsidRPr="00CA1A43">
        <w:rPr>
          <w:rFonts w:eastAsia="標楷體" w:cstheme="minorHAnsi"/>
          <w:szCs w:val="24"/>
        </w:rPr>
        <w:t>和</w:t>
      </w:r>
      <m:oMath>
        <m:sSub>
          <m:sSubPr>
            <m:ctrlPr>
              <w:rPr>
                <w:rFonts w:ascii="Cambria Math" w:eastAsia="標楷體" w:hAnsi="Cambria Math" w:cstheme="minorHAnsi"/>
                <w:szCs w:val="24"/>
              </w:rPr>
            </m:ctrlPr>
          </m:sSubPr>
          <m:e>
            <m:r>
              <w:rPr>
                <w:rFonts w:ascii="Cambria Math" w:eastAsia="標楷體" w:hAnsi="Cambria Math" w:cstheme="minorHAnsi"/>
                <w:szCs w:val="24"/>
              </w:rPr>
              <m:t>σ</m:t>
            </m:r>
          </m:e>
          <m:sub>
            <m:sSub>
              <m:sSubPr>
                <m:ctrlPr>
                  <w:rPr>
                    <w:rFonts w:ascii="Cambria Math" w:eastAsia="標楷體" w:hAnsi="Cambria Math" w:cstheme="minorHAnsi"/>
                    <w:i/>
                    <w:szCs w:val="24"/>
                  </w:rPr>
                </m:ctrlPr>
              </m:sSubPr>
              <m:e>
                <m:r>
                  <w:rPr>
                    <w:rFonts w:ascii="Cambria Math" w:eastAsia="標楷體" w:hAnsi="Cambria Math" w:cstheme="minorHAnsi"/>
                    <w:szCs w:val="24"/>
                  </w:rPr>
                  <m:t>R</m:t>
                </m:r>
              </m:e>
              <m:sub>
                <m:r>
                  <w:rPr>
                    <w:rFonts w:ascii="Cambria Math" w:eastAsia="標楷體" w:hAnsi="Cambria Math" w:cstheme="minorHAnsi"/>
                    <w:szCs w:val="24"/>
                  </w:rPr>
                  <m:t>RTPL</m:t>
                </m:r>
              </m:sub>
            </m:sSub>
          </m:sub>
        </m:sSub>
      </m:oMath>
      <w:r w:rsidRPr="00CA1A43">
        <w:rPr>
          <w:rFonts w:eastAsia="標楷體" w:cstheme="minorHAnsi"/>
          <w:szCs w:val="24"/>
        </w:rPr>
        <w:t>是</w:t>
      </w:r>
      <w:r w:rsidRPr="00CA1A43">
        <w:rPr>
          <w:rFonts w:ascii="Cambria Math" w:eastAsia="標楷體" w:hAnsi="Cambria Math" w:cs="Cambria Math"/>
          <w:szCs w:val="24"/>
        </w:rPr>
        <w:t>𝑅</w:t>
      </w:r>
      <w:r w:rsidRPr="00CA1A43">
        <w:rPr>
          <w:rFonts w:eastAsia="標楷體" w:cstheme="minorHAnsi"/>
          <w:szCs w:val="24"/>
          <w:vertAlign w:val="subscript"/>
        </w:rPr>
        <w:t>RTPL</w:t>
      </w:r>
      <w:r w:rsidRPr="00CA1A43">
        <w:rPr>
          <w:rFonts w:eastAsia="標楷體" w:cstheme="minorHAnsi"/>
          <w:szCs w:val="24"/>
        </w:rPr>
        <w:t>和</w:t>
      </w:r>
      <w:r w:rsidRPr="00CA1A43">
        <w:rPr>
          <w:rFonts w:ascii="Cambria Math" w:eastAsia="標楷體" w:hAnsi="Cambria Math" w:cs="Cambria Math"/>
          <w:szCs w:val="24"/>
        </w:rPr>
        <w:t>𝑅</w:t>
      </w:r>
      <w:r w:rsidRPr="00CA1A43">
        <w:rPr>
          <w:rFonts w:eastAsia="標楷體" w:cstheme="minorHAnsi"/>
          <w:szCs w:val="24"/>
          <w:vertAlign w:val="subscript"/>
        </w:rPr>
        <w:t>HPL</w:t>
      </w:r>
      <w:r w:rsidRPr="00CA1A43">
        <w:rPr>
          <w:rFonts w:eastAsia="標楷體" w:cstheme="minorHAnsi"/>
          <w:szCs w:val="24"/>
        </w:rPr>
        <w:t xml:space="preserve"> </w:t>
      </w:r>
      <w:r w:rsidRPr="00CA1A43">
        <w:rPr>
          <w:rFonts w:eastAsia="標楷體" w:cstheme="minorHAnsi"/>
          <w:szCs w:val="24"/>
        </w:rPr>
        <w:t>的標準差</w:t>
      </w:r>
    </w:p>
    <w:p w14:paraId="7D745F1E" w14:textId="77777777" w:rsidR="00215C4A" w:rsidRPr="00CA1A43" w:rsidRDefault="00215C4A" w:rsidP="005066C2">
      <w:pPr>
        <w:pStyle w:val="a7"/>
        <w:numPr>
          <w:ilvl w:val="0"/>
          <w:numId w:val="289"/>
        </w:numPr>
        <w:spacing w:beforeLines="50" w:before="180"/>
        <w:ind w:leftChars="0" w:left="1446" w:hanging="482"/>
        <w:jc w:val="both"/>
        <w:rPr>
          <w:rFonts w:eastAsia="標楷體" w:cstheme="minorHAnsi"/>
          <w:szCs w:val="24"/>
        </w:rPr>
      </w:pPr>
      <w:r w:rsidRPr="00CA1A43">
        <w:rPr>
          <w:rFonts w:eastAsia="標楷體" w:cstheme="minorHAnsi"/>
          <w:szCs w:val="24"/>
        </w:rPr>
        <w:t>Kolmogorov-Smirnov(KS)</w:t>
      </w:r>
      <w:r w:rsidRPr="00CA1A43">
        <w:rPr>
          <w:rFonts w:eastAsia="標楷體" w:cstheme="minorHAnsi"/>
        </w:rPr>
        <w:t>測試</w:t>
      </w:r>
      <w:r w:rsidRPr="00CA1A43">
        <w:rPr>
          <w:rFonts w:eastAsia="標楷體" w:cstheme="minorHAnsi"/>
          <w:szCs w:val="24"/>
        </w:rPr>
        <w:t>指標：評估風險理論損益</w:t>
      </w:r>
      <w:r w:rsidRPr="00CA1A43">
        <w:rPr>
          <w:rFonts w:eastAsia="標楷體" w:cstheme="minorHAnsi"/>
          <w:szCs w:val="24"/>
        </w:rPr>
        <w:t>(RTPL)</w:t>
      </w:r>
      <w:r w:rsidRPr="00CA1A43">
        <w:rPr>
          <w:rFonts w:eastAsia="標楷體" w:cstheme="minorHAnsi"/>
          <w:szCs w:val="24"/>
        </w:rPr>
        <w:t>和假設損益</w:t>
      </w:r>
      <w:r w:rsidRPr="00CA1A43">
        <w:rPr>
          <w:rFonts w:eastAsia="標楷體" w:cstheme="minorHAnsi"/>
          <w:szCs w:val="24"/>
        </w:rPr>
        <w:t>(HPL)</w:t>
      </w:r>
      <w:r w:rsidRPr="00CA1A43">
        <w:rPr>
          <w:rFonts w:eastAsia="標楷體" w:cstheme="minorHAnsi"/>
          <w:szCs w:val="24"/>
        </w:rPr>
        <w:t>分配的相似度。</w:t>
      </w:r>
    </w:p>
    <w:p w14:paraId="74720AA4" w14:textId="77777777" w:rsidR="00215C4A" w:rsidRPr="00CA1A43" w:rsidRDefault="00215C4A" w:rsidP="005066C2">
      <w:pPr>
        <w:pStyle w:val="a7"/>
        <w:numPr>
          <w:ilvl w:val="0"/>
          <w:numId w:val="290"/>
        </w:numPr>
        <w:spacing w:beforeLines="50" w:before="180"/>
        <w:ind w:leftChars="0"/>
        <w:jc w:val="both"/>
        <w:rPr>
          <w:rFonts w:eastAsia="標楷體" w:cstheme="minorHAnsi"/>
          <w:szCs w:val="24"/>
        </w:rPr>
      </w:pPr>
      <w:r w:rsidRPr="00CA1A43">
        <w:rPr>
          <w:rFonts w:eastAsia="標楷體" w:cstheme="minorHAnsi"/>
          <w:szCs w:val="24"/>
        </w:rPr>
        <w:t>銀行必須分別計算風險理論損益</w:t>
      </w:r>
      <w:r w:rsidRPr="00CA1A43">
        <w:rPr>
          <w:rFonts w:eastAsia="標楷體" w:cstheme="minorHAnsi"/>
          <w:szCs w:val="24"/>
        </w:rPr>
        <w:t>(RTPL)</w:t>
      </w:r>
      <w:r w:rsidRPr="00CA1A43">
        <w:rPr>
          <w:rFonts w:eastAsia="標楷體" w:cstheme="minorHAnsi"/>
          <w:szCs w:val="24"/>
        </w:rPr>
        <w:t>和假設損益</w:t>
      </w:r>
      <w:r w:rsidRPr="00CA1A43">
        <w:rPr>
          <w:rFonts w:eastAsia="標楷體" w:cstheme="minorHAnsi"/>
          <w:szCs w:val="24"/>
        </w:rPr>
        <w:t>(HPL)</w:t>
      </w:r>
      <w:r w:rsidRPr="00CA1A43">
        <w:rPr>
          <w:rFonts w:eastAsia="標楷體" w:cstheme="minorHAnsi"/>
          <w:szCs w:val="24"/>
        </w:rPr>
        <w:t>的實證累積分配函數。對於任何損益值，實證累積分配是</w:t>
      </w:r>
      <w:r w:rsidRPr="00CA1A43">
        <w:rPr>
          <w:rFonts w:eastAsia="標楷體" w:cstheme="minorHAnsi"/>
          <w:szCs w:val="24"/>
        </w:rPr>
        <w:t>0.004</w:t>
      </w:r>
      <w:r w:rsidRPr="00CA1A43">
        <w:rPr>
          <w:rFonts w:eastAsia="標楷體" w:cstheme="minorHAnsi"/>
          <w:szCs w:val="24"/>
        </w:rPr>
        <w:t>和小於或等於特定觀測值數量的乘積。</w:t>
      </w:r>
    </w:p>
    <w:p w14:paraId="560F2273" w14:textId="77777777" w:rsidR="00633E44" w:rsidRPr="00CA1A43" w:rsidRDefault="00215C4A" w:rsidP="005066C2">
      <w:pPr>
        <w:pStyle w:val="a7"/>
        <w:numPr>
          <w:ilvl w:val="0"/>
          <w:numId w:val="290"/>
        </w:numPr>
        <w:spacing w:beforeLines="50" w:before="180"/>
        <w:ind w:leftChars="0"/>
        <w:jc w:val="both"/>
        <w:rPr>
          <w:rFonts w:eastAsia="標楷體" w:cstheme="minorHAnsi"/>
          <w:kern w:val="0"/>
          <w:szCs w:val="24"/>
        </w:rPr>
      </w:pPr>
      <w:r w:rsidRPr="00CA1A43">
        <w:rPr>
          <w:rFonts w:eastAsia="標楷體" w:cstheme="minorHAnsi"/>
          <w:szCs w:val="24"/>
        </w:rPr>
        <w:t>KS</w:t>
      </w:r>
      <w:r w:rsidRPr="00CA1A43">
        <w:rPr>
          <w:rFonts w:eastAsia="標楷體" w:cstheme="minorHAnsi"/>
          <w:szCs w:val="24"/>
        </w:rPr>
        <w:t>測試指標是在任何</w:t>
      </w:r>
      <w:proofErr w:type="gramStart"/>
      <w:r w:rsidRPr="00CA1A43">
        <w:rPr>
          <w:rFonts w:eastAsia="標楷體" w:cstheme="minorHAnsi"/>
          <w:szCs w:val="24"/>
        </w:rPr>
        <w:t>損益值下</w:t>
      </w:r>
      <w:proofErr w:type="gramEnd"/>
      <w:r w:rsidRPr="00CA1A43">
        <w:rPr>
          <w:rFonts w:eastAsia="標楷體" w:cstheme="minorHAnsi"/>
          <w:szCs w:val="24"/>
        </w:rPr>
        <w:t>，在風險理論損益</w:t>
      </w:r>
      <w:r w:rsidRPr="00CA1A43">
        <w:rPr>
          <w:rFonts w:eastAsia="標楷體" w:cstheme="minorHAnsi"/>
          <w:szCs w:val="24"/>
        </w:rPr>
        <w:t>(RTPL)</w:t>
      </w:r>
      <w:r w:rsidRPr="00CA1A43">
        <w:rPr>
          <w:rFonts w:eastAsia="標楷體" w:cstheme="minorHAnsi"/>
          <w:szCs w:val="24"/>
        </w:rPr>
        <w:t>和假設損益</w:t>
      </w:r>
      <w:r w:rsidRPr="00CA1A43">
        <w:rPr>
          <w:rFonts w:eastAsia="標楷體" w:cstheme="minorHAnsi"/>
          <w:szCs w:val="24"/>
        </w:rPr>
        <w:t>(HPL)</w:t>
      </w:r>
      <w:r w:rsidRPr="00CA1A43">
        <w:rPr>
          <w:rFonts w:eastAsia="標楷體" w:cstheme="minorHAnsi"/>
          <w:szCs w:val="24"/>
        </w:rPr>
        <w:t>實證累積分配函數之間觀察到的最大損益的絕對差異。</w:t>
      </w:r>
    </w:p>
    <w:p w14:paraId="1DA96CC6" w14:textId="77777777" w:rsidR="00215C4A" w:rsidRPr="00CA1A43" w:rsidRDefault="00215C4A" w:rsidP="005066C2">
      <w:pPr>
        <w:pStyle w:val="a7"/>
        <w:numPr>
          <w:ilvl w:val="0"/>
          <w:numId w:val="287"/>
        </w:numPr>
        <w:spacing w:beforeLines="50" w:before="180"/>
        <w:ind w:leftChars="0" w:left="964" w:hanging="482"/>
        <w:jc w:val="both"/>
        <w:rPr>
          <w:rFonts w:eastAsia="標楷體" w:cstheme="minorHAnsi"/>
          <w:szCs w:val="24"/>
        </w:rPr>
      </w:pPr>
      <w:r w:rsidRPr="00CA1A43">
        <w:rPr>
          <w:rFonts w:eastAsia="標楷體" w:cstheme="minorHAnsi"/>
          <w:szCs w:val="24"/>
        </w:rPr>
        <w:t>損益歸因</w:t>
      </w:r>
      <w:r w:rsidRPr="00CA1A43">
        <w:rPr>
          <w:rFonts w:eastAsia="標楷體" w:cstheme="minorHAnsi"/>
          <w:szCs w:val="24"/>
        </w:rPr>
        <w:t>(PLA)</w:t>
      </w:r>
      <w:r w:rsidRPr="00CA1A43">
        <w:rPr>
          <w:rFonts w:eastAsia="標楷體" w:cstheme="minorHAnsi"/>
          <w:szCs w:val="24"/>
        </w:rPr>
        <w:t>測試門檻：</w:t>
      </w:r>
    </w:p>
    <w:p w14:paraId="07BE96FD" w14:textId="57D3B094" w:rsidR="00633E44" w:rsidRPr="00CA1A43" w:rsidRDefault="00215C4A" w:rsidP="005066C2">
      <w:pPr>
        <w:pStyle w:val="a7"/>
        <w:numPr>
          <w:ilvl w:val="0"/>
          <w:numId w:val="291"/>
        </w:numPr>
        <w:spacing w:beforeLines="50" w:before="180"/>
        <w:ind w:leftChars="0" w:left="1446" w:hanging="482"/>
        <w:jc w:val="both"/>
        <w:rPr>
          <w:rFonts w:eastAsia="標楷體" w:cstheme="minorHAnsi"/>
          <w:kern w:val="0"/>
          <w:szCs w:val="24"/>
        </w:rPr>
      </w:pPr>
      <w:r w:rsidRPr="00CA1A43">
        <w:rPr>
          <w:rFonts w:eastAsia="標楷體" w:cstheme="minorHAnsi"/>
          <w:szCs w:val="24"/>
        </w:rPr>
        <w:t>銀行應根據各交易台之損益歸因</w:t>
      </w:r>
      <w:r w:rsidRPr="00CA1A43">
        <w:rPr>
          <w:rFonts w:eastAsia="標楷體" w:cstheme="minorHAnsi"/>
          <w:szCs w:val="24"/>
        </w:rPr>
        <w:t>(PLA)</w:t>
      </w:r>
      <w:r w:rsidRPr="00CA1A43">
        <w:rPr>
          <w:rFonts w:eastAsia="標楷體" w:cstheme="minorHAnsi"/>
          <w:szCs w:val="24"/>
        </w:rPr>
        <w:t>測試指標，依下表進行分區</w:t>
      </w:r>
      <w:r w:rsidR="00AC3B45" w:rsidRPr="00CA1A43">
        <w:rPr>
          <w:rStyle w:val="a5"/>
          <w:rFonts w:eastAsia="標楷體" w:cstheme="minorHAnsi"/>
          <w:szCs w:val="24"/>
        </w:rPr>
        <w:footnoteReference w:id="106"/>
      </w:r>
      <w:r w:rsidRPr="00CA1A43">
        <w:rPr>
          <w:rFonts w:eastAsia="標楷體" w:cstheme="minorHAnsi"/>
          <w:szCs w:val="24"/>
        </w:rPr>
        <w:t>。</w:t>
      </w:r>
    </w:p>
    <w:tbl>
      <w:tblPr>
        <w:tblW w:w="4011" w:type="pct"/>
        <w:tblInd w:w="156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090"/>
        <w:gridCol w:w="2738"/>
        <w:gridCol w:w="1983"/>
        <w:gridCol w:w="852"/>
      </w:tblGrid>
      <w:tr w:rsidR="00225E83" w:rsidRPr="00CA1A43" w14:paraId="1A7108AC" w14:textId="77777777" w:rsidTr="00225E83">
        <w:trPr>
          <w:trHeight w:val="448"/>
        </w:trPr>
        <w:tc>
          <w:tcPr>
            <w:tcW w:w="4361" w:type="pct"/>
            <w:gridSpan w:val="3"/>
            <w:tcBorders>
              <w:right w:val="nil"/>
            </w:tcBorders>
            <w:vAlign w:val="center"/>
          </w:tcPr>
          <w:p w14:paraId="35B31E16" w14:textId="77777777" w:rsidR="00225E83" w:rsidRPr="00CA1A43" w:rsidRDefault="00225E83" w:rsidP="00FB65D2">
            <w:pPr>
              <w:pStyle w:val="Item"/>
              <w:ind w:leftChars="-30" w:left="-72"/>
              <w:jc w:val="both"/>
              <w:rPr>
                <w:rFonts w:asciiTheme="minorHAnsi" w:hAnsiTheme="minorHAnsi" w:cstheme="minorHAnsi"/>
                <w:sz w:val="24"/>
                <w:szCs w:val="24"/>
              </w:rPr>
            </w:pPr>
            <w:r w:rsidRPr="00CA1A43">
              <w:rPr>
                <w:rFonts w:asciiTheme="minorHAnsi" w:hAnsiTheme="minorHAnsi" w:cstheme="minorHAnsi"/>
                <w:sz w:val="24"/>
                <w:szCs w:val="24"/>
              </w:rPr>
              <w:t>損益歸因測試門檻</w:t>
            </w:r>
          </w:p>
        </w:tc>
        <w:tc>
          <w:tcPr>
            <w:tcW w:w="639" w:type="pct"/>
            <w:tcBorders>
              <w:left w:val="nil"/>
              <w:right w:val="nil"/>
            </w:tcBorders>
            <w:vAlign w:val="center"/>
          </w:tcPr>
          <w:p w14:paraId="3395F1FB" w14:textId="77777777" w:rsidR="00225E83" w:rsidRPr="00CA1A43" w:rsidRDefault="00225E83" w:rsidP="00127158">
            <w:pPr>
              <w:pStyle w:val="Item"/>
              <w:jc w:val="right"/>
              <w:rPr>
                <w:rFonts w:asciiTheme="minorHAnsi" w:hAnsiTheme="minorHAnsi" w:cstheme="minorHAnsi"/>
                <w:sz w:val="24"/>
                <w:szCs w:val="24"/>
              </w:rPr>
            </w:pPr>
            <w:r>
              <w:rPr>
                <w:rFonts w:asciiTheme="minorHAnsi" w:hAnsiTheme="minorHAnsi" w:cstheme="minorHAnsi" w:hint="eastAsia"/>
                <w:sz w:val="24"/>
                <w:szCs w:val="24"/>
              </w:rPr>
              <w:t>表</w:t>
            </w:r>
            <w:r>
              <w:rPr>
                <w:rFonts w:asciiTheme="minorHAnsi" w:hAnsiTheme="minorHAnsi" w:cstheme="minorHAnsi" w:hint="eastAsia"/>
                <w:sz w:val="24"/>
                <w:szCs w:val="24"/>
              </w:rPr>
              <w:t>27</w:t>
            </w:r>
          </w:p>
        </w:tc>
      </w:tr>
      <w:tr w:rsidR="00215C4A" w:rsidRPr="00CA1A43" w14:paraId="5DEE0A58" w14:textId="77777777" w:rsidTr="00225E83">
        <w:trPr>
          <w:trHeight w:val="314"/>
        </w:trPr>
        <w:tc>
          <w:tcPr>
            <w:tcW w:w="818" w:type="pct"/>
            <w:tcBorders>
              <w:bottom w:val="single" w:sz="4" w:space="0" w:color="auto"/>
              <w:right w:val="single" w:sz="8" w:space="0" w:color="BFBFBF" w:themeColor="background1" w:themeShade="BF"/>
            </w:tcBorders>
            <w:vAlign w:val="center"/>
          </w:tcPr>
          <w:p w14:paraId="7D6663D4"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區間</w:t>
            </w:r>
          </w:p>
        </w:tc>
        <w:tc>
          <w:tcPr>
            <w:tcW w:w="2055" w:type="pct"/>
            <w:tcBorders>
              <w:left w:val="single" w:sz="8" w:space="0" w:color="BFBFBF" w:themeColor="background1" w:themeShade="BF"/>
              <w:bottom w:val="single" w:sz="4" w:space="0" w:color="auto"/>
              <w:right w:val="single" w:sz="8" w:space="0" w:color="BFBFBF" w:themeColor="background1" w:themeShade="BF"/>
            </w:tcBorders>
            <w:vAlign w:val="center"/>
          </w:tcPr>
          <w:p w14:paraId="5C10C8CE"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Spearman</w:t>
            </w:r>
            <w:r w:rsidRPr="00CA1A43">
              <w:rPr>
                <w:rFonts w:asciiTheme="minorHAnsi" w:hAnsiTheme="minorHAnsi" w:cstheme="minorHAnsi"/>
                <w:sz w:val="24"/>
                <w:szCs w:val="24"/>
              </w:rPr>
              <w:t>相關係數</w:t>
            </w:r>
          </w:p>
        </w:tc>
        <w:tc>
          <w:tcPr>
            <w:tcW w:w="2127" w:type="pct"/>
            <w:gridSpan w:val="2"/>
            <w:tcBorders>
              <w:left w:val="single" w:sz="8" w:space="0" w:color="BFBFBF" w:themeColor="background1" w:themeShade="BF"/>
              <w:bottom w:val="single" w:sz="4" w:space="0" w:color="auto"/>
            </w:tcBorders>
            <w:vAlign w:val="center"/>
          </w:tcPr>
          <w:p w14:paraId="0AF46C5E"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KS</w:t>
            </w:r>
            <w:r w:rsidRPr="00CA1A43">
              <w:rPr>
                <w:rFonts w:asciiTheme="minorHAnsi" w:hAnsiTheme="minorHAnsi" w:cstheme="minorHAnsi"/>
                <w:sz w:val="24"/>
                <w:szCs w:val="24"/>
              </w:rPr>
              <w:t>測試</w:t>
            </w:r>
            <w:r w:rsidRPr="00CA1A43">
              <w:rPr>
                <w:rFonts w:asciiTheme="minorHAnsi" w:hAnsiTheme="minorHAnsi" w:cstheme="minorHAnsi"/>
                <w:sz w:val="24"/>
                <w:szCs w:val="24"/>
              </w:rPr>
              <w:t xml:space="preserve"> </w:t>
            </w:r>
          </w:p>
        </w:tc>
      </w:tr>
      <w:tr w:rsidR="00215C4A" w:rsidRPr="00CA1A43" w14:paraId="62C3213C" w14:textId="77777777" w:rsidTr="00225E83">
        <w:trPr>
          <w:trHeight w:val="293"/>
        </w:trPr>
        <w:tc>
          <w:tcPr>
            <w:tcW w:w="818" w:type="pct"/>
            <w:tcBorders>
              <w:bottom w:val="single" w:sz="8" w:space="0" w:color="BFBFBF" w:themeColor="background1" w:themeShade="BF"/>
              <w:right w:val="single" w:sz="8" w:space="0" w:color="BFBFBF" w:themeColor="background1" w:themeShade="BF"/>
            </w:tcBorders>
          </w:tcPr>
          <w:p w14:paraId="100FB4A7" w14:textId="77777777" w:rsidR="00215C4A" w:rsidRPr="00CA1A43" w:rsidRDefault="00215C4A" w:rsidP="00FB65D2">
            <w:pPr>
              <w:pStyle w:val="Item"/>
              <w:ind w:leftChars="-30" w:left="-72"/>
              <w:jc w:val="center"/>
              <w:rPr>
                <w:rFonts w:asciiTheme="minorHAnsi" w:hAnsiTheme="minorHAnsi" w:cstheme="minorHAnsi"/>
                <w:sz w:val="24"/>
                <w:szCs w:val="24"/>
              </w:rPr>
            </w:pPr>
            <w:proofErr w:type="gramStart"/>
            <w:r w:rsidRPr="00CA1A43">
              <w:rPr>
                <w:rFonts w:asciiTheme="minorHAnsi" w:hAnsiTheme="minorHAnsi" w:cstheme="minorHAnsi"/>
                <w:sz w:val="24"/>
                <w:szCs w:val="24"/>
              </w:rPr>
              <w:t>綠區</w:t>
            </w:r>
            <w:proofErr w:type="gramEnd"/>
            <w:r w:rsidRPr="00CA1A43">
              <w:rPr>
                <w:rFonts w:asciiTheme="minorHAnsi" w:hAnsiTheme="minorHAnsi" w:cstheme="minorHAnsi"/>
                <w:sz w:val="24"/>
                <w:szCs w:val="24"/>
              </w:rPr>
              <w:t xml:space="preserve"> </w:t>
            </w:r>
          </w:p>
        </w:tc>
        <w:tc>
          <w:tcPr>
            <w:tcW w:w="2055" w:type="pct"/>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92269C"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高於</w:t>
            </w:r>
            <w:r w:rsidRPr="00CA1A43">
              <w:rPr>
                <w:rFonts w:asciiTheme="minorHAnsi" w:hAnsiTheme="minorHAnsi" w:cstheme="minorHAnsi"/>
                <w:sz w:val="24"/>
                <w:szCs w:val="24"/>
              </w:rPr>
              <w:t>0.8</w:t>
            </w:r>
          </w:p>
        </w:tc>
        <w:tc>
          <w:tcPr>
            <w:tcW w:w="2127" w:type="pct"/>
            <w:gridSpan w:val="2"/>
            <w:tcBorders>
              <w:left w:val="single" w:sz="8" w:space="0" w:color="BFBFBF" w:themeColor="background1" w:themeShade="BF"/>
              <w:bottom w:val="single" w:sz="8" w:space="0" w:color="BFBFBF" w:themeColor="background1" w:themeShade="BF"/>
            </w:tcBorders>
          </w:tcPr>
          <w:p w14:paraId="12E01481"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低於</w:t>
            </w:r>
            <w:r w:rsidRPr="00CA1A43">
              <w:rPr>
                <w:rFonts w:asciiTheme="minorHAnsi" w:hAnsiTheme="minorHAnsi" w:cstheme="minorHAnsi"/>
                <w:sz w:val="24"/>
                <w:szCs w:val="24"/>
              </w:rPr>
              <w:t>0.09</w:t>
            </w:r>
          </w:p>
          <w:p w14:paraId="397F4692"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 xml:space="preserve"> ( p-value = 0.264 )</w:t>
            </w:r>
          </w:p>
        </w:tc>
      </w:tr>
      <w:tr w:rsidR="00215C4A" w:rsidRPr="00CA1A43" w14:paraId="1D86AA9D" w14:textId="77777777" w:rsidTr="00225E83">
        <w:trPr>
          <w:trHeight w:val="102"/>
        </w:trPr>
        <w:tc>
          <w:tcPr>
            <w:tcW w:w="818" w:type="pct"/>
            <w:tcBorders>
              <w:top w:val="single" w:sz="8" w:space="0" w:color="BFBFBF" w:themeColor="background1" w:themeShade="BF"/>
              <w:right w:val="single" w:sz="8" w:space="0" w:color="BFBFBF" w:themeColor="background1" w:themeShade="BF"/>
            </w:tcBorders>
          </w:tcPr>
          <w:p w14:paraId="72DEDE99" w14:textId="77777777" w:rsidR="00215C4A" w:rsidRPr="00CA1A43" w:rsidRDefault="00215C4A" w:rsidP="00FB65D2">
            <w:pPr>
              <w:pStyle w:val="Item"/>
              <w:ind w:leftChars="-30" w:left="-72"/>
              <w:jc w:val="center"/>
              <w:rPr>
                <w:rFonts w:asciiTheme="minorHAnsi" w:hAnsiTheme="minorHAnsi" w:cstheme="minorHAnsi"/>
                <w:sz w:val="24"/>
                <w:szCs w:val="24"/>
              </w:rPr>
            </w:pPr>
            <w:proofErr w:type="gramStart"/>
            <w:r w:rsidRPr="00CA1A43">
              <w:rPr>
                <w:rFonts w:asciiTheme="minorHAnsi" w:hAnsiTheme="minorHAnsi" w:cstheme="minorHAnsi"/>
                <w:sz w:val="24"/>
                <w:szCs w:val="24"/>
              </w:rPr>
              <w:t>紅區</w:t>
            </w:r>
            <w:proofErr w:type="gramEnd"/>
            <w:r w:rsidRPr="00CA1A43">
              <w:rPr>
                <w:rFonts w:asciiTheme="minorHAnsi" w:hAnsiTheme="minorHAnsi" w:cstheme="minorHAnsi"/>
                <w:sz w:val="24"/>
                <w:szCs w:val="24"/>
              </w:rPr>
              <w:t xml:space="preserve"> </w:t>
            </w:r>
          </w:p>
        </w:tc>
        <w:tc>
          <w:tcPr>
            <w:tcW w:w="2055" w:type="pct"/>
            <w:tcBorders>
              <w:top w:val="single" w:sz="8" w:space="0" w:color="BFBFBF" w:themeColor="background1" w:themeShade="BF"/>
              <w:left w:val="single" w:sz="8" w:space="0" w:color="BFBFBF" w:themeColor="background1" w:themeShade="BF"/>
              <w:right w:val="single" w:sz="8" w:space="0" w:color="BFBFBF" w:themeColor="background1" w:themeShade="BF"/>
            </w:tcBorders>
          </w:tcPr>
          <w:p w14:paraId="6B0E91AF"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低於</w:t>
            </w:r>
            <w:r w:rsidRPr="00CA1A43">
              <w:rPr>
                <w:rFonts w:asciiTheme="minorHAnsi" w:hAnsiTheme="minorHAnsi" w:cstheme="minorHAnsi"/>
                <w:sz w:val="24"/>
                <w:szCs w:val="24"/>
              </w:rPr>
              <w:t>0.7</w:t>
            </w:r>
          </w:p>
        </w:tc>
        <w:tc>
          <w:tcPr>
            <w:tcW w:w="2127" w:type="pct"/>
            <w:gridSpan w:val="2"/>
            <w:tcBorders>
              <w:top w:val="single" w:sz="8" w:space="0" w:color="BFBFBF" w:themeColor="background1" w:themeShade="BF"/>
              <w:left w:val="single" w:sz="8" w:space="0" w:color="BFBFBF" w:themeColor="background1" w:themeShade="BF"/>
            </w:tcBorders>
          </w:tcPr>
          <w:p w14:paraId="28F7DB64"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高於</w:t>
            </w:r>
            <w:r w:rsidRPr="00CA1A43">
              <w:rPr>
                <w:rFonts w:asciiTheme="minorHAnsi" w:hAnsiTheme="minorHAnsi" w:cstheme="minorHAnsi"/>
                <w:sz w:val="24"/>
                <w:szCs w:val="24"/>
              </w:rPr>
              <w:t>0.12</w:t>
            </w:r>
          </w:p>
          <w:p w14:paraId="47A845B2"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 p-value = 0.055 )</w:t>
            </w:r>
          </w:p>
        </w:tc>
      </w:tr>
      <w:tr w:rsidR="00215C4A" w:rsidRPr="00CA1A43" w14:paraId="4481DCD3" w14:textId="77777777" w:rsidTr="00225E83">
        <w:trPr>
          <w:trHeight w:val="102"/>
        </w:trPr>
        <w:tc>
          <w:tcPr>
            <w:tcW w:w="818" w:type="pct"/>
            <w:tcBorders>
              <w:top w:val="single" w:sz="8" w:space="0" w:color="BFBFBF" w:themeColor="background1" w:themeShade="BF"/>
              <w:right w:val="single" w:sz="8" w:space="0" w:color="BFBFBF" w:themeColor="background1" w:themeShade="BF"/>
            </w:tcBorders>
          </w:tcPr>
          <w:p w14:paraId="524C008E" w14:textId="77777777" w:rsidR="00215C4A" w:rsidRPr="00CA1A43" w:rsidRDefault="00215C4A" w:rsidP="00FB65D2">
            <w:pPr>
              <w:pStyle w:val="Item"/>
              <w:ind w:leftChars="-30" w:left="-72"/>
              <w:jc w:val="center"/>
              <w:rPr>
                <w:rFonts w:asciiTheme="minorHAnsi" w:hAnsiTheme="minorHAnsi" w:cstheme="minorHAnsi"/>
                <w:sz w:val="24"/>
                <w:szCs w:val="24"/>
              </w:rPr>
            </w:pPr>
            <w:proofErr w:type="gramStart"/>
            <w:r w:rsidRPr="00CA1A43">
              <w:rPr>
                <w:rFonts w:asciiTheme="minorHAnsi" w:hAnsiTheme="minorHAnsi" w:cstheme="minorHAnsi"/>
                <w:sz w:val="24"/>
                <w:szCs w:val="24"/>
              </w:rPr>
              <w:t>黃區</w:t>
            </w:r>
            <w:proofErr w:type="gramEnd"/>
            <w:r w:rsidRPr="00CA1A43">
              <w:rPr>
                <w:rFonts w:asciiTheme="minorHAnsi" w:hAnsiTheme="minorHAnsi" w:cstheme="minorHAnsi"/>
                <w:sz w:val="24"/>
                <w:szCs w:val="24"/>
              </w:rPr>
              <w:t xml:space="preserve"> </w:t>
            </w:r>
          </w:p>
        </w:tc>
        <w:tc>
          <w:tcPr>
            <w:tcW w:w="4182" w:type="pct"/>
            <w:gridSpan w:val="3"/>
            <w:tcBorders>
              <w:top w:val="single" w:sz="8" w:space="0" w:color="BFBFBF" w:themeColor="background1" w:themeShade="BF"/>
              <w:left w:val="single" w:sz="8" w:space="0" w:color="BFBFBF" w:themeColor="background1" w:themeShade="BF"/>
            </w:tcBorders>
          </w:tcPr>
          <w:p w14:paraId="48BE3847" w14:textId="77777777" w:rsidR="00215C4A" w:rsidRPr="00CA1A43" w:rsidRDefault="00215C4A" w:rsidP="00FB65D2">
            <w:pPr>
              <w:pStyle w:val="Item"/>
              <w:ind w:leftChars="-30" w:left="-72"/>
              <w:jc w:val="center"/>
              <w:rPr>
                <w:rFonts w:asciiTheme="minorHAnsi" w:hAnsiTheme="minorHAnsi" w:cstheme="minorHAnsi"/>
                <w:sz w:val="24"/>
                <w:szCs w:val="24"/>
              </w:rPr>
            </w:pPr>
            <w:r w:rsidRPr="00CA1A43">
              <w:rPr>
                <w:rFonts w:asciiTheme="minorHAnsi" w:hAnsiTheme="minorHAnsi" w:cstheme="minorHAnsi"/>
                <w:sz w:val="24"/>
                <w:szCs w:val="24"/>
              </w:rPr>
              <w:t>其他情形</w:t>
            </w:r>
          </w:p>
        </w:tc>
      </w:tr>
    </w:tbl>
    <w:p w14:paraId="45016D1C" w14:textId="7516F78F" w:rsidR="00215C4A" w:rsidRPr="00CA1A43" w:rsidRDefault="00215C4A" w:rsidP="005066C2">
      <w:pPr>
        <w:pStyle w:val="a7"/>
        <w:numPr>
          <w:ilvl w:val="0"/>
          <w:numId w:val="291"/>
        </w:numPr>
        <w:spacing w:beforeLines="50" w:before="180"/>
        <w:ind w:leftChars="0" w:left="1446" w:hanging="482"/>
        <w:jc w:val="both"/>
        <w:rPr>
          <w:rFonts w:eastAsia="標楷體" w:cstheme="minorHAnsi"/>
          <w:szCs w:val="24"/>
        </w:rPr>
      </w:pPr>
      <w:r w:rsidRPr="00CA1A43">
        <w:rPr>
          <w:rFonts w:eastAsia="標楷體" w:cstheme="minorHAnsi"/>
          <w:szCs w:val="24"/>
        </w:rPr>
        <w:t>交易台損益歸因</w:t>
      </w:r>
      <w:r w:rsidRPr="00CA1A43">
        <w:rPr>
          <w:rFonts w:eastAsia="標楷體" w:cstheme="minorHAnsi"/>
          <w:szCs w:val="24"/>
        </w:rPr>
        <w:t>(PLA)</w:t>
      </w:r>
      <w:r w:rsidRPr="00CA1A43">
        <w:rPr>
          <w:rFonts w:eastAsia="標楷體" w:cstheme="minorHAnsi"/>
          <w:szCs w:val="24"/>
        </w:rPr>
        <w:t>測試結果落</w:t>
      </w:r>
      <w:proofErr w:type="gramStart"/>
      <w:r w:rsidRPr="00CA1A43">
        <w:rPr>
          <w:rFonts w:eastAsia="標楷體" w:cstheme="minorHAnsi"/>
          <w:szCs w:val="24"/>
        </w:rPr>
        <w:t>於紅區</w:t>
      </w:r>
      <w:proofErr w:type="gramEnd"/>
      <w:r w:rsidRPr="00CA1A43">
        <w:rPr>
          <w:rFonts w:eastAsia="標楷體" w:cstheme="minorHAnsi"/>
          <w:szCs w:val="24"/>
        </w:rPr>
        <w:t>，則該交易台視為非合格採用內部模型法之交易台，銀行須將該交易台所持有部位全數以標準法計提資本，直至該交易台之損益歸因測試及過去</w:t>
      </w:r>
      <w:r w:rsidRPr="00CA1A43">
        <w:rPr>
          <w:rFonts w:eastAsia="標楷體" w:cstheme="minorHAnsi"/>
          <w:szCs w:val="24"/>
        </w:rPr>
        <w:t>250</w:t>
      </w:r>
      <w:r w:rsidRPr="00CA1A43">
        <w:rPr>
          <w:rFonts w:eastAsia="標楷體" w:cstheme="minorHAnsi"/>
          <w:szCs w:val="24"/>
        </w:rPr>
        <w:t>個交易日回溯測試</w:t>
      </w:r>
      <w:proofErr w:type="gramStart"/>
      <w:r w:rsidRPr="00CA1A43">
        <w:rPr>
          <w:rFonts w:eastAsia="標楷體" w:cstheme="minorHAnsi"/>
          <w:szCs w:val="24"/>
        </w:rPr>
        <w:t>皆落於綠區</w:t>
      </w:r>
      <w:proofErr w:type="gramEnd"/>
      <w:r w:rsidRPr="00CA1A43">
        <w:rPr>
          <w:rFonts w:eastAsia="標楷體" w:cstheme="minorHAnsi"/>
          <w:szCs w:val="24"/>
        </w:rPr>
        <w:t>。</w:t>
      </w:r>
    </w:p>
    <w:p w14:paraId="62C39892" w14:textId="77777777" w:rsidR="00633E44" w:rsidRPr="00CA1A43" w:rsidRDefault="00215C4A" w:rsidP="005066C2">
      <w:pPr>
        <w:pStyle w:val="a7"/>
        <w:numPr>
          <w:ilvl w:val="0"/>
          <w:numId w:val="291"/>
        </w:numPr>
        <w:spacing w:beforeLines="50" w:before="180"/>
        <w:ind w:leftChars="0" w:left="1446" w:hanging="482"/>
        <w:jc w:val="both"/>
        <w:rPr>
          <w:rFonts w:eastAsia="標楷體" w:cstheme="minorHAnsi"/>
          <w:kern w:val="0"/>
          <w:szCs w:val="24"/>
        </w:rPr>
      </w:pPr>
      <w:r w:rsidRPr="00CA1A43">
        <w:rPr>
          <w:rFonts w:eastAsia="標楷體" w:cstheme="minorHAnsi"/>
          <w:szCs w:val="24"/>
        </w:rPr>
        <w:t>交易台損益歸因</w:t>
      </w:r>
      <w:r w:rsidRPr="00CA1A43">
        <w:rPr>
          <w:rFonts w:eastAsia="標楷體" w:cstheme="minorHAnsi"/>
          <w:szCs w:val="24"/>
        </w:rPr>
        <w:t>(PLA)</w:t>
      </w:r>
      <w:r w:rsidRPr="00CA1A43">
        <w:rPr>
          <w:rFonts w:eastAsia="標楷體" w:cstheme="minorHAnsi"/>
          <w:szCs w:val="24"/>
        </w:rPr>
        <w:t>測試結果落</w:t>
      </w:r>
      <w:proofErr w:type="gramStart"/>
      <w:r w:rsidRPr="00CA1A43">
        <w:rPr>
          <w:rFonts w:eastAsia="標楷體" w:cstheme="minorHAnsi"/>
          <w:szCs w:val="24"/>
        </w:rPr>
        <w:t>於黃區</w:t>
      </w:r>
      <w:proofErr w:type="gramEnd"/>
      <w:r w:rsidRPr="00CA1A43">
        <w:rPr>
          <w:rFonts w:eastAsia="標楷體" w:cstheme="minorHAnsi"/>
          <w:szCs w:val="24"/>
        </w:rPr>
        <w:t>，則該交易台仍可採用內部模型法計提資本，惟須計算額外資本加碼，直至該交易台之損益歸因測試及過去</w:t>
      </w:r>
      <w:r w:rsidRPr="00CA1A43">
        <w:rPr>
          <w:rFonts w:eastAsia="標楷體" w:cstheme="minorHAnsi"/>
          <w:szCs w:val="24"/>
        </w:rPr>
        <w:t>250</w:t>
      </w:r>
      <w:r w:rsidRPr="00CA1A43">
        <w:rPr>
          <w:rFonts w:eastAsia="標楷體" w:cstheme="minorHAnsi"/>
          <w:szCs w:val="24"/>
        </w:rPr>
        <w:t>個交易日回溯測試</w:t>
      </w:r>
      <w:proofErr w:type="gramStart"/>
      <w:r w:rsidRPr="00CA1A43">
        <w:rPr>
          <w:rFonts w:eastAsia="標楷體" w:cstheme="minorHAnsi"/>
          <w:szCs w:val="24"/>
        </w:rPr>
        <w:t>皆落於綠區</w:t>
      </w:r>
      <w:proofErr w:type="gramEnd"/>
      <w:r w:rsidRPr="00CA1A43">
        <w:rPr>
          <w:rFonts w:eastAsia="標楷體" w:cstheme="minorHAnsi"/>
          <w:szCs w:val="24"/>
        </w:rPr>
        <w:t>。</w:t>
      </w:r>
    </w:p>
    <w:p w14:paraId="04C10B3C" w14:textId="77777777" w:rsidR="00215C4A" w:rsidRPr="00CA1A43" w:rsidRDefault="00215C4A" w:rsidP="005066C2">
      <w:pPr>
        <w:pStyle w:val="a7"/>
        <w:numPr>
          <w:ilvl w:val="0"/>
          <w:numId w:val="287"/>
        </w:numPr>
        <w:spacing w:beforeLines="50" w:before="180"/>
        <w:ind w:leftChars="0" w:left="964" w:hanging="482"/>
        <w:jc w:val="both"/>
        <w:rPr>
          <w:rFonts w:eastAsia="標楷體" w:cstheme="minorHAnsi"/>
          <w:szCs w:val="24"/>
        </w:rPr>
      </w:pPr>
      <w:r w:rsidRPr="00CA1A43">
        <w:rPr>
          <w:rFonts w:eastAsia="標楷體" w:cstheme="minorHAnsi"/>
          <w:szCs w:val="24"/>
        </w:rPr>
        <w:t>例外處理：</w:t>
      </w:r>
    </w:p>
    <w:p w14:paraId="7CD8A960" w14:textId="77777777" w:rsidR="00215C4A" w:rsidRPr="00CA1A43" w:rsidRDefault="00215C4A" w:rsidP="00215C4A">
      <w:pPr>
        <w:pStyle w:val="a7"/>
        <w:spacing w:beforeLines="50" w:before="180"/>
        <w:ind w:leftChars="0" w:left="964"/>
        <w:jc w:val="both"/>
        <w:rPr>
          <w:rFonts w:eastAsia="標楷體" w:cstheme="minorHAnsi"/>
          <w:szCs w:val="24"/>
        </w:rPr>
      </w:pPr>
      <w:r w:rsidRPr="00CA1A43">
        <w:rPr>
          <w:rFonts w:eastAsia="標楷體" w:cstheme="minorHAnsi"/>
          <w:szCs w:val="24"/>
        </w:rPr>
        <w:t>本會允許在極少數的情況下，相關交易台繼續使用內部模型法</w:t>
      </w:r>
      <w:r w:rsidRPr="00CA1A43">
        <w:rPr>
          <w:rFonts w:eastAsia="標楷體" w:cstheme="minorHAnsi"/>
          <w:szCs w:val="24"/>
        </w:rPr>
        <w:t>(IMA)</w:t>
      </w:r>
      <w:r w:rsidRPr="00CA1A43">
        <w:rPr>
          <w:rStyle w:val="a5"/>
          <w:rFonts w:eastAsia="標楷體" w:cstheme="minorHAnsi"/>
          <w:szCs w:val="24"/>
        </w:rPr>
        <w:footnoteReference w:id="107"/>
      </w:r>
      <w:r w:rsidRPr="00CA1A43">
        <w:rPr>
          <w:rFonts w:eastAsia="標楷體" w:cstheme="minorHAnsi"/>
          <w:szCs w:val="24"/>
        </w:rPr>
        <w:t>，但銀行各交易台應儘速將此極少數情況之情境納入其內部模型。</w:t>
      </w:r>
    </w:p>
    <w:p w14:paraId="1EE6CB00" w14:textId="77777777" w:rsidR="00215C4A" w:rsidRPr="00CA1A43" w:rsidRDefault="00215C4A" w:rsidP="00215C4A">
      <w:pPr>
        <w:pStyle w:val="a7"/>
        <w:numPr>
          <w:ilvl w:val="0"/>
          <w:numId w:val="246"/>
        </w:numPr>
        <w:spacing w:beforeLines="50" w:before="180"/>
        <w:ind w:leftChars="0" w:left="737" w:hanging="737"/>
        <w:jc w:val="both"/>
        <w:outlineLvl w:val="0"/>
        <w:rPr>
          <w:rFonts w:eastAsia="標楷體" w:cstheme="minorHAnsi"/>
        </w:rPr>
      </w:pPr>
      <w:bookmarkStart w:id="33" w:name="_Toc67992473"/>
      <w:r w:rsidRPr="00CA1A43">
        <w:rPr>
          <w:rFonts w:eastAsia="標楷體" w:cstheme="minorHAnsi"/>
        </w:rPr>
        <w:lastRenderedPageBreak/>
        <w:t>量化標準</w:t>
      </w:r>
      <w:r w:rsidRPr="00CA1A43">
        <w:rPr>
          <w:rFonts w:eastAsia="標楷體" w:cstheme="minorHAnsi"/>
        </w:rPr>
        <w:t>(quantitative standards)</w:t>
      </w:r>
      <w:r w:rsidRPr="00CA1A43">
        <w:rPr>
          <w:rFonts w:eastAsia="標楷體" w:cstheme="minorHAnsi"/>
        </w:rPr>
        <w:t>：</w:t>
      </w:r>
      <w:bookmarkEnd w:id="33"/>
    </w:p>
    <w:p w14:paraId="1706940C" w14:textId="77777777" w:rsidR="00215C4A" w:rsidRPr="00CA1A43" w:rsidRDefault="00215C4A" w:rsidP="00215C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37"/>
        <w:rPr>
          <w:rFonts w:eastAsia="標楷體" w:cstheme="minorHAnsi"/>
        </w:rPr>
      </w:pPr>
      <w:r w:rsidRPr="00CA1A43">
        <w:rPr>
          <w:rFonts w:eastAsia="標楷體" w:cstheme="minorHAnsi"/>
        </w:rPr>
        <w:t>銀行採用內部模型計算資本計提時，應符合下列最低標準，本會得視個別銀行情況要求採取更為嚴格之標準。</w:t>
      </w:r>
    </w:p>
    <w:p w14:paraId="726A4A0D" w14:textId="77777777" w:rsidR="00215C4A" w:rsidRPr="00CA1A43" w:rsidRDefault="00215C4A" w:rsidP="005066C2">
      <w:pPr>
        <w:pStyle w:val="a7"/>
        <w:numPr>
          <w:ilvl w:val="0"/>
          <w:numId w:val="299"/>
        </w:numPr>
        <w:spacing w:beforeLines="50" w:before="180"/>
        <w:ind w:leftChars="0" w:left="737" w:hanging="737"/>
        <w:jc w:val="both"/>
        <w:rPr>
          <w:rFonts w:eastAsia="標楷體" w:cstheme="minorHAnsi"/>
          <w:szCs w:val="24"/>
        </w:rPr>
      </w:pPr>
      <w:r w:rsidRPr="00CA1A43">
        <w:rPr>
          <w:rFonts w:eastAsia="標楷體" w:cstheme="minorHAnsi"/>
          <w:szCs w:val="24"/>
        </w:rPr>
        <w:t>預期短缺</w:t>
      </w:r>
    </w:p>
    <w:p w14:paraId="72A7CFAD" w14:textId="77777777" w:rsidR="00215C4A" w:rsidRPr="00CA1A43" w:rsidRDefault="00215C4A" w:rsidP="005066C2">
      <w:pPr>
        <w:pStyle w:val="a7"/>
        <w:numPr>
          <w:ilvl w:val="0"/>
          <w:numId w:val="292"/>
        </w:numPr>
        <w:spacing w:beforeLines="50" w:before="180"/>
        <w:ind w:leftChars="0" w:left="964" w:hanging="482"/>
        <w:jc w:val="both"/>
        <w:rPr>
          <w:rFonts w:eastAsia="標楷體" w:cstheme="minorHAnsi"/>
        </w:rPr>
      </w:pPr>
      <w:r w:rsidRPr="00CA1A43">
        <w:rPr>
          <w:rFonts w:eastAsia="標楷體" w:cstheme="minorHAnsi"/>
        </w:rPr>
        <w:t>應針對有使用內部模型法之全行層級與交易台層級，每日計算「預期短缺」</w:t>
      </w:r>
      <w:r w:rsidRPr="00CA1A43">
        <w:rPr>
          <w:rFonts w:eastAsia="標楷體" w:cstheme="minorHAnsi"/>
        </w:rPr>
        <w:t>(Expected shortfall)</w:t>
      </w:r>
      <w:r w:rsidRPr="00CA1A43">
        <w:rPr>
          <w:rFonts w:eastAsia="標楷體" w:cstheme="minorHAnsi"/>
        </w:rPr>
        <w:t>。</w:t>
      </w:r>
    </w:p>
    <w:p w14:paraId="2AD722E6" w14:textId="77777777" w:rsidR="00215C4A" w:rsidRPr="00CA1A43" w:rsidRDefault="00215C4A" w:rsidP="005066C2">
      <w:pPr>
        <w:pStyle w:val="a7"/>
        <w:numPr>
          <w:ilvl w:val="0"/>
          <w:numId w:val="292"/>
        </w:numPr>
        <w:spacing w:beforeLines="50" w:before="180"/>
        <w:ind w:leftChars="0" w:left="964" w:hanging="482"/>
        <w:jc w:val="both"/>
        <w:rPr>
          <w:rFonts w:eastAsia="標楷體" w:cstheme="minorHAnsi"/>
        </w:rPr>
      </w:pPr>
      <w:r w:rsidRPr="00CA1A43">
        <w:rPr>
          <w:rFonts w:eastAsia="標楷體" w:cstheme="minorHAnsi"/>
        </w:rPr>
        <w:t>計算預期短缺應採用</w:t>
      </w:r>
      <w:r w:rsidRPr="00CA1A43">
        <w:rPr>
          <w:rFonts w:eastAsia="標楷體" w:cstheme="minorHAnsi"/>
        </w:rPr>
        <w:t>97.5%</w:t>
      </w:r>
      <w:proofErr w:type="gramStart"/>
      <w:r w:rsidRPr="00CA1A43">
        <w:rPr>
          <w:rFonts w:eastAsia="標楷體" w:cstheme="minorHAnsi"/>
        </w:rPr>
        <w:t>之單尾信賴</w:t>
      </w:r>
      <w:proofErr w:type="gramEnd"/>
      <w:r w:rsidRPr="00CA1A43">
        <w:rPr>
          <w:rFonts w:eastAsia="標楷體" w:cstheme="minorHAnsi"/>
        </w:rPr>
        <w:t>水準。</w:t>
      </w:r>
    </w:p>
    <w:p w14:paraId="1A629F8F" w14:textId="02FEDE8C" w:rsidR="00215C4A" w:rsidRPr="00CA1A43" w:rsidRDefault="00215C4A" w:rsidP="005C1FCD">
      <w:pPr>
        <w:pStyle w:val="a7"/>
        <w:numPr>
          <w:ilvl w:val="0"/>
          <w:numId w:val="292"/>
        </w:numPr>
        <w:spacing w:beforeLines="50" w:before="180"/>
        <w:ind w:leftChars="0" w:left="964" w:hanging="482"/>
        <w:jc w:val="both"/>
        <w:rPr>
          <w:rFonts w:eastAsia="標楷體" w:cstheme="minorHAnsi"/>
        </w:rPr>
      </w:pPr>
      <w:r w:rsidRPr="00CA1A43">
        <w:rPr>
          <w:rFonts w:eastAsia="標楷體" w:cstheme="minorHAnsi"/>
        </w:rPr>
        <w:t>經本會同意適用範圍之</w:t>
      </w:r>
      <w:r w:rsidR="009653EE" w:rsidRPr="00235594">
        <w:rPr>
          <w:rFonts w:eastAsia="標楷體" w:cstheme="minorHAnsi"/>
        </w:rPr>
        <w:t>工具</w:t>
      </w:r>
      <w:r w:rsidRPr="00CA1A43">
        <w:rPr>
          <w:rFonts w:eastAsia="標楷體" w:cstheme="minorHAnsi"/>
        </w:rPr>
        <w:t>，可無需使用全域評價法</w:t>
      </w:r>
      <w:r w:rsidRPr="00A67C01">
        <w:rPr>
          <w:rFonts w:eastAsia="標楷體" w:cstheme="minorHAnsi"/>
        </w:rPr>
        <w:t>(</w:t>
      </w:r>
      <w:r w:rsidR="00A67C01" w:rsidRPr="00A67C01">
        <w:rPr>
          <w:rFonts w:eastAsia="標楷體" w:cstheme="minorHAnsi"/>
        </w:rPr>
        <w:t>full revaluation</w:t>
      </w:r>
      <w:r w:rsidRPr="00A67C01">
        <w:rPr>
          <w:rFonts w:eastAsia="標楷體" w:cstheme="minorHAnsi"/>
        </w:rPr>
        <w:t>)</w:t>
      </w:r>
      <w:r w:rsidRPr="00CA1A43">
        <w:rPr>
          <w:rFonts w:eastAsia="標楷體" w:cstheme="minorHAnsi"/>
        </w:rPr>
        <w:t>，直接套用簡化的方法</w:t>
      </w:r>
      <w:r w:rsidRPr="00CA1A43">
        <w:rPr>
          <w:rFonts w:eastAsia="標楷體" w:cstheme="minorHAnsi"/>
        </w:rPr>
        <w:t>(</w:t>
      </w:r>
      <w:r w:rsidRPr="00CA1A43">
        <w:rPr>
          <w:rFonts w:eastAsia="標楷體" w:cstheme="minorHAnsi"/>
        </w:rPr>
        <w:t>如敏感性基礎估計</w:t>
      </w:r>
      <w:r w:rsidRPr="00CA1A43">
        <w:rPr>
          <w:rFonts w:eastAsia="標楷體" w:cstheme="minorHAnsi"/>
        </w:rPr>
        <w:t>(ex. delta-gamma</w:t>
      </w:r>
      <w:r w:rsidRPr="00CA1A43">
        <w:rPr>
          <w:rFonts w:eastAsia="標楷體" w:cstheme="minorHAnsi"/>
        </w:rPr>
        <w:t>近似法</w:t>
      </w:r>
      <w:r w:rsidRPr="00CA1A43">
        <w:rPr>
          <w:rFonts w:eastAsia="標楷體" w:cstheme="minorHAnsi"/>
        </w:rPr>
        <w:t>))</w:t>
      </w:r>
      <w:r w:rsidRPr="00CA1A43">
        <w:rPr>
          <w:rFonts w:eastAsia="標楷體" w:cstheme="minorHAnsi"/>
        </w:rPr>
        <w:t>。</w:t>
      </w:r>
    </w:p>
    <w:p w14:paraId="548FE7CC" w14:textId="77777777" w:rsidR="00633E44" w:rsidRPr="00CA1A43" w:rsidRDefault="00215C4A" w:rsidP="005066C2">
      <w:pPr>
        <w:pStyle w:val="a7"/>
        <w:numPr>
          <w:ilvl w:val="0"/>
          <w:numId w:val="292"/>
        </w:numPr>
        <w:spacing w:beforeLines="50" w:before="180"/>
        <w:ind w:leftChars="0" w:left="964" w:hanging="482"/>
        <w:jc w:val="both"/>
        <w:rPr>
          <w:rFonts w:eastAsia="標楷體" w:cstheme="minorHAnsi"/>
          <w:kern w:val="0"/>
          <w:szCs w:val="24"/>
        </w:rPr>
      </w:pPr>
      <w:r w:rsidRPr="00CA1A43">
        <w:rPr>
          <w:rFonts w:eastAsia="標楷體" w:cstheme="minorHAnsi"/>
        </w:rPr>
        <w:t>計算預期短缺時，應採用</w:t>
      </w:r>
      <w:r w:rsidRPr="00CA1A43">
        <w:rPr>
          <w:rFonts w:eastAsia="標楷體" w:cstheme="minorHAnsi"/>
        </w:rPr>
        <w:t>10</w:t>
      </w:r>
      <w:r w:rsidRPr="00CA1A43">
        <w:rPr>
          <w:rFonts w:eastAsia="標楷體" w:cstheme="minorHAnsi"/>
        </w:rPr>
        <w:t>個交易日基本變現期間之預期短缺，並透過以下公式進行調整，以反應各風險因子不同之變現期間。</w:t>
      </w:r>
    </w:p>
    <w:p w14:paraId="2FBC5573" w14:textId="77777777" w:rsidR="00215C4A" w:rsidRPr="00CA1A43" w:rsidRDefault="00215C4A" w:rsidP="00215C4A">
      <w:pPr>
        <w:pStyle w:val="a7"/>
        <w:spacing w:beforeLines="50" w:before="180"/>
        <w:ind w:leftChars="0" w:left="964"/>
        <w:jc w:val="both"/>
        <w:rPr>
          <w:rFonts w:eastAsia="標楷體" w:cstheme="minorHAnsi"/>
          <w:kern w:val="0"/>
          <w:szCs w:val="24"/>
        </w:rPr>
      </w:pPr>
      <m:oMathPara>
        <m:oMath>
          <m:r>
            <m:rPr>
              <m:sty m:val="p"/>
            </m:rPr>
            <w:rPr>
              <w:rFonts w:ascii="Cambria Math" w:eastAsia="標楷體" w:hAnsi="Cambria Math" w:cstheme="minorHAnsi"/>
            </w:rPr>
            <m:t>ES=</m:t>
          </m:r>
          <m:rad>
            <m:radPr>
              <m:degHide m:val="1"/>
              <m:ctrlPr>
                <w:rPr>
                  <w:rFonts w:ascii="Cambria Math" w:eastAsia="標楷體" w:hAnsi="Cambria Math" w:cstheme="minorHAnsi"/>
                </w:rPr>
              </m:ctrlPr>
            </m:radPr>
            <m:deg>
              <m:ctrlPr>
                <w:rPr>
                  <w:rFonts w:ascii="Cambria Math" w:eastAsia="標楷體" w:hAnsi="Cambria Math" w:cstheme="minorHAnsi"/>
                  <w:i/>
                </w:rPr>
              </m:ctrlPr>
            </m:deg>
            <m:e>
              <m:sSup>
                <m:sSupPr>
                  <m:ctrlPr>
                    <w:rPr>
                      <w:rFonts w:ascii="Cambria Math" w:eastAsia="標楷體" w:hAnsi="Cambria Math" w:cstheme="minorHAnsi"/>
                    </w:rPr>
                  </m:ctrlPr>
                </m:sSupPr>
                <m:e>
                  <m:d>
                    <m:dPr>
                      <m:ctrlPr>
                        <w:rPr>
                          <w:rFonts w:ascii="Cambria Math" w:eastAsia="標楷體" w:hAnsi="Cambria Math" w:cstheme="minorHAnsi"/>
                        </w:rPr>
                      </m:ctrlPr>
                    </m:dPr>
                    <m:e>
                      <m:r>
                        <m:rPr>
                          <m:sty m:val="p"/>
                        </m:rPr>
                        <w:rPr>
                          <w:rFonts w:ascii="Cambria Math" w:eastAsia="標楷體" w:hAnsi="Cambria Math" w:cstheme="minorHAnsi"/>
                        </w:rPr>
                        <m:t>E</m:t>
                      </m:r>
                      <m:sSub>
                        <m:sSubPr>
                          <m:ctrlPr>
                            <w:rPr>
                              <w:rFonts w:ascii="Cambria Math" w:eastAsia="標楷體" w:hAnsi="Cambria Math" w:cstheme="minorHAnsi"/>
                              <w:i/>
                            </w:rPr>
                          </m:ctrlPr>
                        </m:sSubPr>
                        <m:e>
                          <m:r>
                            <w:rPr>
                              <w:rFonts w:ascii="Cambria Math" w:eastAsia="標楷體" w:hAnsi="Cambria Math" w:cstheme="minorHAnsi"/>
                            </w:rPr>
                            <m:t>S</m:t>
                          </m:r>
                        </m:e>
                        <m:sub>
                          <m:r>
                            <w:rPr>
                              <w:rFonts w:ascii="Cambria Math" w:eastAsia="標楷體" w:hAnsi="Cambria Math" w:cstheme="minorHAnsi"/>
                            </w:rPr>
                            <m:t>T</m:t>
                          </m:r>
                        </m:sub>
                      </m:sSub>
                      <m:d>
                        <m:dPr>
                          <m:ctrlPr>
                            <w:rPr>
                              <w:rFonts w:ascii="Cambria Math" w:eastAsia="標楷體" w:hAnsi="Cambria Math" w:cstheme="minorHAnsi"/>
                            </w:rPr>
                          </m:ctrlPr>
                        </m:dPr>
                        <m:e>
                          <m:r>
                            <m:rPr>
                              <m:sty m:val="p"/>
                            </m:rPr>
                            <w:rPr>
                              <w:rFonts w:ascii="Cambria Math" w:eastAsia="標楷體" w:hAnsi="Cambria Math" w:cstheme="minorHAnsi"/>
                            </w:rPr>
                            <m:t>P</m:t>
                          </m:r>
                        </m:e>
                      </m:d>
                    </m:e>
                  </m:d>
                </m:e>
                <m:sup>
                  <m:r>
                    <m:rPr>
                      <m:sty m:val="p"/>
                    </m:rPr>
                    <w:rPr>
                      <w:rFonts w:ascii="Cambria Math" w:eastAsia="標楷體" w:hAnsi="Cambria Math" w:cstheme="minorHAnsi"/>
                    </w:rPr>
                    <m:t>2</m:t>
                  </m:r>
                </m:sup>
              </m:sSup>
              <m:r>
                <w:rPr>
                  <w:rFonts w:ascii="Cambria Math" w:eastAsia="標楷體" w:hAnsi="Cambria Math" w:cstheme="minorHAnsi"/>
                </w:rPr>
                <m:t>+</m:t>
              </m:r>
              <m:nary>
                <m:naryPr>
                  <m:chr m:val="∑"/>
                  <m:limLoc m:val="undOvr"/>
                  <m:supHide m:val="1"/>
                  <m:ctrlPr>
                    <w:rPr>
                      <w:rFonts w:ascii="Cambria Math" w:eastAsia="標楷體" w:hAnsi="Cambria Math" w:cstheme="minorHAnsi"/>
                      <w:i/>
                    </w:rPr>
                  </m:ctrlPr>
                </m:naryPr>
                <m:sub>
                  <m:r>
                    <w:rPr>
                      <w:rFonts w:ascii="Cambria Math" w:eastAsia="標楷體" w:hAnsi="Cambria Math" w:cstheme="minorHAnsi"/>
                    </w:rPr>
                    <m:t xml:space="preserve">j≥2 </m:t>
                  </m:r>
                </m:sub>
                <m:sup/>
                <m:e>
                  <m:sSup>
                    <m:sSupPr>
                      <m:ctrlPr>
                        <w:rPr>
                          <w:rFonts w:ascii="Cambria Math" w:eastAsia="標楷體" w:hAnsi="Cambria Math" w:cstheme="minorHAnsi"/>
                          <w:i/>
                        </w:rPr>
                      </m:ctrlPr>
                    </m:sSupPr>
                    <m:e>
                      <m:d>
                        <m:dPr>
                          <m:ctrlPr>
                            <w:rPr>
                              <w:rFonts w:ascii="Cambria Math" w:eastAsia="標楷體" w:hAnsi="Cambria Math" w:cstheme="minorHAnsi"/>
                              <w:i/>
                            </w:rPr>
                          </m:ctrlPr>
                        </m:dPr>
                        <m:e>
                          <m:r>
                            <w:rPr>
                              <w:rFonts w:ascii="Cambria Math" w:eastAsia="標楷體" w:hAnsi="Cambria Math" w:cstheme="minorHAnsi"/>
                            </w:rPr>
                            <m:t>E</m:t>
                          </m:r>
                          <m:sSub>
                            <m:sSubPr>
                              <m:ctrlPr>
                                <w:rPr>
                                  <w:rFonts w:ascii="Cambria Math" w:eastAsia="標楷體" w:hAnsi="Cambria Math" w:cstheme="minorHAnsi"/>
                                  <w:i/>
                                </w:rPr>
                              </m:ctrlPr>
                            </m:sSubPr>
                            <m:e>
                              <m:r>
                                <w:rPr>
                                  <w:rFonts w:ascii="Cambria Math" w:eastAsia="標楷體" w:hAnsi="Cambria Math" w:cstheme="minorHAnsi"/>
                                </w:rPr>
                                <m:t>S</m:t>
                              </m:r>
                            </m:e>
                            <m:sub>
                              <m:r>
                                <w:rPr>
                                  <w:rFonts w:ascii="Cambria Math" w:eastAsia="標楷體" w:hAnsi="Cambria Math" w:cstheme="minorHAnsi"/>
                                </w:rPr>
                                <m:t>T</m:t>
                              </m:r>
                            </m:sub>
                          </m:sSub>
                          <m:d>
                            <m:dPr>
                              <m:ctrlPr>
                                <w:rPr>
                                  <w:rFonts w:ascii="Cambria Math" w:eastAsia="標楷體" w:hAnsi="Cambria Math" w:cstheme="minorHAnsi"/>
                                  <w:i/>
                                </w:rPr>
                              </m:ctrlPr>
                            </m:dPr>
                            <m:e>
                              <m:r>
                                <w:rPr>
                                  <w:rFonts w:ascii="Cambria Math" w:eastAsia="標楷體" w:hAnsi="Cambria Math" w:cstheme="minorHAnsi"/>
                                </w:rPr>
                                <m:t>P,j</m:t>
                              </m:r>
                            </m:e>
                          </m:d>
                          <m:rad>
                            <m:radPr>
                              <m:degHide m:val="1"/>
                              <m:ctrlPr>
                                <w:rPr>
                                  <w:rFonts w:ascii="Cambria Math" w:eastAsia="標楷體" w:hAnsi="Cambria Math" w:cstheme="minorHAnsi"/>
                                  <w:i/>
                                </w:rPr>
                              </m:ctrlPr>
                            </m:radPr>
                            <m:deg/>
                            <m:e>
                              <m:f>
                                <m:fPr>
                                  <m:ctrlPr>
                                    <w:rPr>
                                      <w:rFonts w:ascii="Cambria Math" w:eastAsia="標楷體" w:hAnsi="Cambria Math" w:cstheme="minorHAnsi"/>
                                      <w:i/>
                                    </w:rPr>
                                  </m:ctrlPr>
                                </m:fPr>
                                <m:num>
                                  <m:r>
                                    <w:rPr>
                                      <w:rFonts w:ascii="Cambria Math" w:eastAsia="標楷體" w:hAnsi="Cambria Math" w:cstheme="minorHAnsi"/>
                                    </w:rPr>
                                    <m:t>L</m:t>
                                  </m:r>
                                  <m:sSub>
                                    <m:sSubPr>
                                      <m:ctrlPr>
                                        <w:rPr>
                                          <w:rFonts w:ascii="Cambria Math" w:eastAsia="標楷體" w:hAnsi="Cambria Math" w:cstheme="minorHAnsi"/>
                                          <w:i/>
                                        </w:rPr>
                                      </m:ctrlPr>
                                    </m:sSubPr>
                                    <m:e>
                                      <m:r>
                                        <w:rPr>
                                          <w:rFonts w:ascii="Cambria Math" w:eastAsia="標楷體" w:hAnsi="Cambria Math" w:cstheme="minorHAnsi"/>
                                        </w:rPr>
                                        <m:t>H</m:t>
                                      </m:r>
                                    </m:e>
                                    <m:sub>
                                      <m:r>
                                        <w:rPr>
                                          <w:rFonts w:ascii="Cambria Math" w:eastAsia="標楷體" w:hAnsi="Cambria Math" w:cstheme="minorHAnsi"/>
                                        </w:rPr>
                                        <m:t>j</m:t>
                                      </m:r>
                                    </m:sub>
                                  </m:sSub>
                                  <m:r>
                                    <w:rPr>
                                      <w:rFonts w:ascii="Cambria Math" w:eastAsia="標楷體" w:hAnsi="Cambria Math" w:cstheme="minorHAnsi"/>
                                    </w:rPr>
                                    <m:t>-L</m:t>
                                  </m:r>
                                  <m:sSub>
                                    <m:sSubPr>
                                      <m:ctrlPr>
                                        <w:rPr>
                                          <w:rFonts w:ascii="Cambria Math" w:eastAsia="標楷體" w:hAnsi="Cambria Math" w:cstheme="minorHAnsi"/>
                                          <w:i/>
                                        </w:rPr>
                                      </m:ctrlPr>
                                    </m:sSubPr>
                                    <m:e>
                                      <m:r>
                                        <w:rPr>
                                          <w:rFonts w:ascii="Cambria Math" w:eastAsia="標楷體" w:hAnsi="Cambria Math" w:cstheme="minorHAnsi"/>
                                        </w:rPr>
                                        <m:t>H</m:t>
                                      </m:r>
                                    </m:e>
                                    <m:sub>
                                      <m:r>
                                        <w:rPr>
                                          <w:rFonts w:ascii="Cambria Math" w:eastAsia="標楷體" w:hAnsi="Cambria Math" w:cstheme="minorHAnsi"/>
                                        </w:rPr>
                                        <m:t>j-1</m:t>
                                      </m:r>
                                    </m:sub>
                                  </m:sSub>
                                </m:num>
                                <m:den>
                                  <m:r>
                                    <w:rPr>
                                      <w:rFonts w:ascii="Cambria Math" w:eastAsia="標楷體" w:hAnsi="Cambria Math" w:cstheme="minorHAnsi"/>
                                    </w:rPr>
                                    <m:t>T</m:t>
                                  </m:r>
                                </m:den>
                              </m:f>
                            </m:e>
                          </m:rad>
                        </m:e>
                      </m:d>
                    </m:e>
                    <m:sup>
                      <m:r>
                        <w:rPr>
                          <w:rFonts w:ascii="Cambria Math" w:eastAsia="標楷體" w:hAnsi="Cambria Math" w:cstheme="minorHAnsi"/>
                        </w:rPr>
                        <m:t>2</m:t>
                      </m:r>
                    </m:sup>
                  </m:sSup>
                  <m:r>
                    <w:rPr>
                      <w:rFonts w:ascii="Cambria Math" w:eastAsia="標楷體" w:hAnsi="Cambria Math" w:cstheme="minorHAnsi"/>
                    </w:rPr>
                    <m:t xml:space="preserve"> </m:t>
                  </m:r>
                </m:e>
              </m:nary>
            </m:e>
          </m:rad>
        </m:oMath>
      </m:oMathPara>
    </w:p>
    <w:p w14:paraId="6726FC89" w14:textId="77777777" w:rsidR="00215C4A" w:rsidRPr="00CA1A43" w:rsidRDefault="00215C4A" w:rsidP="00426C66">
      <w:pPr>
        <w:spacing w:after="240"/>
        <w:ind w:left="964"/>
        <w:jc w:val="both"/>
        <w:rPr>
          <w:rFonts w:eastAsia="標楷體" w:cstheme="minorHAnsi"/>
          <w:szCs w:val="24"/>
        </w:rPr>
      </w:pPr>
      <w:r w:rsidRPr="00CA1A43">
        <w:rPr>
          <w:rFonts w:eastAsia="標楷體" w:cstheme="minorHAnsi"/>
          <w:szCs w:val="24"/>
        </w:rPr>
        <w:t>其中</w:t>
      </w:r>
      <w:r w:rsidRPr="00CA1A43">
        <w:rPr>
          <w:rFonts w:eastAsia="標楷體" w:cstheme="minorHAnsi"/>
          <w:szCs w:val="24"/>
        </w:rPr>
        <w:t>:</w:t>
      </w:r>
    </w:p>
    <w:p w14:paraId="5DB2F2DA" w14:textId="77777777" w:rsidR="00215C4A" w:rsidRPr="00CA1A43" w:rsidRDefault="00215C4A" w:rsidP="005066C2">
      <w:pPr>
        <w:pStyle w:val="a7"/>
        <w:numPr>
          <w:ilvl w:val="0"/>
          <w:numId w:val="293"/>
        </w:numPr>
        <w:spacing w:beforeLines="50" w:before="180"/>
        <w:ind w:leftChars="0" w:left="1446" w:hanging="482"/>
        <w:jc w:val="both"/>
        <w:rPr>
          <w:rFonts w:eastAsia="標楷體" w:cstheme="minorHAnsi"/>
        </w:rPr>
      </w:pPr>
      <w:r w:rsidRPr="00CA1A43">
        <w:rPr>
          <w:rFonts w:eastAsia="標楷體" w:cstheme="minorHAnsi"/>
        </w:rPr>
        <w:t>ES</w:t>
      </w:r>
      <w:r w:rsidRPr="00CA1A43">
        <w:rPr>
          <w:rFonts w:eastAsia="標楷體" w:cstheme="minorHAnsi"/>
        </w:rPr>
        <w:t>：</w:t>
      </w:r>
      <w:r w:rsidRPr="00CA1A43">
        <w:rPr>
          <w:rFonts w:eastAsia="標楷體" w:cstheme="minorHAnsi"/>
          <w:szCs w:val="24"/>
        </w:rPr>
        <w:t>法定</w:t>
      </w:r>
      <w:r w:rsidRPr="00CA1A43">
        <w:rPr>
          <w:rFonts w:eastAsia="標楷體" w:cstheme="minorHAnsi"/>
        </w:rPr>
        <w:t>變現期間調整後之預期短缺。</w:t>
      </w:r>
    </w:p>
    <w:p w14:paraId="351B824B" w14:textId="77777777" w:rsidR="00215C4A" w:rsidRPr="00CA1A43" w:rsidRDefault="00215C4A" w:rsidP="005066C2">
      <w:pPr>
        <w:pStyle w:val="a7"/>
        <w:numPr>
          <w:ilvl w:val="0"/>
          <w:numId w:val="293"/>
        </w:numPr>
        <w:spacing w:beforeLines="50" w:before="180"/>
        <w:ind w:leftChars="0" w:left="1446" w:hanging="482"/>
        <w:jc w:val="both"/>
        <w:rPr>
          <w:rFonts w:eastAsia="標楷體" w:cstheme="minorHAnsi"/>
        </w:rPr>
      </w:pPr>
      <w:r w:rsidRPr="00CA1A43">
        <w:rPr>
          <w:rFonts w:eastAsia="標楷體" w:cstheme="minorHAnsi"/>
        </w:rPr>
        <w:t>T</w:t>
      </w:r>
      <w:r w:rsidRPr="00CA1A43">
        <w:rPr>
          <w:rFonts w:eastAsia="標楷體" w:cstheme="minorHAnsi"/>
        </w:rPr>
        <w:t>：</w:t>
      </w:r>
      <w:r w:rsidRPr="00CA1A43">
        <w:rPr>
          <w:rFonts w:eastAsia="標楷體" w:cstheme="minorHAnsi"/>
        </w:rPr>
        <w:t>10</w:t>
      </w:r>
      <w:r w:rsidRPr="00CA1A43">
        <w:rPr>
          <w:rFonts w:eastAsia="標楷體" w:cstheme="minorHAnsi"/>
        </w:rPr>
        <w:t>日基本變現</w:t>
      </w:r>
      <w:proofErr w:type="gramStart"/>
      <w:r w:rsidRPr="00CA1A43">
        <w:rPr>
          <w:rFonts w:eastAsia="標楷體" w:cstheme="minorHAnsi"/>
        </w:rPr>
        <w:t>期間，</w:t>
      </w:r>
      <w:proofErr w:type="gramEnd"/>
      <w:r w:rsidRPr="00CA1A43">
        <w:rPr>
          <w:rFonts w:eastAsia="標楷體" w:cstheme="minorHAnsi"/>
        </w:rPr>
        <w:t>基本變現期間</w:t>
      </w:r>
      <w:r w:rsidRPr="00CA1A43">
        <w:rPr>
          <w:rFonts w:eastAsia="標楷體" w:cstheme="minorHAnsi"/>
        </w:rPr>
        <w:t>T</w:t>
      </w:r>
      <w:r w:rsidRPr="00CA1A43">
        <w:rPr>
          <w:rFonts w:eastAsia="標楷體" w:cstheme="minorHAnsi"/>
        </w:rPr>
        <w:t>下之預期短缺不得以較小的期間之預期短缺依比例計算而得。</w:t>
      </w:r>
    </w:p>
    <w:p w14:paraId="7B623CB4" w14:textId="77777777" w:rsidR="00215C4A" w:rsidRPr="00CA1A43" w:rsidRDefault="00AA1117" w:rsidP="005066C2">
      <w:pPr>
        <w:pStyle w:val="a7"/>
        <w:numPr>
          <w:ilvl w:val="0"/>
          <w:numId w:val="293"/>
        </w:numPr>
        <w:spacing w:beforeLines="50" w:before="180"/>
        <w:ind w:leftChars="0" w:left="1446" w:hanging="482"/>
        <w:jc w:val="both"/>
        <w:rPr>
          <w:rFonts w:eastAsia="標楷體" w:cstheme="minorHAnsi"/>
        </w:rPr>
      </w:pPr>
      <m:oMath>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T</m:t>
            </m:r>
          </m:sub>
        </m:sSub>
        <m:r>
          <w:rPr>
            <w:rFonts w:ascii="Cambria Math" w:eastAsia="標楷體" w:hAnsi="Cambria Math" w:cstheme="minorHAnsi"/>
          </w:rPr>
          <m:t>(P)</m:t>
        </m:r>
      </m:oMath>
      <w:r w:rsidR="00215C4A" w:rsidRPr="00CA1A43">
        <w:rPr>
          <w:rFonts w:eastAsia="標楷體" w:cstheme="minorHAnsi"/>
        </w:rPr>
        <w:t>：投資組合</w:t>
      </w:r>
      <w:r w:rsidR="00215C4A" w:rsidRPr="00CA1A43">
        <w:rPr>
          <w:rFonts w:eastAsia="標楷體" w:cstheme="minorHAnsi"/>
          <w:i/>
          <w:iCs/>
        </w:rPr>
        <w:t xml:space="preserve">P </w:t>
      </w:r>
      <w:r w:rsidR="00215C4A" w:rsidRPr="00CA1A43">
        <w:rPr>
          <w:rFonts w:eastAsia="標楷體" w:cstheme="minorHAnsi"/>
        </w:rPr>
        <w:t xml:space="preserve">= </w:t>
      </w:r>
      <w:r w:rsidR="00215C4A" w:rsidRPr="00CA1A43">
        <w:rPr>
          <w:rFonts w:eastAsia="標楷體" w:cstheme="minorHAnsi"/>
          <w:i/>
          <w:iCs/>
        </w:rPr>
        <w:t>(p</w:t>
      </w:r>
      <w:r w:rsidR="00215C4A" w:rsidRPr="00CA1A43">
        <w:rPr>
          <w:rFonts w:eastAsia="標楷體" w:cstheme="minorHAnsi"/>
          <w:i/>
          <w:iCs/>
          <w:vertAlign w:val="subscript"/>
        </w:rPr>
        <w:t>i</w:t>
      </w:r>
      <w:r w:rsidR="00215C4A" w:rsidRPr="00CA1A43">
        <w:rPr>
          <w:rFonts w:eastAsia="標楷體" w:cstheme="minorHAnsi"/>
          <w:i/>
          <w:iCs/>
        </w:rPr>
        <w:t>)</w:t>
      </w:r>
      <w:r w:rsidR="00215C4A" w:rsidRPr="00CA1A43">
        <w:rPr>
          <w:rFonts w:eastAsia="標楷體" w:cstheme="minorHAnsi"/>
        </w:rPr>
        <w:t>中</w:t>
      </w:r>
      <w:proofErr w:type="gramStart"/>
      <w:r w:rsidR="00215C4A" w:rsidRPr="00CA1A43">
        <w:rPr>
          <w:rFonts w:eastAsia="標楷體" w:cstheme="minorHAnsi"/>
        </w:rPr>
        <w:t>所有暴險之</w:t>
      </w:r>
      <w:proofErr w:type="gramEnd"/>
      <w:r w:rsidR="00215C4A" w:rsidRPr="00CA1A43">
        <w:rPr>
          <w:rFonts w:eastAsia="標楷體" w:cstheme="minorHAnsi"/>
        </w:rPr>
        <w:t>風險因子變動下，基本變現期間</w:t>
      </w:r>
      <w:r w:rsidR="00215C4A" w:rsidRPr="00CA1A43">
        <w:rPr>
          <w:rFonts w:eastAsia="標楷體" w:cstheme="minorHAnsi"/>
        </w:rPr>
        <w:t>T</w:t>
      </w:r>
      <w:r w:rsidR="00215C4A" w:rsidRPr="00CA1A43">
        <w:rPr>
          <w:rFonts w:eastAsia="標楷體" w:cstheme="minorHAnsi"/>
        </w:rPr>
        <w:t>之預期短缺。</w:t>
      </w:r>
    </w:p>
    <w:p w14:paraId="02BFADD8" w14:textId="77777777" w:rsidR="00215C4A" w:rsidRPr="00CA1A43" w:rsidRDefault="00AA1117" w:rsidP="005066C2">
      <w:pPr>
        <w:pStyle w:val="a7"/>
        <w:numPr>
          <w:ilvl w:val="0"/>
          <w:numId w:val="293"/>
        </w:numPr>
        <w:spacing w:beforeLines="50" w:before="180"/>
        <w:ind w:leftChars="0" w:left="1446" w:hanging="482"/>
        <w:jc w:val="both"/>
        <w:rPr>
          <w:rFonts w:eastAsia="標楷體" w:cstheme="minorHAnsi"/>
        </w:rPr>
      </w:pPr>
      <m:oMath>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T</m:t>
            </m:r>
          </m:sub>
        </m:sSub>
        <m:r>
          <w:rPr>
            <w:rFonts w:ascii="Cambria Math" w:eastAsia="標楷體" w:hAnsi="Cambria Math" w:cstheme="minorHAnsi"/>
          </w:rPr>
          <m:t>(P,j)</m:t>
        </m:r>
      </m:oMath>
      <w:r w:rsidR="00215C4A" w:rsidRPr="00CA1A43">
        <w:rPr>
          <w:rFonts w:eastAsia="標楷體" w:cstheme="minorHAnsi"/>
        </w:rPr>
        <w:t>：</w:t>
      </w:r>
      <w:r w:rsidR="00215C4A" w:rsidRPr="00CA1A43">
        <w:rPr>
          <w:rFonts w:eastAsia="標楷體" w:cstheme="minorHAnsi"/>
          <w:iCs/>
        </w:rPr>
        <w:t>其他</w:t>
      </w:r>
      <w:r w:rsidR="00215C4A" w:rsidRPr="00CA1A43">
        <w:rPr>
          <w:rFonts w:eastAsia="標楷體" w:cstheme="minorHAnsi"/>
        </w:rPr>
        <w:t>風險因子固定下，風險因子子集合</w:t>
      </w:r>
      <w:r w:rsidR="00215C4A" w:rsidRPr="00CA1A43">
        <w:rPr>
          <w:rFonts w:eastAsia="標楷體" w:cstheme="minorHAnsi"/>
          <w:i/>
          <w:iCs/>
        </w:rPr>
        <w:t>Q(p</w:t>
      </w:r>
      <w:r w:rsidR="00215C4A" w:rsidRPr="00CA1A43">
        <w:rPr>
          <w:rFonts w:eastAsia="標楷體" w:cstheme="minorHAnsi"/>
          <w:i/>
          <w:iCs/>
          <w:vertAlign w:val="subscript"/>
        </w:rPr>
        <w:t>i</w:t>
      </w:r>
      <w:r w:rsidR="00215C4A" w:rsidRPr="00CA1A43">
        <w:rPr>
          <w:rFonts w:eastAsia="標楷體" w:cstheme="minorHAnsi"/>
          <w:i/>
          <w:iCs/>
        </w:rPr>
        <w:t xml:space="preserve"> , j)</w:t>
      </w:r>
      <w:r w:rsidR="00215C4A" w:rsidRPr="00CA1A43">
        <w:rPr>
          <w:rFonts w:eastAsia="標楷體" w:cstheme="minorHAnsi"/>
        </w:rPr>
        <w:t xml:space="preserve"> </w:t>
      </w:r>
      <w:r w:rsidR="00215C4A" w:rsidRPr="00CA1A43">
        <w:rPr>
          <w:rFonts w:eastAsia="標楷體" w:cstheme="minorHAnsi"/>
        </w:rPr>
        <w:t>中之各部位</w:t>
      </w:r>
      <w:r w:rsidR="00215C4A" w:rsidRPr="00CA1A43">
        <w:rPr>
          <w:rFonts w:eastAsia="標楷體" w:cstheme="minorHAnsi"/>
        </w:rPr>
        <w:t>(</w:t>
      </w:r>
      <w:r w:rsidR="00215C4A" w:rsidRPr="00CA1A43">
        <w:rPr>
          <w:rFonts w:eastAsia="標楷體" w:cstheme="minorHAnsi"/>
          <w:i/>
          <w:iCs/>
        </w:rPr>
        <w:t>p</w:t>
      </w:r>
      <w:r w:rsidR="00215C4A" w:rsidRPr="00CA1A43">
        <w:rPr>
          <w:rFonts w:eastAsia="標楷體" w:cstheme="minorHAnsi"/>
          <w:i/>
          <w:iCs/>
          <w:vertAlign w:val="subscript"/>
        </w:rPr>
        <w:t>i</w:t>
      </w:r>
      <w:r w:rsidR="00215C4A" w:rsidRPr="00CA1A43">
        <w:rPr>
          <w:rFonts w:eastAsia="標楷體" w:cstheme="minorHAnsi"/>
        </w:rPr>
        <w:t>)</w:t>
      </w:r>
      <w:r w:rsidR="00215C4A" w:rsidRPr="00CA1A43">
        <w:rPr>
          <w:rFonts w:eastAsia="標楷體" w:cstheme="minorHAnsi"/>
        </w:rPr>
        <w:t>變動，其投資組合</w:t>
      </w:r>
      <w:r w:rsidR="00215C4A" w:rsidRPr="00CA1A43">
        <w:rPr>
          <w:rFonts w:eastAsia="標楷體" w:cstheme="minorHAnsi"/>
          <w:i/>
          <w:iCs/>
        </w:rPr>
        <w:t xml:space="preserve">P </w:t>
      </w:r>
      <w:r w:rsidR="00215C4A" w:rsidRPr="00CA1A43">
        <w:rPr>
          <w:rFonts w:eastAsia="標楷體" w:cstheme="minorHAnsi"/>
        </w:rPr>
        <w:t xml:space="preserve">= </w:t>
      </w:r>
      <w:r w:rsidR="00215C4A" w:rsidRPr="00CA1A43">
        <w:rPr>
          <w:rFonts w:eastAsia="標楷體" w:cstheme="minorHAnsi"/>
          <w:i/>
          <w:iCs/>
        </w:rPr>
        <w:t>(p</w:t>
      </w:r>
      <w:r w:rsidR="00215C4A" w:rsidRPr="00CA1A43">
        <w:rPr>
          <w:rFonts w:eastAsia="標楷體" w:cstheme="minorHAnsi"/>
          <w:i/>
          <w:iCs/>
          <w:vertAlign w:val="subscript"/>
        </w:rPr>
        <w:t>i</w:t>
      </w:r>
      <w:r w:rsidR="00215C4A" w:rsidRPr="00CA1A43">
        <w:rPr>
          <w:rFonts w:eastAsia="標楷體" w:cstheme="minorHAnsi"/>
          <w:i/>
          <w:iCs/>
        </w:rPr>
        <w:t>)</w:t>
      </w:r>
      <w:r w:rsidR="00215C4A" w:rsidRPr="00CA1A43">
        <w:rPr>
          <w:rFonts w:eastAsia="標楷體" w:cstheme="minorHAnsi"/>
        </w:rPr>
        <w:t xml:space="preserve"> </w:t>
      </w:r>
      <w:r w:rsidR="00215C4A" w:rsidRPr="00CA1A43">
        <w:rPr>
          <w:rFonts w:eastAsia="標楷體" w:cstheme="minorHAnsi"/>
        </w:rPr>
        <w:t>於基本變現期間</w:t>
      </w:r>
      <w:r w:rsidR="00215C4A" w:rsidRPr="00CA1A43">
        <w:rPr>
          <w:rFonts w:eastAsia="標楷體" w:cstheme="minorHAnsi"/>
        </w:rPr>
        <w:t>T</w:t>
      </w:r>
      <w:r w:rsidR="00215C4A" w:rsidRPr="00CA1A43">
        <w:rPr>
          <w:rFonts w:eastAsia="標楷體" w:cstheme="minorHAnsi"/>
        </w:rPr>
        <w:t>下之預期短缺。</w:t>
      </w:r>
    </w:p>
    <w:p w14:paraId="0E7CF30A" w14:textId="77777777" w:rsidR="00633E44" w:rsidRPr="00CA1A43" w:rsidRDefault="00AA1117" w:rsidP="005066C2">
      <w:pPr>
        <w:pStyle w:val="a7"/>
        <w:numPr>
          <w:ilvl w:val="0"/>
          <w:numId w:val="293"/>
        </w:numPr>
        <w:spacing w:beforeLines="50" w:before="180"/>
        <w:ind w:leftChars="0" w:left="1446" w:hanging="482"/>
        <w:jc w:val="both"/>
        <w:rPr>
          <w:rFonts w:eastAsia="標楷體" w:cstheme="minorHAnsi"/>
          <w:kern w:val="0"/>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LH</m:t>
            </m:r>
          </m:e>
          <m:sub>
            <m:r>
              <m:rPr>
                <m:sty m:val="p"/>
              </m:rPr>
              <w:rPr>
                <w:rFonts w:ascii="Cambria Math" w:eastAsia="標楷體" w:hAnsi="Cambria Math" w:cstheme="minorHAnsi"/>
              </w:rPr>
              <m:t>j</m:t>
            </m:r>
          </m:sub>
        </m:sSub>
      </m:oMath>
      <w:r w:rsidR="00215C4A" w:rsidRPr="00CA1A43">
        <w:rPr>
          <w:rFonts w:eastAsia="標楷體" w:cstheme="minorHAnsi"/>
        </w:rPr>
        <w:t>：變現期間</w:t>
      </w:r>
      <w:r w:rsidR="00215C4A" w:rsidRPr="00CA1A43">
        <w:rPr>
          <w:rFonts w:eastAsia="標楷體" w:cstheme="minorHAnsi"/>
        </w:rPr>
        <w:t>j</w:t>
      </w:r>
      <w:r w:rsidR="00215C4A" w:rsidRPr="00CA1A43">
        <w:rPr>
          <w:rFonts w:eastAsia="標楷體" w:cstheme="minorHAnsi"/>
        </w:rPr>
        <w:t>，期間長度如下表</w:t>
      </w:r>
      <w:proofErr w:type="gramStart"/>
      <w:r w:rsidR="007F0AF4">
        <w:rPr>
          <w:rFonts w:eastAsia="標楷體" w:cstheme="minorHAnsi" w:hint="eastAsia"/>
        </w:rPr>
        <w:t>28</w:t>
      </w:r>
      <w:r w:rsidR="00215C4A" w:rsidRPr="00CA1A43">
        <w:rPr>
          <w:rFonts w:eastAsia="標楷體" w:cstheme="minorHAnsi"/>
        </w:rPr>
        <w:t>所述</w:t>
      </w:r>
      <w:proofErr w:type="gramEnd"/>
      <w:r w:rsidR="00215C4A" w:rsidRPr="00CA1A43">
        <w:rPr>
          <w:rFonts w:eastAsia="標楷體" w:cstheme="minorHAnsi"/>
        </w:rPr>
        <w:t>：</w:t>
      </w:r>
    </w:p>
    <w:tbl>
      <w:tblPr>
        <w:tblW w:w="5103" w:type="dxa"/>
        <w:tblInd w:w="156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098"/>
        <w:gridCol w:w="2162"/>
      </w:tblGrid>
      <w:tr w:rsidR="00AB1409" w:rsidRPr="00CA1A43" w14:paraId="1B453086" w14:textId="77777777" w:rsidTr="00AB1409">
        <w:trPr>
          <w:trHeight w:val="446"/>
        </w:trPr>
        <w:tc>
          <w:tcPr>
            <w:tcW w:w="2882" w:type="pct"/>
            <w:gridSpan w:val="2"/>
            <w:tcBorders>
              <w:right w:val="nil"/>
            </w:tcBorders>
            <w:vAlign w:val="center"/>
          </w:tcPr>
          <w:p w14:paraId="6A84899E" w14:textId="77777777" w:rsidR="00AB1409" w:rsidRPr="00CA1A43" w:rsidRDefault="00AB1409"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變現期間</w:t>
            </w:r>
            <w:r w:rsidRPr="00CA1A43">
              <w:rPr>
                <w:rFonts w:asciiTheme="minorHAnsi" w:hAnsiTheme="minorHAnsi" w:cstheme="minorHAnsi"/>
                <w:sz w:val="24"/>
                <w:szCs w:val="24"/>
              </w:rPr>
              <w:t xml:space="preserve"> j</w:t>
            </w:r>
          </w:p>
        </w:tc>
        <w:tc>
          <w:tcPr>
            <w:tcW w:w="2118" w:type="pct"/>
            <w:tcBorders>
              <w:left w:val="nil"/>
            </w:tcBorders>
            <w:vAlign w:val="center"/>
          </w:tcPr>
          <w:p w14:paraId="79A07213" w14:textId="77777777" w:rsidR="00AB1409" w:rsidRPr="00CA1A43" w:rsidRDefault="007F0AF4" w:rsidP="00FB65D2">
            <w:pPr>
              <w:pStyle w:val="Item"/>
              <w:ind w:left="292"/>
              <w:jc w:val="right"/>
              <w:rPr>
                <w:rFonts w:asciiTheme="minorHAnsi" w:hAnsiTheme="minorHAnsi" w:cstheme="minorHAnsi"/>
                <w:sz w:val="24"/>
                <w:szCs w:val="24"/>
              </w:rPr>
            </w:pPr>
            <w:r>
              <w:rPr>
                <w:rFonts w:asciiTheme="minorHAnsi" w:hAnsiTheme="minorHAnsi" w:cstheme="minorHAnsi" w:hint="eastAsia"/>
                <w:sz w:val="24"/>
                <w:szCs w:val="24"/>
              </w:rPr>
              <w:t>表</w:t>
            </w:r>
            <w:r>
              <w:rPr>
                <w:rFonts w:asciiTheme="minorHAnsi" w:hAnsiTheme="minorHAnsi" w:cstheme="minorHAnsi" w:hint="eastAsia"/>
                <w:sz w:val="24"/>
                <w:szCs w:val="24"/>
              </w:rPr>
              <w:t>28</w:t>
            </w:r>
          </w:p>
        </w:tc>
      </w:tr>
      <w:tr w:rsidR="00AB1409" w:rsidRPr="00CA1A43" w14:paraId="4A8E5ABB" w14:textId="77777777" w:rsidTr="00AB1409">
        <w:trPr>
          <w:trHeight w:val="160"/>
        </w:trPr>
        <w:tc>
          <w:tcPr>
            <w:tcW w:w="1806" w:type="pct"/>
            <w:tcBorders>
              <w:bottom w:val="single" w:sz="4" w:space="0" w:color="auto"/>
              <w:right w:val="single" w:sz="8" w:space="0" w:color="BFBFBF" w:themeColor="background1" w:themeShade="BF"/>
            </w:tcBorders>
            <w:vAlign w:val="center"/>
          </w:tcPr>
          <w:p w14:paraId="486354A1"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j</w:t>
            </w:r>
          </w:p>
        </w:tc>
        <w:tc>
          <w:tcPr>
            <w:tcW w:w="3194" w:type="pct"/>
            <w:gridSpan w:val="2"/>
            <w:tcBorders>
              <w:left w:val="single" w:sz="8" w:space="0" w:color="BFBFBF" w:themeColor="background1" w:themeShade="BF"/>
              <w:bottom w:val="single" w:sz="4" w:space="0" w:color="auto"/>
            </w:tcBorders>
            <w:vAlign w:val="center"/>
          </w:tcPr>
          <w:p w14:paraId="25B27710" w14:textId="77777777" w:rsidR="00AB1409" w:rsidRPr="00CA1A43" w:rsidRDefault="00AA1117" w:rsidP="00FB65D2">
            <w:pPr>
              <w:pStyle w:val="Item"/>
              <w:jc w:val="center"/>
              <w:rPr>
                <w:rFonts w:asciiTheme="minorHAnsi" w:hAnsiTheme="minorHAnsi"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LH</m:t>
                    </m:r>
                  </m:e>
                  <m:sub>
                    <m:r>
                      <m:rPr>
                        <m:sty m:val="p"/>
                      </m:rPr>
                      <w:rPr>
                        <w:rFonts w:ascii="Cambria Math" w:hAnsi="Cambria Math" w:cstheme="minorHAnsi"/>
                        <w:sz w:val="24"/>
                        <w:szCs w:val="24"/>
                      </w:rPr>
                      <m:t>j</m:t>
                    </m:r>
                  </m:sub>
                </m:sSub>
              </m:oMath>
            </m:oMathPara>
          </w:p>
        </w:tc>
      </w:tr>
      <w:tr w:rsidR="00AB1409" w:rsidRPr="00CA1A43" w14:paraId="096FA27D" w14:textId="77777777" w:rsidTr="00AB1409">
        <w:trPr>
          <w:trHeight w:val="160"/>
        </w:trPr>
        <w:tc>
          <w:tcPr>
            <w:tcW w:w="1806" w:type="pct"/>
            <w:tcBorders>
              <w:bottom w:val="single" w:sz="8" w:space="0" w:color="BFBFBF" w:themeColor="background1" w:themeShade="BF"/>
              <w:right w:val="single" w:sz="8" w:space="0" w:color="BFBFBF" w:themeColor="background1" w:themeShade="BF"/>
            </w:tcBorders>
            <w:vAlign w:val="center"/>
          </w:tcPr>
          <w:p w14:paraId="523BA16F"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1</w:t>
            </w:r>
          </w:p>
        </w:tc>
        <w:tc>
          <w:tcPr>
            <w:tcW w:w="3194" w:type="pct"/>
            <w:gridSpan w:val="2"/>
            <w:tcBorders>
              <w:left w:val="single" w:sz="8" w:space="0" w:color="BFBFBF" w:themeColor="background1" w:themeShade="BF"/>
              <w:bottom w:val="single" w:sz="8" w:space="0" w:color="BFBFBF" w:themeColor="background1" w:themeShade="BF"/>
            </w:tcBorders>
            <w:vAlign w:val="center"/>
          </w:tcPr>
          <w:p w14:paraId="54ACEF92"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10</w:t>
            </w:r>
          </w:p>
        </w:tc>
      </w:tr>
      <w:tr w:rsidR="00AB1409" w:rsidRPr="00CA1A43" w14:paraId="339FF0C2" w14:textId="77777777" w:rsidTr="00AB1409">
        <w:trPr>
          <w:trHeight w:val="160"/>
        </w:trPr>
        <w:tc>
          <w:tcPr>
            <w:tcW w:w="180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AB93ED9"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2</w:t>
            </w:r>
          </w:p>
        </w:tc>
        <w:tc>
          <w:tcPr>
            <w:tcW w:w="3194"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14:paraId="4FACCF77"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20</w:t>
            </w:r>
          </w:p>
        </w:tc>
      </w:tr>
      <w:tr w:rsidR="00AB1409" w:rsidRPr="00CA1A43" w14:paraId="742E1DB1" w14:textId="77777777" w:rsidTr="00AB1409">
        <w:trPr>
          <w:trHeight w:val="160"/>
        </w:trPr>
        <w:tc>
          <w:tcPr>
            <w:tcW w:w="180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9E404DE"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3</w:t>
            </w:r>
          </w:p>
        </w:tc>
        <w:tc>
          <w:tcPr>
            <w:tcW w:w="3194"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14:paraId="5B9B6993"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40</w:t>
            </w:r>
          </w:p>
        </w:tc>
      </w:tr>
      <w:tr w:rsidR="00AB1409" w:rsidRPr="00CA1A43" w14:paraId="255EBA26" w14:textId="77777777" w:rsidTr="00AB1409">
        <w:trPr>
          <w:trHeight w:val="160"/>
        </w:trPr>
        <w:tc>
          <w:tcPr>
            <w:tcW w:w="1806" w:type="pct"/>
            <w:tcBorders>
              <w:top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83601B8"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4</w:t>
            </w:r>
          </w:p>
        </w:tc>
        <w:tc>
          <w:tcPr>
            <w:tcW w:w="3194" w:type="pct"/>
            <w:gridSpan w:val="2"/>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14:paraId="3AECB168"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60</w:t>
            </w:r>
          </w:p>
        </w:tc>
      </w:tr>
      <w:tr w:rsidR="00AB1409" w:rsidRPr="00CA1A43" w14:paraId="1299CC04" w14:textId="77777777" w:rsidTr="00AB1409">
        <w:trPr>
          <w:trHeight w:val="160"/>
        </w:trPr>
        <w:tc>
          <w:tcPr>
            <w:tcW w:w="1806" w:type="pct"/>
            <w:tcBorders>
              <w:top w:val="single" w:sz="8" w:space="0" w:color="BFBFBF" w:themeColor="background1" w:themeShade="BF"/>
              <w:right w:val="single" w:sz="8" w:space="0" w:color="BFBFBF" w:themeColor="background1" w:themeShade="BF"/>
            </w:tcBorders>
            <w:vAlign w:val="center"/>
          </w:tcPr>
          <w:p w14:paraId="3E1815B4"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5</w:t>
            </w:r>
          </w:p>
        </w:tc>
        <w:tc>
          <w:tcPr>
            <w:tcW w:w="3194" w:type="pct"/>
            <w:gridSpan w:val="2"/>
            <w:tcBorders>
              <w:top w:val="single" w:sz="8" w:space="0" w:color="BFBFBF" w:themeColor="background1" w:themeShade="BF"/>
              <w:left w:val="single" w:sz="8" w:space="0" w:color="BFBFBF" w:themeColor="background1" w:themeShade="BF"/>
            </w:tcBorders>
            <w:vAlign w:val="center"/>
          </w:tcPr>
          <w:p w14:paraId="3D056253" w14:textId="77777777" w:rsidR="00AB1409" w:rsidRPr="00CA1A43" w:rsidRDefault="00AB1409" w:rsidP="00FB65D2">
            <w:pPr>
              <w:pStyle w:val="Item"/>
              <w:jc w:val="center"/>
              <w:rPr>
                <w:rFonts w:asciiTheme="minorHAnsi" w:hAnsiTheme="minorHAnsi" w:cstheme="minorHAnsi"/>
                <w:sz w:val="24"/>
                <w:szCs w:val="24"/>
              </w:rPr>
            </w:pPr>
            <w:r w:rsidRPr="00CA1A43">
              <w:rPr>
                <w:rFonts w:asciiTheme="minorHAnsi" w:hAnsiTheme="minorHAnsi" w:cstheme="minorHAnsi"/>
                <w:sz w:val="24"/>
                <w:szCs w:val="24"/>
              </w:rPr>
              <w:t>120</w:t>
            </w:r>
          </w:p>
        </w:tc>
      </w:tr>
    </w:tbl>
    <w:p w14:paraId="31348255" w14:textId="77777777" w:rsidR="00481E9C" w:rsidRPr="00CA1A43" w:rsidRDefault="00481E9C" w:rsidP="005066C2">
      <w:pPr>
        <w:pStyle w:val="a7"/>
        <w:numPr>
          <w:ilvl w:val="0"/>
          <w:numId w:val="293"/>
        </w:numPr>
        <w:spacing w:beforeLines="50" w:before="180"/>
        <w:ind w:leftChars="0" w:left="1446" w:hanging="482"/>
        <w:jc w:val="both"/>
        <w:rPr>
          <w:rFonts w:eastAsia="標楷體" w:cstheme="minorHAnsi"/>
          <w:u w:val="single"/>
        </w:rPr>
      </w:pPr>
      <m:oMath>
        <m:r>
          <w:rPr>
            <w:rFonts w:ascii="Cambria Math" w:eastAsia="標楷體" w:hAnsi="Cambria Math" w:cstheme="minorHAnsi"/>
          </w:rPr>
          <m:t>Q</m:t>
        </m:r>
        <m:sSub>
          <m:sSubPr>
            <m:ctrlPr>
              <w:rPr>
                <w:rFonts w:ascii="Cambria Math" w:eastAsia="標楷體" w:hAnsi="Cambria Math" w:cstheme="minorHAnsi"/>
                <w:i/>
              </w:rPr>
            </m:ctrlPr>
          </m:sSubPr>
          <m:e>
            <m:d>
              <m:dPr>
                <m:ctrlPr>
                  <w:rPr>
                    <w:rFonts w:ascii="Cambria Math" w:eastAsia="標楷體" w:hAnsi="Cambria Math" w:cstheme="minorHAnsi"/>
                    <w:i/>
                  </w:rPr>
                </m:ctrlPr>
              </m:dPr>
              <m:e>
                <m:sSub>
                  <m:sSubPr>
                    <m:ctrlPr>
                      <w:rPr>
                        <w:rFonts w:ascii="Cambria Math" w:eastAsia="標楷體" w:hAnsi="Cambria Math" w:cstheme="minorHAnsi"/>
                        <w:i/>
                      </w:rPr>
                    </m:ctrlPr>
                  </m:sSubPr>
                  <m:e>
                    <m:r>
                      <w:rPr>
                        <w:rFonts w:ascii="Cambria Math" w:eastAsia="標楷體" w:hAnsi="Cambria Math" w:cstheme="minorHAnsi"/>
                      </w:rPr>
                      <m:t>p</m:t>
                    </m:r>
                  </m:e>
                  <m:sub>
                    <m:r>
                      <w:rPr>
                        <w:rFonts w:ascii="Cambria Math" w:eastAsia="標楷體" w:hAnsi="Cambria Math" w:cstheme="minorHAnsi"/>
                      </w:rPr>
                      <m:t>i</m:t>
                    </m:r>
                  </m:sub>
                </m:sSub>
                <m:r>
                  <w:rPr>
                    <w:rFonts w:ascii="Cambria Math" w:eastAsia="標楷體" w:hAnsi="Cambria Math" w:cstheme="minorHAnsi"/>
                  </w:rPr>
                  <m:t>,j</m:t>
                </m:r>
              </m:e>
            </m:d>
          </m:e>
          <m:sub>
            <m:r>
              <w:rPr>
                <w:rFonts w:ascii="Cambria Math" w:eastAsia="標楷體" w:hAnsi="Cambria Math" w:cstheme="minorHAnsi"/>
              </w:rPr>
              <m:t>j</m:t>
            </m:r>
          </m:sub>
        </m:sSub>
      </m:oMath>
      <w:r w:rsidRPr="00CA1A43">
        <w:rPr>
          <w:rFonts w:eastAsia="標楷體" w:cstheme="minorHAnsi"/>
        </w:rPr>
        <w:t>：為交易台各部位</w:t>
      </w:r>
      <w:r w:rsidRPr="00CA1A43">
        <w:rPr>
          <w:rFonts w:eastAsia="標楷體" w:cstheme="minorHAnsi"/>
        </w:rPr>
        <w:t>(pi)</w:t>
      </w:r>
      <w:r w:rsidRPr="00CA1A43">
        <w:rPr>
          <w:rFonts w:eastAsia="標楷體" w:cstheme="minorHAnsi"/>
        </w:rPr>
        <w:t>之變現期間下風險因子子集合。其變</w:t>
      </w:r>
      <w:r w:rsidRPr="00CA1A43">
        <w:rPr>
          <w:rFonts w:eastAsia="標楷體" w:cstheme="minorHAnsi"/>
        </w:rPr>
        <w:lastRenderedPageBreak/>
        <w:t>現期間至少與</w:t>
      </w:r>
      <w:proofErr w:type="spellStart"/>
      <w:r w:rsidRPr="00CA1A43">
        <w:rPr>
          <w:rFonts w:eastAsia="標楷體" w:cstheme="minorHAnsi"/>
        </w:rPr>
        <w:t>LHj</w:t>
      </w:r>
      <w:proofErr w:type="spellEnd"/>
      <w:r w:rsidRPr="00CA1A43">
        <w:rPr>
          <w:rFonts w:eastAsia="標楷體" w:cstheme="minorHAnsi"/>
        </w:rPr>
        <w:t>定義之天期一樣長。另</w:t>
      </w:r>
      <w:r w:rsidRPr="00CA1A43">
        <w:rPr>
          <w:rFonts w:eastAsia="標楷體" w:cstheme="minorHAnsi"/>
          <w:i/>
          <w:iCs/>
        </w:rPr>
        <w:t>Q(p</w:t>
      </w:r>
      <w:r w:rsidRPr="00CA1A43">
        <w:rPr>
          <w:rFonts w:eastAsia="標楷體" w:cstheme="minorHAnsi"/>
          <w:i/>
          <w:iCs/>
          <w:vertAlign w:val="subscript"/>
        </w:rPr>
        <w:t>i</w:t>
      </w:r>
      <w:r w:rsidRPr="00CA1A43">
        <w:rPr>
          <w:rFonts w:eastAsia="標楷體" w:cstheme="minorHAnsi"/>
          <w:i/>
          <w:iCs/>
        </w:rPr>
        <w:t xml:space="preserve"> , j)</w:t>
      </w:r>
      <w:r w:rsidRPr="00CA1A43">
        <w:rPr>
          <w:rFonts w:eastAsia="標楷體" w:cstheme="minorHAnsi"/>
          <w:iCs/>
        </w:rPr>
        <w:t>是</w:t>
      </w:r>
      <w:r w:rsidRPr="00CA1A43">
        <w:rPr>
          <w:rFonts w:eastAsia="標楷體" w:cstheme="minorHAnsi"/>
          <w:i/>
          <w:iCs/>
        </w:rPr>
        <w:t>Q(p</w:t>
      </w:r>
      <w:r w:rsidRPr="00CA1A43">
        <w:rPr>
          <w:rFonts w:eastAsia="標楷體" w:cstheme="minorHAnsi"/>
          <w:i/>
          <w:iCs/>
          <w:vertAlign w:val="subscript"/>
        </w:rPr>
        <w:t>i</w:t>
      </w:r>
      <w:r w:rsidRPr="00CA1A43">
        <w:rPr>
          <w:rFonts w:eastAsia="標楷體" w:cstheme="minorHAnsi"/>
          <w:i/>
          <w:iCs/>
        </w:rPr>
        <w:t xml:space="preserve"> , j-1)</w:t>
      </w:r>
      <w:r w:rsidRPr="00CA1A43">
        <w:rPr>
          <w:rFonts w:eastAsia="標楷體" w:cstheme="minorHAnsi"/>
          <w:iCs/>
        </w:rPr>
        <w:t>的子集合。</w:t>
      </w:r>
    </w:p>
    <w:p w14:paraId="4678B84B" w14:textId="77777777" w:rsidR="00481E9C" w:rsidRPr="00CA1A43" w:rsidRDefault="00481E9C" w:rsidP="005066C2">
      <w:pPr>
        <w:pStyle w:val="a7"/>
        <w:numPr>
          <w:ilvl w:val="0"/>
          <w:numId w:val="293"/>
        </w:numPr>
        <w:spacing w:beforeLines="50" w:before="180"/>
        <w:ind w:leftChars="0" w:left="1446" w:hanging="482"/>
        <w:jc w:val="both"/>
        <w:rPr>
          <w:rFonts w:eastAsia="標楷體" w:cstheme="minorHAnsi"/>
        </w:rPr>
      </w:pPr>
      <w:r w:rsidRPr="00CA1A43">
        <w:rPr>
          <w:rFonts w:eastAsia="標楷體" w:cstheme="minorHAnsi"/>
        </w:rPr>
        <w:t>超過基本變現期間</w:t>
      </w:r>
      <w:r w:rsidRPr="00CA1A43">
        <w:rPr>
          <w:rFonts w:eastAsia="標楷體" w:cstheme="minorHAnsi"/>
        </w:rPr>
        <w:t>T</w:t>
      </w:r>
      <w:r w:rsidRPr="00CA1A43">
        <w:rPr>
          <w:rFonts w:eastAsia="標楷體" w:cstheme="minorHAnsi"/>
        </w:rPr>
        <w:t>之風險因子變動時間序列資料可藉由重覆觀察值取得。</w:t>
      </w:r>
    </w:p>
    <w:p w14:paraId="2042DEAE" w14:textId="77777777" w:rsidR="005342F3" w:rsidRPr="00CA1A43" w:rsidRDefault="005342F3" w:rsidP="005066C2">
      <w:pPr>
        <w:pStyle w:val="a7"/>
        <w:numPr>
          <w:ilvl w:val="0"/>
          <w:numId w:val="292"/>
        </w:numPr>
        <w:spacing w:beforeLines="50" w:before="180"/>
        <w:ind w:leftChars="0" w:left="964" w:hanging="482"/>
        <w:jc w:val="both"/>
        <w:rPr>
          <w:rFonts w:eastAsia="標楷體" w:cstheme="minorHAnsi"/>
          <w:szCs w:val="24"/>
        </w:rPr>
      </w:pPr>
      <w:r w:rsidRPr="00CA1A43">
        <w:rPr>
          <w:rFonts w:eastAsia="標楷體" w:cstheme="minorHAnsi"/>
          <w:szCs w:val="24"/>
        </w:rPr>
        <w:t>預期短缺必須以表</w:t>
      </w:r>
      <w:r w:rsidRPr="00CA1A43">
        <w:rPr>
          <w:rFonts w:eastAsia="標楷體" w:cstheme="minorHAnsi"/>
          <w:szCs w:val="24"/>
        </w:rPr>
        <w:t>2</w:t>
      </w:r>
      <w:r w:rsidR="006E73AA">
        <w:rPr>
          <w:rFonts w:eastAsia="標楷體" w:cstheme="minorHAnsi" w:hint="eastAsia"/>
          <w:szCs w:val="24"/>
        </w:rPr>
        <w:t>9</w:t>
      </w:r>
      <w:r w:rsidRPr="00CA1A43">
        <w:rPr>
          <w:rFonts w:eastAsia="標楷體" w:cstheme="minorHAnsi"/>
          <w:szCs w:val="24"/>
        </w:rPr>
        <w:t>所定義之變現期間</w:t>
      </w:r>
      <w:r w:rsidRPr="00CA1A43">
        <w:rPr>
          <w:rFonts w:eastAsia="標楷體" w:cstheme="minorHAnsi"/>
          <w:szCs w:val="24"/>
        </w:rPr>
        <w:t>n</w:t>
      </w:r>
      <w:r w:rsidRPr="00CA1A43">
        <w:rPr>
          <w:rFonts w:eastAsia="標楷體" w:cstheme="minorHAnsi"/>
          <w:szCs w:val="24"/>
        </w:rPr>
        <w:t>進行調整計算。</w:t>
      </w:r>
      <w:r w:rsidRPr="00CA1A43">
        <w:rPr>
          <w:rFonts w:eastAsia="標楷體" w:cstheme="minorHAnsi"/>
          <w:szCs w:val="24"/>
        </w:rPr>
        <w:t>n</w:t>
      </w:r>
      <w:r w:rsidRPr="00CA1A43">
        <w:rPr>
          <w:rFonts w:eastAsia="標楷體" w:cstheme="minorHAnsi"/>
          <w:szCs w:val="24"/>
        </w:rPr>
        <w:t>應依下列條件進行計算：</w:t>
      </w:r>
    </w:p>
    <w:p w14:paraId="40656CFD" w14:textId="77777777" w:rsidR="005342F3" w:rsidRPr="00CA1A43" w:rsidRDefault="005342F3" w:rsidP="005066C2">
      <w:pPr>
        <w:pStyle w:val="a7"/>
        <w:numPr>
          <w:ilvl w:val="0"/>
          <w:numId w:val="294"/>
        </w:numPr>
        <w:spacing w:beforeLines="50" w:before="180"/>
        <w:ind w:leftChars="0" w:left="1446" w:hanging="482"/>
        <w:jc w:val="both"/>
        <w:rPr>
          <w:rFonts w:eastAsia="標楷體" w:cstheme="minorHAnsi"/>
          <w:szCs w:val="24"/>
        </w:rPr>
      </w:pPr>
      <w:r w:rsidRPr="00CA1A43">
        <w:rPr>
          <w:rFonts w:eastAsia="標楷體" w:cstheme="minorHAnsi"/>
          <w:szCs w:val="24"/>
        </w:rPr>
        <w:t>銀行必須將各風險</w:t>
      </w:r>
      <w:r w:rsidRPr="00CA1A43">
        <w:rPr>
          <w:rFonts w:eastAsia="標楷體" w:cstheme="minorHAnsi"/>
        </w:rPr>
        <w:t>因子</w:t>
      </w:r>
      <w:r w:rsidRPr="00CA1A43">
        <w:rPr>
          <w:rFonts w:eastAsia="標楷體" w:cstheme="minorHAnsi"/>
          <w:szCs w:val="24"/>
        </w:rPr>
        <w:t>對應至下表</w:t>
      </w:r>
      <w:r w:rsidRPr="00CA1A43">
        <w:rPr>
          <w:rFonts w:eastAsia="標楷體" w:cstheme="minorHAnsi"/>
          <w:szCs w:val="24"/>
        </w:rPr>
        <w:t>2</w:t>
      </w:r>
      <w:r w:rsidR="00DE0B42">
        <w:rPr>
          <w:rFonts w:eastAsia="標楷體" w:cstheme="minorHAnsi" w:hint="eastAsia"/>
          <w:szCs w:val="24"/>
        </w:rPr>
        <w:t>9</w:t>
      </w:r>
      <w:r w:rsidRPr="00CA1A43">
        <w:rPr>
          <w:rFonts w:eastAsia="標楷體" w:cstheme="minorHAnsi"/>
          <w:szCs w:val="24"/>
        </w:rPr>
        <w:t>風險因子分類中，並應具備一致且</w:t>
      </w:r>
      <w:proofErr w:type="gramStart"/>
      <w:r w:rsidRPr="00CA1A43">
        <w:rPr>
          <w:rFonts w:eastAsia="標楷體" w:cstheme="minorHAnsi"/>
          <w:szCs w:val="24"/>
        </w:rPr>
        <w:t>清楚的</w:t>
      </w:r>
      <w:proofErr w:type="gramEnd"/>
      <w:r w:rsidRPr="00CA1A43">
        <w:rPr>
          <w:rFonts w:eastAsia="標楷體" w:cstheme="minorHAnsi"/>
          <w:szCs w:val="24"/>
        </w:rPr>
        <w:t>書面文件程序，包含：</w:t>
      </w:r>
    </w:p>
    <w:p w14:paraId="0E12ED18" w14:textId="77777777" w:rsidR="005342F3" w:rsidRPr="00CA1A43" w:rsidRDefault="005342F3" w:rsidP="005066C2">
      <w:pPr>
        <w:pStyle w:val="a7"/>
        <w:numPr>
          <w:ilvl w:val="0"/>
          <w:numId w:val="295"/>
        </w:numPr>
        <w:spacing w:beforeLines="50" w:before="180"/>
        <w:ind w:leftChars="0"/>
        <w:jc w:val="both"/>
        <w:rPr>
          <w:rFonts w:eastAsia="標楷體" w:cstheme="minorHAnsi"/>
          <w:szCs w:val="24"/>
        </w:rPr>
      </w:pPr>
      <w:r w:rsidRPr="00CA1A43">
        <w:rPr>
          <w:rFonts w:eastAsia="標楷體" w:cstheme="minorHAnsi"/>
          <w:szCs w:val="24"/>
        </w:rPr>
        <w:t>以書面列載；</w:t>
      </w:r>
    </w:p>
    <w:p w14:paraId="071E7AA1" w14:textId="77777777" w:rsidR="005342F3" w:rsidRPr="00CA1A43" w:rsidRDefault="005342F3" w:rsidP="005066C2">
      <w:pPr>
        <w:pStyle w:val="a7"/>
        <w:numPr>
          <w:ilvl w:val="0"/>
          <w:numId w:val="295"/>
        </w:numPr>
        <w:spacing w:beforeLines="50" w:before="180"/>
        <w:ind w:leftChars="0"/>
        <w:jc w:val="both"/>
        <w:rPr>
          <w:rFonts w:eastAsia="標楷體" w:cstheme="minorHAnsi"/>
          <w:szCs w:val="24"/>
        </w:rPr>
      </w:pPr>
      <w:r w:rsidRPr="00CA1A43">
        <w:rPr>
          <w:rFonts w:eastAsia="標楷體" w:cstheme="minorHAnsi"/>
          <w:szCs w:val="24"/>
        </w:rPr>
        <w:t>透過銀行風險管理單位進行驗證；</w:t>
      </w:r>
    </w:p>
    <w:p w14:paraId="37531BD9" w14:textId="77777777" w:rsidR="005342F3" w:rsidRPr="00CA1A43" w:rsidRDefault="005342F3" w:rsidP="005066C2">
      <w:pPr>
        <w:pStyle w:val="a7"/>
        <w:numPr>
          <w:ilvl w:val="0"/>
          <w:numId w:val="295"/>
        </w:numPr>
        <w:spacing w:beforeLines="50" w:before="180"/>
        <w:ind w:leftChars="0"/>
        <w:jc w:val="both"/>
        <w:rPr>
          <w:rFonts w:eastAsia="標楷體" w:cstheme="minorHAnsi"/>
          <w:szCs w:val="24"/>
        </w:rPr>
      </w:pPr>
      <w:r w:rsidRPr="00CA1A43">
        <w:rPr>
          <w:rFonts w:eastAsia="標楷體" w:cstheme="minorHAnsi"/>
          <w:szCs w:val="24"/>
        </w:rPr>
        <w:t>供本會備查；</w:t>
      </w:r>
    </w:p>
    <w:p w14:paraId="0A6037DD" w14:textId="77777777" w:rsidR="005342F3" w:rsidRPr="00CA1A43" w:rsidRDefault="005342F3" w:rsidP="005066C2">
      <w:pPr>
        <w:pStyle w:val="a7"/>
        <w:numPr>
          <w:ilvl w:val="0"/>
          <w:numId w:val="295"/>
        </w:numPr>
        <w:spacing w:beforeLines="50" w:before="180"/>
        <w:ind w:leftChars="0"/>
        <w:jc w:val="both"/>
        <w:rPr>
          <w:rFonts w:eastAsia="標楷體" w:cstheme="minorHAnsi"/>
          <w:szCs w:val="24"/>
        </w:rPr>
      </w:pPr>
      <w:r w:rsidRPr="00CA1A43">
        <w:rPr>
          <w:rFonts w:eastAsia="標楷體" w:cstheme="minorHAnsi"/>
          <w:szCs w:val="24"/>
        </w:rPr>
        <w:t>符合內部稽核程序。</w:t>
      </w:r>
    </w:p>
    <w:p w14:paraId="284BDF92" w14:textId="64D33A18" w:rsidR="005342F3" w:rsidRPr="00CA1A43" w:rsidRDefault="005342F3" w:rsidP="005066C2">
      <w:pPr>
        <w:pStyle w:val="a7"/>
        <w:numPr>
          <w:ilvl w:val="0"/>
          <w:numId w:val="294"/>
        </w:numPr>
        <w:spacing w:beforeLines="50" w:before="180"/>
        <w:ind w:leftChars="0" w:left="1446" w:hanging="482"/>
        <w:jc w:val="both"/>
        <w:rPr>
          <w:rFonts w:eastAsia="標楷體" w:cstheme="minorHAnsi"/>
          <w:szCs w:val="24"/>
        </w:rPr>
      </w:pPr>
      <w:r w:rsidRPr="00CA1A43">
        <w:rPr>
          <w:rFonts w:eastAsia="標楷體" w:cstheme="minorHAnsi"/>
          <w:szCs w:val="24"/>
        </w:rPr>
        <w:t>n</w:t>
      </w:r>
      <w:r w:rsidRPr="00CA1A43">
        <w:rPr>
          <w:rFonts w:eastAsia="標楷體" w:cstheme="minorHAnsi"/>
          <w:szCs w:val="24"/>
        </w:rPr>
        <w:t>是由</w:t>
      </w:r>
      <w:proofErr w:type="gramStart"/>
      <w:r w:rsidRPr="00CA1A43">
        <w:rPr>
          <w:rFonts w:eastAsia="標楷體" w:cstheme="minorHAnsi"/>
          <w:szCs w:val="24"/>
        </w:rPr>
        <w:t>下表各風險</w:t>
      </w:r>
      <w:proofErr w:type="gramEnd"/>
      <w:r w:rsidRPr="00CA1A43">
        <w:rPr>
          <w:rFonts w:eastAsia="標楷體" w:cstheme="minorHAnsi"/>
          <w:szCs w:val="24"/>
        </w:rPr>
        <w:t>因子的分類決定。在個別交易台基礎下，</w:t>
      </w:r>
      <w:r w:rsidRPr="00CA1A43">
        <w:rPr>
          <w:rFonts w:eastAsia="標楷體" w:cstheme="minorHAnsi"/>
          <w:szCs w:val="24"/>
        </w:rPr>
        <w:t>n</w:t>
      </w:r>
      <w:r w:rsidRPr="00CA1A43">
        <w:rPr>
          <w:rFonts w:eastAsia="標楷體" w:cstheme="minorHAnsi"/>
          <w:szCs w:val="24"/>
        </w:rPr>
        <w:t>可依下表對應的數字往上增加</w:t>
      </w:r>
      <w:r w:rsidRPr="00CA1A43">
        <w:rPr>
          <w:rFonts w:eastAsia="標楷體" w:cstheme="minorHAnsi"/>
          <w:szCs w:val="24"/>
        </w:rPr>
        <w:t>(</w:t>
      </w:r>
      <w:r w:rsidRPr="00CA1A43">
        <w:rPr>
          <w:rFonts w:eastAsia="標楷體" w:cstheme="minorHAnsi"/>
          <w:szCs w:val="24"/>
        </w:rPr>
        <w:t>即下表之變現期間可被視為下限</w:t>
      </w:r>
      <w:r w:rsidRPr="00CA1A43">
        <w:rPr>
          <w:rFonts w:eastAsia="標楷體" w:cstheme="minorHAnsi"/>
          <w:szCs w:val="24"/>
        </w:rPr>
        <w:t>)</w:t>
      </w:r>
      <w:r w:rsidRPr="00CA1A43">
        <w:rPr>
          <w:rFonts w:eastAsia="標楷體" w:cstheme="minorHAnsi"/>
          <w:szCs w:val="24"/>
        </w:rPr>
        <w:t>。</w:t>
      </w:r>
      <w:proofErr w:type="gramStart"/>
      <w:r w:rsidRPr="00CA1A43">
        <w:rPr>
          <w:rFonts w:eastAsia="標楷體" w:cstheme="minorHAnsi"/>
          <w:szCs w:val="24"/>
        </w:rPr>
        <w:t>當變現</w:t>
      </w:r>
      <w:proofErr w:type="gramEnd"/>
      <w:r w:rsidRPr="00CA1A43">
        <w:rPr>
          <w:rFonts w:eastAsia="標楷體" w:cstheme="minorHAnsi"/>
          <w:szCs w:val="24"/>
        </w:rPr>
        <w:t>期間增加時，增加期間必需是</w:t>
      </w:r>
      <w:r w:rsidRPr="00CA1A43">
        <w:rPr>
          <w:rFonts w:eastAsia="標楷體" w:cstheme="minorHAnsi"/>
          <w:szCs w:val="24"/>
        </w:rPr>
        <w:t>20</w:t>
      </w:r>
      <w:r w:rsidRPr="00CA1A43">
        <w:rPr>
          <w:rFonts w:eastAsia="標楷體" w:cstheme="minorHAnsi"/>
          <w:szCs w:val="24"/>
        </w:rPr>
        <w:t>、</w:t>
      </w:r>
      <w:r w:rsidRPr="00CA1A43">
        <w:rPr>
          <w:rFonts w:eastAsia="標楷體" w:cstheme="minorHAnsi"/>
          <w:szCs w:val="24"/>
        </w:rPr>
        <w:t>40</w:t>
      </w:r>
      <w:r w:rsidRPr="00CA1A43">
        <w:rPr>
          <w:rFonts w:eastAsia="標楷體" w:cstheme="minorHAnsi"/>
          <w:szCs w:val="24"/>
        </w:rPr>
        <w:t>、</w:t>
      </w:r>
      <w:r w:rsidRPr="00CA1A43">
        <w:rPr>
          <w:rFonts w:eastAsia="標楷體" w:cstheme="minorHAnsi"/>
          <w:szCs w:val="24"/>
        </w:rPr>
        <w:t>60</w:t>
      </w:r>
      <w:r w:rsidRPr="00CA1A43">
        <w:rPr>
          <w:rFonts w:eastAsia="標楷體" w:cstheme="minorHAnsi"/>
          <w:szCs w:val="24"/>
        </w:rPr>
        <w:t>或</w:t>
      </w:r>
      <w:r w:rsidRPr="00CA1A43">
        <w:rPr>
          <w:rFonts w:eastAsia="標楷體" w:cstheme="minorHAnsi"/>
          <w:szCs w:val="24"/>
        </w:rPr>
        <w:t>120</w:t>
      </w:r>
      <w:r w:rsidRPr="00CA1A43">
        <w:rPr>
          <w:rFonts w:eastAsia="標楷體" w:cstheme="minorHAnsi"/>
          <w:szCs w:val="24"/>
        </w:rPr>
        <w:t>天且其合理性必須文件化且經</w:t>
      </w:r>
      <w:r w:rsidRPr="00CA1A43">
        <w:rPr>
          <w:rFonts w:eastAsia="標楷體" w:cstheme="minorHAnsi"/>
        </w:rPr>
        <w:t>本會</w:t>
      </w:r>
      <w:r w:rsidRPr="00CA1A43">
        <w:rPr>
          <w:rFonts w:eastAsia="標楷體" w:cstheme="minorHAnsi"/>
          <w:szCs w:val="24"/>
        </w:rPr>
        <w:t>核可。</w:t>
      </w:r>
      <w:proofErr w:type="gramStart"/>
      <w:r w:rsidRPr="00CA1A43">
        <w:rPr>
          <w:rFonts w:eastAsia="標楷體" w:cstheme="minorHAnsi"/>
          <w:szCs w:val="24"/>
        </w:rPr>
        <w:t>此外，</w:t>
      </w:r>
      <w:proofErr w:type="gramEnd"/>
      <w:r w:rsidRPr="00CA1A43">
        <w:rPr>
          <w:rFonts w:eastAsia="標楷體" w:cstheme="minorHAnsi"/>
          <w:szCs w:val="24"/>
        </w:rPr>
        <w:t>變現期間應該以相關</w:t>
      </w:r>
      <w:r w:rsidR="009653EE" w:rsidRPr="003A6CFC">
        <w:rPr>
          <w:rFonts w:eastAsia="標楷體" w:cstheme="minorHAnsi"/>
          <w:szCs w:val="24"/>
        </w:rPr>
        <w:t>工具</w:t>
      </w:r>
      <w:r w:rsidRPr="00CA1A43">
        <w:rPr>
          <w:rFonts w:eastAsia="標楷體" w:cstheme="minorHAnsi"/>
          <w:szCs w:val="24"/>
        </w:rPr>
        <w:t>之到期日為上限。</w:t>
      </w:r>
    </w:p>
    <w:p w14:paraId="01CCA60E" w14:textId="41E05AF6" w:rsidR="005342F3" w:rsidRPr="00CA1A43" w:rsidRDefault="005342F3" w:rsidP="005066C2">
      <w:pPr>
        <w:pStyle w:val="a7"/>
        <w:numPr>
          <w:ilvl w:val="0"/>
          <w:numId w:val="294"/>
        </w:numPr>
        <w:spacing w:beforeLines="50" w:before="180"/>
        <w:ind w:leftChars="0" w:left="1446" w:hanging="482"/>
        <w:jc w:val="both"/>
        <w:rPr>
          <w:rFonts w:eastAsia="標楷體" w:cstheme="minorHAnsi"/>
          <w:szCs w:val="24"/>
        </w:rPr>
      </w:pPr>
      <w:r w:rsidRPr="00CA1A43">
        <w:rPr>
          <w:rFonts w:eastAsia="標楷體" w:cstheme="minorHAnsi"/>
          <w:szCs w:val="24"/>
        </w:rPr>
        <w:t>如果</w:t>
      </w:r>
      <w:r w:rsidR="009653EE" w:rsidRPr="003A6CFC">
        <w:rPr>
          <w:rFonts w:eastAsia="標楷體" w:cstheme="minorHAnsi"/>
          <w:szCs w:val="24"/>
        </w:rPr>
        <w:t>工具</w:t>
      </w:r>
      <w:r w:rsidRPr="003A6CFC">
        <w:rPr>
          <w:rFonts w:eastAsia="標楷體" w:cstheme="minorHAnsi"/>
          <w:szCs w:val="24"/>
        </w:rPr>
        <w:t>的到期日小於在相對應之風險因子的變現</w:t>
      </w:r>
      <w:proofErr w:type="gramStart"/>
      <w:r w:rsidRPr="003A6CFC">
        <w:rPr>
          <w:rFonts w:eastAsia="標楷體" w:cstheme="minorHAnsi"/>
          <w:szCs w:val="24"/>
        </w:rPr>
        <w:t>期間，</w:t>
      </w:r>
      <w:proofErr w:type="gramEnd"/>
      <w:r w:rsidRPr="003A6CFC">
        <w:rPr>
          <w:rFonts w:eastAsia="標楷體" w:cstheme="minorHAnsi"/>
          <w:szCs w:val="24"/>
        </w:rPr>
        <w:t>則應使用</w:t>
      </w:r>
      <w:r w:rsidR="009653EE" w:rsidRPr="003A6CFC">
        <w:rPr>
          <w:rFonts w:eastAsia="標楷體" w:cstheme="minorHAnsi"/>
          <w:szCs w:val="24"/>
        </w:rPr>
        <w:t>工具</w:t>
      </w:r>
      <w:r w:rsidRPr="003A6CFC">
        <w:rPr>
          <w:rFonts w:eastAsia="標楷體" w:cstheme="minorHAnsi"/>
          <w:szCs w:val="24"/>
        </w:rPr>
        <w:t>到期日和變現期間長度</w:t>
      </w:r>
      <w:r w:rsidRPr="003A6CFC">
        <w:rPr>
          <w:rFonts w:eastAsia="標楷體" w:cstheme="minorHAnsi"/>
          <w:szCs w:val="24"/>
        </w:rPr>
        <w:t>(10,20,40,60</w:t>
      </w:r>
      <w:r w:rsidRPr="003A6CFC">
        <w:rPr>
          <w:rFonts w:eastAsia="標楷體" w:cstheme="minorHAnsi"/>
          <w:szCs w:val="24"/>
        </w:rPr>
        <w:t>或</w:t>
      </w:r>
      <w:r w:rsidRPr="003A6CFC">
        <w:rPr>
          <w:rFonts w:eastAsia="標楷體" w:cstheme="minorHAnsi"/>
          <w:szCs w:val="24"/>
        </w:rPr>
        <w:t>120</w:t>
      </w:r>
      <w:r w:rsidRPr="003A6CFC">
        <w:rPr>
          <w:rFonts w:eastAsia="標楷體" w:cstheme="minorHAnsi"/>
          <w:szCs w:val="24"/>
        </w:rPr>
        <w:t>日</w:t>
      </w:r>
      <w:r w:rsidRPr="003A6CFC">
        <w:rPr>
          <w:rFonts w:eastAsia="標楷體" w:cstheme="minorHAnsi"/>
          <w:szCs w:val="24"/>
        </w:rPr>
        <w:t>)</w:t>
      </w:r>
      <w:r w:rsidRPr="003A6CFC">
        <w:rPr>
          <w:rFonts w:eastAsia="標楷體" w:cstheme="minorHAnsi"/>
          <w:szCs w:val="24"/>
        </w:rPr>
        <w:t>相比後下一個較長的變現期間。例如，利率波動率之變現期間為</w:t>
      </w:r>
      <w:r w:rsidRPr="003A6CFC">
        <w:rPr>
          <w:rFonts w:eastAsia="標楷體" w:cstheme="minorHAnsi"/>
          <w:szCs w:val="24"/>
        </w:rPr>
        <w:t>60</w:t>
      </w:r>
      <w:r w:rsidRPr="003A6CFC">
        <w:rPr>
          <w:rFonts w:eastAsia="標楷體" w:cstheme="minorHAnsi"/>
          <w:szCs w:val="24"/>
        </w:rPr>
        <w:t>日，若有一</w:t>
      </w:r>
      <w:r w:rsidR="009653EE" w:rsidRPr="003A6CFC">
        <w:rPr>
          <w:rFonts w:eastAsia="標楷體" w:cstheme="minorHAnsi"/>
          <w:szCs w:val="24"/>
        </w:rPr>
        <w:t>工具</w:t>
      </w:r>
      <w:r w:rsidRPr="003A6CFC">
        <w:rPr>
          <w:rFonts w:eastAsia="標楷體" w:cstheme="minorHAnsi"/>
          <w:szCs w:val="24"/>
        </w:rPr>
        <w:t>到期日為</w:t>
      </w:r>
      <w:r w:rsidRPr="003A6CFC">
        <w:rPr>
          <w:rFonts w:eastAsia="標楷體" w:cstheme="minorHAnsi"/>
          <w:szCs w:val="24"/>
        </w:rPr>
        <w:t>30</w:t>
      </w:r>
      <w:r w:rsidRPr="003A6CFC">
        <w:rPr>
          <w:rFonts w:eastAsia="標楷體" w:cstheme="minorHAnsi"/>
          <w:szCs w:val="24"/>
        </w:rPr>
        <w:t>日，則此</w:t>
      </w:r>
      <w:r w:rsidR="009653EE" w:rsidRPr="003A6CFC">
        <w:rPr>
          <w:rFonts w:eastAsia="標楷體" w:cstheme="minorHAnsi"/>
          <w:szCs w:val="24"/>
        </w:rPr>
        <w:t>工具</w:t>
      </w:r>
      <w:r w:rsidRPr="003A6CFC">
        <w:rPr>
          <w:rFonts w:eastAsia="標楷體" w:cstheme="minorHAnsi"/>
          <w:szCs w:val="24"/>
        </w:rPr>
        <w:t>對</w:t>
      </w:r>
      <w:r w:rsidRPr="00CA1A43">
        <w:rPr>
          <w:rFonts w:eastAsia="標楷體" w:cstheme="minorHAnsi"/>
          <w:szCs w:val="24"/>
        </w:rPr>
        <w:t>應利率波動率之變現期間可套用</w:t>
      </w:r>
      <w:r w:rsidRPr="00CA1A43">
        <w:rPr>
          <w:rFonts w:eastAsia="標楷體" w:cstheme="minorHAnsi"/>
          <w:szCs w:val="24"/>
        </w:rPr>
        <w:t>40</w:t>
      </w:r>
      <w:r w:rsidRPr="00CA1A43">
        <w:rPr>
          <w:rFonts w:eastAsia="標楷體" w:cstheme="minorHAnsi"/>
          <w:szCs w:val="24"/>
        </w:rPr>
        <w:t>日。</w:t>
      </w:r>
    </w:p>
    <w:p w14:paraId="230B1B8A" w14:textId="6623603F" w:rsidR="00426C66" w:rsidRPr="00CA1A43" w:rsidRDefault="005342F3" w:rsidP="005066C2">
      <w:pPr>
        <w:pStyle w:val="a7"/>
        <w:numPr>
          <w:ilvl w:val="0"/>
          <w:numId w:val="294"/>
        </w:numPr>
        <w:spacing w:beforeLines="50" w:before="180"/>
        <w:ind w:leftChars="0" w:left="1446" w:hanging="482"/>
        <w:jc w:val="both"/>
        <w:rPr>
          <w:rFonts w:eastAsia="標楷體" w:cstheme="minorHAnsi"/>
          <w:kern w:val="0"/>
          <w:szCs w:val="24"/>
        </w:rPr>
      </w:pPr>
      <w:r w:rsidRPr="00CA1A43">
        <w:rPr>
          <w:rFonts w:eastAsia="標楷體" w:cstheme="minorHAnsi"/>
          <w:szCs w:val="24"/>
        </w:rPr>
        <w:t>跨類別之信用與權益證券指數的變現</w:t>
      </w:r>
      <w:proofErr w:type="gramStart"/>
      <w:r w:rsidRPr="00CA1A43">
        <w:rPr>
          <w:rFonts w:eastAsia="標楷體" w:cstheme="minorHAnsi"/>
          <w:szCs w:val="24"/>
        </w:rPr>
        <w:t>期間，</w:t>
      </w:r>
      <w:proofErr w:type="gramEnd"/>
      <w:r w:rsidRPr="00CA1A43">
        <w:rPr>
          <w:rFonts w:eastAsia="標楷體" w:cstheme="minorHAnsi"/>
          <w:szCs w:val="24"/>
        </w:rPr>
        <w:t>必須使用標的</w:t>
      </w:r>
      <w:r w:rsidR="009653EE" w:rsidRPr="003A6CFC">
        <w:rPr>
          <w:rFonts w:eastAsia="標楷體" w:cstheme="minorHAnsi"/>
          <w:szCs w:val="24"/>
        </w:rPr>
        <w:t>工具</w:t>
      </w:r>
      <w:r w:rsidRPr="003A6CFC">
        <w:rPr>
          <w:rFonts w:eastAsia="標楷體" w:cstheme="minorHAnsi"/>
          <w:szCs w:val="24"/>
        </w:rPr>
        <w:t>對應的變現期間。指數包含</w:t>
      </w:r>
      <w:r w:rsidR="009653EE" w:rsidRPr="003A6CFC">
        <w:rPr>
          <w:rFonts w:eastAsia="標楷體" w:cstheme="minorHAnsi"/>
          <w:szCs w:val="24"/>
        </w:rPr>
        <w:t>工具</w:t>
      </w:r>
      <w:r w:rsidRPr="003A6CFC">
        <w:rPr>
          <w:rFonts w:eastAsia="標楷體" w:cstheme="minorHAnsi"/>
          <w:szCs w:val="24"/>
        </w:rPr>
        <w:t>的變現期間加權平均值為個別</w:t>
      </w:r>
      <w:r w:rsidR="009653EE" w:rsidRPr="003A6CFC">
        <w:rPr>
          <w:rFonts w:eastAsia="標楷體" w:cstheme="minorHAnsi"/>
          <w:szCs w:val="24"/>
        </w:rPr>
        <w:t>工具</w:t>
      </w:r>
      <w:r w:rsidRPr="003A6CFC">
        <w:rPr>
          <w:rFonts w:eastAsia="標楷體" w:cstheme="minorHAnsi"/>
          <w:szCs w:val="24"/>
        </w:rPr>
        <w:t>的變現</w:t>
      </w:r>
      <w:proofErr w:type="gramStart"/>
      <w:r w:rsidRPr="003A6CFC">
        <w:rPr>
          <w:rFonts w:eastAsia="標楷體" w:cstheme="minorHAnsi"/>
          <w:szCs w:val="24"/>
        </w:rPr>
        <w:t>期間乘</w:t>
      </w:r>
      <w:proofErr w:type="gramEnd"/>
      <w:r w:rsidRPr="003A6CFC">
        <w:rPr>
          <w:rFonts w:eastAsia="標楷體" w:cstheme="minorHAnsi"/>
          <w:szCs w:val="24"/>
        </w:rPr>
        <w:t>以其在指數中的權重</w:t>
      </w:r>
      <w:r w:rsidRPr="003A6CFC">
        <w:rPr>
          <w:rFonts w:eastAsia="標楷體" w:cstheme="minorHAnsi"/>
          <w:szCs w:val="24"/>
        </w:rPr>
        <w:t>(</w:t>
      </w:r>
      <w:r w:rsidRPr="003A6CFC">
        <w:rPr>
          <w:rFonts w:eastAsia="標楷體" w:cstheme="minorHAnsi"/>
          <w:szCs w:val="24"/>
        </w:rPr>
        <w:t>即用於構建指數的權重</w:t>
      </w:r>
      <w:r w:rsidRPr="003A6CFC">
        <w:rPr>
          <w:rFonts w:eastAsia="標楷體" w:cstheme="minorHAnsi"/>
          <w:szCs w:val="24"/>
        </w:rPr>
        <w:t>)</w:t>
      </w:r>
      <w:r w:rsidRPr="003A6CFC">
        <w:rPr>
          <w:rFonts w:eastAsia="標楷體" w:cstheme="minorHAnsi"/>
          <w:szCs w:val="24"/>
        </w:rPr>
        <w:t>後加</w:t>
      </w:r>
      <w:r w:rsidRPr="00CA1A43">
        <w:rPr>
          <w:rFonts w:eastAsia="標楷體" w:cstheme="minorHAnsi"/>
          <w:szCs w:val="24"/>
        </w:rPr>
        <w:t>總而定。指數的變現期間是等於或長於加權平均變現期間的最</w:t>
      </w:r>
      <w:proofErr w:type="gramStart"/>
      <w:r w:rsidRPr="00CA1A43">
        <w:rPr>
          <w:rFonts w:eastAsia="標楷體" w:cstheme="minorHAnsi"/>
          <w:szCs w:val="24"/>
        </w:rPr>
        <w:t>短變現期間</w:t>
      </w:r>
      <w:r w:rsidRPr="00CA1A43">
        <w:rPr>
          <w:rFonts w:eastAsia="標楷體" w:cstheme="minorHAnsi"/>
          <w:szCs w:val="24"/>
        </w:rPr>
        <w:t>(</w:t>
      </w:r>
      <w:proofErr w:type="gramEnd"/>
      <w:r w:rsidRPr="00CA1A43">
        <w:rPr>
          <w:rFonts w:eastAsia="標楷體" w:cstheme="minorHAnsi"/>
          <w:szCs w:val="24"/>
        </w:rPr>
        <w:t>10</w:t>
      </w:r>
      <w:r w:rsidRPr="00CA1A43">
        <w:rPr>
          <w:rFonts w:eastAsia="標楷體" w:cstheme="minorHAnsi"/>
          <w:szCs w:val="24"/>
        </w:rPr>
        <w:t>天，</w:t>
      </w:r>
      <w:r w:rsidRPr="00CA1A43">
        <w:rPr>
          <w:rFonts w:eastAsia="標楷體" w:cstheme="minorHAnsi"/>
          <w:szCs w:val="24"/>
        </w:rPr>
        <w:t>20</w:t>
      </w:r>
      <w:r w:rsidRPr="00CA1A43">
        <w:rPr>
          <w:rFonts w:eastAsia="標楷體" w:cstheme="minorHAnsi"/>
          <w:szCs w:val="24"/>
        </w:rPr>
        <w:t>天，</w:t>
      </w:r>
      <w:r w:rsidRPr="00CA1A43">
        <w:rPr>
          <w:rFonts w:eastAsia="標楷體" w:cstheme="minorHAnsi"/>
          <w:szCs w:val="24"/>
        </w:rPr>
        <w:t>40</w:t>
      </w:r>
      <w:r w:rsidRPr="00CA1A43">
        <w:rPr>
          <w:rFonts w:eastAsia="標楷體" w:cstheme="minorHAnsi"/>
          <w:szCs w:val="24"/>
        </w:rPr>
        <w:t>天，</w:t>
      </w:r>
      <w:r w:rsidRPr="00CA1A43">
        <w:rPr>
          <w:rFonts w:eastAsia="標楷體" w:cstheme="minorHAnsi"/>
          <w:szCs w:val="24"/>
        </w:rPr>
        <w:t>60</w:t>
      </w:r>
      <w:r w:rsidRPr="00CA1A43">
        <w:rPr>
          <w:rFonts w:eastAsia="標楷體" w:cstheme="minorHAnsi"/>
          <w:szCs w:val="24"/>
        </w:rPr>
        <w:t>天和</w:t>
      </w:r>
      <w:r w:rsidRPr="00CA1A43">
        <w:rPr>
          <w:rFonts w:eastAsia="標楷體" w:cstheme="minorHAnsi"/>
          <w:szCs w:val="24"/>
        </w:rPr>
        <w:t>120</w:t>
      </w:r>
      <w:r w:rsidRPr="00CA1A43">
        <w:rPr>
          <w:rFonts w:eastAsia="標楷體" w:cstheme="minorHAnsi"/>
          <w:szCs w:val="24"/>
        </w:rPr>
        <w:t>天</w:t>
      </w:r>
      <w:r w:rsidRPr="00CA1A43">
        <w:rPr>
          <w:rFonts w:eastAsia="標楷體" w:cstheme="minorHAnsi"/>
          <w:szCs w:val="24"/>
        </w:rPr>
        <w:t>)</w:t>
      </w:r>
      <w:r w:rsidRPr="00CA1A43">
        <w:rPr>
          <w:rFonts w:eastAsia="標楷體" w:cstheme="minorHAnsi"/>
          <w:szCs w:val="24"/>
        </w:rPr>
        <w:t>。舉例來說，如果加權平均變現期間是</w:t>
      </w:r>
      <w:r w:rsidRPr="00CA1A43">
        <w:rPr>
          <w:rFonts w:eastAsia="標楷體" w:cstheme="minorHAnsi"/>
          <w:szCs w:val="24"/>
        </w:rPr>
        <w:t>12</w:t>
      </w:r>
      <w:r w:rsidRPr="00CA1A43">
        <w:rPr>
          <w:rFonts w:eastAsia="標楷體" w:cstheme="minorHAnsi"/>
          <w:szCs w:val="24"/>
        </w:rPr>
        <w:t>日，那指數變現期間則為</w:t>
      </w:r>
      <w:r w:rsidRPr="00CA1A43">
        <w:rPr>
          <w:rFonts w:eastAsia="標楷體" w:cstheme="minorHAnsi"/>
          <w:szCs w:val="24"/>
        </w:rPr>
        <w:t>20</w:t>
      </w:r>
      <w:r w:rsidRPr="00CA1A43">
        <w:rPr>
          <w:rFonts w:eastAsia="標楷體" w:cstheme="minorHAnsi"/>
          <w:szCs w:val="24"/>
        </w:rPr>
        <w:t>日。</w:t>
      </w:r>
    </w:p>
    <w:tbl>
      <w:tblPr>
        <w:tblW w:w="5000" w:type="pct"/>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3403"/>
        <w:gridCol w:w="518"/>
        <w:gridCol w:w="236"/>
        <w:gridCol w:w="3357"/>
        <w:gridCol w:w="154"/>
        <w:gridCol w:w="638"/>
      </w:tblGrid>
      <w:tr w:rsidR="005342F3" w:rsidRPr="00CA1A43" w14:paraId="0527CB6D" w14:textId="77777777" w:rsidTr="006E73AA">
        <w:trPr>
          <w:trHeight w:val="407"/>
        </w:trPr>
        <w:tc>
          <w:tcPr>
            <w:tcW w:w="4523" w:type="pct"/>
            <w:gridSpan w:val="4"/>
            <w:vAlign w:val="center"/>
          </w:tcPr>
          <w:p w14:paraId="7C2C364D" w14:textId="77777777" w:rsidR="005342F3" w:rsidRPr="00CA1A43" w:rsidRDefault="005342F3" w:rsidP="00FB65D2">
            <w:pPr>
              <w:pStyle w:val="Item"/>
              <w:jc w:val="both"/>
              <w:rPr>
                <w:rFonts w:asciiTheme="minorHAnsi" w:hAnsiTheme="minorHAnsi" w:cstheme="minorHAnsi"/>
                <w:kern w:val="0"/>
                <w:sz w:val="24"/>
                <w:szCs w:val="24"/>
              </w:rPr>
            </w:pPr>
            <w:r w:rsidRPr="00CA1A43">
              <w:rPr>
                <w:rFonts w:asciiTheme="minorHAnsi" w:hAnsiTheme="minorHAnsi" w:cstheme="minorHAnsi"/>
                <w:kern w:val="0"/>
                <w:sz w:val="24"/>
                <w:szCs w:val="24"/>
              </w:rPr>
              <w:t>各風險因子變現期間</w:t>
            </w:r>
            <w:r w:rsidRPr="00CA1A43">
              <w:rPr>
                <w:rFonts w:asciiTheme="minorHAnsi" w:hAnsiTheme="minorHAnsi" w:cstheme="minorHAnsi"/>
                <w:kern w:val="0"/>
                <w:sz w:val="24"/>
                <w:szCs w:val="24"/>
              </w:rPr>
              <w:t xml:space="preserve">n                                                </w:t>
            </w:r>
          </w:p>
        </w:tc>
        <w:tc>
          <w:tcPr>
            <w:tcW w:w="477" w:type="pct"/>
            <w:gridSpan w:val="2"/>
            <w:vAlign w:val="center"/>
          </w:tcPr>
          <w:p w14:paraId="472C2F85" w14:textId="77777777" w:rsidR="005342F3" w:rsidRPr="00CA1A43" w:rsidRDefault="005342F3" w:rsidP="00FB65D2">
            <w:pPr>
              <w:pStyle w:val="Item"/>
              <w:jc w:val="right"/>
              <w:rPr>
                <w:rFonts w:asciiTheme="minorHAnsi" w:hAnsiTheme="minorHAnsi" w:cstheme="minorHAnsi"/>
                <w:kern w:val="0"/>
                <w:sz w:val="24"/>
                <w:szCs w:val="24"/>
              </w:rPr>
            </w:pPr>
            <w:r w:rsidRPr="00CA1A43">
              <w:rPr>
                <w:rFonts w:asciiTheme="minorHAnsi" w:hAnsiTheme="minorHAnsi" w:cstheme="minorHAnsi"/>
                <w:sz w:val="24"/>
                <w:szCs w:val="24"/>
              </w:rPr>
              <w:t>表</w:t>
            </w:r>
            <w:r w:rsidRPr="00CA1A43">
              <w:rPr>
                <w:rFonts w:asciiTheme="minorHAnsi" w:hAnsiTheme="minorHAnsi" w:cstheme="minorHAnsi"/>
                <w:sz w:val="24"/>
                <w:szCs w:val="24"/>
              </w:rPr>
              <w:t>2</w:t>
            </w:r>
            <w:r w:rsidR="006E73AA">
              <w:rPr>
                <w:rFonts w:asciiTheme="minorHAnsi" w:hAnsiTheme="minorHAnsi" w:cstheme="minorHAnsi" w:hint="eastAsia"/>
                <w:sz w:val="24"/>
                <w:szCs w:val="24"/>
              </w:rPr>
              <w:t>9</w:t>
            </w:r>
          </w:p>
        </w:tc>
      </w:tr>
      <w:tr w:rsidR="005342F3" w:rsidRPr="00CA1A43" w14:paraId="538A4EB7" w14:textId="77777777" w:rsidTr="005342F3">
        <w:trPr>
          <w:trHeight w:val="124"/>
        </w:trPr>
        <w:tc>
          <w:tcPr>
            <w:tcW w:w="2048" w:type="pct"/>
            <w:tcBorders>
              <w:bottom w:val="single" w:sz="4" w:space="0" w:color="auto"/>
            </w:tcBorders>
            <w:vAlign w:val="center"/>
          </w:tcPr>
          <w:p w14:paraId="62B3BA5C"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風險因子分類</w:t>
            </w:r>
          </w:p>
        </w:tc>
        <w:tc>
          <w:tcPr>
            <w:tcW w:w="312" w:type="pct"/>
            <w:tcBorders>
              <w:bottom w:val="single" w:sz="4" w:space="0" w:color="auto"/>
            </w:tcBorders>
            <w:vAlign w:val="center"/>
          </w:tcPr>
          <w:p w14:paraId="24014A3E"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n</w:t>
            </w:r>
          </w:p>
        </w:tc>
        <w:tc>
          <w:tcPr>
            <w:tcW w:w="142" w:type="pct"/>
            <w:tcBorders>
              <w:bottom w:val="nil"/>
            </w:tcBorders>
            <w:vAlign w:val="center"/>
          </w:tcPr>
          <w:p w14:paraId="6089F8CC" w14:textId="77777777" w:rsidR="005342F3" w:rsidRPr="00CA1A43" w:rsidRDefault="005342F3" w:rsidP="00FB65D2">
            <w:pPr>
              <w:pStyle w:val="Item"/>
              <w:jc w:val="both"/>
              <w:rPr>
                <w:rFonts w:asciiTheme="minorHAnsi" w:hAnsiTheme="minorHAnsi" w:cstheme="minorHAnsi"/>
                <w:sz w:val="24"/>
                <w:szCs w:val="24"/>
              </w:rPr>
            </w:pPr>
          </w:p>
        </w:tc>
        <w:tc>
          <w:tcPr>
            <w:tcW w:w="2114" w:type="pct"/>
            <w:gridSpan w:val="2"/>
            <w:tcBorders>
              <w:bottom w:val="nil"/>
            </w:tcBorders>
            <w:vAlign w:val="center"/>
          </w:tcPr>
          <w:p w14:paraId="281AA6DE"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風險因子分類</w:t>
            </w:r>
          </w:p>
        </w:tc>
        <w:tc>
          <w:tcPr>
            <w:tcW w:w="384" w:type="pct"/>
            <w:tcBorders>
              <w:bottom w:val="single" w:sz="4" w:space="0" w:color="auto"/>
            </w:tcBorders>
            <w:vAlign w:val="center"/>
          </w:tcPr>
          <w:p w14:paraId="218056AF"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n</w:t>
            </w:r>
          </w:p>
        </w:tc>
      </w:tr>
      <w:tr w:rsidR="005342F3" w:rsidRPr="00CA1A43" w14:paraId="2EEE663E" w14:textId="77777777" w:rsidTr="005342F3">
        <w:trPr>
          <w:trHeight w:val="304"/>
        </w:trPr>
        <w:tc>
          <w:tcPr>
            <w:tcW w:w="2048" w:type="pct"/>
            <w:tcBorders>
              <w:bottom w:val="single" w:sz="8" w:space="0" w:color="BFBFBF" w:themeColor="background1" w:themeShade="BF"/>
            </w:tcBorders>
            <w:vAlign w:val="center"/>
          </w:tcPr>
          <w:p w14:paraId="7BFAA5D5"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利率：特定幣別</w:t>
            </w:r>
            <w:r w:rsidRPr="00CA1A43">
              <w:rPr>
                <w:rFonts w:asciiTheme="minorHAnsi" w:hAnsiTheme="minorHAnsi" w:cstheme="minorHAnsi"/>
                <w:sz w:val="24"/>
                <w:szCs w:val="24"/>
              </w:rPr>
              <w:t>-</w:t>
            </w:r>
            <w:r w:rsidRPr="00CA1A43">
              <w:rPr>
                <w:rFonts w:asciiTheme="minorHAnsi" w:hAnsiTheme="minorHAnsi" w:cstheme="minorHAnsi"/>
                <w:sz w:val="24"/>
                <w:szCs w:val="24"/>
              </w:rPr>
              <w:t>歐元、美元、</w:t>
            </w:r>
            <w:proofErr w:type="gramStart"/>
            <w:r w:rsidRPr="00CA1A43">
              <w:rPr>
                <w:rFonts w:asciiTheme="minorHAnsi" w:hAnsiTheme="minorHAnsi" w:cstheme="minorHAnsi"/>
                <w:sz w:val="24"/>
                <w:szCs w:val="24"/>
              </w:rPr>
              <w:t>英鎊、</w:t>
            </w:r>
            <w:proofErr w:type="gramEnd"/>
            <w:r w:rsidRPr="00CA1A43">
              <w:rPr>
                <w:rFonts w:asciiTheme="minorHAnsi" w:hAnsiTheme="minorHAnsi" w:cstheme="minorHAnsi"/>
                <w:sz w:val="24"/>
                <w:szCs w:val="24"/>
              </w:rPr>
              <w:t>澳幣、日元、瑞典克朗、加幣及銀行本位幣</w:t>
            </w:r>
          </w:p>
        </w:tc>
        <w:tc>
          <w:tcPr>
            <w:tcW w:w="312" w:type="pct"/>
            <w:tcBorders>
              <w:bottom w:val="single" w:sz="8" w:space="0" w:color="BFBFBF" w:themeColor="background1" w:themeShade="BF"/>
            </w:tcBorders>
            <w:vAlign w:val="center"/>
          </w:tcPr>
          <w:p w14:paraId="59B8D709"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10</w:t>
            </w:r>
          </w:p>
        </w:tc>
        <w:tc>
          <w:tcPr>
            <w:tcW w:w="142" w:type="pct"/>
            <w:tcBorders>
              <w:top w:val="nil"/>
              <w:bottom w:val="single" w:sz="8" w:space="0" w:color="BFBFBF" w:themeColor="background1" w:themeShade="BF"/>
            </w:tcBorders>
            <w:vAlign w:val="center"/>
          </w:tcPr>
          <w:p w14:paraId="231E5B73" w14:textId="77777777" w:rsidR="005342F3" w:rsidRPr="00CA1A43" w:rsidRDefault="005342F3" w:rsidP="00FB65D2">
            <w:pPr>
              <w:pStyle w:val="Item"/>
              <w:jc w:val="both"/>
              <w:rPr>
                <w:rFonts w:asciiTheme="minorHAnsi" w:hAnsiTheme="minorHAnsi" w:cstheme="minorHAnsi"/>
                <w:sz w:val="24"/>
                <w:szCs w:val="24"/>
              </w:rPr>
            </w:pPr>
          </w:p>
        </w:tc>
        <w:tc>
          <w:tcPr>
            <w:tcW w:w="2114" w:type="pct"/>
            <w:gridSpan w:val="2"/>
            <w:tcBorders>
              <w:bottom w:val="single" w:sz="8" w:space="0" w:color="BFBFBF" w:themeColor="background1" w:themeShade="BF"/>
            </w:tcBorders>
            <w:vAlign w:val="center"/>
          </w:tcPr>
          <w:p w14:paraId="5EA702D2"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權益證券價格</w:t>
            </w:r>
            <w:r w:rsidRPr="00CA1A43">
              <w:rPr>
                <w:rFonts w:asciiTheme="minorHAnsi" w:hAnsiTheme="minorHAnsi" w:cstheme="minorHAnsi"/>
                <w:sz w:val="24"/>
                <w:szCs w:val="24"/>
              </w:rPr>
              <w:t xml:space="preserve"> (</w:t>
            </w:r>
            <w:r w:rsidRPr="00CA1A43">
              <w:rPr>
                <w:rFonts w:asciiTheme="minorHAnsi" w:hAnsiTheme="minorHAnsi" w:cstheme="minorHAnsi"/>
                <w:sz w:val="24"/>
                <w:szCs w:val="24"/>
              </w:rPr>
              <w:t>小型資本</w:t>
            </w:r>
            <w:r w:rsidRPr="00CA1A43">
              <w:rPr>
                <w:rFonts w:asciiTheme="minorHAnsi" w:hAnsiTheme="minorHAnsi" w:cstheme="minorHAnsi"/>
                <w:sz w:val="24"/>
                <w:szCs w:val="24"/>
              </w:rPr>
              <w:t>)</w:t>
            </w:r>
            <w:r w:rsidRPr="00CA1A43">
              <w:rPr>
                <w:rFonts w:asciiTheme="minorHAnsi" w:hAnsiTheme="minorHAnsi" w:cstheme="minorHAnsi"/>
                <w:sz w:val="24"/>
                <w:szCs w:val="24"/>
              </w:rPr>
              <w:t>：波動率</w:t>
            </w:r>
          </w:p>
        </w:tc>
        <w:tc>
          <w:tcPr>
            <w:tcW w:w="384" w:type="pct"/>
            <w:tcBorders>
              <w:bottom w:val="single" w:sz="8" w:space="0" w:color="BFBFBF" w:themeColor="background1" w:themeShade="BF"/>
            </w:tcBorders>
            <w:vAlign w:val="center"/>
          </w:tcPr>
          <w:p w14:paraId="48242D65"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r>
      <w:tr w:rsidR="005342F3" w:rsidRPr="00CA1A43" w14:paraId="12554C0D" w14:textId="77777777" w:rsidTr="005342F3">
        <w:trPr>
          <w:trHeight w:val="124"/>
        </w:trPr>
        <w:tc>
          <w:tcPr>
            <w:tcW w:w="2048" w:type="pct"/>
            <w:tcBorders>
              <w:top w:val="single" w:sz="8" w:space="0" w:color="BFBFBF" w:themeColor="background1" w:themeShade="BF"/>
              <w:bottom w:val="single" w:sz="8" w:space="0" w:color="BFBFBF" w:themeColor="background1" w:themeShade="BF"/>
            </w:tcBorders>
            <w:vAlign w:val="center"/>
          </w:tcPr>
          <w:p w14:paraId="0AD5173E"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lastRenderedPageBreak/>
              <w:t>利率：非特定幣別</w:t>
            </w:r>
            <w:r w:rsidR="00AA5C67" w:rsidRPr="00CA1A43">
              <w:rPr>
                <w:rStyle w:val="a5"/>
                <w:rFonts w:asciiTheme="minorHAnsi" w:hAnsiTheme="minorHAnsi" w:cstheme="minorHAnsi"/>
                <w:szCs w:val="24"/>
              </w:rPr>
              <w:footnoteReference w:id="108"/>
            </w:r>
          </w:p>
        </w:tc>
        <w:tc>
          <w:tcPr>
            <w:tcW w:w="454" w:type="pct"/>
            <w:gridSpan w:val="2"/>
            <w:tcBorders>
              <w:top w:val="single" w:sz="8" w:space="0" w:color="BFBFBF" w:themeColor="background1" w:themeShade="BF"/>
              <w:bottom w:val="single" w:sz="8" w:space="0" w:color="BFBFBF" w:themeColor="background1" w:themeShade="BF"/>
            </w:tcBorders>
            <w:vAlign w:val="center"/>
          </w:tcPr>
          <w:p w14:paraId="2BE95A46"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32390479"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權益證券價格：其他類型</w:t>
            </w:r>
          </w:p>
        </w:tc>
        <w:tc>
          <w:tcPr>
            <w:tcW w:w="384" w:type="pct"/>
            <w:tcBorders>
              <w:top w:val="single" w:sz="8" w:space="0" w:color="BFBFBF" w:themeColor="background1" w:themeShade="BF"/>
              <w:bottom w:val="single" w:sz="8" w:space="0" w:color="BFBFBF" w:themeColor="background1" w:themeShade="BF"/>
            </w:tcBorders>
            <w:vAlign w:val="center"/>
          </w:tcPr>
          <w:p w14:paraId="506D7604"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r>
      <w:tr w:rsidR="005342F3" w:rsidRPr="00CA1A43" w14:paraId="6C556A07" w14:textId="77777777" w:rsidTr="005342F3">
        <w:trPr>
          <w:trHeight w:val="214"/>
        </w:trPr>
        <w:tc>
          <w:tcPr>
            <w:tcW w:w="2048" w:type="pct"/>
            <w:tcBorders>
              <w:top w:val="single" w:sz="8" w:space="0" w:color="BFBFBF" w:themeColor="background1" w:themeShade="BF"/>
              <w:bottom w:val="single" w:sz="8" w:space="0" w:color="BFBFBF" w:themeColor="background1" w:themeShade="BF"/>
            </w:tcBorders>
            <w:vAlign w:val="center"/>
          </w:tcPr>
          <w:p w14:paraId="6D5344F8"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利率：波動率</w:t>
            </w:r>
          </w:p>
        </w:tc>
        <w:tc>
          <w:tcPr>
            <w:tcW w:w="454" w:type="pct"/>
            <w:gridSpan w:val="2"/>
            <w:tcBorders>
              <w:top w:val="single" w:sz="8" w:space="0" w:color="BFBFBF" w:themeColor="background1" w:themeShade="BF"/>
              <w:bottom w:val="single" w:sz="8" w:space="0" w:color="BFBFBF" w:themeColor="background1" w:themeShade="BF"/>
            </w:tcBorders>
            <w:vAlign w:val="center"/>
          </w:tcPr>
          <w:p w14:paraId="2E89CB6A"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774D7BF1" w14:textId="77777777" w:rsidR="005342F3" w:rsidRPr="00CA1A43" w:rsidRDefault="005342F3" w:rsidP="00514477">
            <w:pPr>
              <w:pStyle w:val="Item"/>
              <w:jc w:val="both"/>
              <w:rPr>
                <w:rFonts w:asciiTheme="minorHAnsi" w:hAnsiTheme="minorHAnsi" w:cstheme="minorHAnsi"/>
                <w:sz w:val="24"/>
                <w:szCs w:val="24"/>
              </w:rPr>
            </w:pPr>
            <w:r w:rsidRPr="00CA1A43">
              <w:rPr>
                <w:rFonts w:asciiTheme="minorHAnsi" w:hAnsiTheme="minorHAnsi" w:cstheme="minorHAnsi"/>
                <w:sz w:val="24"/>
                <w:szCs w:val="24"/>
              </w:rPr>
              <w:t>匯率：特定貨幣對</w:t>
            </w:r>
            <w:r w:rsidR="00514477" w:rsidRPr="00CA1A43">
              <w:rPr>
                <w:rStyle w:val="a5"/>
                <w:rFonts w:asciiTheme="minorHAnsi" w:hAnsiTheme="minorHAnsi" w:cstheme="minorHAnsi"/>
                <w:szCs w:val="24"/>
              </w:rPr>
              <w:footnoteReference w:id="109"/>
            </w:r>
          </w:p>
        </w:tc>
        <w:tc>
          <w:tcPr>
            <w:tcW w:w="384" w:type="pct"/>
            <w:tcBorders>
              <w:top w:val="single" w:sz="8" w:space="0" w:color="BFBFBF" w:themeColor="background1" w:themeShade="BF"/>
              <w:bottom w:val="single" w:sz="8" w:space="0" w:color="BFBFBF" w:themeColor="background1" w:themeShade="BF"/>
            </w:tcBorders>
            <w:vAlign w:val="center"/>
          </w:tcPr>
          <w:p w14:paraId="7298D5F7"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10</w:t>
            </w:r>
          </w:p>
        </w:tc>
      </w:tr>
      <w:tr w:rsidR="005342F3" w:rsidRPr="00CA1A43" w14:paraId="6D12D779" w14:textId="77777777" w:rsidTr="005342F3">
        <w:trPr>
          <w:trHeight w:val="214"/>
        </w:trPr>
        <w:tc>
          <w:tcPr>
            <w:tcW w:w="2048" w:type="pct"/>
            <w:tcBorders>
              <w:top w:val="single" w:sz="8" w:space="0" w:color="BFBFBF" w:themeColor="background1" w:themeShade="BF"/>
              <w:bottom w:val="single" w:sz="8" w:space="0" w:color="BFBFBF" w:themeColor="background1" w:themeShade="BF"/>
            </w:tcBorders>
            <w:vAlign w:val="center"/>
          </w:tcPr>
          <w:p w14:paraId="23D16DC7"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利率：其他類型</w:t>
            </w:r>
          </w:p>
        </w:tc>
        <w:tc>
          <w:tcPr>
            <w:tcW w:w="454" w:type="pct"/>
            <w:gridSpan w:val="2"/>
            <w:tcBorders>
              <w:top w:val="single" w:sz="8" w:space="0" w:color="BFBFBF" w:themeColor="background1" w:themeShade="BF"/>
              <w:bottom w:val="single" w:sz="8" w:space="0" w:color="BFBFBF" w:themeColor="background1" w:themeShade="BF"/>
            </w:tcBorders>
            <w:vAlign w:val="center"/>
          </w:tcPr>
          <w:p w14:paraId="346D400A"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5E3E83D1"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匯率：貨幣對</w:t>
            </w:r>
          </w:p>
        </w:tc>
        <w:tc>
          <w:tcPr>
            <w:tcW w:w="384" w:type="pct"/>
            <w:tcBorders>
              <w:top w:val="single" w:sz="8" w:space="0" w:color="BFBFBF" w:themeColor="background1" w:themeShade="BF"/>
              <w:bottom w:val="single" w:sz="8" w:space="0" w:color="BFBFBF" w:themeColor="background1" w:themeShade="BF"/>
            </w:tcBorders>
            <w:vAlign w:val="center"/>
          </w:tcPr>
          <w:p w14:paraId="1F53CE02"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p>
        </w:tc>
      </w:tr>
      <w:tr w:rsidR="005342F3" w:rsidRPr="00CA1A43" w14:paraId="4A8934C2" w14:textId="77777777" w:rsidTr="005342F3">
        <w:trPr>
          <w:trHeight w:val="214"/>
        </w:trPr>
        <w:tc>
          <w:tcPr>
            <w:tcW w:w="2048" w:type="pct"/>
            <w:tcBorders>
              <w:top w:val="single" w:sz="8" w:space="0" w:color="BFBFBF" w:themeColor="background1" w:themeShade="BF"/>
              <w:bottom w:val="single" w:sz="8" w:space="0" w:color="BFBFBF" w:themeColor="background1" w:themeShade="BF"/>
            </w:tcBorders>
            <w:vAlign w:val="center"/>
          </w:tcPr>
          <w:p w14:paraId="06E1385E"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信用價差：主權</w:t>
            </w:r>
            <w:r w:rsidRPr="00CA1A43">
              <w:rPr>
                <w:rFonts w:asciiTheme="minorHAnsi" w:hAnsiTheme="minorHAnsi" w:cstheme="minorHAnsi"/>
                <w:sz w:val="24"/>
                <w:szCs w:val="24"/>
              </w:rPr>
              <w:t>(</w:t>
            </w:r>
            <w:r w:rsidRPr="00CA1A43">
              <w:rPr>
                <w:rFonts w:asciiTheme="minorHAnsi" w:hAnsiTheme="minorHAnsi" w:cstheme="minorHAnsi"/>
                <w:sz w:val="24"/>
                <w:szCs w:val="24"/>
              </w:rPr>
              <w:t>投資等級</w:t>
            </w:r>
            <w:r w:rsidRPr="00CA1A43">
              <w:rPr>
                <w:rFonts w:asciiTheme="minorHAnsi" w:hAnsiTheme="minorHAnsi" w:cstheme="minorHAnsi"/>
                <w:sz w:val="24"/>
                <w:szCs w:val="24"/>
              </w:rPr>
              <w:t>)</w:t>
            </w:r>
          </w:p>
        </w:tc>
        <w:tc>
          <w:tcPr>
            <w:tcW w:w="454" w:type="pct"/>
            <w:gridSpan w:val="2"/>
            <w:tcBorders>
              <w:top w:val="single" w:sz="8" w:space="0" w:color="BFBFBF" w:themeColor="background1" w:themeShade="BF"/>
              <w:bottom w:val="single" w:sz="8" w:space="0" w:color="BFBFBF" w:themeColor="background1" w:themeShade="BF"/>
            </w:tcBorders>
            <w:vAlign w:val="center"/>
          </w:tcPr>
          <w:p w14:paraId="093C27EC"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63D43DEE"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匯率：波動率</w:t>
            </w:r>
          </w:p>
        </w:tc>
        <w:tc>
          <w:tcPr>
            <w:tcW w:w="384" w:type="pct"/>
            <w:tcBorders>
              <w:top w:val="single" w:sz="8" w:space="0" w:color="BFBFBF" w:themeColor="background1" w:themeShade="BF"/>
              <w:bottom w:val="single" w:sz="8" w:space="0" w:color="BFBFBF" w:themeColor="background1" w:themeShade="BF"/>
            </w:tcBorders>
            <w:vAlign w:val="center"/>
          </w:tcPr>
          <w:p w14:paraId="6058D250"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40</w:t>
            </w:r>
          </w:p>
        </w:tc>
      </w:tr>
      <w:tr w:rsidR="005342F3" w:rsidRPr="00CA1A43" w14:paraId="08565112" w14:textId="77777777" w:rsidTr="005342F3">
        <w:trPr>
          <w:trHeight w:val="123"/>
        </w:trPr>
        <w:tc>
          <w:tcPr>
            <w:tcW w:w="2048" w:type="pct"/>
            <w:tcBorders>
              <w:top w:val="single" w:sz="8" w:space="0" w:color="BFBFBF" w:themeColor="background1" w:themeShade="BF"/>
              <w:bottom w:val="single" w:sz="8" w:space="0" w:color="BFBFBF" w:themeColor="background1" w:themeShade="BF"/>
            </w:tcBorders>
            <w:vAlign w:val="center"/>
          </w:tcPr>
          <w:p w14:paraId="0CB9CD52"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信用價差：主權</w:t>
            </w:r>
            <w:r w:rsidRPr="00CA1A43">
              <w:rPr>
                <w:rFonts w:asciiTheme="minorHAnsi" w:hAnsiTheme="minorHAnsi" w:cstheme="minorHAnsi"/>
                <w:sz w:val="24"/>
                <w:szCs w:val="24"/>
              </w:rPr>
              <w:t>(</w:t>
            </w:r>
            <w:r w:rsidRPr="00CA1A43">
              <w:rPr>
                <w:rFonts w:asciiTheme="minorHAnsi" w:hAnsiTheme="minorHAnsi" w:cstheme="minorHAnsi"/>
                <w:sz w:val="24"/>
                <w:szCs w:val="24"/>
              </w:rPr>
              <w:t>高</w:t>
            </w:r>
            <w:proofErr w:type="gramStart"/>
            <w:r w:rsidRPr="00CA1A43">
              <w:rPr>
                <w:rFonts w:asciiTheme="minorHAnsi" w:hAnsiTheme="minorHAnsi" w:cstheme="minorHAnsi"/>
                <w:sz w:val="24"/>
                <w:szCs w:val="24"/>
              </w:rPr>
              <w:t>殖</w:t>
            </w:r>
            <w:proofErr w:type="gramEnd"/>
            <w:r w:rsidRPr="00CA1A43">
              <w:rPr>
                <w:rFonts w:asciiTheme="minorHAnsi" w:hAnsiTheme="minorHAnsi" w:cstheme="minorHAnsi"/>
                <w:sz w:val="24"/>
                <w:szCs w:val="24"/>
              </w:rPr>
              <w:t>利率</w:t>
            </w:r>
            <w:r w:rsidR="00514477" w:rsidRPr="00CA1A43">
              <w:rPr>
                <w:rFonts w:asciiTheme="minorHAnsi" w:hAnsiTheme="minorHAnsi" w:cstheme="minorHAnsi"/>
                <w:sz w:val="24"/>
                <w:szCs w:val="24"/>
              </w:rPr>
              <w:t>)</w:t>
            </w:r>
          </w:p>
        </w:tc>
        <w:tc>
          <w:tcPr>
            <w:tcW w:w="454" w:type="pct"/>
            <w:gridSpan w:val="2"/>
            <w:tcBorders>
              <w:top w:val="single" w:sz="8" w:space="0" w:color="BFBFBF" w:themeColor="background1" w:themeShade="BF"/>
              <w:bottom w:val="single" w:sz="8" w:space="0" w:color="BFBFBF" w:themeColor="background1" w:themeShade="BF"/>
            </w:tcBorders>
            <w:vAlign w:val="center"/>
          </w:tcPr>
          <w:p w14:paraId="4F068A45"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40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48F35DD8"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匯率：其他類型</w:t>
            </w:r>
          </w:p>
        </w:tc>
        <w:tc>
          <w:tcPr>
            <w:tcW w:w="384" w:type="pct"/>
            <w:tcBorders>
              <w:top w:val="single" w:sz="8" w:space="0" w:color="BFBFBF" w:themeColor="background1" w:themeShade="BF"/>
              <w:bottom w:val="single" w:sz="8" w:space="0" w:color="BFBFBF" w:themeColor="background1" w:themeShade="BF"/>
            </w:tcBorders>
            <w:vAlign w:val="center"/>
          </w:tcPr>
          <w:p w14:paraId="3B640D12"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40</w:t>
            </w:r>
          </w:p>
        </w:tc>
      </w:tr>
      <w:tr w:rsidR="005342F3" w:rsidRPr="00CA1A43" w14:paraId="45B57AF9" w14:textId="77777777" w:rsidTr="005342F3">
        <w:trPr>
          <w:trHeight w:val="124"/>
        </w:trPr>
        <w:tc>
          <w:tcPr>
            <w:tcW w:w="2048" w:type="pct"/>
            <w:tcBorders>
              <w:top w:val="single" w:sz="8" w:space="0" w:color="BFBFBF" w:themeColor="background1" w:themeShade="BF"/>
              <w:bottom w:val="single" w:sz="8" w:space="0" w:color="BFBFBF" w:themeColor="background1" w:themeShade="BF"/>
            </w:tcBorders>
            <w:vAlign w:val="center"/>
          </w:tcPr>
          <w:p w14:paraId="7270D7BC"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信用價差：企業</w:t>
            </w:r>
            <w:r w:rsidRPr="00CA1A43">
              <w:rPr>
                <w:rFonts w:asciiTheme="minorHAnsi" w:hAnsiTheme="minorHAnsi" w:cstheme="minorHAnsi"/>
                <w:sz w:val="24"/>
                <w:szCs w:val="24"/>
              </w:rPr>
              <w:t>(</w:t>
            </w:r>
            <w:r w:rsidRPr="00CA1A43">
              <w:rPr>
                <w:rFonts w:asciiTheme="minorHAnsi" w:hAnsiTheme="minorHAnsi" w:cstheme="minorHAnsi"/>
                <w:sz w:val="24"/>
                <w:szCs w:val="24"/>
              </w:rPr>
              <w:t>投資等級</w:t>
            </w:r>
            <w:r w:rsidRPr="00CA1A43">
              <w:rPr>
                <w:rFonts w:asciiTheme="minorHAnsi" w:hAnsiTheme="minorHAnsi" w:cstheme="minorHAnsi"/>
                <w:sz w:val="24"/>
                <w:szCs w:val="24"/>
              </w:rPr>
              <w:t>)</w:t>
            </w:r>
          </w:p>
        </w:tc>
        <w:tc>
          <w:tcPr>
            <w:tcW w:w="454" w:type="pct"/>
            <w:gridSpan w:val="2"/>
            <w:tcBorders>
              <w:top w:val="single" w:sz="8" w:space="0" w:color="BFBFBF" w:themeColor="background1" w:themeShade="BF"/>
              <w:bottom w:val="single" w:sz="8" w:space="0" w:color="BFBFBF" w:themeColor="background1" w:themeShade="BF"/>
            </w:tcBorders>
            <w:vAlign w:val="center"/>
          </w:tcPr>
          <w:p w14:paraId="6E1129FA"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40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23843E34"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能源及碳排放量交易價格</w:t>
            </w:r>
            <w:r w:rsidRPr="00CA1A43">
              <w:rPr>
                <w:rFonts w:asciiTheme="minorHAnsi" w:hAnsiTheme="minorHAnsi" w:cstheme="minorHAnsi"/>
                <w:sz w:val="24"/>
                <w:szCs w:val="24"/>
              </w:rPr>
              <w:t xml:space="preserve"> </w:t>
            </w:r>
          </w:p>
        </w:tc>
        <w:tc>
          <w:tcPr>
            <w:tcW w:w="384" w:type="pct"/>
            <w:tcBorders>
              <w:top w:val="single" w:sz="8" w:space="0" w:color="BFBFBF" w:themeColor="background1" w:themeShade="BF"/>
              <w:bottom w:val="single" w:sz="8" w:space="0" w:color="BFBFBF" w:themeColor="background1" w:themeShade="BF"/>
            </w:tcBorders>
            <w:vAlign w:val="center"/>
          </w:tcPr>
          <w:p w14:paraId="23531766"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p>
        </w:tc>
      </w:tr>
      <w:tr w:rsidR="005342F3" w:rsidRPr="00CA1A43" w14:paraId="5DE77CA8" w14:textId="77777777" w:rsidTr="005342F3">
        <w:trPr>
          <w:trHeight w:val="124"/>
        </w:trPr>
        <w:tc>
          <w:tcPr>
            <w:tcW w:w="2048" w:type="pct"/>
            <w:tcBorders>
              <w:top w:val="single" w:sz="8" w:space="0" w:color="BFBFBF" w:themeColor="background1" w:themeShade="BF"/>
              <w:bottom w:val="single" w:sz="8" w:space="0" w:color="BFBFBF" w:themeColor="background1" w:themeShade="BF"/>
            </w:tcBorders>
            <w:vAlign w:val="center"/>
          </w:tcPr>
          <w:p w14:paraId="5E3B70E8"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信用價差：企業</w:t>
            </w:r>
            <w:r w:rsidRPr="00CA1A43">
              <w:rPr>
                <w:rFonts w:asciiTheme="minorHAnsi" w:hAnsiTheme="minorHAnsi" w:cstheme="minorHAnsi"/>
                <w:sz w:val="24"/>
                <w:szCs w:val="24"/>
              </w:rPr>
              <w:t>(</w:t>
            </w:r>
            <w:r w:rsidRPr="00CA1A43">
              <w:rPr>
                <w:rFonts w:asciiTheme="minorHAnsi" w:hAnsiTheme="minorHAnsi" w:cstheme="minorHAnsi"/>
                <w:sz w:val="24"/>
                <w:szCs w:val="24"/>
              </w:rPr>
              <w:t>高</w:t>
            </w:r>
            <w:proofErr w:type="gramStart"/>
            <w:r w:rsidRPr="00CA1A43">
              <w:rPr>
                <w:rFonts w:asciiTheme="minorHAnsi" w:hAnsiTheme="minorHAnsi" w:cstheme="minorHAnsi"/>
                <w:sz w:val="24"/>
                <w:szCs w:val="24"/>
              </w:rPr>
              <w:t>殖</w:t>
            </w:r>
            <w:proofErr w:type="gramEnd"/>
            <w:r w:rsidRPr="00CA1A43">
              <w:rPr>
                <w:rFonts w:asciiTheme="minorHAnsi" w:hAnsiTheme="minorHAnsi" w:cstheme="minorHAnsi"/>
                <w:sz w:val="24"/>
                <w:szCs w:val="24"/>
              </w:rPr>
              <w:t>利率</w:t>
            </w:r>
            <w:r w:rsidRPr="00CA1A43">
              <w:rPr>
                <w:rFonts w:asciiTheme="minorHAnsi" w:hAnsiTheme="minorHAnsi" w:cstheme="minorHAnsi"/>
                <w:sz w:val="24"/>
                <w:szCs w:val="24"/>
              </w:rPr>
              <w:t>)</w:t>
            </w:r>
          </w:p>
        </w:tc>
        <w:tc>
          <w:tcPr>
            <w:tcW w:w="454" w:type="pct"/>
            <w:gridSpan w:val="2"/>
            <w:tcBorders>
              <w:top w:val="single" w:sz="8" w:space="0" w:color="BFBFBF" w:themeColor="background1" w:themeShade="BF"/>
              <w:bottom w:val="single" w:sz="8" w:space="0" w:color="BFBFBF" w:themeColor="background1" w:themeShade="BF"/>
            </w:tcBorders>
            <w:vAlign w:val="center"/>
          </w:tcPr>
          <w:p w14:paraId="296754F1"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7C326129"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貴金屬與有色金屬價格</w:t>
            </w:r>
            <w:r w:rsidRPr="00CA1A43">
              <w:rPr>
                <w:rFonts w:asciiTheme="minorHAnsi" w:hAnsiTheme="minorHAnsi" w:cstheme="minorHAnsi"/>
                <w:sz w:val="24"/>
                <w:szCs w:val="24"/>
              </w:rPr>
              <w:t xml:space="preserve"> </w:t>
            </w:r>
          </w:p>
        </w:tc>
        <w:tc>
          <w:tcPr>
            <w:tcW w:w="384" w:type="pct"/>
            <w:tcBorders>
              <w:top w:val="single" w:sz="8" w:space="0" w:color="BFBFBF" w:themeColor="background1" w:themeShade="BF"/>
              <w:bottom w:val="single" w:sz="8" w:space="0" w:color="BFBFBF" w:themeColor="background1" w:themeShade="BF"/>
            </w:tcBorders>
            <w:vAlign w:val="center"/>
          </w:tcPr>
          <w:p w14:paraId="33C66A44"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p>
        </w:tc>
      </w:tr>
      <w:tr w:rsidR="005342F3" w:rsidRPr="00CA1A43" w14:paraId="34B9BD86" w14:textId="77777777" w:rsidTr="005342F3">
        <w:trPr>
          <w:trHeight w:val="123"/>
        </w:trPr>
        <w:tc>
          <w:tcPr>
            <w:tcW w:w="2048" w:type="pct"/>
            <w:tcBorders>
              <w:top w:val="single" w:sz="8" w:space="0" w:color="BFBFBF" w:themeColor="background1" w:themeShade="BF"/>
              <w:bottom w:val="single" w:sz="8" w:space="0" w:color="BFBFBF" w:themeColor="background1" w:themeShade="BF"/>
            </w:tcBorders>
            <w:vAlign w:val="center"/>
          </w:tcPr>
          <w:p w14:paraId="14A61D97"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信用價差：波動率</w:t>
            </w:r>
          </w:p>
        </w:tc>
        <w:tc>
          <w:tcPr>
            <w:tcW w:w="454" w:type="pct"/>
            <w:gridSpan w:val="2"/>
            <w:tcBorders>
              <w:top w:val="single" w:sz="8" w:space="0" w:color="BFBFBF" w:themeColor="background1" w:themeShade="BF"/>
              <w:bottom w:val="single" w:sz="8" w:space="0" w:color="BFBFBF" w:themeColor="background1" w:themeShade="BF"/>
            </w:tcBorders>
            <w:vAlign w:val="center"/>
          </w:tcPr>
          <w:p w14:paraId="43C9D431"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120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30DE2754"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其他商品價格</w:t>
            </w:r>
            <w:r w:rsidRPr="00CA1A43">
              <w:rPr>
                <w:rFonts w:asciiTheme="minorHAnsi" w:hAnsiTheme="minorHAnsi" w:cstheme="minorHAnsi"/>
                <w:sz w:val="24"/>
                <w:szCs w:val="24"/>
              </w:rPr>
              <w:t xml:space="preserve"> </w:t>
            </w:r>
          </w:p>
        </w:tc>
        <w:tc>
          <w:tcPr>
            <w:tcW w:w="384" w:type="pct"/>
            <w:tcBorders>
              <w:top w:val="single" w:sz="8" w:space="0" w:color="BFBFBF" w:themeColor="background1" w:themeShade="BF"/>
              <w:bottom w:val="single" w:sz="8" w:space="0" w:color="BFBFBF" w:themeColor="background1" w:themeShade="BF"/>
            </w:tcBorders>
            <w:vAlign w:val="center"/>
          </w:tcPr>
          <w:p w14:paraId="55979EF3"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r>
      <w:tr w:rsidR="005342F3" w:rsidRPr="00CA1A43" w14:paraId="04062B8D" w14:textId="77777777" w:rsidTr="005342F3">
        <w:trPr>
          <w:trHeight w:val="213"/>
        </w:trPr>
        <w:tc>
          <w:tcPr>
            <w:tcW w:w="2048" w:type="pct"/>
            <w:tcBorders>
              <w:top w:val="single" w:sz="8" w:space="0" w:color="BFBFBF" w:themeColor="background1" w:themeShade="BF"/>
              <w:bottom w:val="single" w:sz="8" w:space="0" w:color="BFBFBF" w:themeColor="background1" w:themeShade="BF"/>
            </w:tcBorders>
            <w:vAlign w:val="center"/>
          </w:tcPr>
          <w:p w14:paraId="54A89113"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信用價差：其他類型</w:t>
            </w:r>
          </w:p>
        </w:tc>
        <w:tc>
          <w:tcPr>
            <w:tcW w:w="454" w:type="pct"/>
            <w:gridSpan w:val="2"/>
            <w:tcBorders>
              <w:top w:val="single" w:sz="8" w:space="0" w:color="BFBFBF" w:themeColor="background1" w:themeShade="BF"/>
              <w:bottom w:val="single" w:sz="8" w:space="0" w:color="BFBFBF" w:themeColor="background1" w:themeShade="BF"/>
            </w:tcBorders>
            <w:vAlign w:val="center"/>
          </w:tcPr>
          <w:p w14:paraId="61D2661C"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120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5FA422B3"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能源與碳排放量交易價格：波動率</w:t>
            </w:r>
          </w:p>
        </w:tc>
        <w:tc>
          <w:tcPr>
            <w:tcW w:w="384" w:type="pct"/>
            <w:tcBorders>
              <w:top w:val="single" w:sz="8" w:space="0" w:color="BFBFBF" w:themeColor="background1" w:themeShade="BF"/>
              <w:bottom w:val="single" w:sz="8" w:space="0" w:color="BFBFBF" w:themeColor="background1" w:themeShade="BF"/>
            </w:tcBorders>
            <w:vAlign w:val="center"/>
          </w:tcPr>
          <w:p w14:paraId="36D427C3"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r>
      <w:tr w:rsidR="005342F3" w:rsidRPr="00CA1A43" w14:paraId="444E019F" w14:textId="77777777" w:rsidTr="005342F3">
        <w:trPr>
          <w:trHeight w:val="213"/>
        </w:trPr>
        <w:tc>
          <w:tcPr>
            <w:tcW w:w="2048" w:type="pct"/>
            <w:tcBorders>
              <w:top w:val="single" w:sz="8" w:space="0" w:color="BFBFBF" w:themeColor="background1" w:themeShade="BF"/>
              <w:bottom w:val="single" w:sz="8" w:space="0" w:color="BFBFBF" w:themeColor="background1" w:themeShade="BF"/>
            </w:tcBorders>
            <w:vAlign w:val="center"/>
          </w:tcPr>
          <w:p w14:paraId="7BC16D2D" w14:textId="77777777" w:rsidR="005342F3" w:rsidRPr="00CA1A43" w:rsidRDefault="005342F3" w:rsidP="00FB65D2">
            <w:pPr>
              <w:pStyle w:val="Item"/>
              <w:jc w:val="both"/>
              <w:rPr>
                <w:rFonts w:asciiTheme="minorHAnsi" w:hAnsiTheme="minorHAnsi" w:cstheme="minorHAnsi"/>
                <w:sz w:val="24"/>
                <w:szCs w:val="24"/>
              </w:rPr>
            </w:pPr>
          </w:p>
        </w:tc>
        <w:tc>
          <w:tcPr>
            <w:tcW w:w="454" w:type="pct"/>
            <w:gridSpan w:val="2"/>
            <w:tcBorders>
              <w:top w:val="single" w:sz="8" w:space="0" w:color="BFBFBF" w:themeColor="background1" w:themeShade="BF"/>
              <w:bottom w:val="single" w:sz="8" w:space="0" w:color="BFBFBF" w:themeColor="background1" w:themeShade="BF"/>
            </w:tcBorders>
            <w:vAlign w:val="center"/>
          </w:tcPr>
          <w:p w14:paraId="468656F3" w14:textId="77777777" w:rsidR="005342F3" w:rsidRPr="00CA1A43" w:rsidRDefault="005342F3" w:rsidP="00FB65D2">
            <w:pPr>
              <w:pStyle w:val="Item"/>
              <w:jc w:val="both"/>
              <w:rPr>
                <w:rFonts w:asciiTheme="minorHAnsi" w:hAnsiTheme="minorHAnsi" w:cstheme="minorHAnsi"/>
                <w:sz w:val="24"/>
                <w:szCs w:val="24"/>
              </w:rPr>
            </w:pPr>
          </w:p>
        </w:tc>
        <w:tc>
          <w:tcPr>
            <w:tcW w:w="2114" w:type="pct"/>
            <w:gridSpan w:val="2"/>
            <w:tcBorders>
              <w:top w:val="single" w:sz="8" w:space="0" w:color="BFBFBF" w:themeColor="background1" w:themeShade="BF"/>
              <w:bottom w:val="single" w:sz="8" w:space="0" w:color="BFBFBF" w:themeColor="background1" w:themeShade="BF"/>
            </w:tcBorders>
            <w:vAlign w:val="center"/>
          </w:tcPr>
          <w:p w14:paraId="2AC28F01"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貴金屬與有色金屬價格：波動率</w:t>
            </w:r>
          </w:p>
        </w:tc>
        <w:tc>
          <w:tcPr>
            <w:tcW w:w="384" w:type="pct"/>
            <w:tcBorders>
              <w:top w:val="single" w:sz="8" w:space="0" w:color="BFBFBF" w:themeColor="background1" w:themeShade="BF"/>
              <w:bottom w:val="single" w:sz="8" w:space="0" w:color="BFBFBF" w:themeColor="background1" w:themeShade="BF"/>
            </w:tcBorders>
            <w:vAlign w:val="center"/>
          </w:tcPr>
          <w:p w14:paraId="04F4F455"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60</w:t>
            </w:r>
          </w:p>
        </w:tc>
      </w:tr>
      <w:tr w:rsidR="005342F3" w:rsidRPr="00CA1A43" w14:paraId="1BDAB4AF" w14:textId="77777777" w:rsidTr="005342F3">
        <w:trPr>
          <w:trHeight w:val="124"/>
        </w:trPr>
        <w:tc>
          <w:tcPr>
            <w:tcW w:w="2048" w:type="pct"/>
            <w:tcBorders>
              <w:top w:val="single" w:sz="8" w:space="0" w:color="BFBFBF" w:themeColor="background1" w:themeShade="BF"/>
              <w:bottom w:val="single" w:sz="8" w:space="0" w:color="BFBFBF" w:themeColor="background1" w:themeShade="BF"/>
            </w:tcBorders>
            <w:vAlign w:val="center"/>
          </w:tcPr>
          <w:p w14:paraId="7FA1190F"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權益證券價格</w:t>
            </w:r>
            <w:r w:rsidRPr="00CA1A43">
              <w:rPr>
                <w:rFonts w:asciiTheme="minorHAnsi" w:hAnsiTheme="minorHAnsi" w:cstheme="minorHAnsi"/>
                <w:sz w:val="24"/>
                <w:szCs w:val="24"/>
              </w:rPr>
              <w:t>(</w:t>
            </w:r>
            <w:r w:rsidRPr="00CA1A43">
              <w:rPr>
                <w:rFonts w:asciiTheme="minorHAnsi" w:hAnsiTheme="minorHAnsi" w:cstheme="minorHAnsi"/>
                <w:sz w:val="24"/>
                <w:szCs w:val="24"/>
              </w:rPr>
              <w:t>大型資本</w:t>
            </w:r>
            <w:r w:rsidRPr="00CA1A43">
              <w:rPr>
                <w:rFonts w:asciiTheme="minorHAnsi" w:hAnsiTheme="minorHAnsi" w:cstheme="minorHAnsi"/>
                <w:sz w:val="24"/>
                <w:szCs w:val="24"/>
              </w:rPr>
              <w:t>)</w:t>
            </w:r>
            <w:r w:rsidR="00AA5C67" w:rsidRPr="00CA1A43">
              <w:rPr>
                <w:rStyle w:val="a5"/>
                <w:rFonts w:asciiTheme="minorHAnsi" w:hAnsiTheme="minorHAnsi" w:cstheme="minorHAnsi"/>
                <w:szCs w:val="24"/>
              </w:rPr>
              <w:footnoteReference w:id="110"/>
            </w:r>
          </w:p>
        </w:tc>
        <w:tc>
          <w:tcPr>
            <w:tcW w:w="454" w:type="pct"/>
            <w:gridSpan w:val="2"/>
            <w:tcBorders>
              <w:top w:val="single" w:sz="8" w:space="0" w:color="BFBFBF" w:themeColor="background1" w:themeShade="BF"/>
              <w:bottom w:val="single" w:sz="8" w:space="0" w:color="BFBFBF" w:themeColor="background1" w:themeShade="BF"/>
            </w:tcBorders>
            <w:vAlign w:val="center"/>
          </w:tcPr>
          <w:p w14:paraId="624B4EA8"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10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7E1566C2"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其他商品價格：波動率</w:t>
            </w:r>
          </w:p>
        </w:tc>
        <w:tc>
          <w:tcPr>
            <w:tcW w:w="384" w:type="pct"/>
            <w:tcBorders>
              <w:top w:val="single" w:sz="8" w:space="0" w:color="BFBFBF" w:themeColor="background1" w:themeShade="BF"/>
              <w:bottom w:val="single" w:sz="8" w:space="0" w:color="BFBFBF" w:themeColor="background1" w:themeShade="BF"/>
            </w:tcBorders>
            <w:vAlign w:val="center"/>
          </w:tcPr>
          <w:p w14:paraId="1614179E"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120</w:t>
            </w:r>
          </w:p>
        </w:tc>
      </w:tr>
      <w:tr w:rsidR="005342F3" w:rsidRPr="00CA1A43" w14:paraId="34BB4C5D" w14:textId="77777777" w:rsidTr="005342F3">
        <w:trPr>
          <w:trHeight w:val="124"/>
        </w:trPr>
        <w:tc>
          <w:tcPr>
            <w:tcW w:w="2048" w:type="pct"/>
            <w:tcBorders>
              <w:top w:val="single" w:sz="8" w:space="0" w:color="BFBFBF" w:themeColor="background1" w:themeShade="BF"/>
              <w:bottom w:val="single" w:sz="8" w:space="0" w:color="BFBFBF" w:themeColor="background1" w:themeShade="BF"/>
            </w:tcBorders>
            <w:vAlign w:val="center"/>
          </w:tcPr>
          <w:p w14:paraId="30525E77"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權益證券價格</w:t>
            </w:r>
            <w:r w:rsidRPr="00CA1A43">
              <w:rPr>
                <w:rFonts w:asciiTheme="minorHAnsi" w:hAnsiTheme="minorHAnsi" w:cstheme="minorHAnsi"/>
                <w:sz w:val="24"/>
                <w:szCs w:val="24"/>
              </w:rPr>
              <w:t>(</w:t>
            </w:r>
            <w:r w:rsidRPr="00CA1A43">
              <w:rPr>
                <w:rFonts w:asciiTheme="minorHAnsi" w:hAnsiTheme="minorHAnsi" w:cstheme="minorHAnsi"/>
                <w:sz w:val="24"/>
                <w:szCs w:val="24"/>
              </w:rPr>
              <w:t>小型資本</w:t>
            </w:r>
            <w:r w:rsidRPr="00CA1A43">
              <w:rPr>
                <w:rFonts w:asciiTheme="minorHAnsi" w:hAnsiTheme="minorHAnsi" w:cstheme="minorHAnsi"/>
                <w:sz w:val="24"/>
                <w:szCs w:val="24"/>
              </w:rPr>
              <w:t>)</w:t>
            </w:r>
          </w:p>
        </w:tc>
        <w:tc>
          <w:tcPr>
            <w:tcW w:w="454" w:type="pct"/>
            <w:gridSpan w:val="2"/>
            <w:tcBorders>
              <w:top w:val="single" w:sz="8" w:space="0" w:color="BFBFBF" w:themeColor="background1" w:themeShade="BF"/>
              <w:bottom w:val="single" w:sz="8" w:space="0" w:color="BFBFBF" w:themeColor="background1" w:themeShade="BF"/>
            </w:tcBorders>
            <w:vAlign w:val="center"/>
          </w:tcPr>
          <w:p w14:paraId="62FEBA3E"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p>
        </w:tc>
        <w:tc>
          <w:tcPr>
            <w:tcW w:w="2114" w:type="pct"/>
            <w:gridSpan w:val="2"/>
            <w:tcBorders>
              <w:top w:val="single" w:sz="8" w:space="0" w:color="BFBFBF" w:themeColor="background1" w:themeShade="BF"/>
              <w:bottom w:val="single" w:sz="8" w:space="0" w:color="BFBFBF" w:themeColor="background1" w:themeShade="BF"/>
            </w:tcBorders>
            <w:vAlign w:val="center"/>
          </w:tcPr>
          <w:p w14:paraId="613BD382"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商品：其他類型</w:t>
            </w:r>
          </w:p>
        </w:tc>
        <w:tc>
          <w:tcPr>
            <w:tcW w:w="384" w:type="pct"/>
            <w:tcBorders>
              <w:top w:val="single" w:sz="8" w:space="0" w:color="BFBFBF" w:themeColor="background1" w:themeShade="BF"/>
              <w:bottom w:val="single" w:sz="8" w:space="0" w:color="BFBFBF" w:themeColor="background1" w:themeShade="BF"/>
            </w:tcBorders>
            <w:vAlign w:val="center"/>
          </w:tcPr>
          <w:p w14:paraId="4F2E0D26"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120</w:t>
            </w:r>
          </w:p>
        </w:tc>
      </w:tr>
      <w:tr w:rsidR="005342F3" w:rsidRPr="00CA1A43" w14:paraId="636E991F" w14:textId="77777777" w:rsidTr="005342F3">
        <w:trPr>
          <w:trHeight w:val="124"/>
        </w:trPr>
        <w:tc>
          <w:tcPr>
            <w:tcW w:w="2048" w:type="pct"/>
            <w:tcBorders>
              <w:top w:val="single" w:sz="8" w:space="0" w:color="BFBFBF" w:themeColor="background1" w:themeShade="BF"/>
            </w:tcBorders>
            <w:vAlign w:val="center"/>
          </w:tcPr>
          <w:p w14:paraId="106D524C"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權益證券價格</w:t>
            </w:r>
            <w:r w:rsidRPr="00CA1A43">
              <w:rPr>
                <w:rFonts w:asciiTheme="minorHAnsi" w:hAnsiTheme="minorHAnsi" w:cstheme="minorHAnsi"/>
                <w:sz w:val="24"/>
                <w:szCs w:val="24"/>
              </w:rPr>
              <w:t>(</w:t>
            </w:r>
            <w:r w:rsidRPr="00CA1A43">
              <w:rPr>
                <w:rFonts w:asciiTheme="minorHAnsi" w:hAnsiTheme="minorHAnsi" w:cstheme="minorHAnsi"/>
                <w:sz w:val="24"/>
                <w:szCs w:val="24"/>
              </w:rPr>
              <w:t>大型資本</w:t>
            </w:r>
            <w:r w:rsidRPr="00CA1A43">
              <w:rPr>
                <w:rFonts w:asciiTheme="minorHAnsi" w:hAnsiTheme="minorHAnsi" w:cstheme="minorHAnsi"/>
                <w:sz w:val="24"/>
                <w:szCs w:val="24"/>
              </w:rPr>
              <w:t>)</w:t>
            </w:r>
            <w:r w:rsidRPr="00CA1A43">
              <w:rPr>
                <w:rFonts w:asciiTheme="minorHAnsi" w:hAnsiTheme="minorHAnsi" w:cstheme="minorHAnsi"/>
                <w:sz w:val="24"/>
                <w:szCs w:val="24"/>
              </w:rPr>
              <w:t>：波動率</w:t>
            </w:r>
          </w:p>
        </w:tc>
        <w:tc>
          <w:tcPr>
            <w:tcW w:w="454" w:type="pct"/>
            <w:gridSpan w:val="2"/>
            <w:tcBorders>
              <w:top w:val="single" w:sz="8" w:space="0" w:color="BFBFBF" w:themeColor="background1" w:themeShade="BF"/>
            </w:tcBorders>
            <w:vAlign w:val="center"/>
          </w:tcPr>
          <w:p w14:paraId="4CFADE2A" w14:textId="77777777" w:rsidR="005342F3" w:rsidRPr="00CA1A43" w:rsidRDefault="005342F3" w:rsidP="00FB65D2">
            <w:pPr>
              <w:pStyle w:val="Item"/>
              <w:jc w:val="both"/>
              <w:rPr>
                <w:rFonts w:asciiTheme="minorHAnsi" w:hAnsiTheme="minorHAnsi" w:cstheme="minorHAnsi"/>
                <w:sz w:val="24"/>
                <w:szCs w:val="24"/>
              </w:rPr>
            </w:pPr>
            <w:r w:rsidRPr="00CA1A43">
              <w:rPr>
                <w:rFonts w:asciiTheme="minorHAnsi" w:hAnsiTheme="minorHAnsi" w:cstheme="minorHAnsi"/>
                <w:sz w:val="24"/>
                <w:szCs w:val="24"/>
              </w:rPr>
              <w:t>20</w:t>
            </w:r>
          </w:p>
        </w:tc>
        <w:tc>
          <w:tcPr>
            <w:tcW w:w="2114" w:type="pct"/>
            <w:gridSpan w:val="2"/>
            <w:tcBorders>
              <w:top w:val="single" w:sz="8" w:space="0" w:color="BFBFBF" w:themeColor="background1" w:themeShade="BF"/>
            </w:tcBorders>
            <w:vAlign w:val="center"/>
          </w:tcPr>
          <w:p w14:paraId="4F29BFB5" w14:textId="77777777" w:rsidR="005342F3" w:rsidRPr="00CA1A43" w:rsidRDefault="005342F3" w:rsidP="00FB65D2">
            <w:pPr>
              <w:pStyle w:val="Item"/>
              <w:jc w:val="both"/>
              <w:rPr>
                <w:rFonts w:asciiTheme="minorHAnsi" w:hAnsiTheme="minorHAnsi" w:cstheme="minorHAnsi"/>
                <w:sz w:val="24"/>
                <w:szCs w:val="24"/>
              </w:rPr>
            </w:pPr>
          </w:p>
        </w:tc>
        <w:tc>
          <w:tcPr>
            <w:tcW w:w="384" w:type="pct"/>
            <w:tcBorders>
              <w:top w:val="single" w:sz="8" w:space="0" w:color="BFBFBF" w:themeColor="background1" w:themeShade="BF"/>
            </w:tcBorders>
            <w:vAlign w:val="center"/>
          </w:tcPr>
          <w:p w14:paraId="0FAC636A" w14:textId="77777777" w:rsidR="005342F3" w:rsidRPr="00CA1A43" w:rsidRDefault="005342F3" w:rsidP="00FB65D2">
            <w:pPr>
              <w:pStyle w:val="Item"/>
              <w:jc w:val="both"/>
              <w:rPr>
                <w:rFonts w:asciiTheme="minorHAnsi" w:hAnsiTheme="minorHAnsi" w:cstheme="minorHAnsi"/>
                <w:sz w:val="24"/>
                <w:szCs w:val="24"/>
              </w:rPr>
            </w:pPr>
          </w:p>
        </w:tc>
      </w:tr>
    </w:tbl>
    <w:p w14:paraId="24F51C45" w14:textId="77777777" w:rsidR="008143DE" w:rsidRPr="00CA1A43" w:rsidRDefault="008143DE" w:rsidP="005066C2">
      <w:pPr>
        <w:pStyle w:val="a7"/>
        <w:numPr>
          <w:ilvl w:val="0"/>
          <w:numId w:val="292"/>
        </w:numPr>
        <w:spacing w:beforeLines="50" w:before="180"/>
        <w:ind w:leftChars="0" w:left="964" w:hanging="482"/>
        <w:jc w:val="both"/>
        <w:rPr>
          <w:rFonts w:eastAsia="標楷體" w:cstheme="minorHAnsi"/>
          <w:szCs w:val="24"/>
        </w:rPr>
      </w:pPr>
      <w:r w:rsidRPr="00CA1A43">
        <w:rPr>
          <w:rFonts w:eastAsia="標楷體" w:cstheme="minorHAnsi"/>
          <w:szCs w:val="24"/>
        </w:rPr>
        <w:t>預期短缺之衡量必須在壓力期間下進行校準</w:t>
      </w:r>
      <w:r w:rsidRPr="00CA1A43">
        <w:rPr>
          <w:rFonts w:eastAsia="標楷體" w:cstheme="minorHAnsi"/>
        </w:rPr>
        <w:t>，此項衡量係指銀行依目前投資組合之風險因子為基準，指定</w:t>
      </w:r>
      <w:proofErr w:type="gramStart"/>
      <w:r w:rsidRPr="00CA1A43">
        <w:rPr>
          <w:rFonts w:eastAsia="標楷體" w:cstheme="minorHAnsi"/>
        </w:rPr>
        <w:t>一</w:t>
      </w:r>
      <w:proofErr w:type="gramEnd"/>
      <w:r w:rsidRPr="00CA1A43">
        <w:rPr>
          <w:rFonts w:eastAsia="標楷體" w:cstheme="minorHAnsi"/>
        </w:rPr>
        <w:t>簡化風險因子集合，假設該風險因子經歷一段時間之市場壓力下所計算之預期短缺。惟該簡化之風險因子需符合以下條件，並經本會核可。</w:t>
      </w:r>
    </w:p>
    <w:p w14:paraId="6A4A4D05" w14:textId="77777777" w:rsidR="008143DE" w:rsidRPr="00CA1A43" w:rsidRDefault="008143DE" w:rsidP="005066C2">
      <w:pPr>
        <w:pStyle w:val="a7"/>
        <w:numPr>
          <w:ilvl w:val="0"/>
          <w:numId w:val="296"/>
        </w:numPr>
        <w:spacing w:beforeLines="50" w:before="180"/>
        <w:ind w:leftChars="0" w:left="1446" w:hanging="482"/>
        <w:jc w:val="both"/>
        <w:rPr>
          <w:rFonts w:eastAsia="標楷體" w:cstheme="minorHAnsi"/>
        </w:rPr>
      </w:pPr>
      <w:r w:rsidRPr="00CA1A43">
        <w:rPr>
          <w:rFonts w:eastAsia="標楷體" w:cstheme="minorHAnsi"/>
        </w:rPr>
        <w:t>符合本</w:t>
      </w:r>
      <w:r w:rsidRPr="00CA1A43">
        <w:rPr>
          <w:rFonts w:eastAsia="標楷體" w:cstheme="minorHAnsi"/>
          <w:szCs w:val="24"/>
        </w:rPr>
        <w:t>計算</w:t>
      </w:r>
      <w:r w:rsidRPr="00CA1A43">
        <w:rPr>
          <w:rFonts w:eastAsia="標楷體" w:cstheme="minorHAnsi"/>
        </w:rPr>
        <w:t>說明之可</w:t>
      </w:r>
      <w:r w:rsidRPr="00CA1A43">
        <w:rPr>
          <w:rFonts w:eastAsia="標楷體" w:cstheme="minorHAnsi"/>
          <w:szCs w:val="24"/>
        </w:rPr>
        <w:t>模型</w:t>
      </w:r>
      <w:r w:rsidRPr="00CA1A43">
        <w:rPr>
          <w:rFonts w:eastAsia="標楷體" w:cstheme="minorHAnsi"/>
        </w:rPr>
        <w:t>化風險因子資料品質要求。</w:t>
      </w:r>
    </w:p>
    <w:p w14:paraId="3F799D5F" w14:textId="77777777" w:rsidR="008143DE" w:rsidRPr="00CA1A43" w:rsidRDefault="008143DE" w:rsidP="005066C2">
      <w:pPr>
        <w:pStyle w:val="a7"/>
        <w:numPr>
          <w:ilvl w:val="0"/>
          <w:numId w:val="296"/>
        </w:numPr>
        <w:spacing w:beforeLines="50" w:before="180"/>
        <w:ind w:leftChars="0" w:left="1446" w:hanging="482"/>
        <w:jc w:val="both"/>
        <w:rPr>
          <w:rFonts w:eastAsia="標楷體" w:cstheme="minorHAnsi"/>
        </w:rPr>
      </w:pPr>
      <w:r w:rsidRPr="00CA1A43">
        <w:rPr>
          <w:rFonts w:eastAsia="標楷體" w:cstheme="minorHAnsi"/>
        </w:rPr>
        <w:t>與銀行</w:t>
      </w:r>
      <w:r w:rsidRPr="00CA1A43">
        <w:rPr>
          <w:rFonts w:eastAsia="標楷體" w:cstheme="minorHAnsi"/>
          <w:szCs w:val="24"/>
        </w:rPr>
        <w:t>投資組合</w:t>
      </w:r>
      <w:r w:rsidRPr="00CA1A43">
        <w:rPr>
          <w:rFonts w:eastAsia="標楷體" w:cstheme="minorHAnsi"/>
        </w:rPr>
        <w:t>有高度相關並有足夠的歷史觀察期間資料。</w:t>
      </w:r>
    </w:p>
    <w:p w14:paraId="37971636" w14:textId="77777777" w:rsidR="00633E44" w:rsidRPr="00CA1A43" w:rsidRDefault="008143DE" w:rsidP="005066C2">
      <w:pPr>
        <w:pStyle w:val="a7"/>
        <w:numPr>
          <w:ilvl w:val="0"/>
          <w:numId w:val="296"/>
        </w:numPr>
        <w:spacing w:beforeLines="50" w:before="180"/>
        <w:ind w:leftChars="0" w:left="1446" w:hanging="482"/>
        <w:jc w:val="both"/>
        <w:rPr>
          <w:rFonts w:eastAsia="標楷體" w:cstheme="minorHAnsi"/>
          <w:kern w:val="0"/>
          <w:szCs w:val="24"/>
        </w:rPr>
      </w:pPr>
      <w:r w:rsidRPr="00CA1A43">
        <w:rPr>
          <w:rFonts w:eastAsia="標楷體" w:cstheme="minorHAnsi"/>
        </w:rPr>
        <w:t>簡化風險因子集合計算之預期短缺應至少等於核淮採用內部模型法</w:t>
      </w:r>
      <w:r w:rsidRPr="00CA1A43">
        <w:rPr>
          <w:rFonts w:eastAsia="標楷體" w:cstheme="minorHAnsi"/>
        </w:rPr>
        <w:t>(IMA)</w:t>
      </w:r>
      <w:r w:rsidRPr="00CA1A43">
        <w:rPr>
          <w:rFonts w:eastAsia="標楷體" w:cstheme="minorHAnsi"/>
        </w:rPr>
        <w:t>之所有交易台全部風險因子集合下計算過去</w:t>
      </w:r>
      <w:r w:rsidRPr="00CA1A43">
        <w:rPr>
          <w:rFonts w:eastAsia="標楷體" w:cstheme="minorHAnsi"/>
        </w:rPr>
        <w:t>12</w:t>
      </w:r>
      <w:r w:rsidRPr="00CA1A43">
        <w:rPr>
          <w:rFonts w:eastAsia="標楷體" w:cstheme="minorHAnsi"/>
        </w:rPr>
        <w:t>周平均預期短缺之</w:t>
      </w:r>
      <w:r w:rsidRPr="00CA1A43">
        <w:rPr>
          <w:rFonts w:eastAsia="標楷體" w:cstheme="minorHAnsi"/>
        </w:rPr>
        <w:t>75%</w:t>
      </w:r>
      <w:r w:rsidRPr="00CA1A43">
        <w:rPr>
          <w:rFonts w:eastAsia="標楷體" w:cstheme="minorHAnsi"/>
        </w:rPr>
        <w:t>。</w:t>
      </w:r>
    </w:p>
    <w:p w14:paraId="3A3BE125" w14:textId="77777777" w:rsidR="008143DE" w:rsidRPr="00CA1A43" w:rsidRDefault="008143DE" w:rsidP="005066C2">
      <w:pPr>
        <w:pStyle w:val="a7"/>
        <w:numPr>
          <w:ilvl w:val="0"/>
          <w:numId w:val="292"/>
        </w:numPr>
        <w:spacing w:beforeLines="50" w:before="180"/>
        <w:ind w:leftChars="0" w:left="964" w:hanging="482"/>
        <w:jc w:val="both"/>
        <w:rPr>
          <w:rFonts w:eastAsia="標楷體" w:cstheme="minorHAnsi"/>
        </w:rPr>
      </w:pPr>
      <w:r w:rsidRPr="00CA1A43">
        <w:rPr>
          <w:rFonts w:eastAsia="標楷體" w:cstheme="minorHAnsi"/>
        </w:rPr>
        <w:t>銀行計算資本計提之預期短缺</w:t>
      </w:r>
      <w:r w:rsidRPr="00CA1A43">
        <w:rPr>
          <w:rFonts w:eastAsia="標楷體" w:cstheme="minorHAnsi"/>
        </w:rPr>
        <w:t>(ES)</w:t>
      </w:r>
      <w:r w:rsidRPr="00CA1A43">
        <w:rPr>
          <w:rFonts w:eastAsia="標楷體" w:cstheme="minorHAnsi"/>
        </w:rPr>
        <w:t>如下：</w:t>
      </w:r>
    </w:p>
    <w:p w14:paraId="263925E1" w14:textId="77777777" w:rsidR="000F1707" w:rsidRPr="00CA1A43" w:rsidRDefault="008143DE" w:rsidP="005066C2">
      <w:pPr>
        <w:pStyle w:val="a7"/>
        <w:numPr>
          <w:ilvl w:val="0"/>
          <w:numId w:val="297"/>
        </w:numPr>
        <w:spacing w:beforeLines="50" w:before="180"/>
        <w:ind w:leftChars="0" w:left="1446" w:hanging="482"/>
        <w:jc w:val="both"/>
        <w:rPr>
          <w:rFonts w:eastAsia="標楷體" w:cstheme="minorHAnsi"/>
          <w:kern w:val="0"/>
          <w:szCs w:val="24"/>
        </w:rPr>
      </w:pPr>
      <w:r w:rsidRPr="00CA1A43">
        <w:rPr>
          <w:rFonts w:eastAsia="標楷體" w:cstheme="minorHAnsi"/>
        </w:rPr>
        <w:t>資本計提之預期短缺必須</w:t>
      </w:r>
      <w:proofErr w:type="gramStart"/>
      <w:r w:rsidRPr="00CA1A43">
        <w:rPr>
          <w:rFonts w:eastAsia="標楷體" w:cstheme="minorHAnsi"/>
        </w:rPr>
        <w:t>採</w:t>
      </w:r>
      <w:proofErr w:type="gramEnd"/>
      <w:r w:rsidRPr="00CA1A43">
        <w:rPr>
          <w:rFonts w:eastAsia="標楷體" w:cstheme="minorHAnsi"/>
        </w:rPr>
        <w:t>觀察期間中損失最嚴重的</w:t>
      </w:r>
      <w:r w:rsidRPr="00CA1A43">
        <w:rPr>
          <w:rFonts w:eastAsia="標楷體" w:cstheme="minorHAnsi"/>
        </w:rPr>
        <w:t>250</w:t>
      </w:r>
      <w:r w:rsidRPr="00CA1A43">
        <w:rPr>
          <w:rFonts w:eastAsia="標楷體" w:cstheme="minorHAnsi"/>
        </w:rPr>
        <w:t>個交易日為壓力</w:t>
      </w:r>
      <w:proofErr w:type="gramStart"/>
      <w:r w:rsidRPr="00CA1A43">
        <w:rPr>
          <w:rFonts w:eastAsia="標楷體" w:cstheme="minorHAnsi"/>
        </w:rPr>
        <w:t>期間，</w:t>
      </w:r>
      <w:proofErr w:type="gramEnd"/>
      <w:r w:rsidRPr="00CA1A43">
        <w:rPr>
          <w:rFonts w:eastAsia="標楷體" w:cstheme="minorHAnsi"/>
        </w:rPr>
        <w:t>使用簡化風險因子集合計算投資組合預期短缺</w:t>
      </w:r>
      <w:r w:rsidRPr="00CA1A43">
        <w:rPr>
          <w:rFonts w:eastAsia="標楷體" w:cstheme="minorHAnsi"/>
        </w:rPr>
        <w:t>(ES</w:t>
      </w:r>
      <w:r w:rsidRPr="00CA1A43">
        <w:rPr>
          <w:rFonts w:eastAsia="標楷體" w:cstheme="minorHAnsi"/>
          <w:vertAlign w:val="subscript"/>
        </w:rPr>
        <w:t>R,S</w:t>
      </w:r>
      <w:r w:rsidRPr="00CA1A43">
        <w:rPr>
          <w:rFonts w:eastAsia="標楷體" w:cstheme="minorHAnsi"/>
        </w:rPr>
        <w:t>)</w:t>
      </w:r>
      <w:r w:rsidRPr="00CA1A43">
        <w:rPr>
          <w:rFonts w:eastAsia="標楷體" w:cstheme="minorHAnsi"/>
        </w:rPr>
        <w:t>，並透過全部風險因子計算之當前預期短缺</w:t>
      </w:r>
      <w:r w:rsidRPr="00CA1A43">
        <w:rPr>
          <w:rFonts w:eastAsia="標楷體" w:cstheme="minorHAnsi"/>
        </w:rPr>
        <w:t>(ES</w:t>
      </w:r>
      <w:r w:rsidRPr="00CA1A43">
        <w:rPr>
          <w:rFonts w:eastAsia="標楷體" w:cstheme="minorHAnsi"/>
          <w:vertAlign w:val="subscript"/>
        </w:rPr>
        <w:t>F,C</w:t>
      </w:r>
      <w:r w:rsidRPr="00CA1A43">
        <w:rPr>
          <w:rFonts w:eastAsia="標楷體" w:cstheme="minorHAnsi"/>
        </w:rPr>
        <w:t>)</w:t>
      </w:r>
      <w:proofErr w:type="gramStart"/>
      <w:r w:rsidRPr="00CA1A43">
        <w:rPr>
          <w:rFonts w:eastAsia="標楷體" w:cstheme="minorHAnsi"/>
        </w:rPr>
        <w:t>佔</w:t>
      </w:r>
      <w:proofErr w:type="gramEnd"/>
      <w:r w:rsidRPr="00CA1A43">
        <w:rPr>
          <w:rFonts w:eastAsia="標楷體" w:cstheme="minorHAnsi"/>
        </w:rPr>
        <w:t>簡化風險</w:t>
      </w:r>
      <w:r w:rsidRPr="00CA1A43">
        <w:rPr>
          <w:rFonts w:eastAsia="標楷體" w:cstheme="minorHAnsi"/>
        </w:rPr>
        <w:lastRenderedPageBreak/>
        <w:t>因子計算之當前預期短缺</w:t>
      </w:r>
      <w:r w:rsidRPr="00CA1A43">
        <w:rPr>
          <w:rFonts w:eastAsia="標楷體" w:cstheme="minorHAnsi"/>
        </w:rPr>
        <w:t>(ES</w:t>
      </w:r>
      <w:r w:rsidRPr="00CA1A43">
        <w:rPr>
          <w:rFonts w:eastAsia="標楷體" w:cstheme="minorHAnsi"/>
          <w:vertAlign w:val="subscript"/>
        </w:rPr>
        <w:t>R,C</w:t>
      </w:r>
      <w:r w:rsidRPr="00CA1A43">
        <w:rPr>
          <w:rFonts w:eastAsia="標楷體" w:cstheme="minorHAnsi"/>
        </w:rPr>
        <w:t>)</w:t>
      </w:r>
      <w:r w:rsidRPr="00CA1A43">
        <w:rPr>
          <w:rFonts w:eastAsia="標楷體" w:cstheme="minorHAnsi"/>
        </w:rPr>
        <w:t>之比率進行調整，該比率下限為</w:t>
      </w:r>
      <w:r w:rsidRPr="00CA1A43">
        <w:rPr>
          <w:rFonts w:eastAsia="標楷體" w:cstheme="minorHAnsi"/>
        </w:rPr>
        <w:t>1</w:t>
      </w:r>
      <w:r w:rsidRPr="00CA1A43">
        <w:rPr>
          <w:rFonts w:eastAsia="標楷體" w:cstheme="minorHAnsi"/>
        </w:rPr>
        <w:t>。</w:t>
      </w:r>
    </w:p>
    <w:p w14:paraId="796EEF9E" w14:textId="77777777" w:rsidR="008143DE" w:rsidRPr="00CA1A43" w:rsidRDefault="008143DE" w:rsidP="008143DE">
      <w:pPr>
        <w:pStyle w:val="a7"/>
        <w:spacing w:beforeLines="50" w:before="180"/>
        <w:ind w:leftChars="0" w:left="1446"/>
        <w:jc w:val="both"/>
        <w:rPr>
          <w:rFonts w:eastAsia="標楷體" w:cstheme="minorHAnsi"/>
          <w:kern w:val="0"/>
          <w:szCs w:val="24"/>
        </w:rPr>
      </w:pPr>
      <m:oMathPara>
        <m:oMath>
          <m:r>
            <m:rPr>
              <m:sty m:val="p"/>
            </m:rPr>
            <w:rPr>
              <w:rFonts w:ascii="Cambria Math" w:eastAsia="標楷體" w:hAnsi="Cambria Math" w:cstheme="minorHAnsi"/>
            </w:rPr>
            <m:t>ES=</m:t>
          </m:r>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R,S</m:t>
              </m:r>
            </m:sub>
          </m:sSub>
          <m:r>
            <w:rPr>
              <w:rFonts w:ascii="Cambria Math" w:eastAsia="標楷體" w:hAnsi="Cambria Math" w:cstheme="minorHAnsi"/>
            </w:rPr>
            <m:t>×</m:t>
          </m:r>
          <m:f>
            <m:fPr>
              <m:ctrlPr>
                <w:rPr>
                  <w:rFonts w:ascii="Cambria Math" w:eastAsia="標楷體" w:hAnsi="Cambria Math" w:cstheme="minorHAnsi"/>
                  <w:i/>
                </w:rPr>
              </m:ctrlPr>
            </m:fPr>
            <m:num>
              <m:r>
                <w:rPr>
                  <w:rFonts w:ascii="Cambria Math" w:eastAsia="標楷體" w:hAnsi="Cambria Math" w:cstheme="minorHAnsi"/>
                </w:rPr>
                <m:t>E</m:t>
              </m:r>
              <m:sSub>
                <m:sSubPr>
                  <m:ctrlPr>
                    <w:rPr>
                      <w:rFonts w:ascii="Cambria Math" w:eastAsia="標楷體" w:hAnsi="Cambria Math" w:cstheme="minorHAnsi"/>
                      <w:i/>
                    </w:rPr>
                  </m:ctrlPr>
                </m:sSubPr>
                <m:e>
                  <m:r>
                    <w:rPr>
                      <w:rFonts w:ascii="Cambria Math" w:eastAsia="標楷體" w:hAnsi="Cambria Math" w:cstheme="minorHAnsi"/>
                    </w:rPr>
                    <m:t>S</m:t>
                  </m:r>
                </m:e>
                <m:sub>
                  <m:r>
                    <w:rPr>
                      <w:rFonts w:ascii="Cambria Math" w:eastAsia="標楷體" w:hAnsi="Cambria Math" w:cstheme="minorHAnsi"/>
                    </w:rPr>
                    <m:t>F,C</m:t>
                  </m:r>
                </m:sub>
              </m:sSub>
            </m:num>
            <m:den>
              <m:r>
                <w:rPr>
                  <w:rFonts w:ascii="Cambria Math" w:eastAsia="標楷體" w:hAnsi="Cambria Math" w:cstheme="minorHAnsi"/>
                </w:rPr>
                <m:t>E</m:t>
              </m:r>
              <m:sSub>
                <m:sSubPr>
                  <m:ctrlPr>
                    <w:rPr>
                      <w:rFonts w:ascii="Cambria Math" w:eastAsia="標楷體" w:hAnsi="Cambria Math" w:cstheme="minorHAnsi"/>
                      <w:i/>
                    </w:rPr>
                  </m:ctrlPr>
                </m:sSubPr>
                <m:e>
                  <m:r>
                    <w:rPr>
                      <w:rFonts w:ascii="Cambria Math" w:eastAsia="標楷體" w:hAnsi="Cambria Math" w:cstheme="minorHAnsi"/>
                    </w:rPr>
                    <m:t>S</m:t>
                  </m:r>
                </m:e>
                <m:sub>
                  <m:r>
                    <w:rPr>
                      <w:rFonts w:ascii="Cambria Math" w:eastAsia="標楷體" w:hAnsi="Cambria Math" w:cstheme="minorHAnsi"/>
                    </w:rPr>
                    <m:t>R,C</m:t>
                  </m:r>
                </m:sub>
              </m:sSub>
            </m:den>
          </m:f>
        </m:oMath>
      </m:oMathPara>
    </w:p>
    <w:p w14:paraId="2FEB7A29" w14:textId="77777777" w:rsidR="008143DE" w:rsidRPr="00CA1A43" w:rsidRDefault="008143DE" w:rsidP="00814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80"/>
        <w:ind w:left="1446"/>
        <w:rPr>
          <w:rFonts w:eastAsia="標楷體" w:cstheme="minorHAnsi"/>
        </w:rPr>
      </w:pPr>
      <w:r w:rsidRPr="00CA1A43">
        <w:rPr>
          <w:rFonts w:eastAsia="標楷體" w:cstheme="minorHAnsi"/>
        </w:rPr>
        <w:t>其中</w:t>
      </w:r>
      <w:r w:rsidRPr="00CA1A43">
        <w:rPr>
          <w:rFonts w:eastAsia="標楷體" w:cstheme="minorHAnsi"/>
        </w:rPr>
        <w:t>:</w:t>
      </w:r>
    </w:p>
    <w:p w14:paraId="77BA30D0" w14:textId="77777777" w:rsidR="008143DE" w:rsidRPr="00CA1A43" w:rsidRDefault="008143DE" w:rsidP="005066C2">
      <w:pPr>
        <w:pStyle w:val="a7"/>
        <w:numPr>
          <w:ilvl w:val="0"/>
          <w:numId w:val="298"/>
        </w:numPr>
        <w:spacing w:beforeLines="50" w:before="180"/>
        <w:ind w:leftChars="0"/>
        <w:jc w:val="both"/>
        <w:rPr>
          <w:rFonts w:eastAsia="標楷體" w:cstheme="minorHAnsi"/>
        </w:rPr>
      </w:pPr>
      <w:r w:rsidRPr="00CA1A43">
        <w:rPr>
          <w:rFonts w:eastAsia="標楷體" w:cstheme="minorHAnsi"/>
        </w:rPr>
        <w:t>ES</w:t>
      </w:r>
      <w:r w:rsidRPr="00CA1A43">
        <w:rPr>
          <w:rFonts w:eastAsia="標楷體" w:cstheme="minorHAnsi"/>
        </w:rPr>
        <w:t>為資本計提之預期短缺。</w:t>
      </w:r>
    </w:p>
    <w:p w14:paraId="3CEF8510" w14:textId="77777777" w:rsidR="008143DE" w:rsidRPr="00CA1A43" w:rsidRDefault="008143DE" w:rsidP="005066C2">
      <w:pPr>
        <w:pStyle w:val="a7"/>
        <w:numPr>
          <w:ilvl w:val="0"/>
          <w:numId w:val="298"/>
        </w:numPr>
        <w:spacing w:beforeLines="50" w:before="180"/>
        <w:ind w:leftChars="0"/>
        <w:jc w:val="both"/>
        <w:rPr>
          <w:rFonts w:eastAsia="標楷體" w:cstheme="minorHAnsi"/>
        </w:rPr>
      </w:pPr>
      <w:r w:rsidRPr="00CA1A43">
        <w:rPr>
          <w:rFonts w:eastAsia="標楷體" w:cstheme="minorHAnsi"/>
        </w:rPr>
        <w:t>ES</w:t>
      </w:r>
      <w:r w:rsidRPr="00CA1A43">
        <w:rPr>
          <w:rFonts w:eastAsia="標楷體" w:cstheme="minorHAnsi"/>
          <w:vertAlign w:val="subscript"/>
        </w:rPr>
        <w:t>R,s</w:t>
      </w:r>
      <w:r w:rsidRPr="00CA1A43">
        <w:rPr>
          <w:rFonts w:eastAsia="標楷體" w:cstheme="minorHAnsi"/>
        </w:rPr>
        <w:t>為簡化風險因子集合在壓力期間下所算出的預期短缺。</w:t>
      </w:r>
    </w:p>
    <w:p w14:paraId="4BD0870F" w14:textId="77777777" w:rsidR="008143DE" w:rsidRPr="00CA1A43" w:rsidRDefault="008143DE" w:rsidP="005066C2">
      <w:pPr>
        <w:pStyle w:val="a7"/>
        <w:numPr>
          <w:ilvl w:val="0"/>
          <w:numId w:val="298"/>
        </w:numPr>
        <w:spacing w:beforeLines="50" w:before="180"/>
        <w:ind w:leftChars="0"/>
        <w:jc w:val="both"/>
        <w:rPr>
          <w:rFonts w:eastAsia="標楷體" w:cstheme="minorHAnsi"/>
        </w:rPr>
      </w:pPr>
      <w:r w:rsidRPr="00CA1A43">
        <w:rPr>
          <w:rFonts w:eastAsia="標楷體" w:cstheme="minorHAnsi"/>
        </w:rPr>
        <w:t>ES</w:t>
      </w:r>
      <w:r w:rsidRPr="00CA1A43">
        <w:rPr>
          <w:rFonts w:eastAsia="標楷體" w:cstheme="minorHAnsi"/>
          <w:vertAlign w:val="subscript"/>
        </w:rPr>
        <w:t>F,C</w:t>
      </w:r>
      <w:r w:rsidRPr="00CA1A43">
        <w:rPr>
          <w:rFonts w:eastAsia="標楷體" w:cstheme="minorHAnsi"/>
        </w:rPr>
        <w:t>為全部風險因子集合在最近</w:t>
      </w:r>
      <w:r w:rsidRPr="00CA1A43">
        <w:rPr>
          <w:rFonts w:eastAsia="標楷體" w:cstheme="minorHAnsi"/>
        </w:rPr>
        <w:t>250</w:t>
      </w:r>
      <w:r w:rsidRPr="00CA1A43">
        <w:rPr>
          <w:rFonts w:eastAsia="標楷體" w:cstheme="minorHAnsi"/>
        </w:rPr>
        <w:t>個交易日的觀察期間下所算出的預期短缺。</w:t>
      </w:r>
    </w:p>
    <w:p w14:paraId="19DA38E5" w14:textId="77777777" w:rsidR="008143DE" w:rsidRPr="00CA1A43" w:rsidRDefault="008143DE" w:rsidP="005066C2">
      <w:pPr>
        <w:pStyle w:val="a7"/>
        <w:numPr>
          <w:ilvl w:val="0"/>
          <w:numId w:val="298"/>
        </w:numPr>
        <w:spacing w:beforeLines="50" w:before="180"/>
        <w:ind w:leftChars="0"/>
        <w:jc w:val="both"/>
        <w:rPr>
          <w:rFonts w:eastAsia="標楷體" w:cstheme="minorHAnsi"/>
        </w:rPr>
      </w:pPr>
      <w:r w:rsidRPr="00CA1A43">
        <w:rPr>
          <w:rFonts w:eastAsia="標楷體" w:cstheme="minorHAnsi"/>
        </w:rPr>
        <w:t>ES</w:t>
      </w:r>
      <w:r w:rsidRPr="00CA1A43">
        <w:rPr>
          <w:rFonts w:eastAsia="標楷體" w:cstheme="minorHAnsi"/>
          <w:vertAlign w:val="subscript"/>
        </w:rPr>
        <w:t>R,C</w:t>
      </w:r>
      <w:r w:rsidRPr="00CA1A43">
        <w:rPr>
          <w:rFonts w:eastAsia="標楷體" w:cstheme="minorHAnsi"/>
        </w:rPr>
        <w:t>為簡化風險因子集合在最近</w:t>
      </w:r>
      <w:r w:rsidRPr="00CA1A43">
        <w:rPr>
          <w:rFonts w:eastAsia="標楷體" w:cstheme="minorHAnsi"/>
        </w:rPr>
        <w:t>250</w:t>
      </w:r>
      <w:r w:rsidRPr="00CA1A43">
        <w:rPr>
          <w:rFonts w:eastAsia="標楷體" w:cstheme="minorHAnsi"/>
        </w:rPr>
        <w:t>個交易日的觀察期間下所算出的預期短缺。</w:t>
      </w:r>
    </w:p>
    <w:p w14:paraId="63C578FD" w14:textId="77777777" w:rsidR="008143DE" w:rsidRPr="00CA1A43" w:rsidRDefault="008143DE" w:rsidP="005066C2">
      <w:pPr>
        <w:pStyle w:val="a7"/>
        <w:numPr>
          <w:ilvl w:val="0"/>
          <w:numId w:val="297"/>
        </w:numPr>
        <w:spacing w:beforeLines="50" w:before="180"/>
        <w:ind w:leftChars="0" w:left="1446" w:hanging="482"/>
        <w:jc w:val="both"/>
        <w:rPr>
          <w:rFonts w:eastAsia="標楷體" w:cstheme="minorHAnsi"/>
        </w:rPr>
      </w:pPr>
      <w:r w:rsidRPr="00CA1A43">
        <w:rPr>
          <w:rFonts w:eastAsia="標楷體" w:cstheme="minorHAnsi"/>
        </w:rPr>
        <w:t>對於</w:t>
      </w:r>
      <m:oMath>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R,S</m:t>
            </m:r>
          </m:sub>
        </m:sSub>
      </m:oMath>
      <w:r w:rsidRPr="00CA1A43">
        <w:rPr>
          <w:rFonts w:eastAsia="標楷體" w:cstheme="minorHAnsi"/>
        </w:rPr>
        <w:t>之衡量，觀察期間最少需回溯並包含</w:t>
      </w:r>
      <w:r w:rsidRPr="00CA1A43">
        <w:rPr>
          <w:rFonts w:eastAsia="標楷體" w:cstheme="minorHAnsi"/>
        </w:rPr>
        <w:t>2007</w:t>
      </w:r>
      <w:r w:rsidRPr="00CA1A43">
        <w:rPr>
          <w:rFonts w:eastAsia="標楷體" w:cstheme="minorHAnsi"/>
        </w:rPr>
        <w:t>年，並用以決定最大損失之</w:t>
      </w:r>
      <w:r w:rsidRPr="00CA1A43">
        <w:rPr>
          <w:rFonts w:eastAsia="標楷體" w:cstheme="minorHAnsi"/>
        </w:rPr>
        <w:t>250</w:t>
      </w:r>
      <w:r w:rsidRPr="00CA1A43">
        <w:rPr>
          <w:rFonts w:eastAsia="標楷體" w:cstheme="minorHAnsi"/>
        </w:rPr>
        <w:t>個交易日壓力期間。此期間下各項觀察值應具有相同權數。銀行必須至少每季一次或是當投資組合風險因子有重大改變時更新壓力</w:t>
      </w:r>
      <w:proofErr w:type="gramStart"/>
      <w:r w:rsidRPr="00CA1A43">
        <w:rPr>
          <w:rFonts w:eastAsia="標楷體" w:cstheme="minorHAnsi"/>
        </w:rPr>
        <w:t>期間，</w:t>
      </w:r>
      <w:proofErr w:type="gramEnd"/>
      <w:r w:rsidRPr="00CA1A43">
        <w:rPr>
          <w:rFonts w:eastAsia="標楷體" w:cstheme="minorHAnsi"/>
        </w:rPr>
        <w:t>且同步更新簡化風險因子集合。</w:t>
      </w:r>
      <w:r w:rsidR="00F95E78" w:rsidRPr="00CA1A43">
        <w:rPr>
          <w:rStyle w:val="a5"/>
          <w:rFonts w:eastAsia="標楷體" w:cstheme="minorHAnsi"/>
          <w:szCs w:val="24"/>
        </w:rPr>
        <w:footnoteReference w:id="111"/>
      </w:r>
    </w:p>
    <w:p w14:paraId="29BF6CE9" w14:textId="77777777" w:rsidR="000F1707" w:rsidRPr="00CA1A43" w:rsidRDefault="008143DE" w:rsidP="005066C2">
      <w:pPr>
        <w:pStyle w:val="a7"/>
        <w:numPr>
          <w:ilvl w:val="0"/>
          <w:numId w:val="297"/>
        </w:numPr>
        <w:spacing w:beforeLines="50" w:before="180"/>
        <w:ind w:leftChars="0" w:left="1446" w:hanging="482"/>
        <w:jc w:val="both"/>
        <w:rPr>
          <w:rFonts w:eastAsia="標楷體" w:cstheme="minorHAnsi"/>
          <w:kern w:val="0"/>
          <w:szCs w:val="24"/>
        </w:rPr>
      </w:pPr>
      <w:r w:rsidRPr="00CA1A43">
        <w:rPr>
          <w:rFonts w:eastAsia="標楷體" w:cstheme="minorHAnsi"/>
        </w:rPr>
        <w:t>對於</w:t>
      </w:r>
      <w:r w:rsidRPr="00CA1A43">
        <w:rPr>
          <w:rFonts w:eastAsia="標楷體" w:cstheme="minorHAnsi"/>
          <w:i/>
          <w:iCs/>
        </w:rPr>
        <w:t>ES</w:t>
      </w:r>
      <w:r w:rsidRPr="00CA1A43">
        <w:rPr>
          <w:rFonts w:eastAsia="標楷體" w:cstheme="minorHAnsi"/>
          <w:i/>
          <w:iCs/>
          <w:vertAlign w:val="subscript"/>
        </w:rPr>
        <w:t>F, C</w:t>
      </w:r>
      <w:r w:rsidRPr="00CA1A43">
        <w:rPr>
          <w:rFonts w:eastAsia="標楷體" w:cstheme="minorHAnsi"/>
        </w:rPr>
        <w:t>之衡量，銀行應每季至少一次更新其資料集，並於市場價格重大變化時重新檢視。此更新過程必須具有彈性，足以允許更頻繁的更新。本會可以價格顯著波動為原因，要求銀行計算更短觀察期間之預期短缺，然而此期間不應短於</w:t>
      </w:r>
      <w:r w:rsidRPr="00CA1A43">
        <w:rPr>
          <w:rFonts w:eastAsia="標楷體" w:cstheme="minorHAnsi"/>
        </w:rPr>
        <w:t>125</w:t>
      </w:r>
      <w:r w:rsidRPr="00CA1A43">
        <w:rPr>
          <w:rFonts w:eastAsia="標楷體" w:cstheme="minorHAnsi"/>
        </w:rPr>
        <w:t>個交易日。</w:t>
      </w:r>
    </w:p>
    <w:p w14:paraId="2FC1E8CF" w14:textId="77777777" w:rsidR="00F95E78" w:rsidRPr="00CA1A43" w:rsidRDefault="00F95E78" w:rsidP="005066C2">
      <w:pPr>
        <w:pStyle w:val="a7"/>
        <w:numPr>
          <w:ilvl w:val="0"/>
          <w:numId w:val="292"/>
        </w:numPr>
        <w:spacing w:beforeLines="50" w:before="180"/>
        <w:ind w:leftChars="0" w:left="964" w:hanging="482"/>
        <w:jc w:val="both"/>
        <w:rPr>
          <w:rFonts w:eastAsia="標楷體" w:cstheme="minorHAnsi"/>
        </w:rPr>
      </w:pPr>
      <w:r w:rsidRPr="00CA1A43">
        <w:rPr>
          <w:rFonts w:eastAsia="標楷體" w:cstheme="minorHAnsi"/>
        </w:rPr>
        <w:t>銀行可自行選用</w:t>
      </w:r>
      <w:r w:rsidRPr="00CA1A43">
        <w:rPr>
          <w:rFonts w:eastAsia="標楷體" w:cstheme="minorHAnsi"/>
          <w:szCs w:val="24"/>
        </w:rPr>
        <w:t>預期短缺模型</w:t>
      </w:r>
      <w:r w:rsidRPr="00CA1A43">
        <w:rPr>
          <w:rFonts w:eastAsia="標楷體" w:cstheme="minorHAnsi"/>
          <w:szCs w:val="24"/>
        </w:rPr>
        <w:t>(</w:t>
      </w:r>
      <w:r w:rsidRPr="00CA1A43">
        <w:rPr>
          <w:rFonts w:eastAsia="標楷體" w:cstheme="minorHAnsi"/>
          <w:szCs w:val="24"/>
        </w:rPr>
        <w:t>如：歷史模擬法、蒙地卡羅法或其他合適的分析方法</w:t>
      </w:r>
      <w:r w:rsidRPr="00CA1A43">
        <w:rPr>
          <w:rFonts w:eastAsia="標楷體" w:cstheme="minorHAnsi"/>
          <w:szCs w:val="24"/>
        </w:rPr>
        <w:t>)</w:t>
      </w:r>
      <w:r w:rsidRPr="00CA1A43">
        <w:rPr>
          <w:rFonts w:eastAsia="標楷體" w:cstheme="minorHAnsi"/>
          <w:szCs w:val="24"/>
        </w:rPr>
        <w:t>，</w:t>
      </w:r>
      <w:r w:rsidRPr="00CA1A43">
        <w:rPr>
          <w:rFonts w:eastAsia="標楷體" w:cstheme="minorHAnsi"/>
        </w:rPr>
        <w:t>惟使用之</w:t>
      </w:r>
      <w:r w:rsidRPr="00CA1A43">
        <w:rPr>
          <w:rFonts w:eastAsia="標楷體" w:cstheme="minorHAnsi"/>
          <w:szCs w:val="24"/>
        </w:rPr>
        <w:t>各模型須能通過損益歸因及回溯測試，且符合本計算說明內部模型法之各項要求。</w:t>
      </w:r>
    </w:p>
    <w:p w14:paraId="3D0D0F96" w14:textId="77777777" w:rsidR="00F95E78" w:rsidRPr="00CA1A43" w:rsidRDefault="00F95E78" w:rsidP="005066C2">
      <w:pPr>
        <w:pStyle w:val="a7"/>
        <w:numPr>
          <w:ilvl w:val="0"/>
          <w:numId w:val="292"/>
        </w:numPr>
        <w:spacing w:beforeLines="50" w:before="180"/>
        <w:ind w:leftChars="0" w:left="964" w:hanging="482"/>
        <w:jc w:val="both"/>
        <w:rPr>
          <w:rFonts w:eastAsia="標楷體" w:cstheme="minorHAnsi"/>
        </w:rPr>
      </w:pPr>
      <w:r w:rsidRPr="00CA1A43">
        <w:rPr>
          <w:rFonts w:eastAsia="標楷體" w:cstheme="minorHAnsi"/>
        </w:rPr>
        <w:t>各法定風險因子類別</w:t>
      </w:r>
      <w:r w:rsidRPr="00CA1A43">
        <w:rPr>
          <w:rFonts w:eastAsia="標楷體" w:cstheme="minorHAnsi"/>
        </w:rPr>
        <w:t>(</w:t>
      </w:r>
      <w:r w:rsidRPr="00CA1A43">
        <w:rPr>
          <w:rFonts w:eastAsia="標楷體" w:cstheme="minorHAnsi"/>
        </w:rPr>
        <w:t>如利率風險、</w:t>
      </w:r>
      <w:r w:rsidRPr="00CA1A43">
        <w:rPr>
          <w:rFonts w:eastAsia="標楷體" w:cstheme="minorHAnsi"/>
          <w:szCs w:val="24"/>
        </w:rPr>
        <w:t>權益證券</w:t>
      </w:r>
      <w:r w:rsidRPr="00CA1A43">
        <w:rPr>
          <w:rFonts w:eastAsia="標楷體" w:cstheme="minorHAnsi"/>
        </w:rPr>
        <w:t>風險、匯率風險、商品風險及信用風險，及各風險因子分類中相關選擇權波動率</w:t>
      </w:r>
      <w:r w:rsidRPr="00CA1A43">
        <w:rPr>
          <w:rFonts w:eastAsia="標楷體" w:cstheme="minorHAnsi"/>
        </w:rPr>
        <w:t>)</w:t>
      </w:r>
      <w:r w:rsidRPr="00CA1A43">
        <w:rPr>
          <w:rFonts w:eastAsia="標楷體" w:cstheme="minorHAnsi"/>
        </w:rPr>
        <w:t>內之相關係數，可依銀行實證結果認定。跨風險類別之</w:t>
      </w:r>
      <w:r w:rsidRPr="00CA1A43">
        <w:rPr>
          <w:rFonts w:eastAsia="標楷體" w:cstheme="minorHAnsi"/>
          <w:szCs w:val="24"/>
        </w:rPr>
        <w:t>實證</w:t>
      </w:r>
      <w:r w:rsidRPr="00CA1A43">
        <w:rPr>
          <w:rFonts w:eastAsia="標楷體" w:cstheme="minorHAnsi"/>
        </w:rPr>
        <w:t>相關係數應受本會限制</w:t>
      </w:r>
      <w:r w:rsidRPr="00CA1A43">
        <w:rPr>
          <w:rFonts w:eastAsia="標楷體" w:cstheme="minorHAnsi"/>
        </w:rPr>
        <w:t>(</w:t>
      </w:r>
      <w:r w:rsidRPr="00CA1A43">
        <w:rPr>
          <w:rFonts w:eastAsia="標楷體" w:cstheme="minorHAnsi"/>
        </w:rPr>
        <w:t>如可模型化風險因子規範之限制條件</w:t>
      </w:r>
      <w:r w:rsidRPr="00CA1A43">
        <w:rPr>
          <w:rFonts w:eastAsia="標楷體" w:cstheme="minorHAnsi"/>
        </w:rPr>
        <w:t>)</w:t>
      </w:r>
      <w:r w:rsidRPr="00CA1A43">
        <w:rPr>
          <w:rFonts w:eastAsia="標楷體" w:cstheme="minorHAnsi"/>
        </w:rPr>
        <w:t>，且其計算及使用方式必須與變現期間計算之方式一致，並具備清楚書面文件，於本會要求時進行說明。</w:t>
      </w:r>
    </w:p>
    <w:p w14:paraId="391BC4C9" w14:textId="77777777" w:rsidR="000F1707" w:rsidRPr="00CA1A43" w:rsidRDefault="00F95E78" w:rsidP="005066C2">
      <w:pPr>
        <w:pStyle w:val="a7"/>
        <w:numPr>
          <w:ilvl w:val="0"/>
          <w:numId w:val="292"/>
        </w:numPr>
        <w:spacing w:beforeLines="50" w:before="180"/>
        <w:ind w:leftChars="0" w:left="964" w:hanging="482"/>
        <w:jc w:val="both"/>
        <w:rPr>
          <w:rFonts w:eastAsia="標楷體" w:cstheme="minorHAnsi"/>
          <w:kern w:val="0"/>
          <w:szCs w:val="24"/>
        </w:rPr>
      </w:pPr>
      <w:r w:rsidRPr="00CA1A43">
        <w:rPr>
          <w:rFonts w:eastAsia="標楷體" w:cstheme="minorHAnsi"/>
        </w:rPr>
        <w:t>內部模型必須確實捕捉每</w:t>
      </w:r>
      <w:proofErr w:type="gramStart"/>
      <w:r w:rsidRPr="00CA1A43">
        <w:rPr>
          <w:rFonts w:eastAsia="標楷體" w:cstheme="minorHAnsi"/>
        </w:rPr>
        <w:t>個</w:t>
      </w:r>
      <w:proofErr w:type="gramEnd"/>
      <w:r w:rsidRPr="00CA1A43">
        <w:rPr>
          <w:rFonts w:eastAsia="標楷體" w:cstheme="minorHAnsi"/>
        </w:rPr>
        <w:t>風險分類下</w:t>
      </w:r>
      <w:r w:rsidRPr="00CA1A43">
        <w:rPr>
          <w:rFonts w:eastAsia="標楷體" w:cstheme="minorHAnsi"/>
          <w:szCs w:val="24"/>
        </w:rPr>
        <w:t>的選擇權非線性價格特徵風險，銀行風險衡量系統必須有能夠衡量選擇權部位</w:t>
      </w:r>
      <w:r w:rsidRPr="00CA1A43">
        <w:rPr>
          <w:rFonts w:eastAsia="標楷體" w:cstheme="minorHAnsi"/>
          <w:szCs w:val="24"/>
        </w:rPr>
        <w:t>Vega</w:t>
      </w:r>
      <w:r w:rsidRPr="00CA1A43">
        <w:rPr>
          <w:rFonts w:eastAsia="標楷體" w:cstheme="minorHAnsi"/>
          <w:szCs w:val="24"/>
        </w:rPr>
        <w:t>風險之風險因子，若銀行選擇權投資組合相對大或複雜者，應將波動率曲面細分成</w:t>
      </w:r>
      <w:r w:rsidRPr="00CA1A43">
        <w:rPr>
          <w:rFonts w:eastAsia="標楷體" w:cstheme="minorHAnsi"/>
        </w:rPr>
        <w:t>執行價格及到期期間層級來衡量風險</w:t>
      </w:r>
      <w:r w:rsidRPr="00CA1A43">
        <w:rPr>
          <w:rFonts w:eastAsia="標楷體" w:cstheme="minorHAnsi"/>
          <w:szCs w:val="24"/>
        </w:rPr>
        <w:t>。</w:t>
      </w:r>
    </w:p>
    <w:p w14:paraId="79591DF2" w14:textId="77777777" w:rsidR="00F95E78" w:rsidRPr="00CA1A43" w:rsidRDefault="00F95E78" w:rsidP="005066C2">
      <w:pPr>
        <w:pStyle w:val="a7"/>
        <w:numPr>
          <w:ilvl w:val="0"/>
          <w:numId w:val="299"/>
        </w:numPr>
        <w:spacing w:beforeLines="50" w:before="180"/>
        <w:ind w:leftChars="0" w:left="737" w:hanging="737"/>
        <w:jc w:val="both"/>
        <w:rPr>
          <w:rFonts w:eastAsia="標楷體" w:cstheme="minorHAnsi"/>
          <w:szCs w:val="24"/>
        </w:rPr>
      </w:pPr>
      <w:r w:rsidRPr="00CA1A43">
        <w:rPr>
          <w:rFonts w:eastAsia="標楷體" w:cstheme="minorHAnsi"/>
          <w:szCs w:val="24"/>
        </w:rPr>
        <w:lastRenderedPageBreak/>
        <w:t>可模型化風險因子之資本計提</w:t>
      </w:r>
    </w:p>
    <w:p w14:paraId="6ADEBF54" w14:textId="77777777" w:rsidR="00F95E78" w:rsidRPr="00CA1A43" w:rsidRDefault="00F95E78" w:rsidP="00F95E78">
      <w:pPr>
        <w:pStyle w:val="a7"/>
        <w:spacing w:beforeLines="50" w:before="180"/>
        <w:ind w:leftChars="0" w:left="737"/>
        <w:jc w:val="both"/>
        <w:rPr>
          <w:rFonts w:eastAsia="標楷體" w:cstheme="minorHAnsi"/>
          <w:szCs w:val="24"/>
        </w:rPr>
      </w:pPr>
      <w:r w:rsidRPr="00CA1A43">
        <w:rPr>
          <w:rFonts w:eastAsia="標楷體" w:cstheme="minorHAnsi"/>
          <w:szCs w:val="24"/>
        </w:rPr>
        <w:t>符合風險因子資格測試之風險因子，必須使用預期短缺</w:t>
      </w:r>
      <w:r w:rsidRPr="00CA1A43">
        <w:rPr>
          <w:rFonts w:eastAsia="標楷體" w:cstheme="minorHAnsi"/>
          <w:szCs w:val="24"/>
        </w:rPr>
        <w:t>(ES)</w:t>
      </w:r>
      <w:r w:rsidRPr="00CA1A43">
        <w:rPr>
          <w:rFonts w:eastAsia="標楷體" w:cstheme="minorHAnsi"/>
          <w:szCs w:val="24"/>
        </w:rPr>
        <w:t>模型計算市場風險資本要求，計提原則如下：</w:t>
      </w:r>
    </w:p>
    <w:p w14:paraId="7E5EE170" w14:textId="77777777" w:rsidR="00F95E78" w:rsidRPr="00CA1A43" w:rsidRDefault="00F95E78" w:rsidP="005066C2">
      <w:pPr>
        <w:pStyle w:val="a7"/>
        <w:numPr>
          <w:ilvl w:val="0"/>
          <w:numId w:val="300"/>
        </w:numPr>
        <w:spacing w:beforeLines="50" w:before="180"/>
        <w:ind w:leftChars="0" w:left="964" w:hanging="482"/>
        <w:jc w:val="both"/>
        <w:rPr>
          <w:rFonts w:eastAsia="標楷體" w:cstheme="minorHAnsi"/>
          <w:szCs w:val="24"/>
        </w:rPr>
      </w:pPr>
      <w:r w:rsidRPr="00CA1A43">
        <w:rPr>
          <w:rFonts w:eastAsia="標楷體" w:cstheme="minorHAnsi"/>
          <w:szCs w:val="24"/>
        </w:rPr>
        <w:t>所有被認定為可模型化的風險因子都必須被包含在銀行全行內部及被核准使用內部模型法交易台的預期短缺模型中。若風險因子非</w:t>
      </w:r>
      <w:r w:rsidRPr="00CA1A43">
        <w:rPr>
          <w:rFonts w:eastAsia="標楷體" w:cstheme="minorHAnsi"/>
        </w:rPr>
        <w:t>本會</w:t>
      </w:r>
      <w:r w:rsidRPr="00CA1A43">
        <w:rPr>
          <w:rFonts w:eastAsia="標楷體" w:cstheme="minorHAnsi"/>
          <w:szCs w:val="24"/>
        </w:rPr>
        <w:t>要求用於計算資本，則銀行可將該風險因子於內部模型法</w:t>
      </w:r>
      <w:r w:rsidRPr="00CA1A43">
        <w:rPr>
          <w:rFonts w:eastAsia="標楷體" w:cstheme="minorHAnsi"/>
          <w:szCs w:val="24"/>
        </w:rPr>
        <w:t>(IMA)</w:t>
      </w:r>
      <w:r w:rsidRPr="00CA1A43">
        <w:rPr>
          <w:rFonts w:eastAsia="標楷體" w:cstheme="minorHAnsi"/>
          <w:szCs w:val="24"/>
        </w:rPr>
        <w:t>模型中排除，且於計算風險理論損益時亦應排除該風險因子。</w:t>
      </w:r>
    </w:p>
    <w:p w14:paraId="18FB837F" w14:textId="77777777" w:rsidR="00F95E78" w:rsidRPr="00CA1A43" w:rsidRDefault="00F95E78" w:rsidP="005066C2">
      <w:pPr>
        <w:pStyle w:val="a7"/>
        <w:numPr>
          <w:ilvl w:val="0"/>
          <w:numId w:val="300"/>
        </w:numPr>
        <w:spacing w:beforeLines="50" w:before="180"/>
        <w:ind w:leftChars="0" w:left="964" w:hanging="482"/>
        <w:jc w:val="both"/>
        <w:rPr>
          <w:rFonts w:eastAsia="標楷體" w:cstheme="minorHAnsi"/>
          <w:szCs w:val="24"/>
        </w:rPr>
      </w:pPr>
      <w:r w:rsidRPr="00CA1A43">
        <w:rPr>
          <w:rFonts w:eastAsia="標楷體" w:cstheme="minorHAnsi"/>
          <w:szCs w:val="24"/>
        </w:rPr>
        <w:t>計算全行層級的內部模型資本要求</w:t>
      </w:r>
      <w:r w:rsidRPr="00CA1A43">
        <w:rPr>
          <w:rFonts w:eastAsia="標楷體" w:cstheme="minorHAnsi"/>
          <w:szCs w:val="24"/>
        </w:rPr>
        <w:t>(IMCC(C))</w:t>
      </w:r>
      <w:r w:rsidRPr="00CA1A43">
        <w:rPr>
          <w:rFonts w:eastAsia="標楷體" w:cstheme="minorHAnsi"/>
          <w:szCs w:val="24"/>
        </w:rPr>
        <w:t>時，銀行必須採用沒有</w:t>
      </w:r>
      <w:r w:rsidRPr="00CA1A43">
        <w:rPr>
          <w:rFonts w:eastAsia="標楷體" w:cstheme="minorHAnsi"/>
        </w:rPr>
        <w:t>本會</w:t>
      </w:r>
      <w:r w:rsidRPr="00CA1A43">
        <w:rPr>
          <w:rFonts w:eastAsia="標楷體" w:cstheme="minorHAnsi"/>
          <w:szCs w:val="24"/>
        </w:rPr>
        <w:t>限制條件下之跨風險類別相關係數。</w:t>
      </w:r>
    </w:p>
    <w:p w14:paraId="03F051B8" w14:textId="77777777" w:rsidR="00F95E78" w:rsidRPr="00CA1A43" w:rsidRDefault="00F95E78" w:rsidP="005066C2">
      <w:pPr>
        <w:pStyle w:val="a7"/>
        <w:numPr>
          <w:ilvl w:val="0"/>
          <w:numId w:val="300"/>
        </w:numPr>
        <w:spacing w:beforeLines="50" w:before="180"/>
        <w:ind w:leftChars="0" w:left="964" w:hanging="482"/>
        <w:jc w:val="both"/>
        <w:rPr>
          <w:rFonts w:eastAsia="標楷體" w:cstheme="minorHAnsi"/>
          <w:szCs w:val="24"/>
        </w:rPr>
      </w:pPr>
      <w:r w:rsidRPr="00CA1A43">
        <w:rPr>
          <w:rFonts w:eastAsia="標楷體" w:cstheme="minorHAnsi"/>
          <w:szCs w:val="24"/>
        </w:rPr>
        <w:t>銀行應針對本計算說明規範下的風險類別</w:t>
      </w:r>
      <w:r w:rsidRPr="00CA1A43">
        <w:rPr>
          <w:rFonts w:eastAsia="標楷體" w:cstheme="minorHAnsi"/>
          <w:szCs w:val="24"/>
        </w:rPr>
        <w:t>(</w:t>
      </w:r>
      <w:r w:rsidRPr="00CA1A43">
        <w:rPr>
          <w:rFonts w:eastAsia="標楷體" w:cstheme="minorHAnsi"/>
          <w:szCs w:val="24"/>
        </w:rPr>
        <w:t>包含利率風險、權益證券風險、外匯風險、商品風險及信用價差風險</w:t>
      </w:r>
      <w:r w:rsidRPr="00CA1A43">
        <w:rPr>
          <w:rFonts w:eastAsia="標楷體" w:cstheme="minorHAnsi"/>
          <w:szCs w:val="24"/>
        </w:rPr>
        <w:t>)</w:t>
      </w:r>
      <w:r w:rsidRPr="00CA1A43">
        <w:rPr>
          <w:rFonts w:eastAsia="標楷體" w:cstheme="minorHAnsi"/>
          <w:szCs w:val="24"/>
        </w:rPr>
        <w:t>計算其他風險類別因子維持不變下的局部預期短缺</w:t>
      </w:r>
      <w:r w:rsidRPr="00CA1A43">
        <w:rPr>
          <w:rFonts w:eastAsia="標楷體" w:cstheme="minorHAnsi"/>
          <w:szCs w:val="24"/>
        </w:rPr>
        <w:t>(IMCC(C</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szCs w:val="24"/>
        </w:rPr>
        <w:t>。</w:t>
      </w:r>
    </w:p>
    <w:p w14:paraId="357BA443" w14:textId="77777777" w:rsidR="000F1707" w:rsidRPr="00CA1A43" w:rsidRDefault="00F95E78" w:rsidP="005066C2">
      <w:pPr>
        <w:pStyle w:val="a7"/>
        <w:numPr>
          <w:ilvl w:val="0"/>
          <w:numId w:val="300"/>
        </w:numPr>
        <w:spacing w:beforeLines="50" w:before="180"/>
        <w:ind w:leftChars="0" w:left="964" w:hanging="482"/>
        <w:jc w:val="both"/>
        <w:rPr>
          <w:rFonts w:eastAsia="標楷體" w:cstheme="minorHAnsi"/>
          <w:kern w:val="0"/>
          <w:szCs w:val="24"/>
        </w:rPr>
      </w:pPr>
      <w:r w:rsidRPr="00CA1A43">
        <w:rPr>
          <w:rFonts w:eastAsia="標楷體" w:cstheme="minorHAnsi"/>
          <w:szCs w:val="24"/>
        </w:rPr>
        <w:t>可模型化的風險因子之總法定資本要求</w:t>
      </w:r>
      <w:r w:rsidRPr="00CA1A43">
        <w:rPr>
          <w:rFonts w:eastAsia="標楷體" w:cstheme="minorHAnsi"/>
          <w:szCs w:val="24"/>
        </w:rPr>
        <w:t>(IMCC)</w:t>
      </w:r>
      <w:r w:rsidRPr="00CA1A43">
        <w:rPr>
          <w:rFonts w:eastAsia="標楷體" w:cstheme="minorHAnsi"/>
          <w:szCs w:val="24"/>
        </w:rPr>
        <w:t>為限制與未限制條件下預期短缺的加權平均。</w:t>
      </w:r>
    </w:p>
    <w:p w14:paraId="63595C74" w14:textId="77777777" w:rsidR="00F95E78" w:rsidRPr="00CA1A43" w:rsidRDefault="00F95E78" w:rsidP="00F95E78">
      <w:pPr>
        <w:pStyle w:val="Item"/>
        <w:ind w:left="360"/>
        <w:jc w:val="center"/>
        <w:rPr>
          <w:rFonts w:asciiTheme="minorHAnsi" w:hAnsiTheme="minorHAnsi" w:cstheme="minorHAnsi"/>
        </w:rPr>
      </w:pPr>
      <m:oMathPara>
        <m:oMath>
          <m:r>
            <m:rPr>
              <m:sty m:val="p"/>
            </m:rPr>
            <w:rPr>
              <w:rFonts w:ascii="Cambria Math" w:hAnsi="Cambria Math" w:cstheme="minorHAnsi"/>
            </w:rPr>
            <m:t>IMCC=ρ(IMCC</m:t>
          </m:r>
          <m:d>
            <m:dPr>
              <m:ctrlPr>
                <w:rPr>
                  <w:rFonts w:ascii="Cambria Math" w:hAnsi="Cambria Math" w:cstheme="minorHAnsi"/>
                </w:rPr>
              </m:ctrlPr>
            </m:dPr>
            <m:e>
              <m:r>
                <m:rPr>
                  <m:sty m:val="p"/>
                </m:rPr>
                <w:rPr>
                  <w:rFonts w:ascii="Cambria Math" w:hAnsi="Cambria Math" w:cstheme="minorHAnsi"/>
                </w:rPr>
                <m:t>C</m:t>
              </m:r>
            </m:e>
          </m:d>
          <m:r>
            <m:rPr>
              <m:sty m:val="p"/>
            </m:rP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1-ρ</m:t>
              </m:r>
            </m:e>
          </m:d>
          <m:d>
            <m:dPr>
              <m:ctrlPr>
                <w:rPr>
                  <w:rFonts w:ascii="Cambria Math" w:hAnsi="Cambria Math" w:cstheme="minorHAnsi"/>
                </w:rPr>
              </m:ctrlPr>
            </m:dPr>
            <m:e>
              <m:nary>
                <m:naryPr>
                  <m:chr m:val="∑"/>
                  <m:limLoc m:val="undOvr"/>
                  <m:ctrlPr>
                    <w:rPr>
                      <w:rFonts w:ascii="Cambria Math" w:hAnsi="Cambria Math" w:cstheme="minorHAnsi"/>
                    </w:rPr>
                  </m:ctrlPr>
                </m:naryPr>
                <m:sub>
                  <m:r>
                    <w:rPr>
                      <w:rFonts w:ascii="Cambria Math" w:hAnsi="Cambria Math" w:cstheme="minorHAnsi"/>
                    </w:rPr>
                    <m:t>i=1</m:t>
                  </m:r>
                </m:sub>
                <m:sup>
                  <m:r>
                    <w:rPr>
                      <w:rFonts w:ascii="Cambria Math" w:hAnsi="Cambria Math" w:cstheme="minorHAnsi"/>
                    </w:rPr>
                    <m:t>B</m:t>
                  </m:r>
                </m:sup>
                <m:e>
                  <m:r>
                    <w:rPr>
                      <w:rFonts w:ascii="Cambria Math" w:hAnsi="Cambria Math" w:cstheme="minorHAnsi"/>
                    </w:rPr>
                    <m:t>IMCC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e>
                  </m:d>
                </m:e>
              </m:nary>
              <m:ctrlPr>
                <w:rPr>
                  <w:rFonts w:ascii="Cambria Math" w:hAnsi="Cambria Math" w:cstheme="minorHAnsi"/>
                  <w:i/>
                </w:rPr>
              </m:ctrlPr>
            </m:e>
          </m:d>
        </m:oMath>
      </m:oMathPara>
    </w:p>
    <w:p w14:paraId="763CBE3B" w14:textId="77777777" w:rsidR="00F95E78" w:rsidRPr="00CA1A43" w:rsidRDefault="00F95E78" w:rsidP="00F95E78">
      <w:pPr>
        <w:pStyle w:val="a7"/>
        <w:spacing w:beforeLines="50" w:before="180"/>
        <w:ind w:leftChars="0" w:left="964"/>
        <w:jc w:val="center"/>
        <w:rPr>
          <w:rFonts w:eastAsia="標楷體" w:cstheme="minorHAnsi"/>
        </w:rPr>
      </w:pPr>
      <w:r w:rsidRPr="00CA1A43">
        <w:rPr>
          <w:rFonts w:eastAsia="標楷體" w:cstheme="minorHAnsi"/>
        </w:rPr>
        <w:t>,</w:t>
      </w:r>
      <w:r w:rsidRPr="00CA1A43">
        <w:rPr>
          <w:rFonts w:eastAsia="標楷體" w:cstheme="minorHAnsi"/>
          <w:szCs w:val="24"/>
        </w:rPr>
        <w:t>其中</w:t>
      </w:r>
      <w:r w:rsidRPr="00CA1A43">
        <w:rPr>
          <w:rFonts w:eastAsia="標楷體" w:cstheme="minorHAnsi"/>
        </w:rPr>
        <w:t xml:space="preserve"> </w:t>
      </w:r>
      <m:oMath>
        <m:r>
          <m:rPr>
            <m:sty m:val="p"/>
          </m:rPr>
          <w:rPr>
            <w:rFonts w:ascii="Cambria Math" w:eastAsia="標楷體" w:hAnsi="Cambria Math" w:cstheme="minorHAnsi"/>
          </w:rPr>
          <m:t>IMCC</m:t>
        </m:r>
        <m:d>
          <m:dPr>
            <m:ctrlPr>
              <w:rPr>
                <w:rFonts w:ascii="Cambria Math" w:eastAsia="標楷體" w:hAnsi="Cambria Math" w:cstheme="minorHAnsi"/>
              </w:rPr>
            </m:ctrlPr>
          </m:dPr>
          <m:e>
            <m:r>
              <m:rPr>
                <m:sty m:val="p"/>
              </m:rPr>
              <w:rPr>
                <w:rFonts w:ascii="Cambria Math" w:eastAsia="標楷體" w:hAnsi="Cambria Math" w:cstheme="minorHAnsi"/>
              </w:rPr>
              <m:t>C</m:t>
            </m:r>
          </m:e>
        </m:d>
        <m:r>
          <m:rPr>
            <m:sty m:val="p"/>
          </m:rPr>
          <w:rPr>
            <w:rFonts w:ascii="Cambria Math" w:eastAsia="標楷體" w:hAnsi="Cambria Math" w:cstheme="minorHAnsi"/>
          </w:rPr>
          <m:t>=</m:t>
        </m:r>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R,S</m:t>
            </m:r>
          </m:sub>
        </m:sSub>
        <m:f>
          <m:fPr>
            <m:ctrlPr>
              <w:rPr>
                <w:rFonts w:ascii="Cambria Math" w:eastAsia="標楷體" w:hAnsi="Cambria Math" w:cstheme="minorHAnsi"/>
                <w:i/>
              </w:rPr>
            </m:ctrlPr>
          </m:fPr>
          <m:num>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F,C</m:t>
                </m:r>
              </m:sub>
            </m:sSub>
          </m:num>
          <m:den>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R,C</m:t>
                </m:r>
              </m:sub>
            </m:sSub>
          </m:den>
        </m:f>
        <m:r>
          <w:rPr>
            <w:rFonts w:ascii="Cambria Math" w:eastAsia="標楷體" w:hAnsi="Cambria Math" w:cstheme="minorHAnsi"/>
          </w:rPr>
          <m:t xml:space="preserve"> </m:t>
        </m:r>
      </m:oMath>
      <w:r w:rsidRPr="00CA1A43">
        <w:rPr>
          <w:rFonts w:eastAsia="標楷體" w:cstheme="minorHAnsi"/>
        </w:rPr>
        <w:t>且</w:t>
      </w:r>
      <m:oMath>
        <m:r>
          <w:rPr>
            <w:rFonts w:ascii="Cambria Math" w:eastAsia="標楷體" w:hAnsi="Cambria Math" w:cstheme="minorHAnsi"/>
          </w:rPr>
          <m:t xml:space="preserve"> IMCC</m:t>
        </m:r>
        <m:d>
          <m:dPr>
            <m:ctrlPr>
              <w:rPr>
                <w:rFonts w:ascii="Cambria Math" w:eastAsia="標楷體" w:hAnsi="Cambria Math" w:cstheme="minorHAnsi"/>
                <w:i/>
              </w:rPr>
            </m:ctrlPr>
          </m:dPr>
          <m:e>
            <m:sSub>
              <m:sSubPr>
                <m:ctrlPr>
                  <w:rPr>
                    <w:rFonts w:ascii="Cambria Math" w:eastAsia="標楷體" w:hAnsi="Cambria Math" w:cstheme="minorHAnsi"/>
                    <w:i/>
                  </w:rPr>
                </m:ctrlPr>
              </m:sSubPr>
              <m:e>
                <m:r>
                  <w:rPr>
                    <w:rFonts w:ascii="Cambria Math" w:eastAsia="標楷體" w:hAnsi="Cambria Math" w:cstheme="minorHAnsi"/>
                  </w:rPr>
                  <m:t>C</m:t>
                </m:r>
              </m:e>
              <m:sub>
                <m:r>
                  <w:rPr>
                    <w:rFonts w:ascii="Cambria Math" w:eastAsia="標楷體" w:hAnsi="Cambria Math" w:cstheme="minorHAnsi"/>
                  </w:rPr>
                  <m:t>i</m:t>
                </m:r>
              </m:sub>
            </m:sSub>
          </m:e>
        </m:d>
        <m:r>
          <w:rPr>
            <w:rFonts w:ascii="Cambria Math" w:eastAsia="標楷體" w:hAnsi="Cambria Math" w:cstheme="minorHAnsi"/>
          </w:rPr>
          <m:t>=</m:t>
        </m:r>
        <m:sSub>
          <m:sSubPr>
            <m:ctrlPr>
              <w:rPr>
                <w:rFonts w:ascii="Cambria Math" w:eastAsia="標楷體" w:hAnsi="Cambria Math" w:cstheme="minorHAnsi"/>
                <w:i/>
              </w:rPr>
            </m:ctrlPr>
          </m:sSubPr>
          <m:e>
            <m:r>
              <w:rPr>
                <w:rFonts w:ascii="Cambria Math" w:eastAsia="標楷體" w:hAnsi="Cambria Math" w:cstheme="minorHAnsi"/>
              </w:rPr>
              <m:t>Es</m:t>
            </m:r>
          </m:e>
          <m:sub>
            <m:r>
              <w:rPr>
                <w:rFonts w:ascii="Cambria Math" w:eastAsia="標楷體" w:hAnsi="Cambria Math" w:cstheme="minorHAnsi"/>
              </w:rPr>
              <m:t>R,S,i</m:t>
            </m:r>
          </m:sub>
        </m:sSub>
        <m:f>
          <m:fPr>
            <m:ctrlPr>
              <w:rPr>
                <w:rFonts w:ascii="Cambria Math" w:eastAsia="標楷體" w:hAnsi="Cambria Math" w:cstheme="minorHAnsi"/>
                <w:i/>
              </w:rPr>
            </m:ctrlPr>
          </m:fPr>
          <m:num>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F,C,i</m:t>
                </m:r>
              </m:sub>
            </m:sSub>
          </m:num>
          <m:den>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R,C,i</m:t>
                </m:r>
              </m:sub>
            </m:sSub>
          </m:den>
        </m:f>
      </m:oMath>
    </w:p>
    <w:p w14:paraId="135AD373" w14:textId="77777777" w:rsidR="00F95E78" w:rsidRPr="00CA1A43" w:rsidRDefault="00F95E78" w:rsidP="00F95E78">
      <w:pPr>
        <w:pStyle w:val="a7"/>
        <w:spacing w:beforeLines="50" w:before="180"/>
        <w:ind w:leftChars="0" w:left="964"/>
        <w:jc w:val="both"/>
        <w:rPr>
          <w:rFonts w:eastAsia="標楷體" w:cstheme="minorHAnsi"/>
          <w:szCs w:val="24"/>
        </w:rPr>
      </w:pPr>
      <w:r w:rsidRPr="00CA1A43">
        <w:rPr>
          <w:rFonts w:eastAsia="標楷體" w:cstheme="minorHAnsi"/>
          <w:szCs w:val="24"/>
        </w:rPr>
        <w:t>其中</w:t>
      </w:r>
      <w:r w:rsidRPr="00CA1A43">
        <w:rPr>
          <w:rFonts w:eastAsia="標楷體" w:cstheme="minorHAnsi"/>
          <w:szCs w:val="24"/>
        </w:rPr>
        <w:t>:</w:t>
      </w:r>
    </w:p>
    <w:p w14:paraId="1E6E998D" w14:textId="77777777" w:rsidR="00F95E78" w:rsidRPr="00CA1A43" w:rsidRDefault="00F95E78" w:rsidP="005066C2">
      <w:pPr>
        <w:pStyle w:val="a7"/>
        <w:numPr>
          <w:ilvl w:val="0"/>
          <w:numId w:val="301"/>
        </w:numPr>
        <w:spacing w:beforeLines="50" w:before="180"/>
        <w:ind w:leftChars="0" w:left="1446" w:hanging="482"/>
        <w:jc w:val="both"/>
        <w:rPr>
          <w:rFonts w:eastAsia="標楷體" w:cstheme="minorHAnsi"/>
          <w:szCs w:val="24"/>
        </w:rPr>
      </w:pPr>
      <w:r w:rsidRPr="00CA1A43">
        <w:rPr>
          <w:rFonts w:eastAsia="標楷體" w:cstheme="minorHAnsi"/>
          <w:szCs w:val="24"/>
        </w:rPr>
        <w:t>各</w:t>
      </w:r>
      <w:r w:rsidRPr="00CA1A43">
        <w:rPr>
          <w:rFonts w:eastAsia="標楷體" w:cstheme="minorHAnsi"/>
        </w:rPr>
        <w:t>風險</w:t>
      </w:r>
      <w:r w:rsidRPr="00CA1A43">
        <w:rPr>
          <w:rFonts w:eastAsia="標楷體" w:cstheme="minorHAnsi"/>
          <w:szCs w:val="24"/>
        </w:rPr>
        <w:t>類別</w:t>
      </w:r>
      <m:oMath>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R,S,i</m:t>
            </m:r>
          </m:sub>
        </m:sSub>
      </m:oMath>
      <w:r w:rsidRPr="00CA1A43">
        <w:rPr>
          <w:rFonts w:eastAsia="標楷體" w:cstheme="minorHAnsi"/>
          <w:szCs w:val="24"/>
        </w:rPr>
        <w:t>採用的壓力期間應與計算全行投資組合</w:t>
      </w:r>
      <m:oMath>
        <m:sSub>
          <m:sSubPr>
            <m:ctrlPr>
              <w:rPr>
                <w:rFonts w:ascii="Cambria Math" w:eastAsia="標楷體" w:hAnsi="Cambria Math" w:cstheme="minorHAnsi"/>
              </w:rPr>
            </m:ctrlPr>
          </m:sSubPr>
          <m:e>
            <m:r>
              <m:rPr>
                <m:sty m:val="p"/>
              </m:rPr>
              <w:rPr>
                <w:rFonts w:ascii="Cambria Math" w:eastAsia="標楷體" w:hAnsi="Cambria Math" w:cstheme="minorHAnsi"/>
              </w:rPr>
              <m:t>ES</m:t>
            </m:r>
          </m:e>
          <m:sub>
            <m:r>
              <m:rPr>
                <m:sty m:val="p"/>
              </m:rPr>
              <w:rPr>
                <w:rFonts w:ascii="Cambria Math" w:eastAsia="標楷體" w:hAnsi="Cambria Math" w:cstheme="minorHAnsi"/>
              </w:rPr>
              <m:t>R,S</m:t>
            </m:r>
          </m:sub>
        </m:sSub>
      </m:oMath>
      <w:r w:rsidRPr="00CA1A43">
        <w:rPr>
          <w:rFonts w:eastAsia="標楷體" w:cstheme="minorHAnsi"/>
          <w:szCs w:val="24"/>
        </w:rPr>
        <w:t>之壓力期間相同。</w:t>
      </w:r>
    </w:p>
    <w:p w14:paraId="14058799" w14:textId="77777777" w:rsidR="00F95E78" w:rsidRPr="00CA1A43" w:rsidRDefault="00F95E78" w:rsidP="005066C2">
      <w:pPr>
        <w:pStyle w:val="a7"/>
        <w:numPr>
          <w:ilvl w:val="0"/>
          <w:numId w:val="301"/>
        </w:numPr>
        <w:spacing w:beforeLines="50" w:before="180"/>
        <w:ind w:leftChars="0" w:left="1446" w:hanging="482"/>
        <w:jc w:val="both"/>
        <w:rPr>
          <w:rFonts w:eastAsia="標楷體" w:cstheme="minorHAnsi"/>
          <w:szCs w:val="24"/>
        </w:rPr>
      </w:pPr>
      <w:r w:rsidRPr="00CA1A43">
        <w:rPr>
          <w:rFonts w:eastAsia="標楷體" w:cstheme="minorHAnsi"/>
          <w:szCs w:val="24"/>
        </w:rPr>
        <w:t>ρ</w:t>
      </w:r>
      <w:r w:rsidRPr="00CA1A43">
        <w:rPr>
          <w:rFonts w:eastAsia="標楷體" w:cstheme="minorHAnsi"/>
          <w:szCs w:val="24"/>
        </w:rPr>
        <w:t>為銀行使用內部模型法的指定相對權數，</w:t>
      </w:r>
      <w:r w:rsidRPr="00CA1A43">
        <w:rPr>
          <w:rFonts w:eastAsia="標楷體" w:cstheme="minorHAnsi"/>
          <w:szCs w:val="24"/>
        </w:rPr>
        <w:t>ρ=0.5</w:t>
      </w:r>
      <w:r w:rsidRPr="00CA1A43">
        <w:rPr>
          <w:rFonts w:eastAsia="標楷體" w:cstheme="minorHAnsi"/>
          <w:szCs w:val="24"/>
        </w:rPr>
        <w:t>。</w:t>
      </w:r>
    </w:p>
    <w:p w14:paraId="332FB619" w14:textId="77777777" w:rsidR="00F95E78" w:rsidRPr="00CA1A43" w:rsidRDefault="00F95E78" w:rsidP="005066C2">
      <w:pPr>
        <w:pStyle w:val="a7"/>
        <w:numPr>
          <w:ilvl w:val="0"/>
          <w:numId w:val="301"/>
        </w:numPr>
        <w:spacing w:beforeLines="50" w:before="180"/>
        <w:ind w:leftChars="0" w:left="1446" w:hanging="482"/>
        <w:jc w:val="both"/>
        <w:rPr>
          <w:rFonts w:eastAsia="標楷體" w:cstheme="minorHAnsi"/>
          <w:szCs w:val="24"/>
        </w:rPr>
      </w:pPr>
      <w:r w:rsidRPr="00CA1A43">
        <w:rPr>
          <w:rFonts w:eastAsia="標楷體" w:cstheme="minorHAnsi"/>
          <w:szCs w:val="24"/>
        </w:rPr>
        <w:t>B</w:t>
      </w:r>
      <w:r w:rsidRPr="00CA1A43">
        <w:rPr>
          <w:rFonts w:eastAsia="標楷體" w:cstheme="minorHAnsi"/>
          <w:szCs w:val="24"/>
        </w:rPr>
        <w:t>為受限制條件下的全部法定風險類別。</w:t>
      </w:r>
    </w:p>
    <w:p w14:paraId="4869BBCB" w14:textId="77777777" w:rsidR="00F95E78" w:rsidRPr="00CA1A43" w:rsidRDefault="00F95E78" w:rsidP="005066C2">
      <w:pPr>
        <w:pStyle w:val="a7"/>
        <w:numPr>
          <w:ilvl w:val="0"/>
          <w:numId w:val="300"/>
        </w:numPr>
        <w:spacing w:beforeLines="50" w:before="180"/>
        <w:ind w:leftChars="0" w:left="964" w:hanging="482"/>
        <w:jc w:val="both"/>
        <w:rPr>
          <w:rFonts w:eastAsia="標楷體" w:cstheme="minorHAnsi"/>
          <w:kern w:val="0"/>
          <w:szCs w:val="24"/>
        </w:rPr>
      </w:pPr>
      <w:r w:rsidRPr="00CA1A43">
        <w:rPr>
          <w:rFonts w:eastAsia="標楷體" w:cstheme="minorHAnsi"/>
          <w:szCs w:val="24"/>
        </w:rPr>
        <w:t>銀行應制定程序和控制措施，以確保每週計算「無分散效果的</w:t>
      </w:r>
      <w:r w:rsidRPr="00CA1A43">
        <w:rPr>
          <w:rFonts w:eastAsia="標楷體" w:cstheme="minorHAnsi"/>
          <w:szCs w:val="24"/>
        </w:rPr>
        <w:t>IMCC(C</w:t>
      </w:r>
      <w:r w:rsidRPr="00CA1A43">
        <w:rPr>
          <w:rFonts w:eastAsia="標楷體" w:cstheme="minorHAnsi"/>
          <w:szCs w:val="24"/>
          <w:vertAlign w:val="subscript"/>
        </w:rPr>
        <w:t>i</w:t>
      </w:r>
      <w:r w:rsidRPr="00CA1A43">
        <w:rPr>
          <w:rFonts w:eastAsia="標楷體" w:cstheme="minorHAnsi"/>
          <w:szCs w:val="24"/>
        </w:rPr>
        <w:t>)</w:t>
      </w:r>
      <w:r w:rsidRPr="00CA1A43">
        <w:rPr>
          <w:rFonts w:eastAsia="標楷體" w:cstheme="minorHAnsi"/>
          <w:szCs w:val="24"/>
        </w:rPr>
        <w:t>對有分散效果的</w:t>
      </w:r>
      <w:r w:rsidRPr="00CA1A43">
        <w:rPr>
          <w:rFonts w:eastAsia="標楷體" w:cstheme="minorHAnsi"/>
          <w:szCs w:val="24"/>
        </w:rPr>
        <w:t>IMCC(C)</w:t>
      </w:r>
      <w:r w:rsidRPr="00CA1A43">
        <w:rPr>
          <w:rFonts w:eastAsia="標楷體" w:cstheme="minorHAnsi"/>
          <w:szCs w:val="24"/>
        </w:rPr>
        <w:t>」之比率，相較每日計算，無系統性的低估風險。則銀行可利用每周計算</w:t>
      </w:r>
      <w:r w:rsidRPr="00CA1A43">
        <w:rPr>
          <w:rFonts w:eastAsia="標楷體" w:cstheme="minorHAnsi"/>
          <w:szCs w:val="24"/>
        </w:rPr>
        <w:t>IMCC(C)</w:t>
      </w:r>
      <w:r w:rsidRPr="00CA1A43">
        <w:rPr>
          <w:rFonts w:eastAsia="標楷體" w:cstheme="minorHAnsi"/>
          <w:szCs w:val="24"/>
        </w:rPr>
        <w:t>比率</w:t>
      </w:r>
      <w:r w:rsidRPr="00CA1A43">
        <w:rPr>
          <w:rFonts w:eastAsia="標楷體" w:cstheme="minorHAnsi"/>
          <w:szCs w:val="24"/>
        </w:rPr>
        <w:t xml:space="preserve"> </w:t>
      </w:r>
      <m:oMath>
        <m:f>
          <m:fPr>
            <m:ctrlPr>
              <w:rPr>
                <w:rFonts w:ascii="Cambria Math" w:eastAsia="標楷體" w:hAnsi="Cambria Math" w:cstheme="minorHAnsi"/>
                <w:szCs w:val="24"/>
              </w:rPr>
            </m:ctrlPr>
          </m:fPr>
          <m:num>
            <m:nary>
              <m:naryPr>
                <m:chr m:val="∑"/>
                <m:limLoc m:val="subSup"/>
                <m:ctrlPr>
                  <w:rPr>
                    <w:rFonts w:ascii="Cambria Math" w:eastAsia="標楷體" w:hAnsi="Cambria Math" w:cstheme="minorHAnsi"/>
                    <w:szCs w:val="24"/>
                  </w:rPr>
                </m:ctrlPr>
              </m:naryPr>
              <m:sub>
                <m:r>
                  <w:rPr>
                    <w:rFonts w:ascii="Cambria Math" w:eastAsia="標楷體" w:hAnsi="Cambria Math" w:cstheme="minorHAnsi"/>
                    <w:szCs w:val="24"/>
                  </w:rPr>
                  <m:t>i</m:t>
                </m:r>
                <m:r>
                  <m:rPr>
                    <m:sty m:val="p"/>
                  </m:rPr>
                  <w:rPr>
                    <w:rFonts w:ascii="Cambria Math" w:eastAsia="標楷體" w:hAnsi="Cambria Math" w:cstheme="minorHAnsi"/>
                    <w:szCs w:val="24"/>
                  </w:rPr>
                  <m:t>=1</m:t>
                </m:r>
              </m:sub>
              <m:sup>
                <m:r>
                  <w:rPr>
                    <w:rFonts w:ascii="Cambria Math" w:eastAsia="標楷體" w:hAnsi="Cambria Math" w:cstheme="minorHAnsi"/>
                    <w:szCs w:val="24"/>
                  </w:rPr>
                  <m:t>B</m:t>
                </m:r>
              </m:sup>
              <m:e>
                <m:r>
                  <w:rPr>
                    <w:rFonts w:ascii="Cambria Math" w:eastAsia="標楷體" w:hAnsi="Cambria Math" w:cstheme="minorHAnsi"/>
                    <w:szCs w:val="24"/>
                  </w:rPr>
                  <m:t>IMCC</m:t>
                </m:r>
                <m:r>
                  <m:rPr>
                    <m:sty m:val="p"/>
                  </m:rPr>
                  <w:rPr>
                    <w:rFonts w:ascii="Cambria Math" w:eastAsia="標楷體" w:hAnsi="Cambria Math" w:cstheme="minorHAnsi"/>
                    <w:szCs w:val="24"/>
                  </w:rPr>
                  <m:t>(</m:t>
                </m:r>
                <m:sSub>
                  <m:sSubPr>
                    <m:ctrlPr>
                      <w:rPr>
                        <w:rFonts w:ascii="Cambria Math" w:eastAsia="標楷體" w:hAnsi="Cambria Math" w:cstheme="minorHAnsi"/>
                        <w:szCs w:val="24"/>
                      </w:rPr>
                    </m:ctrlPr>
                  </m:sSubPr>
                  <m:e>
                    <m:r>
                      <w:rPr>
                        <w:rFonts w:ascii="Cambria Math" w:eastAsia="標楷體" w:hAnsi="Cambria Math" w:cstheme="minorHAnsi"/>
                        <w:szCs w:val="24"/>
                      </w:rPr>
                      <m:t>C</m:t>
                    </m:r>
                  </m:e>
                  <m:sub>
                    <m:r>
                      <w:rPr>
                        <w:rFonts w:ascii="Cambria Math" w:eastAsia="標楷體" w:hAnsi="Cambria Math" w:cstheme="minorHAnsi"/>
                        <w:szCs w:val="24"/>
                      </w:rPr>
                      <m:t>i</m:t>
                    </m:r>
                  </m:sub>
                </m:sSub>
                <m:r>
                  <m:rPr>
                    <m:sty m:val="p"/>
                  </m:rPr>
                  <w:rPr>
                    <w:rFonts w:ascii="Cambria Math" w:eastAsia="標楷體" w:hAnsi="Cambria Math" w:cstheme="minorHAnsi"/>
                    <w:szCs w:val="24"/>
                  </w:rPr>
                  <m:t>)</m:t>
                </m:r>
              </m:e>
            </m:nary>
          </m:num>
          <m:den>
            <m:r>
              <m:rPr>
                <m:sty m:val="p"/>
              </m:rPr>
              <w:rPr>
                <w:rFonts w:ascii="Cambria Math" w:eastAsia="標楷體" w:hAnsi="Cambria Math" w:cstheme="minorHAnsi"/>
                <w:szCs w:val="24"/>
              </w:rPr>
              <m:t>(</m:t>
            </m:r>
            <m:r>
              <w:rPr>
                <w:rFonts w:ascii="Cambria Math" w:eastAsia="標楷體" w:hAnsi="Cambria Math" w:cstheme="minorHAnsi"/>
                <w:szCs w:val="24"/>
              </w:rPr>
              <m:t>IMCC</m:t>
            </m:r>
            <m:d>
              <m:dPr>
                <m:ctrlPr>
                  <w:rPr>
                    <w:rFonts w:ascii="Cambria Math" w:eastAsia="標楷體" w:hAnsi="Cambria Math" w:cstheme="minorHAnsi"/>
                    <w:szCs w:val="24"/>
                  </w:rPr>
                </m:ctrlPr>
              </m:dPr>
              <m:e>
                <m:r>
                  <w:rPr>
                    <w:rFonts w:ascii="Cambria Math" w:eastAsia="標楷體" w:hAnsi="Cambria Math" w:cstheme="minorHAnsi"/>
                    <w:szCs w:val="24"/>
                  </w:rPr>
                  <m:t>C</m:t>
                </m:r>
              </m:e>
            </m:d>
            <m:r>
              <m:rPr>
                <m:sty m:val="p"/>
              </m:rPr>
              <w:rPr>
                <w:rFonts w:ascii="Cambria Math" w:eastAsia="標楷體" w:hAnsi="Cambria Math" w:cstheme="minorHAnsi"/>
                <w:szCs w:val="24"/>
              </w:rPr>
              <m:t>)</m:t>
            </m:r>
          </m:den>
        </m:f>
      </m:oMath>
      <w:r w:rsidRPr="00CA1A43">
        <w:rPr>
          <w:rFonts w:eastAsia="標楷體" w:cstheme="minorHAnsi"/>
          <w:szCs w:val="24"/>
        </w:rPr>
        <w:t>及每天計算之</w:t>
      </w:r>
      <m:oMath>
        <m:sSub>
          <m:sSubPr>
            <m:ctrlPr>
              <w:rPr>
                <w:rFonts w:ascii="Cambria Math" w:eastAsia="標楷體" w:hAnsi="Cambria Math" w:cstheme="minorHAnsi"/>
                <w:szCs w:val="24"/>
              </w:rPr>
            </m:ctrlPr>
          </m:sSubPr>
          <m:e>
            <m:r>
              <w:rPr>
                <w:rFonts w:ascii="Cambria Math" w:eastAsia="標楷體" w:hAnsi="Cambria Math" w:cstheme="minorHAnsi"/>
                <w:szCs w:val="24"/>
              </w:rPr>
              <m:t>ES</m:t>
            </m:r>
          </m:e>
          <m:sub>
            <m:r>
              <w:rPr>
                <w:rFonts w:ascii="Cambria Math" w:eastAsia="標楷體" w:hAnsi="Cambria Math" w:cstheme="minorHAnsi"/>
                <w:szCs w:val="24"/>
              </w:rPr>
              <m:t>R</m:t>
            </m:r>
            <m:r>
              <m:rPr>
                <m:sty m:val="p"/>
              </m:rPr>
              <w:rPr>
                <w:rFonts w:ascii="Cambria Math" w:eastAsia="標楷體" w:hAnsi="Cambria Math" w:cstheme="minorHAnsi"/>
                <w:szCs w:val="24"/>
              </w:rPr>
              <m:t>,</m:t>
            </m:r>
            <m:r>
              <w:rPr>
                <w:rFonts w:ascii="Cambria Math" w:eastAsia="標楷體" w:hAnsi="Cambria Math" w:cstheme="minorHAnsi"/>
                <w:szCs w:val="24"/>
              </w:rPr>
              <m:t>S</m:t>
            </m:r>
          </m:sub>
        </m:sSub>
      </m:oMath>
      <w:r w:rsidRPr="00CA1A43">
        <w:rPr>
          <w:rFonts w:eastAsia="標楷體" w:cstheme="minorHAnsi"/>
          <w:szCs w:val="24"/>
        </w:rPr>
        <w:t xml:space="preserve"> ,</w:t>
      </w:r>
      <m:oMath>
        <m:sSub>
          <m:sSubPr>
            <m:ctrlPr>
              <w:rPr>
                <w:rFonts w:ascii="Cambria Math" w:eastAsia="標楷體" w:hAnsi="Cambria Math" w:cstheme="minorHAnsi"/>
                <w:szCs w:val="24"/>
              </w:rPr>
            </m:ctrlPr>
          </m:sSubPr>
          <m:e>
            <m:r>
              <w:rPr>
                <w:rFonts w:ascii="Cambria Math" w:eastAsia="標楷體" w:hAnsi="Cambria Math" w:cstheme="minorHAnsi"/>
                <w:szCs w:val="24"/>
              </w:rPr>
              <m:t>ES</m:t>
            </m:r>
          </m:e>
          <m:sub>
            <m:r>
              <w:rPr>
                <w:rFonts w:ascii="Cambria Math" w:eastAsia="標楷體" w:hAnsi="Cambria Math" w:cstheme="minorHAnsi"/>
                <w:szCs w:val="24"/>
              </w:rPr>
              <m:t>F</m:t>
            </m:r>
            <m:r>
              <m:rPr>
                <m:sty m:val="p"/>
              </m:rPr>
              <w:rPr>
                <w:rFonts w:ascii="Cambria Math" w:eastAsia="標楷體" w:hAnsi="Cambria Math" w:cstheme="minorHAnsi"/>
                <w:szCs w:val="24"/>
              </w:rPr>
              <m:t>,</m:t>
            </m:r>
            <m:r>
              <w:rPr>
                <w:rFonts w:ascii="Cambria Math" w:eastAsia="標楷體" w:hAnsi="Cambria Math" w:cstheme="minorHAnsi"/>
                <w:szCs w:val="24"/>
              </w:rPr>
              <m:t>C</m:t>
            </m:r>
          </m:sub>
        </m:sSub>
      </m:oMath>
      <w:r w:rsidRPr="00CA1A43">
        <w:rPr>
          <w:rFonts w:eastAsia="標楷體" w:cstheme="minorHAnsi"/>
          <w:szCs w:val="24"/>
        </w:rPr>
        <w:t>與</w:t>
      </w:r>
      <w:r w:rsidRPr="00CA1A43">
        <w:rPr>
          <w:rFonts w:eastAsia="標楷體" w:cstheme="minorHAnsi"/>
          <w:szCs w:val="24"/>
        </w:rPr>
        <w:t xml:space="preserve"> </w:t>
      </w:r>
      <m:oMath>
        <m:sSub>
          <m:sSubPr>
            <m:ctrlPr>
              <w:rPr>
                <w:rFonts w:ascii="Cambria Math" w:eastAsia="標楷體" w:hAnsi="Cambria Math" w:cstheme="minorHAnsi"/>
                <w:szCs w:val="24"/>
              </w:rPr>
            </m:ctrlPr>
          </m:sSubPr>
          <m:e>
            <m:r>
              <w:rPr>
                <w:rFonts w:ascii="Cambria Math" w:eastAsia="標楷體" w:hAnsi="Cambria Math" w:cstheme="minorHAnsi"/>
                <w:szCs w:val="24"/>
              </w:rPr>
              <m:t>ES</m:t>
            </m:r>
          </m:e>
          <m:sub>
            <m:r>
              <w:rPr>
                <w:rFonts w:ascii="Cambria Math" w:eastAsia="標楷體" w:hAnsi="Cambria Math" w:cstheme="minorHAnsi"/>
                <w:szCs w:val="24"/>
              </w:rPr>
              <m:t>R</m:t>
            </m:r>
            <m:r>
              <m:rPr>
                <m:sty m:val="p"/>
              </m:rPr>
              <w:rPr>
                <w:rFonts w:ascii="Cambria Math" w:eastAsia="標楷體" w:hAnsi="Cambria Math" w:cstheme="minorHAnsi"/>
                <w:szCs w:val="24"/>
              </w:rPr>
              <m:t>,</m:t>
            </m:r>
            <m:r>
              <w:rPr>
                <w:rFonts w:ascii="Cambria Math" w:eastAsia="標楷體" w:hAnsi="Cambria Math" w:cstheme="minorHAnsi"/>
                <w:szCs w:val="24"/>
              </w:rPr>
              <m:t>C</m:t>
            </m:r>
          </m:sub>
        </m:sSub>
      </m:oMath>
      <w:r w:rsidRPr="00CA1A43">
        <w:rPr>
          <w:rFonts w:eastAsia="標楷體" w:cstheme="minorHAnsi"/>
          <w:szCs w:val="24"/>
        </w:rPr>
        <w:t>計算</w:t>
      </w:r>
      <w:r w:rsidRPr="00CA1A43">
        <w:rPr>
          <w:rFonts w:eastAsia="標楷體" w:cstheme="minorHAnsi"/>
          <w:szCs w:val="24"/>
        </w:rPr>
        <w:t>IMCC</w:t>
      </w:r>
      <w:r w:rsidRPr="00CA1A43">
        <w:rPr>
          <w:rFonts w:eastAsia="標楷體" w:cstheme="minorHAnsi"/>
          <w:szCs w:val="24"/>
        </w:rPr>
        <w:t>。但</w:t>
      </w:r>
      <w:r w:rsidRPr="00CA1A43">
        <w:rPr>
          <w:rFonts w:eastAsia="標楷體" w:cstheme="minorHAnsi"/>
        </w:rPr>
        <w:t>本會得視銀行狀況</w:t>
      </w:r>
      <w:r w:rsidRPr="00CA1A43">
        <w:rPr>
          <w:rFonts w:eastAsia="標楷體" w:cstheme="minorHAnsi"/>
          <w:szCs w:val="24"/>
        </w:rPr>
        <w:t>要求銀行</w:t>
      </w:r>
      <w:r w:rsidRPr="00CA1A43">
        <w:rPr>
          <w:rFonts w:eastAsia="標楷體" w:cstheme="minorHAnsi"/>
          <w:szCs w:val="24"/>
        </w:rPr>
        <w:t>IMCC(C)</w:t>
      </w:r>
      <w:r w:rsidRPr="00CA1A43">
        <w:rPr>
          <w:rFonts w:eastAsia="標楷體" w:cstheme="minorHAnsi"/>
          <w:szCs w:val="24"/>
        </w:rPr>
        <w:t>比率調整為每日計算。</w:t>
      </w:r>
    </w:p>
    <w:p w14:paraId="1B562501" w14:textId="77777777" w:rsidR="00BD23C1" w:rsidRPr="00CA1A43" w:rsidRDefault="00BD23C1" w:rsidP="005066C2">
      <w:pPr>
        <w:pStyle w:val="a7"/>
        <w:numPr>
          <w:ilvl w:val="0"/>
          <w:numId w:val="299"/>
        </w:numPr>
        <w:spacing w:beforeLines="50" w:before="180"/>
        <w:ind w:leftChars="0" w:left="737" w:hanging="737"/>
        <w:jc w:val="both"/>
        <w:rPr>
          <w:rFonts w:eastAsia="標楷體" w:cstheme="minorHAnsi"/>
          <w:szCs w:val="24"/>
        </w:rPr>
      </w:pPr>
      <w:r w:rsidRPr="00CA1A43">
        <w:rPr>
          <w:rFonts w:eastAsia="標楷體" w:cstheme="minorHAnsi"/>
          <w:szCs w:val="24"/>
        </w:rPr>
        <w:t>非模型化風險因子之資本計提</w:t>
      </w:r>
    </w:p>
    <w:p w14:paraId="52D64B10" w14:textId="77777777" w:rsidR="00BD23C1" w:rsidRPr="00CA1A43" w:rsidRDefault="00BD23C1" w:rsidP="00BD23C1">
      <w:pPr>
        <w:pStyle w:val="a7"/>
        <w:spacing w:beforeLines="50" w:before="180"/>
        <w:ind w:leftChars="0" w:left="737"/>
        <w:jc w:val="both"/>
        <w:rPr>
          <w:rFonts w:eastAsia="標楷體" w:cstheme="minorHAnsi"/>
          <w:szCs w:val="24"/>
        </w:rPr>
      </w:pPr>
      <w:r w:rsidRPr="00CA1A43">
        <w:rPr>
          <w:rFonts w:eastAsia="標楷體" w:cstheme="minorHAnsi"/>
          <w:szCs w:val="24"/>
        </w:rPr>
        <w:t>未符合風險因子資格測試之風險因子，必須使用壓力預期短缺</w:t>
      </w:r>
      <w:r w:rsidRPr="00CA1A43">
        <w:rPr>
          <w:rFonts w:eastAsia="標楷體" w:cstheme="minorHAnsi"/>
          <w:szCs w:val="24"/>
        </w:rPr>
        <w:t>(SES)</w:t>
      </w:r>
      <w:r w:rsidRPr="00CA1A43">
        <w:rPr>
          <w:rFonts w:eastAsia="標楷體" w:cstheme="minorHAnsi"/>
          <w:szCs w:val="24"/>
        </w:rPr>
        <w:t>模型計算市場風險資本要求，計提原則如下：</w:t>
      </w:r>
    </w:p>
    <w:p w14:paraId="020A8B65" w14:textId="77777777" w:rsidR="00BD23C1" w:rsidRPr="00CA1A43" w:rsidRDefault="00BD23C1" w:rsidP="005066C2">
      <w:pPr>
        <w:pStyle w:val="a7"/>
        <w:numPr>
          <w:ilvl w:val="0"/>
          <w:numId w:val="302"/>
        </w:numPr>
        <w:spacing w:beforeLines="50" w:before="180"/>
        <w:ind w:leftChars="0" w:left="964" w:hanging="482"/>
        <w:jc w:val="both"/>
        <w:rPr>
          <w:rFonts w:eastAsia="標楷體" w:cstheme="minorHAnsi"/>
        </w:rPr>
      </w:pPr>
      <w:r w:rsidRPr="00CA1A43">
        <w:rPr>
          <w:rFonts w:eastAsia="標楷體" w:cstheme="minorHAnsi"/>
          <w:szCs w:val="24"/>
        </w:rPr>
        <w:lastRenderedPageBreak/>
        <w:t>非模型化風險因子</w:t>
      </w:r>
      <w:r w:rsidRPr="00CA1A43">
        <w:rPr>
          <w:rFonts w:eastAsia="標楷體" w:cstheme="minorHAnsi"/>
          <w:szCs w:val="24"/>
        </w:rPr>
        <w:t>(NMRF)</w:t>
      </w:r>
      <w:r w:rsidRPr="00CA1A43">
        <w:rPr>
          <w:rFonts w:eastAsia="標楷體" w:cstheme="minorHAnsi"/>
          <w:szCs w:val="24"/>
        </w:rPr>
        <w:t>採用之</w:t>
      </w:r>
      <w:r w:rsidRPr="00CA1A43">
        <w:rPr>
          <w:rFonts w:eastAsia="標楷體" w:cstheme="minorHAnsi"/>
        </w:rPr>
        <w:t>壓力情境</w:t>
      </w:r>
      <w:r w:rsidRPr="00CA1A43">
        <w:rPr>
          <w:rFonts w:eastAsia="標楷體" w:cstheme="minorHAnsi"/>
          <w:szCs w:val="24"/>
        </w:rPr>
        <w:t>至少應與用於可模型化風險因子預期短缺</w:t>
      </w:r>
      <w:r w:rsidRPr="00CA1A43">
        <w:rPr>
          <w:rFonts w:eastAsia="標楷體" w:cstheme="minorHAnsi"/>
          <w:szCs w:val="24"/>
        </w:rPr>
        <w:t>(ES)</w:t>
      </w:r>
      <w:r w:rsidRPr="00CA1A43">
        <w:rPr>
          <w:rFonts w:eastAsia="標楷體" w:cstheme="minorHAnsi"/>
          <w:szCs w:val="24"/>
        </w:rPr>
        <w:t>一樣嚴謹之校準方式</w:t>
      </w:r>
      <w:r w:rsidRPr="00CA1A43">
        <w:rPr>
          <w:rFonts w:eastAsia="標楷體" w:cstheme="minorHAnsi"/>
          <w:szCs w:val="24"/>
        </w:rPr>
        <w:t>(</w:t>
      </w:r>
      <w:r w:rsidRPr="00CA1A43">
        <w:rPr>
          <w:rFonts w:eastAsia="標楷體" w:cstheme="minorHAnsi"/>
        </w:rPr>
        <w:t>例如將壓力期間之損失校</w:t>
      </w:r>
      <w:r w:rsidRPr="00CA1A43">
        <w:rPr>
          <w:rFonts w:eastAsia="標楷體" w:cstheme="minorHAnsi"/>
          <w:strike/>
        </w:rPr>
        <w:t>核</w:t>
      </w:r>
      <w:proofErr w:type="gramStart"/>
      <w:r w:rsidRPr="00CA1A43">
        <w:rPr>
          <w:rFonts w:eastAsia="標楷體" w:cstheme="minorHAnsi"/>
        </w:rPr>
        <w:t>準</w:t>
      </w:r>
      <w:proofErr w:type="gramEnd"/>
      <w:r w:rsidRPr="00CA1A43">
        <w:rPr>
          <w:rFonts w:eastAsia="標楷體" w:cstheme="minorHAnsi"/>
        </w:rPr>
        <w:t>在</w:t>
      </w:r>
      <w:r w:rsidRPr="00CA1A43">
        <w:rPr>
          <w:rFonts w:eastAsia="標楷體" w:cstheme="minorHAnsi"/>
        </w:rPr>
        <w:t>97.5%</w:t>
      </w:r>
      <w:r w:rsidRPr="00CA1A43">
        <w:rPr>
          <w:rFonts w:eastAsia="標楷體" w:cstheme="minorHAnsi"/>
        </w:rPr>
        <w:t>信賴水準下</w:t>
      </w:r>
      <w:r w:rsidRPr="00CA1A43">
        <w:rPr>
          <w:rFonts w:eastAsia="標楷體" w:cstheme="minorHAnsi"/>
        </w:rPr>
        <w:t>)</w:t>
      </w:r>
      <w:r w:rsidRPr="00CA1A43">
        <w:rPr>
          <w:rFonts w:eastAsia="標楷體" w:cstheme="minorHAnsi"/>
        </w:rPr>
        <w:t>。</w:t>
      </w:r>
    </w:p>
    <w:p w14:paraId="6992485A" w14:textId="77777777" w:rsidR="00BD23C1" w:rsidRPr="00CA1A43" w:rsidRDefault="00BD23C1" w:rsidP="005066C2">
      <w:pPr>
        <w:pStyle w:val="a7"/>
        <w:numPr>
          <w:ilvl w:val="0"/>
          <w:numId w:val="302"/>
        </w:numPr>
        <w:spacing w:beforeLines="50" w:before="180"/>
        <w:ind w:leftChars="0" w:left="964" w:hanging="482"/>
        <w:jc w:val="both"/>
        <w:rPr>
          <w:rFonts w:eastAsia="標楷體" w:cstheme="minorHAnsi"/>
          <w:szCs w:val="24"/>
        </w:rPr>
      </w:pPr>
      <w:r w:rsidRPr="00CA1A43">
        <w:rPr>
          <w:rFonts w:eastAsia="標楷體" w:cstheme="minorHAnsi"/>
          <w:szCs w:val="24"/>
        </w:rPr>
        <w:t>銀行必須在相同風險類別中，決定跨所有非模型化風險因子之共同</w:t>
      </w:r>
      <w:r w:rsidRPr="00CA1A43">
        <w:rPr>
          <w:rFonts w:eastAsia="標楷體" w:cstheme="minorHAnsi"/>
          <w:szCs w:val="24"/>
        </w:rPr>
        <w:t>250</w:t>
      </w:r>
      <w:r w:rsidRPr="00CA1A43">
        <w:rPr>
          <w:rFonts w:eastAsia="標楷體" w:cstheme="minorHAnsi"/>
          <w:szCs w:val="24"/>
        </w:rPr>
        <w:t>個交易日期間的壓力期間。</w:t>
      </w:r>
      <w:r w:rsidRPr="00CA1A43">
        <w:rPr>
          <w:rFonts w:eastAsia="標楷體" w:cstheme="minorHAnsi"/>
        </w:rPr>
        <w:t>若因個別</w:t>
      </w:r>
      <w:r w:rsidRPr="00CA1A43">
        <w:rPr>
          <w:rFonts w:eastAsia="標楷體" w:cstheme="minorHAnsi"/>
          <w:szCs w:val="24"/>
        </w:rPr>
        <w:t>信用價差風險</w:t>
      </w:r>
      <w:r w:rsidRPr="00CA1A43">
        <w:rPr>
          <w:rFonts w:eastAsia="標楷體" w:cstheme="minorHAnsi"/>
        </w:rPr>
        <w:t>所引起之</w:t>
      </w:r>
      <w:r w:rsidRPr="00CA1A43">
        <w:rPr>
          <w:rFonts w:eastAsia="標楷體" w:cstheme="minorHAnsi"/>
          <w:szCs w:val="24"/>
        </w:rPr>
        <w:t>非模型化風險因子</w:t>
      </w:r>
      <w:r w:rsidRPr="00CA1A43">
        <w:rPr>
          <w:rFonts w:eastAsia="標楷體" w:cstheme="minorHAnsi"/>
          <w:szCs w:val="24"/>
        </w:rPr>
        <w:t>(NMRF)</w:t>
      </w:r>
      <w:r w:rsidRPr="00CA1A43">
        <w:rPr>
          <w:rFonts w:eastAsia="標楷體" w:cstheme="minorHAnsi"/>
          <w:szCs w:val="24"/>
        </w:rPr>
        <w:t>，</w:t>
      </w:r>
      <w:r w:rsidRPr="00CA1A43">
        <w:rPr>
          <w:rFonts w:eastAsia="標楷體" w:cstheme="minorHAnsi"/>
        </w:rPr>
        <w:t>或因個別</w:t>
      </w:r>
      <w:r w:rsidRPr="00CA1A43">
        <w:rPr>
          <w:rFonts w:eastAsia="標楷體" w:cstheme="minorHAnsi"/>
          <w:szCs w:val="24"/>
        </w:rPr>
        <w:t>權益證券風險，</w:t>
      </w:r>
      <w:r w:rsidRPr="00CA1A43">
        <w:rPr>
          <w:rFonts w:eastAsia="標楷體" w:cstheme="minorHAnsi"/>
        </w:rPr>
        <w:t>透過</w:t>
      </w:r>
      <w:r w:rsidRPr="00CA1A43">
        <w:rPr>
          <w:rFonts w:eastAsia="標楷體" w:cstheme="minorHAnsi"/>
          <w:szCs w:val="24"/>
        </w:rPr>
        <w:t>現貨、期貨、遠期價格、權益證券附買回利率、股息和波動率引起之非模型化風險因子</w:t>
      </w:r>
      <w:r w:rsidRPr="00CA1A43">
        <w:rPr>
          <w:rFonts w:eastAsia="標楷體" w:cstheme="minorHAnsi"/>
          <w:szCs w:val="24"/>
        </w:rPr>
        <w:t>(NMRF)</w:t>
      </w:r>
      <w:r w:rsidRPr="00CA1A43">
        <w:rPr>
          <w:rFonts w:eastAsia="標楷體" w:cstheme="minorHAnsi"/>
          <w:szCs w:val="24"/>
        </w:rPr>
        <w:t>，</w:t>
      </w:r>
      <w:r w:rsidRPr="00CA1A43">
        <w:rPr>
          <w:rFonts w:eastAsia="標楷體" w:cstheme="minorHAnsi"/>
        </w:rPr>
        <w:t>銀行可採用共同的壓力期間。</w:t>
      </w:r>
    </w:p>
    <w:p w14:paraId="2BEE9A69" w14:textId="77777777" w:rsidR="000F1707" w:rsidRPr="00CA1A43" w:rsidRDefault="00BD23C1" w:rsidP="005066C2">
      <w:pPr>
        <w:pStyle w:val="a7"/>
        <w:numPr>
          <w:ilvl w:val="0"/>
          <w:numId w:val="302"/>
        </w:numPr>
        <w:spacing w:beforeLines="50" w:before="180"/>
        <w:ind w:leftChars="0" w:left="964" w:hanging="482"/>
        <w:jc w:val="both"/>
        <w:rPr>
          <w:rFonts w:eastAsia="標楷體" w:cstheme="minorHAnsi"/>
          <w:kern w:val="0"/>
          <w:szCs w:val="24"/>
        </w:rPr>
      </w:pPr>
      <w:r w:rsidRPr="00CA1A43">
        <w:rPr>
          <w:rFonts w:eastAsia="標楷體" w:cstheme="minorHAnsi"/>
          <w:szCs w:val="24"/>
        </w:rPr>
        <w:t>針對風險因子為曲線、曲面或立方體上之各點，於</w:t>
      </w:r>
      <w:r w:rsidRPr="00CA1A43">
        <w:rPr>
          <w:rFonts w:eastAsia="標楷體" w:cstheme="minorHAnsi"/>
        </w:rPr>
        <w:t>本會</w:t>
      </w:r>
      <w:r w:rsidRPr="00CA1A43">
        <w:rPr>
          <w:rFonts w:eastAsia="標楷體" w:cstheme="minorHAnsi"/>
          <w:szCs w:val="24"/>
        </w:rPr>
        <w:t>核准下，銀行可採用風險因子合格測試之風險因子分組方式，計算同一</w:t>
      </w:r>
      <w:proofErr w:type="gramStart"/>
      <w:r w:rsidRPr="00CA1A43">
        <w:rPr>
          <w:rFonts w:eastAsia="標楷體" w:cstheme="minorHAnsi"/>
          <w:szCs w:val="24"/>
        </w:rPr>
        <w:t>組別下的</w:t>
      </w:r>
      <w:proofErr w:type="gramEnd"/>
      <w:r w:rsidRPr="00CA1A43">
        <w:rPr>
          <w:rFonts w:eastAsia="標楷體" w:cstheme="minorHAnsi"/>
          <w:szCs w:val="24"/>
        </w:rPr>
        <w:t>所有非模型化風險因子</w:t>
      </w:r>
      <w:r w:rsidRPr="00CA1A43">
        <w:rPr>
          <w:rFonts w:eastAsia="標楷體" w:cstheme="minorHAnsi"/>
          <w:szCs w:val="24"/>
        </w:rPr>
        <w:t>(NMRF)</w:t>
      </w:r>
      <w:r w:rsidRPr="00CA1A43">
        <w:rPr>
          <w:rFonts w:eastAsia="標楷體" w:cstheme="minorHAnsi"/>
          <w:szCs w:val="24"/>
        </w:rPr>
        <w:t>之單一壓力情境資本要求。</w:t>
      </w:r>
    </w:p>
    <w:p w14:paraId="7BA68655" w14:textId="77777777" w:rsidR="00BD23C1" w:rsidRPr="00CA1A43" w:rsidRDefault="00BD23C1" w:rsidP="005066C2">
      <w:pPr>
        <w:pStyle w:val="a7"/>
        <w:numPr>
          <w:ilvl w:val="0"/>
          <w:numId w:val="302"/>
        </w:numPr>
        <w:spacing w:beforeLines="50" w:before="180"/>
        <w:ind w:leftChars="0" w:left="964" w:hanging="482"/>
        <w:jc w:val="both"/>
        <w:rPr>
          <w:rFonts w:eastAsia="標楷體" w:cstheme="minorHAnsi"/>
          <w:szCs w:val="24"/>
        </w:rPr>
      </w:pPr>
      <w:r w:rsidRPr="00CA1A43">
        <w:rPr>
          <w:rFonts w:eastAsia="標楷體" w:cstheme="minorHAnsi"/>
        </w:rPr>
        <w:t>銀行若可向本會提出相關分析證明零相關性之假設是合適的，則可將獲利與損失直接加總。</w:t>
      </w:r>
    </w:p>
    <w:p w14:paraId="3E7C6310" w14:textId="77777777" w:rsidR="00BD23C1" w:rsidRPr="00CA1A43" w:rsidRDefault="00BD23C1" w:rsidP="005066C2">
      <w:pPr>
        <w:pStyle w:val="a7"/>
        <w:numPr>
          <w:ilvl w:val="0"/>
          <w:numId w:val="302"/>
        </w:numPr>
        <w:spacing w:beforeLines="50" w:before="180"/>
        <w:ind w:leftChars="0" w:left="964" w:hanging="482"/>
        <w:jc w:val="both"/>
        <w:rPr>
          <w:rFonts w:eastAsia="標楷體" w:cstheme="minorHAnsi"/>
          <w:szCs w:val="24"/>
        </w:rPr>
      </w:pPr>
      <w:r w:rsidRPr="00CA1A43">
        <w:rPr>
          <w:rFonts w:eastAsia="標楷體" w:cstheme="minorHAnsi"/>
          <w:szCs w:val="24"/>
        </w:rPr>
        <w:t>內部模型法交易台所持有之不可模型風險因子總法定資本要求</w:t>
      </w:r>
      <w:r w:rsidRPr="00CA1A43">
        <w:rPr>
          <w:rFonts w:eastAsia="標楷體" w:cstheme="minorHAnsi"/>
          <w:szCs w:val="24"/>
        </w:rPr>
        <w:t>(SES)</w:t>
      </w:r>
      <w:r w:rsidRPr="00CA1A43">
        <w:rPr>
          <w:rFonts w:eastAsia="標楷體" w:cstheme="minorHAnsi"/>
          <w:szCs w:val="24"/>
        </w:rPr>
        <w:t>之法定資本加總衡量計算公式如下：</w:t>
      </w:r>
    </w:p>
    <w:p w14:paraId="44F14423" w14:textId="77777777" w:rsidR="00BD23C1" w:rsidRPr="00CA1A43" w:rsidRDefault="00BD23C1" w:rsidP="00BD23C1">
      <w:pPr>
        <w:spacing w:beforeLines="50" w:before="180"/>
        <w:ind w:left="482"/>
        <w:jc w:val="both"/>
        <w:rPr>
          <w:rFonts w:eastAsia="標楷體" w:cstheme="minorHAnsi"/>
          <w:szCs w:val="24"/>
        </w:rPr>
      </w:pPr>
      <m:oMathPara>
        <m:oMath>
          <m:r>
            <m:rPr>
              <m:sty m:val="p"/>
            </m:rPr>
            <w:rPr>
              <w:rFonts w:ascii="Cambria Math" w:eastAsia="標楷體" w:hAnsi="Cambria Math" w:cstheme="minorHAnsi"/>
              <w:sz w:val="21"/>
              <w:szCs w:val="21"/>
            </w:rPr>
            <m:t>SES=</m:t>
          </m:r>
          <m:rad>
            <m:radPr>
              <m:degHide m:val="1"/>
              <m:ctrlPr>
                <w:rPr>
                  <w:rFonts w:ascii="Cambria Math" w:eastAsia="標楷體" w:hAnsi="Cambria Math" w:cstheme="minorHAnsi"/>
                  <w:sz w:val="21"/>
                  <w:szCs w:val="21"/>
                </w:rPr>
              </m:ctrlPr>
            </m:radPr>
            <m:deg>
              <m:ctrlPr>
                <w:rPr>
                  <w:rFonts w:ascii="Cambria Math" w:eastAsia="標楷體" w:hAnsi="Cambria Math" w:cstheme="minorHAnsi"/>
                  <w:i/>
                  <w:sz w:val="21"/>
                  <w:szCs w:val="21"/>
                </w:rPr>
              </m:ctrlPr>
            </m:deg>
            <m:e>
              <m:nary>
                <m:naryPr>
                  <m:chr m:val="∑"/>
                  <m:limLoc m:val="undOvr"/>
                  <m:ctrlPr>
                    <w:rPr>
                      <w:rFonts w:ascii="Cambria Math" w:eastAsia="標楷體" w:hAnsi="Cambria Math" w:cstheme="minorHAnsi"/>
                      <w:sz w:val="21"/>
                      <w:szCs w:val="21"/>
                    </w:rPr>
                  </m:ctrlPr>
                </m:naryPr>
                <m:sub>
                  <m:r>
                    <w:rPr>
                      <w:rFonts w:ascii="Cambria Math" w:eastAsia="標楷體" w:hAnsi="Cambria Math" w:cstheme="minorHAnsi"/>
                      <w:sz w:val="21"/>
                      <w:szCs w:val="21"/>
                    </w:rPr>
                    <m:t>i=1</m:t>
                  </m:r>
                </m:sub>
                <m:sup>
                  <m:r>
                    <w:rPr>
                      <w:rFonts w:ascii="Cambria Math" w:eastAsia="標楷體" w:hAnsi="Cambria Math" w:cstheme="minorHAnsi"/>
                      <w:sz w:val="21"/>
                      <w:szCs w:val="21"/>
                    </w:rPr>
                    <m:t>I</m:t>
                  </m:r>
                </m:sup>
                <m:e>
                  <m:r>
                    <w:rPr>
                      <w:rFonts w:ascii="Cambria Math" w:eastAsia="標楷體" w:hAnsi="Cambria Math" w:cstheme="minorHAnsi"/>
                      <w:sz w:val="21"/>
                      <w:szCs w:val="21"/>
                    </w:rPr>
                    <m:t>ISE</m:t>
                  </m:r>
                  <m:sSubSup>
                    <m:sSubSupPr>
                      <m:ctrlPr>
                        <w:rPr>
                          <w:rFonts w:ascii="Cambria Math" w:eastAsia="標楷體" w:hAnsi="Cambria Math" w:cstheme="minorHAnsi"/>
                          <w:i/>
                          <w:sz w:val="21"/>
                          <w:szCs w:val="21"/>
                        </w:rPr>
                      </m:ctrlPr>
                    </m:sSubSupPr>
                    <m:e>
                      <m:r>
                        <w:rPr>
                          <w:rFonts w:ascii="Cambria Math" w:eastAsia="標楷體" w:hAnsi="Cambria Math" w:cstheme="minorHAnsi"/>
                          <w:sz w:val="21"/>
                          <w:szCs w:val="21"/>
                        </w:rPr>
                        <m:t>S</m:t>
                      </m:r>
                    </m:e>
                    <m:sub>
                      <m:r>
                        <w:rPr>
                          <w:rFonts w:ascii="Cambria Math" w:eastAsia="標楷體" w:hAnsi="Cambria Math" w:cstheme="minorHAnsi"/>
                          <w:sz w:val="21"/>
                          <w:szCs w:val="21"/>
                        </w:rPr>
                        <m:t>NM,i</m:t>
                      </m:r>
                    </m:sub>
                    <m:sup>
                      <m:r>
                        <w:rPr>
                          <w:rFonts w:ascii="Cambria Math" w:eastAsia="標楷體" w:hAnsi="Cambria Math" w:cstheme="minorHAnsi"/>
                          <w:sz w:val="21"/>
                          <w:szCs w:val="21"/>
                        </w:rPr>
                        <m:t>2</m:t>
                      </m:r>
                    </m:sup>
                  </m:sSubSup>
                </m:e>
              </m:nary>
            </m:e>
          </m:rad>
          <m:r>
            <w:rPr>
              <w:rFonts w:ascii="Cambria Math" w:eastAsia="標楷體" w:hAnsi="Cambria Math" w:cstheme="minorHAnsi"/>
              <w:sz w:val="21"/>
              <w:szCs w:val="21"/>
            </w:rPr>
            <m:t>+</m:t>
          </m:r>
          <m:rad>
            <m:radPr>
              <m:degHide m:val="1"/>
              <m:ctrlPr>
                <w:rPr>
                  <w:rFonts w:ascii="Cambria Math" w:eastAsia="標楷體" w:hAnsi="Cambria Math" w:cstheme="minorHAnsi"/>
                  <w:i/>
                  <w:sz w:val="21"/>
                  <w:szCs w:val="21"/>
                </w:rPr>
              </m:ctrlPr>
            </m:radPr>
            <m:deg/>
            <m:e>
              <m:nary>
                <m:naryPr>
                  <m:chr m:val="∑"/>
                  <m:limLoc m:val="undOvr"/>
                  <m:ctrlPr>
                    <w:rPr>
                      <w:rFonts w:ascii="Cambria Math" w:eastAsia="標楷體" w:hAnsi="Cambria Math" w:cstheme="minorHAnsi"/>
                      <w:sz w:val="21"/>
                      <w:szCs w:val="21"/>
                    </w:rPr>
                  </m:ctrlPr>
                </m:naryPr>
                <m:sub>
                  <m:r>
                    <w:rPr>
                      <w:rFonts w:ascii="Cambria Math" w:eastAsia="標楷體" w:hAnsi="Cambria Math" w:cstheme="minorHAnsi"/>
                      <w:sz w:val="21"/>
                      <w:szCs w:val="21"/>
                    </w:rPr>
                    <m:t>j=1</m:t>
                  </m:r>
                </m:sub>
                <m:sup>
                  <m:r>
                    <w:rPr>
                      <w:rFonts w:ascii="Cambria Math" w:eastAsia="標楷體" w:hAnsi="Cambria Math" w:cstheme="minorHAnsi"/>
                      <w:sz w:val="21"/>
                      <w:szCs w:val="21"/>
                    </w:rPr>
                    <m:t>J</m:t>
                  </m:r>
                </m:sup>
                <m:e>
                  <m:r>
                    <w:rPr>
                      <w:rFonts w:ascii="Cambria Math" w:eastAsia="標楷體" w:hAnsi="Cambria Math" w:cstheme="minorHAnsi"/>
                      <w:sz w:val="21"/>
                      <w:szCs w:val="21"/>
                    </w:rPr>
                    <m:t>ISE</m:t>
                  </m:r>
                  <m:sSubSup>
                    <m:sSubSupPr>
                      <m:ctrlPr>
                        <w:rPr>
                          <w:rFonts w:ascii="Cambria Math" w:eastAsia="標楷體" w:hAnsi="Cambria Math" w:cstheme="minorHAnsi"/>
                          <w:i/>
                          <w:sz w:val="21"/>
                          <w:szCs w:val="21"/>
                        </w:rPr>
                      </m:ctrlPr>
                    </m:sSubSupPr>
                    <m:e>
                      <m:r>
                        <w:rPr>
                          <w:rFonts w:ascii="Cambria Math" w:eastAsia="標楷體" w:hAnsi="Cambria Math" w:cstheme="minorHAnsi"/>
                          <w:sz w:val="21"/>
                          <w:szCs w:val="21"/>
                        </w:rPr>
                        <m:t>S</m:t>
                      </m:r>
                    </m:e>
                    <m:sub>
                      <m:r>
                        <w:rPr>
                          <w:rFonts w:ascii="Cambria Math" w:eastAsia="標楷體" w:hAnsi="Cambria Math" w:cstheme="minorHAnsi"/>
                          <w:sz w:val="21"/>
                          <w:szCs w:val="21"/>
                        </w:rPr>
                        <m:t>NM,j</m:t>
                      </m:r>
                    </m:sub>
                    <m:sup>
                      <m:r>
                        <w:rPr>
                          <w:rFonts w:ascii="Cambria Math" w:eastAsia="標楷體" w:hAnsi="Cambria Math" w:cstheme="minorHAnsi"/>
                          <w:sz w:val="21"/>
                          <w:szCs w:val="21"/>
                        </w:rPr>
                        <m:t>2</m:t>
                      </m:r>
                    </m:sup>
                  </m:sSubSup>
                </m:e>
              </m:nary>
            </m:e>
          </m:rad>
          <m:r>
            <m:rPr>
              <m:sty m:val="p"/>
            </m:rPr>
            <w:rPr>
              <w:rFonts w:ascii="Cambria Math" w:eastAsia="標楷體" w:hAnsi="Cambria Math" w:cstheme="minorHAnsi"/>
              <w:sz w:val="21"/>
              <w:szCs w:val="21"/>
            </w:rPr>
            <m:t>+</m:t>
          </m:r>
          <m:rad>
            <m:radPr>
              <m:degHide m:val="1"/>
              <m:ctrlPr>
                <w:rPr>
                  <w:rFonts w:ascii="Cambria Math" w:eastAsia="標楷體" w:hAnsi="Cambria Math" w:cstheme="minorHAnsi"/>
                  <w:sz w:val="21"/>
                  <w:szCs w:val="21"/>
                </w:rPr>
              </m:ctrlPr>
            </m:radPr>
            <m:deg/>
            <m:e>
              <m:r>
                <m:rPr>
                  <m:sty m:val="p"/>
                </m:rPr>
                <w:rPr>
                  <w:rFonts w:ascii="Cambria Math" w:eastAsia="標楷體" w:hAnsi="Cambria Math" w:cstheme="minorHAnsi"/>
                  <w:sz w:val="21"/>
                  <w:szCs w:val="21"/>
                </w:rPr>
                <m:t>ρ*</m:t>
              </m:r>
              <m:sSup>
                <m:sSupPr>
                  <m:ctrlPr>
                    <w:rPr>
                      <w:rFonts w:ascii="Cambria Math" w:eastAsia="標楷體" w:hAnsi="Cambria Math" w:cstheme="minorHAnsi"/>
                      <w:i/>
                      <w:sz w:val="21"/>
                      <w:szCs w:val="21"/>
                    </w:rPr>
                  </m:ctrlPr>
                </m:sSupPr>
                <m:e>
                  <m:d>
                    <m:dPr>
                      <m:ctrlPr>
                        <w:rPr>
                          <w:rFonts w:ascii="Cambria Math" w:eastAsia="標楷體" w:hAnsi="Cambria Math" w:cstheme="minorHAnsi"/>
                          <w:sz w:val="21"/>
                          <w:szCs w:val="21"/>
                        </w:rPr>
                      </m:ctrlPr>
                    </m:dPr>
                    <m:e>
                      <m:nary>
                        <m:naryPr>
                          <m:chr m:val="∑"/>
                          <m:limLoc m:val="undOvr"/>
                          <m:ctrlPr>
                            <w:rPr>
                              <w:rFonts w:ascii="Cambria Math" w:eastAsia="標楷體" w:hAnsi="Cambria Math" w:cstheme="minorHAnsi"/>
                              <w:sz w:val="21"/>
                              <w:szCs w:val="21"/>
                            </w:rPr>
                          </m:ctrlPr>
                        </m:naryPr>
                        <m:sub>
                          <m:r>
                            <w:rPr>
                              <w:rFonts w:ascii="Cambria Math" w:eastAsia="標楷體" w:hAnsi="Cambria Math" w:cstheme="minorHAnsi"/>
                              <w:sz w:val="21"/>
                              <w:szCs w:val="21"/>
                            </w:rPr>
                            <m:t>k=1</m:t>
                          </m:r>
                        </m:sub>
                        <m:sup>
                          <m:r>
                            <w:rPr>
                              <w:rFonts w:ascii="Cambria Math" w:eastAsia="標楷體" w:hAnsi="Cambria Math" w:cstheme="minorHAnsi"/>
                              <w:sz w:val="21"/>
                              <w:szCs w:val="21"/>
                            </w:rPr>
                            <m:t>K</m:t>
                          </m:r>
                        </m:sup>
                        <m:e>
                          <m:r>
                            <w:rPr>
                              <w:rFonts w:ascii="Cambria Math" w:eastAsia="標楷體" w:hAnsi="Cambria Math" w:cstheme="minorHAnsi"/>
                              <w:sz w:val="21"/>
                              <w:szCs w:val="21"/>
                            </w:rPr>
                            <m:t>SE</m:t>
                          </m:r>
                          <m:sSub>
                            <m:sSubPr>
                              <m:ctrlPr>
                                <w:rPr>
                                  <w:rFonts w:ascii="Cambria Math" w:eastAsia="標楷體" w:hAnsi="Cambria Math" w:cstheme="minorHAnsi"/>
                                  <w:i/>
                                  <w:sz w:val="21"/>
                                  <w:szCs w:val="21"/>
                                </w:rPr>
                              </m:ctrlPr>
                            </m:sSubPr>
                            <m:e>
                              <m:r>
                                <w:rPr>
                                  <w:rFonts w:ascii="Cambria Math" w:eastAsia="標楷體" w:hAnsi="Cambria Math" w:cstheme="minorHAnsi"/>
                                  <w:sz w:val="21"/>
                                  <w:szCs w:val="21"/>
                                </w:rPr>
                                <m:t>S</m:t>
                              </m:r>
                            </m:e>
                            <m:sub>
                              <m:r>
                                <w:rPr>
                                  <w:rFonts w:ascii="Cambria Math" w:eastAsia="標楷體" w:hAnsi="Cambria Math" w:cstheme="minorHAnsi"/>
                                  <w:sz w:val="21"/>
                                  <w:szCs w:val="21"/>
                                </w:rPr>
                                <m:t>NM,k</m:t>
                              </m:r>
                            </m:sub>
                          </m:sSub>
                        </m:e>
                      </m:nary>
                      <m:ctrlPr>
                        <w:rPr>
                          <w:rFonts w:ascii="Cambria Math" w:eastAsia="標楷體" w:hAnsi="Cambria Math" w:cstheme="minorHAnsi"/>
                          <w:i/>
                          <w:sz w:val="21"/>
                          <w:szCs w:val="21"/>
                        </w:rPr>
                      </m:ctrlPr>
                    </m:e>
                  </m:d>
                  <m:ctrlPr>
                    <w:rPr>
                      <w:rFonts w:ascii="Cambria Math" w:eastAsia="標楷體" w:hAnsi="Cambria Math" w:cstheme="minorHAnsi"/>
                      <w:sz w:val="21"/>
                      <w:szCs w:val="21"/>
                    </w:rPr>
                  </m:ctrlPr>
                </m:e>
                <m:sup>
                  <m:r>
                    <w:rPr>
                      <w:rFonts w:ascii="Cambria Math" w:eastAsia="標楷體" w:hAnsi="Cambria Math" w:cstheme="minorHAnsi"/>
                      <w:sz w:val="21"/>
                      <w:szCs w:val="21"/>
                    </w:rPr>
                    <m:t>2</m:t>
                  </m:r>
                </m:sup>
              </m:sSup>
              <m:r>
                <w:rPr>
                  <w:rFonts w:ascii="Cambria Math" w:eastAsia="標楷體" w:hAnsi="Cambria Math" w:cstheme="minorHAnsi"/>
                  <w:sz w:val="21"/>
                  <w:szCs w:val="21"/>
                </w:rPr>
                <m:t>+</m:t>
              </m:r>
              <m:d>
                <m:dPr>
                  <m:ctrlPr>
                    <w:rPr>
                      <w:rFonts w:ascii="Cambria Math" w:eastAsia="標楷體" w:hAnsi="Cambria Math" w:cstheme="minorHAnsi"/>
                      <w:i/>
                      <w:sz w:val="21"/>
                      <w:szCs w:val="21"/>
                    </w:rPr>
                  </m:ctrlPr>
                </m:dPr>
                <m:e>
                  <m:r>
                    <w:rPr>
                      <w:rFonts w:ascii="Cambria Math" w:eastAsia="標楷體" w:hAnsi="Cambria Math" w:cstheme="minorHAnsi"/>
                      <w:sz w:val="21"/>
                      <w:szCs w:val="21"/>
                    </w:rPr>
                    <m:t>1-</m:t>
                  </m:r>
                  <m:sSup>
                    <m:sSupPr>
                      <m:ctrlPr>
                        <w:rPr>
                          <w:rFonts w:ascii="Cambria Math" w:eastAsia="標楷體" w:hAnsi="Cambria Math" w:cstheme="minorHAnsi"/>
                          <w:i/>
                          <w:sz w:val="21"/>
                          <w:szCs w:val="21"/>
                        </w:rPr>
                      </m:ctrlPr>
                    </m:sSupPr>
                    <m:e>
                      <m:r>
                        <w:rPr>
                          <w:rFonts w:ascii="Cambria Math" w:eastAsia="標楷體" w:hAnsi="Cambria Math" w:cstheme="minorHAnsi"/>
                          <w:sz w:val="21"/>
                          <w:szCs w:val="21"/>
                        </w:rPr>
                        <m:t>ρ</m:t>
                      </m:r>
                    </m:e>
                    <m:sup>
                      <m:r>
                        <w:rPr>
                          <w:rFonts w:ascii="Cambria Math" w:eastAsia="標楷體" w:hAnsi="Cambria Math" w:cstheme="minorHAnsi"/>
                          <w:sz w:val="21"/>
                          <w:szCs w:val="21"/>
                        </w:rPr>
                        <m:t>2</m:t>
                      </m:r>
                    </m:sup>
                  </m:sSup>
                </m:e>
              </m:d>
              <m:r>
                <w:rPr>
                  <w:rFonts w:ascii="Cambria Math" w:eastAsia="標楷體" w:hAnsi="Cambria Math" w:cstheme="minorHAnsi"/>
                  <w:sz w:val="21"/>
                  <w:szCs w:val="21"/>
                </w:rPr>
                <m:t>*</m:t>
              </m:r>
              <m:nary>
                <m:naryPr>
                  <m:chr m:val="∑"/>
                  <m:limLoc m:val="undOvr"/>
                  <m:ctrlPr>
                    <w:rPr>
                      <w:rFonts w:ascii="Cambria Math" w:eastAsia="標楷體" w:hAnsi="Cambria Math" w:cstheme="minorHAnsi"/>
                      <w:sz w:val="21"/>
                      <w:szCs w:val="21"/>
                    </w:rPr>
                  </m:ctrlPr>
                </m:naryPr>
                <m:sub>
                  <m:r>
                    <w:rPr>
                      <w:rFonts w:ascii="Cambria Math" w:eastAsia="標楷體" w:hAnsi="Cambria Math" w:cstheme="minorHAnsi"/>
                      <w:sz w:val="21"/>
                      <w:szCs w:val="21"/>
                    </w:rPr>
                    <m:t>k=1</m:t>
                  </m:r>
                </m:sub>
                <m:sup>
                  <m:r>
                    <w:rPr>
                      <w:rFonts w:ascii="Cambria Math" w:eastAsia="標楷體" w:hAnsi="Cambria Math" w:cstheme="minorHAnsi"/>
                      <w:sz w:val="21"/>
                      <w:szCs w:val="21"/>
                    </w:rPr>
                    <m:t>K</m:t>
                  </m:r>
                </m:sup>
                <m:e>
                  <m:sSubSup>
                    <m:sSubSupPr>
                      <m:ctrlPr>
                        <w:rPr>
                          <w:rFonts w:ascii="Cambria Math" w:eastAsia="標楷體" w:hAnsi="Cambria Math" w:cstheme="minorHAnsi"/>
                          <w:i/>
                          <w:sz w:val="21"/>
                          <w:szCs w:val="21"/>
                        </w:rPr>
                      </m:ctrlPr>
                    </m:sSubSupPr>
                    <m:e>
                      <m:r>
                        <w:rPr>
                          <w:rFonts w:ascii="Cambria Math" w:eastAsia="標楷體" w:hAnsi="Cambria Math" w:cstheme="minorHAnsi"/>
                          <w:sz w:val="21"/>
                          <w:szCs w:val="21"/>
                        </w:rPr>
                        <m:t>SES</m:t>
                      </m:r>
                    </m:e>
                    <m:sub>
                      <m:r>
                        <w:rPr>
                          <w:rFonts w:ascii="Cambria Math" w:eastAsia="標楷體" w:hAnsi="Cambria Math" w:cstheme="minorHAnsi"/>
                          <w:sz w:val="21"/>
                          <w:szCs w:val="21"/>
                        </w:rPr>
                        <m:t>NM,k</m:t>
                      </m:r>
                    </m:sub>
                    <m:sup>
                      <m:r>
                        <w:rPr>
                          <w:rFonts w:ascii="Cambria Math" w:eastAsia="標楷體" w:hAnsi="Cambria Math" w:cstheme="minorHAnsi"/>
                          <w:sz w:val="21"/>
                          <w:szCs w:val="21"/>
                        </w:rPr>
                        <m:t>2</m:t>
                      </m:r>
                    </m:sup>
                  </m:sSubSup>
                </m:e>
              </m:nary>
            </m:e>
          </m:rad>
        </m:oMath>
      </m:oMathPara>
    </w:p>
    <w:p w14:paraId="76CFDF0F" w14:textId="77777777" w:rsidR="000451E5" w:rsidRPr="00CA1A43" w:rsidRDefault="000451E5" w:rsidP="000451E5">
      <w:pPr>
        <w:spacing w:beforeLines="50" w:before="180"/>
        <w:ind w:left="964"/>
        <w:jc w:val="both"/>
        <w:rPr>
          <w:rFonts w:eastAsia="標楷體" w:cstheme="minorHAnsi"/>
          <w:szCs w:val="24"/>
        </w:rPr>
      </w:pPr>
      <w:r w:rsidRPr="00CA1A43">
        <w:rPr>
          <w:rFonts w:eastAsia="標楷體" w:cstheme="minorHAnsi"/>
          <w:szCs w:val="24"/>
        </w:rPr>
        <w:t>其中：</w:t>
      </w:r>
    </w:p>
    <w:p w14:paraId="1FAD3551" w14:textId="77777777" w:rsidR="000451E5" w:rsidRPr="00CA1A43" w:rsidRDefault="000451E5" w:rsidP="005066C2">
      <w:pPr>
        <w:pStyle w:val="a7"/>
        <w:numPr>
          <w:ilvl w:val="0"/>
          <w:numId w:val="303"/>
        </w:numPr>
        <w:spacing w:beforeLines="50" w:before="180"/>
        <w:ind w:leftChars="0" w:left="1446" w:hanging="482"/>
        <w:jc w:val="both"/>
        <w:rPr>
          <w:rFonts w:eastAsia="標楷體" w:cstheme="minorHAnsi"/>
          <w:szCs w:val="24"/>
        </w:rPr>
      </w:pPr>
      <w:r w:rsidRPr="00CA1A43">
        <w:rPr>
          <w:rFonts w:eastAsia="標楷體" w:cstheme="minorHAnsi"/>
          <w:i/>
          <w:szCs w:val="24"/>
        </w:rPr>
        <w:t>I</w:t>
      </w:r>
      <w:r w:rsidRPr="00CA1A43">
        <w:rPr>
          <w:rFonts w:eastAsia="標楷體" w:cstheme="minorHAnsi"/>
          <w:szCs w:val="24"/>
        </w:rPr>
        <w:t>為經證實可採用零相關性加總之非模型化獨特信用價差風險因子。</w:t>
      </w:r>
    </w:p>
    <w:p w14:paraId="52E3296F" w14:textId="77777777" w:rsidR="000451E5" w:rsidRPr="00CA1A43" w:rsidRDefault="000451E5" w:rsidP="005066C2">
      <w:pPr>
        <w:pStyle w:val="a7"/>
        <w:numPr>
          <w:ilvl w:val="0"/>
          <w:numId w:val="303"/>
        </w:numPr>
        <w:spacing w:beforeLines="50" w:before="180"/>
        <w:ind w:leftChars="0" w:left="1446" w:hanging="482"/>
        <w:jc w:val="both"/>
        <w:rPr>
          <w:rFonts w:eastAsia="標楷體" w:cstheme="minorHAnsi"/>
          <w:szCs w:val="24"/>
        </w:rPr>
      </w:pPr>
      <w:r w:rsidRPr="00CA1A43">
        <w:rPr>
          <w:rFonts w:eastAsia="標楷體" w:cstheme="minorHAnsi"/>
          <w:i/>
          <w:szCs w:val="24"/>
        </w:rPr>
        <w:t>J</w:t>
      </w:r>
      <w:r w:rsidRPr="00CA1A43">
        <w:rPr>
          <w:rFonts w:eastAsia="標楷體" w:cstheme="minorHAnsi"/>
          <w:szCs w:val="24"/>
        </w:rPr>
        <w:t>為經證實可採用零相關性加總之非模型化獨特權益證券風險因子。</w:t>
      </w:r>
    </w:p>
    <w:p w14:paraId="6FB96C53" w14:textId="77777777" w:rsidR="000451E5" w:rsidRPr="00CA1A43" w:rsidRDefault="000451E5" w:rsidP="005066C2">
      <w:pPr>
        <w:pStyle w:val="a7"/>
        <w:numPr>
          <w:ilvl w:val="0"/>
          <w:numId w:val="303"/>
        </w:numPr>
        <w:spacing w:beforeLines="50" w:before="180"/>
        <w:ind w:leftChars="0" w:left="1446" w:hanging="482"/>
        <w:jc w:val="both"/>
        <w:rPr>
          <w:rFonts w:eastAsia="標楷體" w:cstheme="minorHAnsi"/>
          <w:szCs w:val="24"/>
        </w:rPr>
      </w:pPr>
      <w:r w:rsidRPr="00CA1A43">
        <w:rPr>
          <w:rFonts w:eastAsia="標楷體" w:cstheme="minorHAnsi"/>
          <w:i/>
          <w:szCs w:val="24"/>
        </w:rPr>
        <w:t>K</w:t>
      </w:r>
      <w:r w:rsidRPr="00CA1A43">
        <w:rPr>
          <w:rFonts w:eastAsia="標楷體" w:cstheme="minorHAnsi"/>
          <w:szCs w:val="24"/>
        </w:rPr>
        <w:t>為其餘經核准採用內部模型法交易台內非模型化之風險因子。</w:t>
      </w:r>
    </w:p>
    <w:p w14:paraId="377DA6A9" w14:textId="77777777" w:rsidR="000451E5" w:rsidRPr="00CA1A43" w:rsidRDefault="000451E5" w:rsidP="005066C2">
      <w:pPr>
        <w:pStyle w:val="a7"/>
        <w:numPr>
          <w:ilvl w:val="0"/>
          <w:numId w:val="303"/>
        </w:numPr>
        <w:spacing w:beforeLines="50" w:before="180"/>
        <w:ind w:leftChars="0" w:left="1446" w:hanging="482"/>
        <w:jc w:val="both"/>
        <w:rPr>
          <w:rFonts w:eastAsia="標楷體" w:cstheme="minorHAnsi"/>
          <w:szCs w:val="24"/>
        </w:rPr>
      </w:pPr>
      <w:proofErr w:type="spellStart"/>
      <w:r w:rsidRPr="00CA1A43">
        <w:rPr>
          <w:rFonts w:eastAsia="標楷體" w:cstheme="minorHAnsi"/>
          <w:szCs w:val="24"/>
        </w:rPr>
        <w:t>ISES</w:t>
      </w:r>
      <w:r w:rsidRPr="00CA1A43">
        <w:rPr>
          <w:rFonts w:eastAsia="標楷體" w:cstheme="minorHAnsi"/>
          <w:szCs w:val="24"/>
          <w:vertAlign w:val="subscript"/>
        </w:rPr>
        <w:t>NM,i</w:t>
      </w:r>
      <w:proofErr w:type="spellEnd"/>
      <w:r w:rsidRPr="00CA1A43">
        <w:rPr>
          <w:rFonts w:eastAsia="標楷體" w:cstheme="minorHAnsi"/>
        </w:rPr>
        <w:t>為可採用</w:t>
      </w:r>
      <w:r w:rsidRPr="00CA1A43">
        <w:rPr>
          <w:rFonts w:eastAsia="標楷體" w:cstheme="minorHAnsi"/>
          <w:szCs w:val="24"/>
        </w:rPr>
        <w:t>零相關性加總之非模型化</w:t>
      </w:r>
      <w:r w:rsidRPr="00CA1A43">
        <w:rPr>
          <w:rFonts w:eastAsia="標楷體" w:cstheme="minorHAnsi"/>
        </w:rPr>
        <w:t>獨特性</w:t>
      </w:r>
      <w:r w:rsidRPr="00CA1A43">
        <w:rPr>
          <w:rFonts w:eastAsia="標楷體" w:cstheme="minorHAnsi"/>
          <w:szCs w:val="24"/>
        </w:rPr>
        <w:t>信用價差風險</w:t>
      </w:r>
      <w:r w:rsidRPr="00CA1A43">
        <w:rPr>
          <w:rFonts w:eastAsia="標楷體" w:cstheme="minorHAnsi"/>
        </w:rPr>
        <w:t>因子</w:t>
      </w:r>
      <w:proofErr w:type="spellStart"/>
      <w:r w:rsidRPr="00CA1A43">
        <w:rPr>
          <w:rFonts w:eastAsia="標楷體" w:cstheme="minorHAnsi"/>
          <w:i/>
          <w:szCs w:val="24"/>
        </w:rPr>
        <w:t>i</w:t>
      </w:r>
      <w:proofErr w:type="spellEnd"/>
      <w:r w:rsidRPr="00CA1A43">
        <w:rPr>
          <w:rFonts w:eastAsia="標楷體" w:cstheme="minorHAnsi"/>
          <w:szCs w:val="24"/>
        </w:rPr>
        <w:t>之壓力情境資本要求。</w:t>
      </w:r>
    </w:p>
    <w:p w14:paraId="6A6F7AA2" w14:textId="77777777" w:rsidR="000451E5" w:rsidRPr="00CA1A43" w:rsidRDefault="000451E5" w:rsidP="005066C2">
      <w:pPr>
        <w:pStyle w:val="a7"/>
        <w:numPr>
          <w:ilvl w:val="0"/>
          <w:numId w:val="303"/>
        </w:numPr>
        <w:spacing w:beforeLines="50" w:before="180"/>
        <w:ind w:leftChars="0" w:left="1446" w:hanging="482"/>
        <w:jc w:val="both"/>
        <w:rPr>
          <w:rFonts w:eastAsia="標楷體" w:cstheme="minorHAnsi"/>
          <w:szCs w:val="24"/>
        </w:rPr>
      </w:pPr>
      <w:proofErr w:type="spellStart"/>
      <w:r w:rsidRPr="00CA1A43">
        <w:rPr>
          <w:rFonts w:eastAsia="標楷體" w:cstheme="minorHAnsi"/>
          <w:szCs w:val="24"/>
        </w:rPr>
        <w:t>ISES</w:t>
      </w:r>
      <w:r w:rsidRPr="00CA1A43">
        <w:rPr>
          <w:rFonts w:eastAsia="標楷體" w:cstheme="minorHAnsi"/>
          <w:szCs w:val="24"/>
          <w:vertAlign w:val="subscript"/>
        </w:rPr>
        <w:t>NM,j</w:t>
      </w:r>
      <w:proofErr w:type="spellEnd"/>
      <w:r w:rsidRPr="00CA1A43">
        <w:rPr>
          <w:rFonts w:eastAsia="標楷體" w:cstheme="minorHAnsi"/>
          <w:szCs w:val="24"/>
        </w:rPr>
        <w:t>為可採用零相關性加總之非模型化獨特權益證券風險</w:t>
      </w:r>
      <w:r w:rsidRPr="00CA1A43">
        <w:rPr>
          <w:rFonts w:eastAsia="標楷體" w:cstheme="minorHAnsi"/>
          <w:szCs w:val="24"/>
        </w:rPr>
        <w:t>j</w:t>
      </w:r>
      <w:r w:rsidRPr="00CA1A43">
        <w:rPr>
          <w:rFonts w:eastAsia="標楷體" w:cstheme="minorHAnsi"/>
          <w:szCs w:val="24"/>
        </w:rPr>
        <w:t>之壓力情境資本要求。</w:t>
      </w:r>
    </w:p>
    <w:p w14:paraId="51C07F81" w14:textId="77777777" w:rsidR="000451E5" w:rsidRPr="00CA1A43" w:rsidRDefault="000451E5" w:rsidP="005066C2">
      <w:pPr>
        <w:pStyle w:val="a7"/>
        <w:numPr>
          <w:ilvl w:val="0"/>
          <w:numId w:val="303"/>
        </w:numPr>
        <w:spacing w:beforeLines="50" w:before="180"/>
        <w:ind w:leftChars="0" w:left="1446" w:hanging="482"/>
        <w:jc w:val="both"/>
        <w:rPr>
          <w:rFonts w:eastAsia="標楷體" w:cstheme="minorHAnsi"/>
          <w:szCs w:val="24"/>
        </w:rPr>
      </w:pPr>
      <w:proofErr w:type="spellStart"/>
      <w:r w:rsidRPr="00CA1A43">
        <w:rPr>
          <w:rFonts w:eastAsia="標楷體" w:cstheme="minorHAnsi"/>
          <w:szCs w:val="24"/>
        </w:rPr>
        <w:t>SES</w:t>
      </w:r>
      <w:r w:rsidRPr="00CA1A43">
        <w:rPr>
          <w:rFonts w:eastAsia="標楷體" w:cstheme="minorHAnsi"/>
          <w:szCs w:val="24"/>
          <w:vertAlign w:val="subscript"/>
        </w:rPr>
        <w:t>NM,k</w:t>
      </w:r>
      <w:proofErr w:type="spellEnd"/>
      <w:r w:rsidRPr="00CA1A43">
        <w:rPr>
          <w:rFonts w:eastAsia="標楷體" w:cstheme="minorHAnsi"/>
          <w:szCs w:val="24"/>
        </w:rPr>
        <w:t>為其餘非模型化風險</w:t>
      </w:r>
      <w:r w:rsidRPr="00CA1A43">
        <w:rPr>
          <w:rFonts w:eastAsia="標楷體" w:cstheme="minorHAnsi"/>
          <w:i/>
          <w:szCs w:val="24"/>
        </w:rPr>
        <w:t>k</w:t>
      </w:r>
      <w:r w:rsidRPr="00CA1A43">
        <w:rPr>
          <w:rFonts w:eastAsia="標楷體" w:cstheme="minorHAnsi"/>
          <w:szCs w:val="24"/>
        </w:rPr>
        <w:t>之壓力情境資本要求。</w:t>
      </w:r>
    </w:p>
    <w:p w14:paraId="60E84BDB" w14:textId="77777777" w:rsidR="000451E5" w:rsidRPr="00CA1A43" w:rsidRDefault="000451E5" w:rsidP="005066C2">
      <w:pPr>
        <w:pStyle w:val="a7"/>
        <w:numPr>
          <w:ilvl w:val="0"/>
          <w:numId w:val="303"/>
        </w:numPr>
        <w:spacing w:beforeLines="50" w:before="180"/>
        <w:ind w:leftChars="0" w:left="1446" w:hanging="482"/>
        <w:jc w:val="both"/>
        <w:rPr>
          <w:rFonts w:eastAsia="標楷體" w:cstheme="minorHAnsi"/>
          <w:szCs w:val="24"/>
        </w:rPr>
      </w:pPr>
      <w:r w:rsidRPr="00CA1A43">
        <w:rPr>
          <w:rFonts w:ascii="Cambria Math" w:eastAsia="標楷體" w:hAnsi="Cambria Math" w:cs="Cambria Math"/>
        </w:rPr>
        <w:t>𝜌</w:t>
      </w:r>
      <w:r w:rsidRPr="00CA1A43">
        <w:rPr>
          <w:rFonts w:eastAsia="標楷體" w:cstheme="minorHAnsi"/>
          <w:szCs w:val="24"/>
        </w:rPr>
        <w:t>等於</w:t>
      </w:r>
      <w:r w:rsidRPr="00CA1A43">
        <w:rPr>
          <w:rFonts w:eastAsia="標楷體" w:cstheme="minorHAnsi"/>
        </w:rPr>
        <w:t>0.6</w:t>
      </w:r>
      <w:r w:rsidRPr="00CA1A43">
        <w:rPr>
          <w:rFonts w:eastAsia="標楷體" w:cstheme="minorHAnsi"/>
        </w:rPr>
        <w:t>。</w:t>
      </w:r>
    </w:p>
    <w:p w14:paraId="4AB30226" w14:textId="77777777" w:rsidR="000451E5" w:rsidRPr="00CA1A43" w:rsidRDefault="000451E5" w:rsidP="005066C2">
      <w:pPr>
        <w:pStyle w:val="a7"/>
        <w:numPr>
          <w:ilvl w:val="0"/>
          <w:numId w:val="302"/>
        </w:numPr>
        <w:spacing w:beforeLines="50" w:before="180"/>
        <w:ind w:leftChars="0" w:left="964" w:hanging="482"/>
        <w:jc w:val="both"/>
        <w:rPr>
          <w:rFonts w:eastAsia="標楷體" w:cstheme="minorHAnsi"/>
          <w:szCs w:val="24"/>
        </w:rPr>
      </w:pPr>
      <w:r w:rsidRPr="00CA1A43">
        <w:rPr>
          <w:rFonts w:eastAsia="標楷體" w:cstheme="minorHAnsi"/>
          <w:szCs w:val="24"/>
        </w:rPr>
        <w:t>各非模型化風險因子</w:t>
      </w:r>
      <w:r w:rsidRPr="00CA1A43">
        <w:rPr>
          <w:rFonts w:eastAsia="標楷體" w:cstheme="minorHAnsi"/>
          <w:szCs w:val="24"/>
        </w:rPr>
        <w:t>(NMRF)</w:t>
      </w:r>
      <w:r w:rsidRPr="00CA1A43">
        <w:rPr>
          <w:rFonts w:eastAsia="標楷體" w:cstheme="minorHAnsi"/>
          <w:szCs w:val="24"/>
        </w:rPr>
        <w:t>之壓力情境變現期間必須參照</w:t>
      </w:r>
      <w:r w:rsidRPr="00CA1A43">
        <w:rPr>
          <w:rFonts w:eastAsia="標楷體" w:cstheme="minorHAnsi"/>
        </w:rPr>
        <w:t>前述表</w:t>
      </w:r>
      <w:r w:rsidRPr="00CA1A43">
        <w:rPr>
          <w:rFonts w:eastAsia="標楷體" w:cstheme="minorHAnsi"/>
        </w:rPr>
        <w:t>2</w:t>
      </w:r>
      <w:r w:rsidR="00535065">
        <w:rPr>
          <w:rFonts w:eastAsia="標楷體" w:cstheme="minorHAnsi" w:hint="eastAsia"/>
        </w:rPr>
        <w:t>9</w:t>
      </w:r>
      <w:r w:rsidRPr="00CA1A43">
        <w:rPr>
          <w:rFonts w:eastAsia="標楷體" w:cstheme="minorHAnsi"/>
        </w:rPr>
        <w:t>定義之各風險因子變現期間</w:t>
      </w:r>
      <w:r w:rsidRPr="00CA1A43">
        <w:rPr>
          <w:rFonts w:eastAsia="標楷體" w:cstheme="minorHAnsi"/>
          <w:szCs w:val="24"/>
        </w:rPr>
        <w:t>與</w:t>
      </w:r>
      <w:proofErr w:type="gramStart"/>
      <w:r w:rsidRPr="00CA1A43">
        <w:rPr>
          <w:rFonts w:eastAsia="標楷體" w:cstheme="minorHAnsi"/>
          <w:szCs w:val="24"/>
        </w:rPr>
        <w:t>20</w:t>
      </w:r>
      <w:r w:rsidRPr="00CA1A43">
        <w:rPr>
          <w:rFonts w:eastAsia="標楷體" w:cstheme="minorHAnsi"/>
          <w:szCs w:val="24"/>
        </w:rPr>
        <w:t>天間取較</w:t>
      </w:r>
      <w:proofErr w:type="gramEnd"/>
      <w:r w:rsidRPr="00CA1A43">
        <w:rPr>
          <w:rFonts w:eastAsia="標楷體" w:cstheme="minorHAnsi"/>
          <w:szCs w:val="24"/>
        </w:rPr>
        <w:t>大者，但</w:t>
      </w:r>
      <w:r w:rsidRPr="00CA1A43">
        <w:rPr>
          <w:rFonts w:eastAsia="標楷體" w:cstheme="minorHAnsi"/>
        </w:rPr>
        <w:t>本會得依情況要求銀行採取</w:t>
      </w:r>
      <w:r w:rsidRPr="00CA1A43">
        <w:rPr>
          <w:rFonts w:eastAsia="標楷體" w:cstheme="minorHAnsi"/>
          <w:szCs w:val="24"/>
        </w:rPr>
        <w:t>更長的變現期間。</w:t>
      </w:r>
    </w:p>
    <w:p w14:paraId="506653BB" w14:textId="77777777" w:rsidR="000F1707" w:rsidRPr="00CA1A43" w:rsidRDefault="000451E5" w:rsidP="005066C2">
      <w:pPr>
        <w:pStyle w:val="a7"/>
        <w:numPr>
          <w:ilvl w:val="0"/>
          <w:numId w:val="302"/>
        </w:numPr>
        <w:spacing w:beforeLines="50" w:before="180"/>
        <w:ind w:leftChars="0" w:left="964" w:hanging="482"/>
        <w:jc w:val="both"/>
        <w:rPr>
          <w:rFonts w:eastAsia="標楷體" w:cstheme="minorHAnsi"/>
          <w:kern w:val="0"/>
          <w:szCs w:val="24"/>
        </w:rPr>
      </w:pPr>
      <w:r w:rsidRPr="00CA1A43">
        <w:rPr>
          <w:rFonts w:eastAsia="標楷體" w:cstheme="minorHAnsi"/>
          <w:szCs w:val="24"/>
        </w:rPr>
        <w:lastRenderedPageBreak/>
        <w:t>若壓力情境未經</w:t>
      </w:r>
      <w:r w:rsidRPr="00CA1A43">
        <w:rPr>
          <w:rFonts w:eastAsia="標楷體" w:cstheme="minorHAnsi"/>
        </w:rPr>
        <w:t>本會</w:t>
      </w:r>
      <w:r w:rsidRPr="00CA1A43">
        <w:rPr>
          <w:rFonts w:eastAsia="標楷體" w:cstheme="minorHAnsi"/>
          <w:szCs w:val="24"/>
        </w:rPr>
        <w:t>核可，銀行必須採用最大可能損失作為壓力情境。</w:t>
      </w:r>
    </w:p>
    <w:p w14:paraId="00A7044E" w14:textId="77777777" w:rsidR="000451E5" w:rsidRPr="00CA1A43" w:rsidRDefault="000451E5" w:rsidP="005066C2">
      <w:pPr>
        <w:pStyle w:val="a7"/>
        <w:numPr>
          <w:ilvl w:val="0"/>
          <w:numId w:val="299"/>
        </w:numPr>
        <w:spacing w:beforeLines="50" w:before="180"/>
        <w:ind w:leftChars="0" w:left="737" w:hanging="737"/>
        <w:jc w:val="both"/>
        <w:rPr>
          <w:rFonts w:eastAsia="標楷體" w:cstheme="minorHAnsi"/>
          <w:szCs w:val="24"/>
        </w:rPr>
      </w:pPr>
      <w:r w:rsidRPr="00CA1A43">
        <w:rPr>
          <w:rFonts w:eastAsia="標楷體" w:cstheme="minorHAnsi"/>
          <w:szCs w:val="24"/>
        </w:rPr>
        <w:t>違約風險之資本計提</w:t>
      </w:r>
    </w:p>
    <w:p w14:paraId="225CCFDF" w14:textId="77777777" w:rsidR="000451E5" w:rsidRPr="00CA1A43" w:rsidRDefault="000451E5" w:rsidP="000451E5">
      <w:pPr>
        <w:pStyle w:val="a7"/>
        <w:spacing w:beforeLines="50" w:before="180"/>
        <w:ind w:leftChars="0" w:left="737"/>
        <w:jc w:val="both"/>
        <w:rPr>
          <w:rFonts w:eastAsia="標楷體" w:cstheme="minorHAnsi"/>
        </w:rPr>
      </w:pPr>
      <w:r w:rsidRPr="00CA1A43">
        <w:rPr>
          <w:rFonts w:eastAsia="標楷體" w:cstheme="minorHAnsi"/>
        </w:rPr>
        <w:t>銀行須具備獨立的內部模型以衡量</w:t>
      </w:r>
      <w:r w:rsidRPr="00CA1A43">
        <w:rPr>
          <w:rFonts w:eastAsia="標楷體" w:cstheme="minorHAnsi"/>
          <w:szCs w:val="24"/>
        </w:rPr>
        <w:t>交易</w:t>
      </w:r>
      <w:proofErr w:type="gramStart"/>
      <w:r w:rsidRPr="00CA1A43">
        <w:rPr>
          <w:rFonts w:eastAsia="標楷體" w:cstheme="minorHAnsi"/>
        </w:rPr>
        <w:t>簿</w:t>
      </w:r>
      <w:proofErr w:type="gramEnd"/>
      <w:r w:rsidRPr="00CA1A43">
        <w:rPr>
          <w:rFonts w:eastAsia="標楷體" w:cstheme="minorHAnsi"/>
        </w:rPr>
        <w:t>部位之違約風險。違約風險模型必須遵循本計算說明市場風險內部模型法之一般性標準及質化標準，說明如下：</w:t>
      </w:r>
    </w:p>
    <w:p w14:paraId="5D9F65F1" w14:textId="77777777" w:rsidR="000451E5" w:rsidRPr="00CA1A43" w:rsidRDefault="000451E5" w:rsidP="005066C2">
      <w:pPr>
        <w:pStyle w:val="a7"/>
        <w:numPr>
          <w:ilvl w:val="0"/>
          <w:numId w:val="304"/>
        </w:numPr>
        <w:spacing w:beforeLines="50" w:before="180"/>
        <w:ind w:leftChars="0" w:left="964" w:hanging="482"/>
        <w:jc w:val="both"/>
        <w:rPr>
          <w:rFonts w:eastAsia="標楷體" w:cstheme="minorHAnsi"/>
        </w:rPr>
      </w:pPr>
      <w:r w:rsidRPr="00CA1A43">
        <w:rPr>
          <w:rFonts w:eastAsia="標楷體" w:cstheme="minorHAnsi"/>
        </w:rPr>
        <w:t>違約風險係指債務人違約造成的直接損失，也包括可能由違約事件引發的潛在間接損失。</w:t>
      </w:r>
    </w:p>
    <w:p w14:paraId="4716C247" w14:textId="77777777" w:rsidR="000451E5" w:rsidRPr="00CA1A43" w:rsidRDefault="000451E5" w:rsidP="005066C2">
      <w:pPr>
        <w:pStyle w:val="a7"/>
        <w:numPr>
          <w:ilvl w:val="0"/>
          <w:numId w:val="304"/>
        </w:numPr>
        <w:spacing w:beforeLines="50" w:before="180"/>
        <w:ind w:leftChars="0" w:left="964" w:hanging="482"/>
        <w:jc w:val="both"/>
        <w:rPr>
          <w:rFonts w:eastAsia="標楷體" w:cstheme="minorHAnsi"/>
          <w:kern w:val="0"/>
          <w:szCs w:val="24"/>
        </w:rPr>
      </w:pPr>
      <w:r w:rsidRPr="00CA1A43">
        <w:rPr>
          <w:rFonts w:eastAsia="標楷體" w:cstheme="minorHAnsi"/>
        </w:rPr>
        <w:t>違約風險必須使用風險值模型衡量，詳述如下：</w:t>
      </w:r>
    </w:p>
    <w:p w14:paraId="4F27F95B" w14:textId="77777777" w:rsidR="000451E5" w:rsidRPr="00CA1A43" w:rsidRDefault="000451E5" w:rsidP="005066C2">
      <w:pPr>
        <w:pStyle w:val="a7"/>
        <w:numPr>
          <w:ilvl w:val="0"/>
          <w:numId w:val="305"/>
        </w:numPr>
        <w:spacing w:beforeLines="50" w:before="180"/>
        <w:ind w:leftChars="0" w:left="1446" w:hanging="482"/>
        <w:jc w:val="both"/>
        <w:rPr>
          <w:rFonts w:eastAsia="標楷體" w:cstheme="minorHAnsi"/>
        </w:rPr>
      </w:pPr>
      <w:r w:rsidRPr="00CA1A43">
        <w:rPr>
          <w:rFonts w:eastAsia="標楷體" w:cstheme="minorHAnsi"/>
        </w:rPr>
        <w:t>銀行必須使用具備兩種系統性風險因子的模擬模型。</w:t>
      </w:r>
    </w:p>
    <w:p w14:paraId="4B95F08C" w14:textId="77777777" w:rsidR="000451E5" w:rsidRPr="00CA1A43" w:rsidRDefault="000451E5" w:rsidP="005066C2">
      <w:pPr>
        <w:pStyle w:val="a7"/>
        <w:numPr>
          <w:ilvl w:val="0"/>
          <w:numId w:val="305"/>
        </w:numPr>
        <w:spacing w:beforeLines="50" w:before="180"/>
        <w:ind w:leftChars="0" w:left="1446" w:hanging="482"/>
        <w:jc w:val="both"/>
        <w:rPr>
          <w:rFonts w:eastAsia="標楷體" w:cstheme="minorHAnsi"/>
          <w:kern w:val="0"/>
          <w:szCs w:val="24"/>
        </w:rPr>
      </w:pPr>
      <w:r w:rsidRPr="00CA1A43">
        <w:rPr>
          <w:rFonts w:eastAsia="標楷體" w:cstheme="minorHAnsi"/>
        </w:rPr>
        <w:t>銀行必須基於信用價差或權益證券公開市場報價產出違約相關性。</w:t>
      </w:r>
      <w:r w:rsidRPr="00CA1A43">
        <w:rPr>
          <w:rFonts w:eastAsia="標楷體" w:cstheme="minorHAnsi"/>
          <w:szCs w:val="24"/>
        </w:rPr>
        <w:t>違約相關性</w:t>
      </w:r>
      <w:r w:rsidRPr="00CA1A43">
        <w:rPr>
          <w:rFonts w:eastAsia="標楷體" w:cstheme="minorHAnsi"/>
        </w:rPr>
        <w:t>必須基於</w:t>
      </w:r>
      <w:r w:rsidRPr="00CA1A43">
        <w:rPr>
          <w:rFonts w:eastAsia="標楷體" w:cstheme="minorHAnsi"/>
        </w:rPr>
        <w:t>1</w:t>
      </w:r>
      <w:r w:rsidRPr="00CA1A43">
        <w:rPr>
          <w:rFonts w:eastAsia="標楷體" w:cstheme="minorHAnsi"/>
        </w:rPr>
        <w:t>年之變現</w:t>
      </w:r>
      <w:proofErr w:type="gramStart"/>
      <w:r w:rsidRPr="00CA1A43">
        <w:rPr>
          <w:rFonts w:eastAsia="標楷體" w:cstheme="minorHAnsi"/>
        </w:rPr>
        <w:t>期間，</w:t>
      </w:r>
      <w:proofErr w:type="gramEnd"/>
      <w:r w:rsidRPr="00CA1A43">
        <w:rPr>
          <w:rFonts w:eastAsia="標楷體" w:cstheme="minorHAnsi"/>
        </w:rPr>
        <w:t>且透過至少</w:t>
      </w:r>
      <w:r w:rsidRPr="00CA1A43">
        <w:rPr>
          <w:rFonts w:eastAsia="標楷體" w:cstheme="minorHAnsi"/>
        </w:rPr>
        <w:t>10</w:t>
      </w:r>
      <w:r w:rsidRPr="00CA1A43">
        <w:rPr>
          <w:rFonts w:eastAsia="標楷體" w:cstheme="minorHAnsi"/>
        </w:rPr>
        <w:t>年數據資料計算而得，該數據資料必需涵蓋銀行計算預期短缺時使用之壓力期間。</w:t>
      </w:r>
    </w:p>
    <w:p w14:paraId="523A188E" w14:textId="77777777" w:rsidR="000451E5" w:rsidRPr="00CA1A43" w:rsidRDefault="000451E5" w:rsidP="005066C2">
      <w:pPr>
        <w:pStyle w:val="a7"/>
        <w:numPr>
          <w:ilvl w:val="0"/>
          <w:numId w:val="305"/>
        </w:numPr>
        <w:spacing w:beforeLines="50" w:before="180"/>
        <w:ind w:leftChars="0" w:left="1446" w:hanging="482"/>
        <w:jc w:val="both"/>
        <w:rPr>
          <w:rFonts w:eastAsia="標楷體" w:cstheme="minorHAnsi"/>
          <w:kern w:val="0"/>
          <w:szCs w:val="24"/>
        </w:rPr>
      </w:pPr>
      <w:r w:rsidRPr="00CA1A43">
        <w:rPr>
          <w:rFonts w:eastAsia="標楷體" w:cstheme="minorHAnsi"/>
        </w:rPr>
        <w:t>銀行必須具備明確的政策及準則，以詳盡記載相關性校準過程，特別是信用價差或權益證券價格之使用情況。</w:t>
      </w:r>
    </w:p>
    <w:p w14:paraId="19CCD66E" w14:textId="77777777" w:rsidR="000451E5" w:rsidRPr="00CA1A43" w:rsidRDefault="000451E5" w:rsidP="005066C2">
      <w:pPr>
        <w:pStyle w:val="a7"/>
        <w:numPr>
          <w:ilvl w:val="0"/>
          <w:numId w:val="305"/>
        </w:numPr>
        <w:spacing w:beforeLines="50" w:before="180"/>
        <w:ind w:leftChars="0" w:left="1446" w:hanging="482"/>
        <w:jc w:val="both"/>
        <w:rPr>
          <w:rFonts w:eastAsia="標楷體" w:cstheme="minorHAnsi"/>
          <w:kern w:val="0"/>
          <w:szCs w:val="24"/>
        </w:rPr>
      </w:pPr>
      <w:r w:rsidRPr="00CA1A43">
        <w:rPr>
          <w:rFonts w:eastAsia="標楷體" w:cstheme="minorHAnsi"/>
        </w:rPr>
        <w:t>針對權益證券子組合</w:t>
      </w:r>
      <w:r w:rsidRPr="00CA1A43">
        <w:rPr>
          <w:rFonts w:eastAsia="標楷體" w:cstheme="minorHAnsi"/>
          <w:szCs w:val="24"/>
        </w:rPr>
        <w:t>之</w:t>
      </w:r>
      <w:r w:rsidRPr="00CA1A43">
        <w:rPr>
          <w:rFonts w:eastAsia="標楷體" w:cstheme="minorHAnsi"/>
        </w:rPr>
        <w:t>違約風險性資本要求銀行可自行決定改</w:t>
      </w:r>
      <w:proofErr w:type="gramStart"/>
      <w:r w:rsidRPr="00CA1A43">
        <w:rPr>
          <w:rFonts w:eastAsia="標楷體" w:cstheme="minorHAnsi"/>
        </w:rPr>
        <w:t>採</w:t>
      </w:r>
      <w:proofErr w:type="gramEnd"/>
      <w:r w:rsidRPr="00CA1A43">
        <w:rPr>
          <w:rFonts w:eastAsia="標楷體" w:cstheme="minorHAnsi"/>
        </w:rPr>
        <w:t>60</w:t>
      </w:r>
      <w:r w:rsidRPr="00CA1A43">
        <w:rPr>
          <w:rFonts w:eastAsia="標楷體" w:cstheme="minorHAnsi"/>
        </w:rPr>
        <w:t>天的變現期間。</w:t>
      </w:r>
    </w:p>
    <w:p w14:paraId="624B0171" w14:textId="77777777" w:rsidR="000451E5" w:rsidRPr="00CA1A43" w:rsidRDefault="000451E5" w:rsidP="005066C2">
      <w:pPr>
        <w:pStyle w:val="a7"/>
        <w:numPr>
          <w:ilvl w:val="0"/>
          <w:numId w:val="305"/>
        </w:numPr>
        <w:spacing w:beforeLines="50" w:before="180"/>
        <w:ind w:leftChars="0" w:left="1446" w:hanging="482"/>
        <w:jc w:val="both"/>
        <w:rPr>
          <w:rFonts w:eastAsia="標楷體" w:cstheme="minorHAnsi"/>
        </w:rPr>
      </w:pPr>
      <w:r w:rsidRPr="00CA1A43">
        <w:rPr>
          <w:rFonts w:eastAsia="標楷體" w:cstheme="minorHAnsi"/>
        </w:rPr>
        <w:t>風險值必須每週依</w:t>
      </w:r>
      <w:r w:rsidRPr="00CA1A43">
        <w:rPr>
          <w:rFonts w:eastAsia="標楷體" w:cstheme="minorHAnsi"/>
        </w:rPr>
        <w:t xml:space="preserve"> 99.9% </w:t>
      </w:r>
      <w:proofErr w:type="gramStart"/>
      <w:r w:rsidRPr="00CA1A43">
        <w:rPr>
          <w:rFonts w:eastAsia="標楷體" w:cstheme="minorHAnsi"/>
        </w:rPr>
        <w:t>單尾信賴</w:t>
      </w:r>
      <w:proofErr w:type="gramEnd"/>
      <w:r w:rsidRPr="00CA1A43">
        <w:rPr>
          <w:rFonts w:eastAsia="標楷體" w:cstheme="minorHAnsi"/>
        </w:rPr>
        <w:t>水準下之</w:t>
      </w:r>
      <w:r w:rsidRPr="00CA1A43">
        <w:rPr>
          <w:rFonts w:eastAsia="標楷體" w:cstheme="minorHAnsi"/>
        </w:rPr>
        <w:t>1</w:t>
      </w:r>
      <w:r w:rsidRPr="00CA1A43">
        <w:rPr>
          <w:rFonts w:eastAsia="標楷體" w:cstheme="minorHAnsi"/>
        </w:rPr>
        <w:t>年持有期間標準計算。</w:t>
      </w:r>
    </w:p>
    <w:p w14:paraId="728330D4" w14:textId="77777777" w:rsidR="000451E5" w:rsidRPr="00CA1A43" w:rsidRDefault="000451E5" w:rsidP="005066C2">
      <w:pPr>
        <w:pStyle w:val="a7"/>
        <w:numPr>
          <w:ilvl w:val="0"/>
          <w:numId w:val="305"/>
        </w:numPr>
        <w:spacing w:beforeLines="50" w:before="180"/>
        <w:ind w:leftChars="0" w:left="1446" w:hanging="482"/>
        <w:jc w:val="both"/>
        <w:rPr>
          <w:rFonts w:eastAsia="標楷體" w:cstheme="minorHAnsi"/>
        </w:rPr>
      </w:pPr>
      <w:r w:rsidRPr="00CA1A43">
        <w:rPr>
          <w:rFonts w:eastAsia="標楷體" w:cstheme="minorHAnsi"/>
        </w:rPr>
        <w:t>若是對權益證券子組合進行單獨計算，且該交易台主要處理權益</w:t>
      </w:r>
      <w:proofErr w:type="gramStart"/>
      <w:r w:rsidRPr="00CA1A43">
        <w:rPr>
          <w:rFonts w:eastAsia="標楷體" w:cstheme="minorHAnsi"/>
        </w:rPr>
        <w:t>證券暴險</w:t>
      </w:r>
      <w:proofErr w:type="gramEnd"/>
      <w:r w:rsidRPr="00CA1A43">
        <w:rPr>
          <w:rFonts w:eastAsia="標楷體" w:cstheme="minorHAnsi"/>
        </w:rPr>
        <w:t>，則銀行被允許使用</w:t>
      </w:r>
      <w:r w:rsidRPr="00CA1A43">
        <w:rPr>
          <w:rFonts w:eastAsia="標楷體" w:cstheme="minorHAnsi"/>
        </w:rPr>
        <w:t>60</w:t>
      </w:r>
      <w:r w:rsidRPr="00CA1A43">
        <w:rPr>
          <w:rFonts w:eastAsia="標楷體" w:cstheme="minorHAnsi"/>
        </w:rPr>
        <w:t>天變現期間校準相關性；若一交易台同時處理權益證券和</w:t>
      </w:r>
      <w:proofErr w:type="gramStart"/>
      <w:r w:rsidRPr="00CA1A43">
        <w:rPr>
          <w:rFonts w:eastAsia="標楷體" w:cstheme="minorHAnsi"/>
        </w:rPr>
        <w:t>債券暴險</w:t>
      </w:r>
      <w:proofErr w:type="gramEnd"/>
      <w:r w:rsidRPr="00CA1A43">
        <w:rPr>
          <w:rFonts w:eastAsia="標楷體" w:cstheme="minorHAnsi"/>
        </w:rPr>
        <w:t>，其兩者的違約風險需要聯合計算，其相關性必須以一年變現期間進行校準。</w:t>
      </w:r>
    </w:p>
    <w:p w14:paraId="2DF51A9F" w14:textId="77777777" w:rsidR="000451E5" w:rsidRPr="00CA1A43" w:rsidRDefault="000451E5" w:rsidP="005066C2">
      <w:pPr>
        <w:pStyle w:val="a7"/>
        <w:numPr>
          <w:ilvl w:val="0"/>
          <w:numId w:val="304"/>
        </w:numPr>
        <w:spacing w:beforeLines="50" w:before="180"/>
        <w:ind w:leftChars="0" w:left="964" w:hanging="482"/>
        <w:jc w:val="both"/>
        <w:rPr>
          <w:rFonts w:eastAsia="標楷體" w:cstheme="minorHAnsi"/>
          <w:kern w:val="0"/>
          <w:szCs w:val="24"/>
        </w:rPr>
      </w:pPr>
      <w:r w:rsidRPr="00CA1A43">
        <w:rPr>
          <w:rFonts w:eastAsia="標楷體" w:cstheme="minorHAnsi"/>
        </w:rPr>
        <w:t>違約風險資本計提模型要求如下：</w:t>
      </w:r>
    </w:p>
    <w:p w14:paraId="2F0B04ED" w14:textId="4781AD72" w:rsidR="000451E5" w:rsidRPr="00CA1A43" w:rsidRDefault="000451E5" w:rsidP="005066C2">
      <w:pPr>
        <w:pStyle w:val="a7"/>
        <w:numPr>
          <w:ilvl w:val="0"/>
          <w:numId w:val="306"/>
        </w:numPr>
        <w:spacing w:beforeLines="50" w:before="180"/>
        <w:ind w:leftChars="0" w:left="1446" w:hanging="482"/>
        <w:jc w:val="both"/>
        <w:rPr>
          <w:rFonts w:eastAsia="標楷體" w:cstheme="minorHAnsi"/>
          <w:szCs w:val="24"/>
        </w:rPr>
      </w:pPr>
      <w:r w:rsidRPr="00CA1A43">
        <w:rPr>
          <w:rFonts w:eastAsia="標楷體" w:cstheme="minorHAnsi"/>
        </w:rPr>
        <w:t>模型須能反應同一債務人</w:t>
      </w:r>
      <w:proofErr w:type="gramStart"/>
      <w:r w:rsidRPr="00CA1A43">
        <w:rPr>
          <w:rFonts w:eastAsia="標楷體" w:cstheme="minorHAnsi"/>
        </w:rPr>
        <w:t>長短暴險之</w:t>
      </w:r>
      <w:proofErr w:type="gramEnd"/>
      <w:r w:rsidRPr="00CA1A43">
        <w:rPr>
          <w:rFonts w:eastAsia="標楷體" w:cstheme="minorHAnsi"/>
        </w:rPr>
        <w:t>互抵效果，如果</w:t>
      </w:r>
      <w:proofErr w:type="gramStart"/>
      <w:r w:rsidRPr="00CA1A43">
        <w:rPr>
          <w:rFonts w:eastAsia="標楷體" w:cstheme="minorHAnsi"/>
        </w:rPr>
        <w:t>該暴險</w:t>
      </w:r>
      <w:proofErr w:type="gramEnd"/>
      <w:r w:rsidRPr="00CA1A43">
        <w:rPr>
          <w:rFonts w:eastAsia="標楷體" w:cstheme="minorHAnsi"/>
        </w:rPr>
        <w:t>涉及不</w:t>
      </w:r>
      <w:r w:rsidRPr="0009164F">
        <w:rPr>
          <w:rFonts w:eastAsia="標楷體" w:cstheme="minorHAnsi"/>
        </w:rPr>
        <w:t>同</w:t>
      </w:r>
      <w:r w:rsidR="009653EE" w:rsidRPr="0009164F">
        <w:rPr>
          <w:rFonts w:eastAsia="標楷體" w:cstheme="minorHAnsi"/>
        </w:rPr>
        <w:t>工具</w:t>
      </w:r>
      <w:r w:rsidRPr="0009164F">
        <w:rPr>
          <w:rFonts w:eastAsia="標楷體" w:cstheme="minorHAnsi"/>
        </w:rPr>
        <w:t>，</w:t>
      </w:r>
      <w:proofErr w:type="gramStart"/>
      <w:r w:rsidRPr="0009164F">
        <w:rPr>
          <w:rFonts w:eastAsia="標楷體" w:cstheme="minorHAnsi"/>
        </w:rPr>
        <w:t>則抵減</w:t>
      </w:r>
      <w:proofErr w:type="gramEnd"/>
      <w:r w:rsidRPr="0009164F">
        <w:rPr>
          <w:rFonts w:eastAsia="標楷體" w:cstheme="minorHAnsi"/>
        </w:rPr>
        <w:t>效果須考量</w:t>
      </w:r>
      <w:r w:rsidR="009653EE" w:rsidRPr="0009164F">
        <w:rPr>
          <w:rFonts w:eastAsia="標楷體" w:cstheme="minorHAnsi"/>
        </w:rPr>
        <w:t>工具</w:t>
      </w:r>
      <w:r w:rsidRPr="0009164F">
        <w:rPr>
          <w:rFonts w:eastAsia="標楷體" w:cstheme="minorHAnsi"/>
        </w:rPr>
        <w:t>間</w:t>
      </w:r>
      <w:r w:rsidRPr="00CA1A43">
        <w:rPr>
          <w:rFonts w:eastAsia="標楷體" w:cstheme="minorHAnsi"/>
        </w:rPr>
        <w:t>損失不同之情事</w:t>
      </w:r>
      <w:r w:rsidRPr="00CA1A43">
        <w:rPr>
          <w:rFonts w:eastAsia="標楷體" w:cstheme="minorHAnsi"/>
        </w:rPr>
        <w:t>(</w:t>
      </w:r>
      <w:r w:rsidRPr="00CA1A43">
        <w:rPr>
          <w:rFonts w:eastAsia="標楷體" w:cstheme="minorHAnsi"/>
        </w:rPr>
        <w:t>例如：優先求償順位不同</w:t>
      </w:r>
      <w:r w:rsidRPr="00CA1A43">
        <w:rPr>
          <w:rFonts w:eastAsia="標楷體" w:cstheme="minorHAnsi"/>
        </w:rPr>
        <w:t>)</w:t>
      </w:r>
      <w:r w:rsidRPr="00CA1A43">
        <w:rPr>
          <w:rFonts w:eastAsia="標楷體" w:cstheme="minorHAnsi"/>
        </w:rPr>
        <w:t>。</w:t>
      </w:r>
    </w:p>
    <w:p w14:paraId="54C8D6A8" w14:textId="77777777" w:rsidR="000451E5" w:rsidRPr="00CA1A43" w:rsidRDefault="000451E5" w:rsidP="005066C2">
      <w:pPr>
        <w:pStyle w:val="a7"/>
        <w:numPr>
          <w:ilvl w:val="0"/>
          <w:numId w:val="306"/>
        </w:numPr>
        <w:spacing w:beforeLines="50" w:before="180"/>
        <w:ind w:leftChars="0" w:left="1446" w:hanging="482"/>
        <w:jc w:val="both"/>
        <w:rPr>
          <w:rFonts w:eastAsia="標楷體" w:cstheme="minorHAnsi"/>
          <w:szCs w:val="24"/>
        </w:rPr>
      </w:pPr>
      <w:r w:rsidRPr="00CA1A43">
        <w:rPr>
          <w:rFonts w:eastAsia="標楷體" w:cstheme="minorHAnsi"/>
        </w:rPr>
        <w:t>模型須能明確納入不同債務人長短</w:t>
      </w:r>
      <w:proofErr w:type="gramStart"/>
      <w:r w:rsidRPr="00CA1A43">
        <w:rPr>
          <w:rFonts w:eastAsia="標楷體" w:cstheme="minorHAnsi"/>
        </w:rPr>
        <w:t>暴險間之基差</w:t>
      </w:r>
      <w:proofErr w:type="gramEnd"/>
      <w:r w:rsidRPr="00CA1A43">
        <w:rPr>
          <w:rFonts w:eastAsia="標楷體" w:cstheme="minorHAnsi"/>
        </w:rPr>
        <w:t>風險，以反應不同債務人間</w:t>
      </w:r>
      <w:proofErr w:type="gramStart"/>
      <w:r w:rsidRPr="00CA1A43">
        <w:rPr>
          <w:rFonts w:eastAsia="標楷體" w:cstheme="minorHAnsi"/>
        </w:rPr>
        <w:t>長短暴險之</w:t>
      </w:r>
      <w:proofErr w:type="gramEnd"/>
      <w:r w:rsidRPr="00CA1A43">
        <w:rPr>
          <w:rFonts w:eastAsia="標楷體" w:cstheme="minorHAnsi"/>
        </w:rPr>
        <w:t>互抵效果。除上述第</w:t>
      </w:r>
      <w:r w:rsidRPr="00CA1A43">
        <w:rPr>
          <w:rFonts w:eastAsia="標楷體" w:cstheme="minorHAnsi"/>
        </w:rPr>
        <w:t>1</w:t>
      </w:r>
      <w:r w:rsidRPr="00CA1A43">
        <w:rPr>
          <w:rFonts w:eastAsia="標楷體" w:cstheme="minorHAnsi"/>
        </w:rPr>
        <w:t>項規定之情形外，不允許任何部位在輸入模型前進行互抵。</w:t>
      </w:r>
    </w:p>
    <w:p w14:paraId="37DFCDB6" w14:textId="77777777" w:rsidR="000451E5" w:rsidRPr="00CA1A43" w:rsidRDefault="000451E5" w:rsidP="005066C2">
      <w:pPr>
        <w:pStyle w:val="a7"/>
        <w:numPr>
          <w:ilvl w:val="0"/>
          <w:numId w:val="306"/>
        </w:numPr>
        <w:spacing w:beforeLines="50" w:before="180"/>
        <w:ind w:leftChars="0" w:left="1446" w:hanging="482"/>
        <w:jc w:val="both"/>
        <w:rPr>
          <w:rFonts w:eastAsia="標楷體" w:cstheme="minorHAnsi"/>
          <w:szCs w:val="24"/>
        </w:rPr>
      </w:pPr>
      <w:r w:rsidRPr="00CA1A43">
        <w:rPr>
          <w:rFonts w:eastAsia="標楷體" w:cstheme="minorHAnsi"/>
        </w:rPr>
        <w:t>模型須能辨識不同債務人間之違約相關性，包括下列所述於壓力期</w:t>
      </w:r>
      <w:r w:rsidRPr="00CA1A43">
        <w:rPr>
          <w:rFonts w:eastAsia="標楷體" w:cstheme="minorHAnsi"/>
        </w:rPr>
        <w:lastRenderedPageBreak/>
        <w:t>間下對相關性之影響：</w:t>
      </w:r>
    </w:p>
    <w:p w14:paraId="1FE3A16D" w14:textId="77777777" w:rsidR="000451E5" w:rsidRPr="00CA1A43" w:rsidRDefault="000451E5" w:rsidP="005066C2">
      <w:pPr>
        <w:pStyle w:val="a7"/>
        <w:numPr>
          <w:ilvl w:val="0"/>
          <w:numId w:val="307"/>
        </w:numPr>
        <w:spacing w:beforeLines="50" w:before="180"/>
        <w:ind w:leftChars="0"/>
        <w:jc w:val="both"/>
        <w:rPr>
          <w:rFonts w:eastAsia="標楷體" w:cstheme="minorHAnsi"/>
        </w:rPr>
      </w:pPr>
      <w:r w:rsidRPr="00CA1A43">
        <w:rPr>
          <w:rFonts w:eastAsia="標楷體" w:cstheme="minorHAnsi"/>
        </w:rPr>
        <w:t>違約相關性必須基於客觀數據產出，銀行不得採用對銀行有利之違約相關性選取方式，例如當投資組合由長短部位組成時，採用較高之相關係數；或當投資組合僅包含長部位時而採用較低之相關係數。</w:t>
      </w:r>
    </w:p>
    <w:p w14:paraId="7AB4920F" w14:textId="77777777" w:rsidR="000451E5" w:rsidRPr="00CA1A43" w:rsidRDefault="000451E5" w:rsidP="005066C2">
      <w:pPr>
        <w:pStyle w:val="a7"/>
        <w:numPr>
          <w:ilvl w:val="0"/>
          <w:numId w:val="307"/>
        </w:numPr>
        <w:spacing w:beforeLines="50" w:before="180"/>
        <w:ind w:leftChars="0"/>
        <w:jc w:val="both"/>
        <w:rPr>
          <w:rFonts w:eastAsia="標楷體" w:cstheme="minorHAnsi"/>
        </w:rPr>
      </w:pPr>
      <w:r w:rsidRPr="00CA1A43">
        <w:rPr>
          <w:rFonts w:eastAsia="標楷體" w:cstheme="minorHAnsi"/>
        </w:rPr>
        <w:t>銀行必須驗證違約相關性建模方法之適當性，包含系統風險因子之選用及權數設定係屬合宜。該建</w:t>
      </w:r>
      <w:r w:rsidRPr="00CA1A43">
        <w:rPr>
          <w:rFonts w:eastAsia="標楷體" w:cstheme="minorHAnsi"/>
          <w:szCs w:val="24"/>
        </w:rPr>
        <w:t>模方法及校準使用之資料</w:t>
      </w:r>
      <w:proofErr w:type="gramStart"/>
      <w:r w:rsidRPr="00CA1A43">
        <w:rPr>
          <w:rFonts w:eastAsia="標楷體" w:cstheme="minorHAnsi"/>
          <w:szCs w:val="24"/>
        </w:rPr>
        <w:t>採</w:t>
      </w:r>
      <w:proofErr w:type="gramEnd"/>
      <w:r w:rsidRPr="00CA1A43">
        <w:rPr>
          <w:rFonts w:eastAsia="標楷體" w:cstheme="minorHAnsi"/>
          <w:szCs w:val="24"/>
        </w:rPr>
        <w:t>樣期間皆須文件化留存</w:t>
      </w:r>
      <w:r w:rsidRPr="00CA1A43">
        <w:rPr>
          <w:rFonts w:eastAsia="標楷體" w:cstheme="minorHAnsi"/>
        </w:rPr>
        <w:t>。</w:t>
      </w:r>
    </w:p>
    <w:p w14:paraId="7C5443E1" w14:textId="77777777" w:rsidR="000451E5" w:rsidRPr="00CA1A43" w:rsidRDefault="000451E5" w:rsidP="005066C2">
      <w:pPr>
        <w:pStyle w:val="a7"/>
        <w:numPr>
          <w:ilvl w:val="0"/>
          <w:numId w:val="307"/>
        </w:numPr>
        <w:spacing w:beforeLines="50" w:before="180"/>
        <w:ind w:leftChars="0"/>
        <w:jc w:val="both"/>
        <w:rPr>
          <w:rFonts w:eastAsia="標楷體" w:cstheme="minorHAnsi"/>
        </w:rPr>
      </w:pPr>
      <w:r w:rsidRPr="00CA1A43">
        <w:rPr>
          <w:rFonts w:eastAsia="標楷體" w:cstheme="minorHAnsi"/>
        </w:rPr>
        <w:t>相關係數之計算需假設至少一年之變現期間；相關係數須用至少十年期間的資料來校準。</w:t>
      </w:r>
    </w:p>
    <w:p w14:paraId="47BD0773" w14:textId="77777777" w:rsidR="000F1707" w:rsidRPr="00CA1A43" w:rsidRDefault="000451E5" w:rsidP="005066C2">
      <w:pPr>
        <w:pStyle w:val="a7"/>
        <w:numPr>
          <w:ilvl w:val="0"/>
          <w:numId w:val="307"/>
        </w:numPr>
        <w:spacing w:beforeLines="50" w:before="180"/>
        <w:ind w:leftChars="0"/>
        <w:jc w:val="both"/>
        <w:rPr>
          <w:rFonts w:eastAsia="標楷體" w:cstheme="minorHAnsi"/>
          <w:kern w:val="0"/>
          <w:szCs w:val="24"/>
        </w:rPr>
      </w:pPr>
      <w:r w:rsidRPr="00CA1A43">
        <w:rPr>
          <w:rFonts w:eastAsia="標楷體" w:cstheme="minorHAnsi"/>
        </w:rPr>
        <w:t>銀行辨識相關係數時，需要能反映出不同</w:t>
      </w:r>
      <w:proofErr w:type="gramStart"/>
      <w:r w:rsidRPr="00CA1A43">
        <w:rPr>
          <w:rFonts w:eastAsia="標楷體" w:cstheme="minorHAnsi"/>
        </w:rPr>
        <w:t>的基差風險</w:t>
      </w:r>
      <w:proofErr w:type="gramEnd"/>
      <w:r w:rsidRPr="00CA1A43">
        <w:rPr>
          <w:rFonts w:eastAsia="標楷體" w:cstheme="minorHAnsi"/>
        </w:rPr>
        <w:t>，例如到期</w:t>
      </w:r>
      <w:proofErr w:type="gramStart"/>
      <w:r w:rsidRPr="00CA1A43">
        <w:rPr>
          <w:rFonts w:eastAsia="標楷體" w:cstheme="minorHAnsi"/>
          <w:szCs w:val="24"/>
        </w:rPr>
        <w:t>期間錯配</w:t>
      </w:r>
      <w:proofErr w:type="gramEnd"/>
      <w:r w:rsidRPr="00CA1A43">
        <w:rPr>
          <w:rFonts w:eastAsia="標楷體" w:cstheme="minorHAnsi"/>
        </w:rPr>
        <w:t>、內外部評等及部位年期之差異等。</w:t>
      </w:r>
    </w:p>
    <w:p w14:paraId="39D3923B" w14:textId="77777777" w:rsidR="000451E5" w:rsidRPr="00CA1A43" w:rsidRDefault="000451E5" w:rsidP="005066C2">
      <w:pPr>
        <w:pStyle w:val="a7"/>
        <w:numPr>
          <w:ilvl w:val="0"/>
          <w:numId w:val="306"/>
        </w:numPr>
        <w:spacing w:beforeLines="50" w:before="180"/>
        <w:ind w:leftChars="0" w:left="1446" w:hanging="482"/>
        <w:jc w:val="both"/>
        <w:rPr>
          <w:rFonts w:eastAsia="標楷體" w:cstheme="minorHAnsi"/>
          <w:szCs w:val="24"/>
        </w:rPr>
      </w:pPr>
      <w:r w:rsidRPr="00CA1A43">
        <w:rPr>
          <w:rFonts w:eastAsia="標楷體" w:cstheme="minorHAnsi"/>
          <w:szCs w:val="24"/>
        </w:rPr>
        <w:t>模型必須能</w:t>
      </w:r>
      <w:r w:rsidRPr="00CA1A43">
        <w:rPr>
          <w:rFonts w:eastAsia="標楷體" w:cstheme="minorHAnsi"/>
        </w:rPr>
        <w:t>捕捉</w:t>
      </w:r>
      <w:r w:rsidRPr="00CA1A43">
        <w:rPr>
          <w:rFonts w:eastAsia="標楷體" w:cstheme="minorHAnsi"/>
          <w:szCs w:val="24"/>
        </w:rPr>
        <w:t>部位</w:t>
      </w:r>
      <w:proofErr w:type="gramStart"/>
      <w:r w:rsidRPr="00CA1A43">
        <w:rPr>
          <w:rFonts w:eastAsia="標楷體" w:cstheme="minorHAnsi"/>
          <w:szCs w:val="24"/>
        </w:rPr>
        <w:t>與其</w:t>
      </w:r>
      <w:r w:rsidRPr="00CA1A43">
        <w:rPr>
          <w:rFonts w:eastAsia="標楷體" w:cstheme="minorHAnsi"/>
        </w:rPr>
        <w:t>被避險</w:t>
      </w:r>
      <w:proofErr w:type="gramEnd"/>
      <w:r w:rsidRPr="00CA1A43">
        <w:rPr>
          <w:rFonts w:eastAsia="標楷體" w:cstheme="minorHAnsi"/>
        </w:rPr>
        <w:t>部位之</w:t>
      </w:r>
      <w:proofErr w:type="gramStart"/>
      <w:r w:rsidRPr="00CA1A43">
        <w:rPr>
          <w:rFonts w:eastAsia="標楷體" w:cstheme="minorHAnsi"/>
        </w:rPr>
        <w:t>任何錯配情形</w:t>
      </w:r>
      <w:proofErr w:type="gramEnd"/>
      <w:r w:rsidRPr="00CA1A43">
        <w:rPr>
          <w:rFonts w:eastAsia="標楷體" w:cstheme="minorHAnsi"/>
          <w:szCs w:val="24"/>
        </w:rPr>
        <w:t>。關於一年資本期間內之違約風險，模型必須能考量違約時點以衡量到期期限短於一年之</w:t>
      </w:r>
      <w:r w:rsidRPr="00CA1A43">
        <w:rPr>
          <w:rFonts w:eastAsia="標楷體" w:cstheme="minorHAnsi"/>
        </w:rPr>
        <w:t>長短部位</w:t>
      </w:r>
      <w:proofErr w:type="gramStart"/>
      <w:r w:rsidRPr="00CA1A43">
        <w:rPr>
          <w:rFonts w:eastAsia="標楷體" w:cstheme="minorHAnsi"/>
        </w:rPr>
        <w:t>期間錯配</w:t>
      </w:r>
      <w:proofErr w:type="gramEnd"/>
      <w:r w:rsidRPr="00CA1A43">
        <w:rPr>
          <w:rFonts w:eastAsia="標楷體" w:cstheme="minorHAnsi"/>
        </w:rPr>
        <w:t>風險。</w:t>
      </w:r>
    </w:p>
    <w:p w14:paraId="049DB7E8" w14:textId="77777777" w:rsidR="000451E5" w:rsidRPr="00CA1A43" w:rsidRDefault="000451E5" w:rsidP="005066C2">
      <w:pPr>
        <w:pStyle w:val="a7"/>
        <w:numPr>
          <w:ilvl w:val="0"/>
          <w:numId w:val="306"/>
        </w:numPr>
        <w:spacing w:beforeLines="50" w:before="180"/>
        <w:ind w:leftChars="0" w:left="1446" w:hanging="482"/>
        <w:jc w:val="both"/>
        <w:rPr>
          <w:rFonts w:eastAsia="標楷體" w:cstheme="minorHAnsi"/>
          <w:szCs w:val="24"/>
        </w:rPr>
      </w:pPr>
      <w:r w:rsidRPr="00CA1A43">
        <w:rPr>
          <w:rFonts w:eastAsia="標楷體" w:cstheme="minorHAnsi"/>
          <w:szCs w:val="24"/>
        </w:rPr>
        <w:t>模型須能</w:t>
      </w:r>
      <w:r w:rsidRPr="00CA1A43">
        <w:rPr>
          <w:rFonts w:eastAsia="標楷體" w:cstheme="minorHAnsi"/>
        </w:rPr>
        <w:t>反應發行人及市場之集中度，亦需反應在壓力期間下可能使同一產品類型及跨產品類型間集中度增加現象。</w:t>
      </w:r>
    </w:p>
    <w:p w14:paraId="31A4E3EC" w14:textId="77777777" w:rsidR="000451E5" w:rsidRPr="00CA1A43" w:rsidRDefault="000451E5" w:rsidP="005066C2">
      <w:pPr>
        <w:pStyle w:val="a7"/>
        <w:numPr>
          <w:ilvl w:val="0"/>
          <w:numId w:val="306"/>
        </w:numPr>
        <w:spacing w:beforeLines="50" w:before="180"/>
        <w:ind w:leftChars="0" w:left="1446" w:hanging="482"/>
        <w:jc w:val="both"/>
        <w:rPr>
          <w:rFonts w:eastAsia="標楷體" w:cstheme="minorHAnsi"/>
          <w:szCs w:val="24"/>
        </w:rPr>
      </w:pPr>
      <w:r w:rsidRPr="00CA1A43">
        <w:rPr>
          <w:rFonts w:eastAsia="標楷體" w:cstheme="minorHAnsi"/>
          <w:szCs w:val="24"/>
        </w:rPr>
        <w:t>銀行應</w:t>
      </w:r>
      <w:r w:rsidRPr="00CA1A43">
        <w:rPr>
          <w:rFonts w:eastAsia="標楷體" w:cstheme="minorHAnsi"/>
        </w:rPr>
        <w:t>針對</w:t>
      </w:r>
      <w:r w:rsidRPr="00CA1A43">
        <w:rPr>
          <w:rFonts w:eastAsia="標楷體" w:cstheme="minorHAnsi"/>
          <w:szCs w:val="24"/>
        </w:rPr>
        <w:t>模型所涵蓋的每</w:t>
      </w:r>
      <w:proofErr w:type="gramStart"/>
      <w:r w:rsidRPr="00CA1A43">
        <w:rPr>
          <w:rFonts w:eastAsia="標楷體" w:cstheme="minorHAnsi"/>
          <w:szCs w:val="24"/>
        </w:rPr>
        <w:t>個</w:t>
      </w:r>
      <w:proofErr w:type="gramEnd"/>
      <w:r w:rsidRPr="00CA1A43">
        <w:rPr>
          <w:rFonts w:eastAsia="標楷體" w:cstheme="minorHAnsi"/>
          <w:szCs w:val="24"/>
        </w:rPr>
        <w:t>部位，計算當</w:t>
      </w:r>
      <w:r w:rsidRPr="00CA1A43">
        <w:rPr>
          <w:rFonts w:eastAsia="標楷體" w:cstheme="minorHAnsi"/>
        </w:rPr>
        <w:t>債務人</w:t>
      </w:r>
      <w:r w:rsidRPr="00CA1A43">
        <w:rPr>
          <w:rFonts w:eastAsia="標楷體" w:cstheme="minorHAnsi"/>
          <w:szCs w:val="24"/>
        </w:rPr>
        <w:t>違約時相較於現行評價下之增額損失，並將該增額損失納入模型中。</w:t>
      </w:r>
    </w:p>
    <w:p w14:paraId="1DC8A7C2" w14:textId="77777777" w:rsidR="000451E5" w:rsidRPr="00CA1A43" w:rsidRDefault="000451E5" w:rsidP="005066C2">
      <w:pPr>
        <w:pStyle w:val="a7"/>
        <w:numPr>
          <w:ilvl w:val="0"/>
          <w:numId w:val="306"/>
        </w:numPr>
        <w:spacing w:beforeLines="50" w:before="180"/>
        <w:ind w:leftChars="0" w:left="1446" w:hanging="482"/>
        <w:jc w:val="both"/>
        <w:rPr>
          <w:rFonts w:eastAsia="標楷體" w:cstheme="minorHAnsi"/>
          <w:szCs w:val="24"/>
        </w:rPr>
      </w:pPr>
      <w:r w:rsidRPr="00CA1A43">
        <w:rPr>
          <w:rFonts w:eastAsia="標楷體" w:cstheme="minorHAnsi"/>
          <w:szCs w:val="24"/>
        </w:rPr>
        <w:t>模型估計損失時應能反映景氣循環；例如，模型應能涵蓋回收率與系統風險因子的互相關聯效應。</w:t>
      </w:r>
    </w:p>
    <w:p w14:paraId="35D87AD8" w14:textId="77777777" w:rsidR="000F1707" w:rsidRPr="00CA1A43" w:rsidRDefault="000451E5" w:rsidP="005066C2">
      <w:pPr>
        <w:pStyle w:val="a7"/>
        <w:numPr>
          <w:ilvl w:val="0"/>
          <w:numId w:val="306"/>
        </w:numPr>
        <w:spacing w:beforeLines="50" w:before="180"/>
        <w:ind w:leftChars="0" w:left="1446" w:hanging="482"/>
        <w:jc w:val="both"/>
        <w:rPr>
          <w:rFonts w:eastAsia="標楷體" w:cstheme="minorHAnsi"/>
          <w:kern w:val="0"/>
          <w:szCs w:val="24"/>
        </w:rPr>
      </w:pPr>
      <w:r w:rsidRPr="00CA1A43">
        <w:rPr>
          <w:rFonts w:eastAsia="標楷體" w:cstheme="minorHAnsi"/>
        </w:rPr>
        <w:t>模型須能納入選擇權非線性</w:t>
      </w:r>
      <w:r w:rsidRPr="00CA1A43">
        <w:rPr>
          <w:rFonts w:eastAsia="標楷體" w:cstheme="minorHAnsi"/>
          <w:szCs w:val="24"/>
        </w:rPr>
        <w:t>部位</w:t>
      </w:r>
      <w:r w:rsidRPr="00CA1A43">
        <w:rPr>
          <w:rFonts w:eastAsia="標楷體" w:cstheme="minorHAnsi"/>
        </w:rPr>
        <w:t>及其它具非線性特性部位之影響。針對多重標的之權益衍生性部位，經本會核准下可</w:t>
      </w:r>
      <w:proofErr w:type="gramStart"/>
      <w:r w:rsidRPr="00CA1A43">
        <w:rPr>
          <w:rFonts w:eastAsia="標楷體" w:cstheme="minorHAnsi"/>
        </w:rPr>
        <w:t>採</w:t>
      </w:r>
      <w:proofErr w:type="gramEnd"/>
      <w:r w:rsidRPr="00CA1A43">
        <w:rPr>
          <w:rFonts w:eastAsia="標楷體" w:cstheme="minorHAnsi"/>
        </w:rPr>
        <w:t>行簡化之評價模型方法。</w:t>
      </w:r>
      <w:r w:rsidRPr="00CA1A43">
        <w:rPr>
          <w:rFonts w:eastAsia="標楷體" w:cstheme="minorHAnsi"/>
        </w:rPr>
        <w:t>(</w:t>
      </w:r>
      <w:r w:rsidRPr="00CA1A43">
        <w:rPr>
          <w:rFonts w:eastAsia="標楷體" w:cstheme="minorHAnsi"/>
        </w:rPr>
        <w:t>例如當多重標的</w:t>
      </w:r>
      <w:r w:rsidRPr="00CA1A43">
        <w:rPr>
          <w:rFonts w:eastAsia="標楷體" w:cstheme="minorHAnsi"/>
          <w:szCs w:val="24"/>
        </w:rPr>
        <w:t>違約</w:t>
      </w:r>
      <w:r w:rsidRPr="00CA1A43">
        <w:rPr>
          <w:rFonts w:eastAsia="標楷體" w:cstheme="minorHAnsi"/>
        </w:rPr>
        <w:t>時，僅依個別瞬間違約敏感因子來估算損失</w:t>
      </w:r>
      <w:r w:rsidRPr="00CA1A43">
        <w:rPr>
          <w:rFonts w:eastAsia="標楷體" w:cstheme="minorHAnsi"/>
        </w:rPr>
        <w:t>)</w:t>
      </w:r>
      <w:r w:rsidRPr="00CA1A43">
        <w:rPr>
          <w:rFonts w:eastAsia="標楷體" w:cstheme="minorHAnsi"/>
        </w:rPr>
        <w:t>。</w:t>
      </w:r>
    </w:p>
    <w:p w14:paraId="4CED813E" w14:textId="77777777" w:rsidR="00FB65D2" w:rsidRPr="00CA1A43" w:rsidRDefault="00FB65D2" w:rsidP="005066C2">
      <w:pPr>
        <w:pStyle w:val="a7"/>
        <w:numPr>
          <w:ilvl w:val="0"/>
          <w:numId w:val="304"/>
        </w:numPr>
        <w:spacing w:beforeLines="50" w:before="180"/>
        <w:ind w:leftChars="0" w:left="964" w:hanging="482"/>
        <w:jc w:val="both"/>
        <w:rPr>
          <w:rFonts w:eastAsia="標楷體" w:cstheme="minorHAnsi"/>
        </w:rPr>
      </w:pPr>
      <w:r w:rsidRPr="00CA1A43">
        <w:rPr>
          <w:rFonts w:eastAsia="標楷體" w:cstheme="minorHAnsi"/>
        </w:rPr>
        <w:t>違約風險資本計提原則：</w:t>
      </w:r>
    </w:p>
    <w:p w14:paraId="4E83FA05" w14:textId="77777777" w:rsidR="00FB65D2" w:rsidRPr="00CA1A43" w:rsidRDefault="00FB65D2" w:rsidP="005066C2">
      <w:pPr>
        <w:pStyle w:val="a7"/>
        <w:numPr>
          <w:ilvl w:val="0"/>
          <w:numId w:val="308"/>
        </w:numPr>
        <w:spacing w:beforeLines="50" w:before="180"/>
        <w:ind w:leftChars="0" w:left="1446" w:hanging="482"/>
        <w:jc w:val="both"/>
        <w:rPr>
          <w:rFonts w:eastAsia="標楷體" w:cstheme="minorHAnsi"/>
          <w:kern w:val="0"/>
          <w:szCs w:val="24"/>
        </w:rPr>
      </w:pPr>
      <w:r w:rsidRPr="00CA1A43">
        <w:rPr>
          <w:rFonts w:eastAsia="標楷體" w:cstheme="minorHAnsi"/>
        </w:rPr>
        <w:t>所有屬市場風險資本計提範圍，且排除已於標準法計提之部位，於符合本計算說明之違約風險定義下，皆應納入違約風險模型進行資本計算。其中包含：</w:t>
      </w:r>
    </w:p>
    <w:p w14:paraId="381B6B22" w14:textId="77777777" w:rsidR="00FB65D2" w:rsidRPr="00CA1A43" w:rsidRDefault="00FB65D2" w:rsidP="005066C2">
      <w:pPr>
        <w:pStyle w:val="a7"/>
        <w:numPr>
          <w:ilvl w:val="0"/>
          <w:numId w:val="309"/>
        </w:numPr>
        <w:spacing w:beforeLines="50" w:before="180"/>
        <w:ind w:leftChars="0"/>
        <w:jc w:val="both"/>
        <w:rPr>
          <w:rFonts w:eastAsia="標楷體" w:cstheme="minorHAnsi"/>
        </w:rPr>
      </w:pPr>
      <w:proofErr w:type="gramStart"/>
      <w:r w:rsidRPr="00CA1A43">
        <w:rPr>
          <w:rFonts w:eastAsia="標楷體" w:cstheme="minorHAnsi"/>
        </w:rPr>
        <w:t>主權暴險</w:t>
      </w:r>
      <w:proofErr w:type="gramEnd"/>
      <w:r w:rsidRPr="00CA1A43">
        <w:rPr>
          <w:rFonts w:eastAsia="標楷體" w:cstheme="minorHAnsi"/>
        </w:rPr>
        <w:t>(</w:t>
      </w:r>
      <w:r w:rsidRPr="00CA1A43">
        <w:rPr>
          <w:rFonts w:eastAsia="標楷體" w:cstheme="minorHAnsi"/>
        </w:rPr>
        <w:t>包括以該主權</w:t>
      </w:r>
      <w:proofErr w:type="gramStart"/>
      <w:r w:rsidRPr="00CA1A43">
        <w:rPr>
          <w:rFonts w:eastAsia="標楷體" w:cstheme="minorHAnsi"/>
        </w:rPr>
        <w:t>當地幣</w:t>
      </w:r>
      <w:proofErr w:type="gramEnd"/>
      <w:r w:rsidRPr="00CA1A43">
        <w:rPr>
          <w:rFonts w:eastAsia="標楷體" w:cstheme="minorHAnsi"/>
        </w:rPr>
        <w:t>別計價</w:t>
      </w:r>
      <w:proofErr w:type="gramStart"/>
      <w:r w:rsidRPr="00CA1A43">
        <w:rPr>
          <w:rFonts w:eastAsia="標楷體" w:cstheme="minorHAnsi"/>
        </w:rPr>
        <w:t>的暴險</w:t>
      </w:r>
      <w:proofErr w:type="gramEnd"/>
      <w:r w:rsidRPr="00CA1A43">
        <w:rPr>
          <w:rFonts w:eastAsia="標楷體" w:cstheme="minorHAnsi"/>
        </w:rPr>
        <w:t>)</w:t>
      </w:r>
      <w:r w:rsidRPr="00CA1A43">
        <w:rPr>
          <w:rFonts w:eastAsia="標楷體" w:cstheme="minorHAnsi"/>
        </w:rPr>
        <w:t>。</w:t>
      </w:r>
    </w:p>
    <w:p w14:paraId="0EE9BE9D" w14:textId="77777777" w:rsidR="00FB65D2" w:rsidRPr="00CA1A43" w:rsidRDefault="00FB65D2" w:rsidP="005066C2">
      <w:pPr>
        <w:pStyle w:val="a7"/>
        <w:numPr>
          <w:ilvl w:val="0"/>
          <w:numId w:val="309"/>
        </w:numPr>
        <w:spacing w:beforeLines="50" w:before="180"/>
        <w:ind w:leftChars="0"/>
        <w:jc w:val="both"/>
        <w:rPr>
          <w:rFonts w:eastAsia="標楷體" w:cstheme="minorHAnsi"/>
          <w:kern w:val="0"/>
          <w:szCs w:val="24"/>
        </w:rPr>
      </w:pPr>
      <w:r w:rsidRPr="00CA1A43">
        <w:rPr>
          <w:rFonts w:eastAsia="標楷體" w:cstheme="minorHAnsi"/>
        </w:rPr>
        <w:t>權益部位，且發行者之違約必須能藉由將股價降至</w:t>
      </w:r>
      <w:r w:rsidRPr="00CA1A43">
        <w:rPr>
          <w:rFonts w:eastAsia="標楷體" w:cstheme="minorHAnsi"/>
        </w:rPr>
        <w:t>0</w:t>
      </w:r>
      <w:r w:rsidRPr="00CA1A43">
        <w:rPr>
          <w:rFonts w:eastAsia="標楷體" w:cstheme="minorHAnsi"/>
        </w:rPr>
        <w:t>元透過模型推導而得。</w:t>
      </w:r>
    </w:p>
    <w:p w14:paraId="3842368C" w14:textId="77777777" w:rsidR="00FB65D2" w:rsidRPr="00CA1A43" w:rsidRDefault="00FB65D2" w:rsidP="005066C2">
      <w:pPr>
        <w:pStyle w:val="a7"/>
        <w:numPr>
          <w:ilvl w:val="0"/>
          <w:numId w:val="309"/>
        </w:numPr>
        <w:spacing w:beforeLines="50" w:before="180"/>
        <w:ind w:leftChars="0"/>
        <w:jc w:val="both"/>
        <w:rPr>
          <w:rFonts w:eastAsia="標楷體" w:cstheme="minorHAnsi"/>
          <w:kern w:val="0"/>
          <w:szCs w:val="24"/>
        </w:rPr>
      </w:pPr>
      <w:r w:rsidRPr="00CA1A43">
        <w:rPr>
          <w:rFonts w:eastAsia="標楷體" w:cstheme="minorHAnsi"/>
        </w:rPr>
        <w:lastRenderedPageBreak/>
        <w:t>違約債權部位。</w:t>
      </w:r>
    </w:p>
    <w:p w14:paraId="5F336476" w14:textId="77777777" w:rsidR="00FB65D2" w:rsidRPr="00CA1A43" w:rsidRDefault="00FB65D2" w:rsidP="005066C2">
      <w:pPr>
        <w:pStyle w:val="a7"/>
        <w:numPr>
          <w:ilvl w:val="0"/>
          <w:numId w:val="308"/>
        </w:numPr>
        <w:spacing w:beforeLines="50" w:before="180"/>
        <w:ind w:leftChars="0" w:left="1446" w:hanging="482"/>
        <w:jc w:val="both"/>
        <w:rPr>
          <w:rFonts w:eastAsia="標楷體" w:cstheme="minorHAnsi"/>
          <w:kern w:val="0"/>
          <w:szCs w:val="24"/>
        </w:rPr>
      </w:pPr>
      <w:r w:rsidRPr="00CA1A43">
        <w:rPr>
          <w:rFonts w:eastAsia="標楷體" w:cstheme="minorHAnsi"/>
          <w:kern w:val="0"/>
          <w:szCs w:val="24"/>
        </w:rPr>
        <w:t>違約</w:t>
      </w:r>
      <w:r w:rsidRPr="00CA1A43">
        <w:rPr>
          <w:rFonts w:eastAsia="標楷體" w:cstheme="minorHAnsi"/>
        </w:rPr>
        <w:t>風險資本要求係以過去</w:t>
      </w:r>
      <w:r w:rsidRPr="00CA1A43">
        <w:rPr>
          <w:rFonts w:eastAsia="標楷體" w:cstheme="minorHAnsi"/>
        </w:rPr>
        <w:t>12</w:t>
      </w:r>
      <w:proofErr w:type="gramStart"/>
      <w:r w:rsidRPr="00CA1A43">
        <w:rPr>
          <w:rFonts w:eastAsia="標楷體" w:cstheme="minorHAnsi"/>
        </w:rPr>
        <w:t>週</w:t>
      </w:r>
      <w:proofErr w:type="gramEnd"/>
      <w:r w:rsidRPr="00CA1A43">
        <w:rPr>
          <w:rFonts w:eastAsia="標楷體" w:cstheme="minorHAnsi"/>
        </w:rPr>
        <w:t>違約風險模型計算數值平均，與最近一次的違約風險模型計算數值，取較大者。</w:t>
      </w:r>
    </w:p>
    <w:p w14:paraId="51A1E745" w14:textId="77777777" w:rsidR="00FB65D2" w:rsidRPr="00CA1A43" w:rsidRDefault="00FB65D2" w:rsidP="005066C2">
      <w:pPr>
        <w:pStyle w:val="a7"/>
        <w:numPr>
          <w:ilvl w:val="0"/>
          <w:numId w:val="308"/>
        </w:numPr>
        <w:spacing w:beforeLines="50" w:before="180"/>
        <w:ind w:leftChars="0" w:left="1446" w:hanging="482"/>
        <w:jc w:val="both"/>
        <w:rPr>
          <w:rFonts w:eastAsia="標楷體" w:cstheme="minorHAnsi"/>
          <w:kern w:val="0"/>
          <w:szCs w:val="24"/>
        </w:rPr>
      </w:pPr>
      <w:r w:rsidRPr="00CA1A43">
        <w:rPr>
          <w:rFonts w:eastAsia="標楷體" w:cstheme="minorHAnsi"/>
        </w:rPr>
        <w:t>銀行必須假設部位維持一年不變，對於銀行自行決定採用</w:t>
      </w:r>
      <w:r w:rsidRPr="00CA1A43">
        <w:rPr>
          <w:rFonts w:eastAsia="標楷體" w:cstheme="minorHAnsi"/>
        </w:rPr>
        <w:t>60</w:t>
      </w:r>
      <w:r w:rsidRPr="00CA1A43">
        <w:rPr>
          <w:rFonts w:eastAsia="標楷體" w:cstheme="minorHAnsi"/>
        </w:rPr>
        <w:t>天的變現期間之權益證券子組合，可假設</w:t>
      </w:r>
      <w:r w:rsidRPr="00CA1A43">
        <w:rPr>
          <w:rFonts w:eastAsia="標楷體" w:cstheme="minorHAnsi"/>
        </w:rPr>
        <w:t>60</w:t>
      </w:r>
      <w:r w:rsidRPr="00CA1A43">
        <w:rPr>
          <w:rFonts w:eastAsia="標楷體" w:cstheme="minorHAnsi"/>
        </w:rPr>
        <w:t>天部位不變。</w:t>
      </w:r>
    </w:p>
    <w:p w14:paraId="4B322B31" w14:textId="77777777" w:rsidR="000F1707" w:rsidRPr="00CA1A43" w:rsidRDefault="00FB65D2" w:rsidP="005066C2">
      <w:pPr>
        <w:pStyle w:val="a7"/>
        <w:numPr>
          <w:ilvl w:val="0"/>
          <w:numId w:val="308"/>
        </w:numPr>
        <w:spacing w:beforeLines="50" w:before="180"/>
        <w:ind w:leftChars="0" w:left="1446" w:hanging="482"/>
        <w:jc w:val="both"/>
        <w:rPr>
          <w:rFonts w:eastAsia="標楷體" w:cstheme="minorHAnsi"/>
          <w:kern w:val="0"/>
          <w:szCs w:val="24"/>
        </w:rPr>
      </w:pPr>
      <w:r w:rsidRPr="00CA1A43">
        <w:rPr>
          <w:rFonts w:eastAsia="標楷體" w:cstheme="minorHAnsi"/>
        </w:rPr>
        <w:t>銀行須衡量每</w:t>
      </w:r>
      <w:proofErr w:type="gramStart"/>
      <w:r w:rsidRPr="00CA1A43">
        <w:rPr>
          <w:rFonts w:eastAsia="標楷體" w:cstheme="minorHAnsi"/>
        </w:rPr>
        <w:t>個</w:t>
      </w:r>
      <w:proofErr w:type="gramEnd"/>
      <w:r w:rsidRPr="00CA1A43">
        <w:rPr>
          <w:rFonts w:eastAsia="標楷體" w:cstheme="minorHAnsi"/>
        </w:rPr>
        <w:t>債務人之違約風險，除非經客觀之違約機率校正，否則市場價格所隱含之違約機率</w:t>
      </w:r>
      <w:r w:rsidRPr="00CA1A43">
        <w:rPr>
          <w:rFonts w:eastAsia="標楷體" w:cstheme="minorHAnsi"/>
        </w:rPr>
        <w:t>(PD)</w:t>
      </w:r>
      <w:r w:rsidRPr="00CA1A43">
        <w:rPr>
          <w:rFonts w:eastAsia="標楷體" w:cstheme="minorHAnsi"/>
        </w:rPr>
        <w:t>是不被接受的，且違約機率不得小於</w:t>
      </w:r>
      <w:r w:rsidRPr="00CA1A43">
        <w:rPr>
          <w:rFonts w:eastAsia="標楷體" w:cstheme="minorHAnsi"/>
        </w:rPr>
        <w:t>0.03%</w:t>
      </w:r>
      <w:r w:rsidRPr="00CA1A43">
        <w:rPr>
          <w:rFonts w:eastAsia="標楷體" w:cstheme="minorHAnsi"/>
        </w:rPr>
        <w:t>。</w:t>
      </w:r>
    </w:p>
    <w:p w14:paraId="5EAFCA92" w14:textId="77777777" w:rsidR="00FB65D2" w:rsidRPr="00CA1A43" w:rsidRDefault="00FB65D2" w:rsidP="005066C2">
      <w:pPr>
        <w:pStyle w:val="a7"/>
        <w:numPr>
          <w:ilvl w:val="0"/>
          <w:numId w:val="308"/>
        </w:numPr>
        <w:spacing w:beforeLines="50" w:before="180"/>
        <w:ind w:leftChars="0" w:left="1446" w:hanging="482"/>
        <w:jc w:val="both"/>
        <w:rPr>
          <w:rFonts w:eastAsia="標楷體" w:cstheme="minorHAnsi"/>
        </w:rPr>
      </w:pPr>
      <w:r w:rsidRPr="00CA1A43">
        <w:rPr>
          <w:rFonts w:eastAsia="標楷體" w:cstheme="minorHAnsi"/>
        </w:rPr>
        <w:t>為避免銀行進行資本套利，銀行必須明定所採用之違約機率</w:t>
      </w:r>
      <w:r w:rsidRPr="00CA1A43">
        <w:rPr>
          <w:rFonts w:eastAsia="標楷體" w:cstheme="minorHAnsi"/>
        </w:rPr>
        <w:t>(PD)</w:t>
      </w:r>
      <w:r w:rsidRPr="00CA1A43">
        <w:rPr>
          <w:rFonts w:eastAsia="標楷體" w:cstheme="minorHAnsi"/>
        </w:rPr>
        <w:t>及</w:t>
      </w:r>
      <w:r w:rsidRPr="00CA1A43">
        <w:rPr>
          <w:rFonts w:eastAsia="標楷體" w:cstheme="minorHAnsi"/>
          <w:szCs w:val="24"/>
        </w:rPr>
        <w:t>違約損失率</w:t>
      </w:r>
      <w:r w:rsidRPr="00CA1A43">
        <w:rPr>
          <w:rFonts w:eastAsia="標楷體" w:cstheme="minorHAnsi"/>
          <w:szCs w:val="24"/>
        </w:rPr>
        <w:t>(LGD)</w:t>
      </w:r>
      <w:r w:rsidRPr="00CA1A43">
        <w:rPr>
          <w:rFonts w:eastAsia="標楷體" w:cstheme="minorHAnsi"/>
        </w:rPr>
        <w:t>數據來源之順序。</w:t>
      </w:r>
    </w:p>
    <w:p w14:paraId="18FB1FBA" w14:textId="77777777" w:rsidR="00FB65D2" w:rsidRPr="00CA1A43" w:rsidRDefault="00FB65D2" w:rsidP="005066C2">
      <w:pPr>
        <w:pStyle w:val="a7"/>
        <w:numPr>
          <w:ilvl w:val="0"/>
          <w:numId w:val="308"/>
        </w:numPr>
        <w:spacing w:beforeLines="50" w:before="180"/>
        <w:ind w:leftChars="0" w:left="1446" w:hanging="482"/>
        <w:jc w:val="both"/>
        <w:rPr>
          <w:rFonts w:eastAsia="標楷體" w:cstheme="minorHAnsi"/>
          <w:kern w:val="0"/>
          <w:szCs w:val="24"/>
        </w:rPr>
      </w:pPr>
      <w:r w:rsidRPr="00CA1A43">
        <w:rPr>
          <w:rFonts w:eastAsia="標楷體" w:cstheme="minorHAnsi"/>
        </w:rPr>
        <w:t>因信用</w:t>
      </w:r>
      <w:r w:rsidRPr="00CA1A43">
        <w:rPr>
          <w:rFonts w:eastAsia="標楷體" w:cstheme="minorHAnsi"/>
          <w:szCs w:val="24"/>
        </w:rPr>
        <w:t>價差風險</w:t>
      </w:r>
      <w:r w:rsidRPr="00CA1A43">
        <w:rPr>
          <w:rFonts w:eastAsia="標楷體" w:cstheme="minorHAnsi"/>
        </w:rPr>
        <w:t>與違約風險具備特殊相關性，若交易台同時具有</w:t>
      </w:r>
      <w:r w:rsidRPr="00CA1A43">
        <w:rPr>
          <w:rFonts w:eastAsia="標楷體" w:cstheme="minorHAnsi"/>
          <w:szCs w:val="24"/>
        </w:rPr>
        <w:t>信用價差風險</w:t>
      </w:r>
      <w:r w:rsidRPr="00CA1A43">
        <w:rPr>
          <w:rFonts w:eastAsia="標楷體" w:cstheme="minorHAnsi"/>
        </w:rPr>
        <w:t>及違約</w:t>
      </w:r>
      <w:proofErr w:type="gramStart"/>
      <w:r w:rsidRPr="00CA1A43">
        <w:rPr>
          <w:rFonts w:eastAsia="標楷體" w:cstheme="minorHAnsi"/>
        </w:rPr>
        <w:t>風險曝險</w:t>
      </w:r>
      <w:proofErr w:type="gramEnd"/>
      <w:r w:rsidRPr="00CA1A43">
        <w:rPr>
          <w:rFonts w:eastAsia="標楷體" w:cstheme="minorHAnsi"/>
        </w:rPr>
        <w:t>，該</w:t>
      </w:r>
      <w:proofErr w:type="gramStart"/>
      <w:r w:rsidRPr="00CA1A43">
        <w:rPr>
          <w:rFonts w:eastAsia="標楷體" w:cstheme="minorHAnsi"/>
        </w:rPr>
        <w:t>交易台須同時</w:t>
      </w:r>
      <w:proofErr w:type="gramEnd"/>
      <w:r w:rsidRPr="00CA1A43">
        <w:rPr>
          <w:rFonts w:eastAsia="標楷體" w:cstheme="minorHAnsi"/>
        </w:rPr>
        <w:t>取得本會對</w:t>
      </w:r>
      <w:r w:rsidRPr="00CA1A43">
        <w:rPr>
          <w:rFonts w:eastAsia="標楷體" w:cstheme="minorHAnsi"/>
          <w:szCs w:val="24"/>
        </w:rPr>
        <w:t>信用價差風險</w:t>
      </w:r>
      <w:r w:rsidRPr="00CA1A43">
        <w:rPr>
          <w:rFonts w:eastAsia="標楷體" w:cstheme="minorHAnsi"/>
        </w:rPr>
        <w:t>及違約風險的內部模型法的核准，未取得內部模型法核准之交易台，須改以標準法計提資本。</w:t>
      </w:r>
    </w:p>
    <w:p w14:paraId="74FCF07E" w14:textId="77777777" w:rsidR="00FB65D2" w:rsidRPr="00CA1A43" w:rsidRDefault="00FB65D2" w:rsidP="005066C2">
      <w:pPr>
        <w:pStyle w:val="a7"/>
        <w:numPr>
          <w:ilvl w:val="0"/>
          <w:numId w:val="304"/>
        </w:numPr>
        <w:spacing w:beforeLines="50" w:before="180"/>
        <w:ind w:leftChars="0" w:left="964" w:hanging="482"/>
        <w:jc w:val="both"/>
        <w:rPr>
          <w:rFonts w:eastAsia="標楷體" w:cstheme="minorHAnsi"/>
          <w:sz w:val="23"/>
          <w:szCs w:val="23"/>
        </w:rPr>
      </w:pPr>
      <w:r w:rsidRPr="00CA1A43">
        <w:rPr>
          <w:rFonts w:eastAsia="標楷體" w:cstheme="minorHAnsi"/>
        </w:rPr>
        <w:t>違約機率估計值的要求</w:t>
      </w:r>
      <w:r w:rsidRPr="00CA1A43">
        <w:rPr>
          <w:rFonts w:eastAsia="標楷體" w:cstheme="minorHAnsi"/>
          <w:szCs w:val="24"/>
        </w:rPr>
        <w:t>：</w:t>
      </w:r>
    </w:p>
    <w:p w14:paraId="26A30E62" w14:textId="77777777" w:rsidR="00FB65D2" w:rsidRPr="00CA1A43" w:rsidRDefault="00FB65D2" w:rsidP="00FB65D2">
      <w:pPr>
        <w:pStyle w:val="a7"/>
        <w:spacing w:beforeLines="50" w:before="180"/>
        <w:ind w:leftChars="0" w:left="964"/>
        <w:jc w:val="both"/>
        <w:rPr>
          <w:rFonts w:eastAsia="標楷體" w:cstheme="minorHAnsi"/>
          <w:sz w:val="23"/>
          <w:szCs w:val="23"/>
        </w:rPr>
      </w:pPr>
      <w:r w:rsidRPr="00CA1A43">
        <w:rPr>
          <w:rFonts w:eastAsia="標楷體" w:cstheme="minorHAnsi"/>
        </w:rPr>
        <w:t>若銀行已取得本會核准採用內部評等法</w:t>
      </w:r>
      <w:r w:rsidRPr="00CA1A43">
        <w:rPr>
          <w:rFonts w:eastAsia="標楷體" w:cstheme="minorHAnsi"/>
        </w:rPr>
        <w:t>(IRB)</w:t>
      </w:r>
      <w:r w:rsidRPr="00CA1A43">
        <w:rPr>
          <w:rFonts w:eastAsia="標楷體" w:cstheme="minorHAnsi"/>
        </w:rPr>
        <w:t>之違約機率估計值，則應採用此違約機率估計值計算</w:t>
      </w:r>
      <w:r w:rsidRPr="00CA1A43">
        <w:rPr>
          <w:rFonts w:eastAsia="標楷體" w:cstheme="minorHAnsi"/>
          <w:szCs w:val="24"/>
        </w:rPr>
        <w:t>違約風險性資本</w:t>
      </w:r>
      <w:r w:rsidRPr="00CA1A43">
        <w:rPr>
          <w:rFonts w:eastAsia="標楷體" w:cstheme="minorHAnsi"/>
          <w:szCs w:val="24"/>
        </w:rPr>
        <w:t>(</w:t>
      </w:r>
      <w:r w:rsidRPr="00CA1A43">
        <w:rPr>
          <w:rFonts w:eastAsia="標楷體" w:cstheme="minorHAnsi"/>
        </w:rPr>
        <w:t>DRC)</w:t>
      </w:r>
      <w:r w:rsidRPr="00CA1A43">
        <w:rPr>
          <w:rFonts w:eastAsia="標楷體" w:cstheme="minorHAnsi"/>
        </w:rPr>
        <w:t>，若此違約機率估計值不存在或經本會評估該違約機率估計值無法充份反應違約機率，則銀行須採用與內部評等法</w:t>
      </w:r>
      <w:r w:rsidRPr="00CA1A43">
        <w:rPr>
          <w:rFonts w:eastAsia="標楷體" w:cstheme="minorHAnsi"/>
        </w:rPr>
        <w:t>(IRB)</w:t>
      </w:r>
      <w:r w:rsidRPr="00CA1A43">
        <w:rPr>
          <w:rFonts w:eastAsia="標楷體" w:cstheme="minorHAnsi"/>
        </w:rPr>
        <w:t>一致之方法計算違約機率，且須符合下列條件：</w:t>
      </w:r>
    </w:p>
    <w:p w14:paraId="586B7BC6" w14:textId="77777777" w:rsidR="00FB65D2" w:rsidRPr="00CA1A43" w:rsidRDefault="00FB65D2" w:rsidP="005066C2">
      <w:pPr>
        <w:pStyle w:val="a7"/>
        <w:numPr>
          <w:ilvl w:val="0"/>
          <w:numId w:val="310"/>
        </w:numPr>
        <w:spacing w:beforeLines="50" w:before="180"/>
        <w:ind w:leftChars="0" w:left="1446" w:hanging="482"/>
        <w:jc w:val="both"/>
        <w:rPr>
          <w:rFonts w:eastAsia="標楷體" w:cstheme="minorHAnsi"/>
        </w:rPr>
      </w:pPr>
      <w:r w:rsidRPr="00CA1A43">
        <w:rPr>
          <w:rFonts w:eastAsia="標楷體" w:cstheme="minorHAnsi"/>
        </w:rPr>
        <w:t>不得採用風險中立</w:t>
      </w:r>
      <w:r w:rsidRPr="00CA1A43">
        <w:rPr>
          <w:rFonts w:eastAsia="標楷體" w:cstheme="minorHAnsi"/>
          <w:szCs w:val="24"/>
        </w:rPr>
        <w:t>違約</w:t>
      </w:r>
      <w:r w:rsidRPr="00CA1A43">
        <w:rPr>
          <w:rFonts w:eastAsia="標楷體" w:cstheme="minorHAnsi"/>
        </w:rPr>
        <w:t>機率作為歷史違約機率的估計值。</w:t>
      </w:r>
    </w:p>
    <w:p w14:paraId="2E784148" w14:textId="77777777" w:rsidR="00FB65D2" w:rsidRPr="00CA1A43" w:rsidRDefault="00FB65D2" w:rsidP="005066C2">
      <w:pPr>
        <w:pStyle w:val="a7"/>
        <w:numPr>
          <w:ilvl w:val="0"/>
          <w:numId w:val="310"/>
        </w:numPr>
        <w:spacing w:beforeLines="50" w:before="180"/>
        <w:ind w:leftChars="0" w:left="1446" w:hanging="482"/>
        <w:jc w:val="both"/>
        <w:rPr>
          <w:rFonts w:eastAsia="標楷體" w:cstheme="minorHAnsi"/>
        </w:rPr>
      </w:pPr>
      <w:r w:rsidRPr="00CA1A43">
        <w:rPr>
          <w:rFonts w:eastAsia="標楷體" w:cstheme="minorHAnsi"/>
        </w:rPr>
        <w:t>衡量違約機率</w:t>
      </w:r>
      <w:r w:rsidRPr="00CA1A43">
        <w:rPr>
          <w:rFonts w:eastAsia="標楷體" w:cstheme="minorHAnsi"/>
          <w:szCs w:val="24"/>
        </w:rPr>
        <w:t>必須</w:t>
      </w:r>
      <w:r w:rsidRPr="00CA1A43">
        <w:rPr>
          <w:rFonts w:eastAsia="標楷體" w:cstheme="minorHAnsi"/>
        </w:rPr>
        <w:t>基於歷史違約事件，包括實際違約事件及等同違約損失之價格貶落事件。銀行應盡可能採用完整景氣循環周期下公開交易有價證券之違約事件，且為了有效校準模型至少須涵蓋五年歷史觀察期間。</w:t>
      </w:r>
    </w:p>
    <w:p w14:paraId="566D45A4" w14:textId="77777777" w:rsidR="00FB65D2" w:rsidRPr="00CA1A43" w:rsidRDefault="00FB65D2" w:rsidP="005066C2">
      <w:pPr>
        <w:pStyle w:val="a7"/>
        <w:numPr>
          <w:ilvl w:val="0"/>
          <w:numId w:val="310"/>
        </w:numPr>
        <w:spacing w:beforeLines="50" w:before="180"/>
        <w:ind w:leftChars="0" w:left="1446" w:hanging="482"/>
        <w:jc w:val="both"/>
        <w:rPr>
          <w:rFonts w:eastAsia="標楷體" w:cstheme="minorHAnsi"/>
        </w:rPr>
      </w:pPr>
      <w:r w:rsidRPr="00CA1A43">
        <w:rPr>
          <w:rFonts w:eastAsia="標楷體" w:cstheme="minorHAnsi"/>
          <w:szCs w:val="24"/>
        </w:rPr>
        <w:t>違約機率的估計應基於一年的違約頻率的歷史資料</w:t>
      </w:r>
      <w:r w:rsidRPr="00CA1A43">
        <w:rPr>
          <w:rFonts w:eastAsia="標楷體" w:cstheme="minorHAnsi"/>
        </w:rPr>
        <w:t>，銀行可採用理論方法計算違約機率，唯需證明該理論違約機率和歷史違約經驗一致。</w:t>
      </w:r>
    </w:p>
    <w:p w14:paraId="3915804B" w14:textId="77777777" w:rsidR="00FB65D2" w:rsidRPr="00CA1A43" w:rsidRDefault="00FB65D2" w:rsidP="005066C2">
      <w:pPr>
        <w:pStyle w:val="a7"/>
        <w:numPr>
          <w:ilvl w:val="0"/>
          <w:numId w:val="310"/>
        </w:numPr>
        <w:spacing w:beforeLines="50" w:before="180"/>
        <w:ind w:leftChars="0" w:left="1446" w:hanging="482"/>
        <w:jc w:val="both"/>
        <w:rPr>
          <w:rFonts w:eastAsia="標楷體" w:cstheme="minorHAnsi"/>
          <w:kern w:val="0"/>
          <w:szCs w:val="24"/>
        </w:rPr>
      </w:pPr>
      <w:r w:rsidRPr="00CA1A43">
        <w:rPr>
          <w:rFonts w:eastAsia="標楷體" w:cstheme="minorHAnsi"/>
        </w:rPr>
        <w:t>銀行可採用外部提供之違約</w:t>
      </w:r>
      <w:r w:rsidRPr="00CA1A43">
        <w:rPr>
          <w:rFonts w:eastAsia="標楷體" w:cstheme="minorHAnsi"/>
          <w:szCs w:val="24"/>
        </w:rPr>
        <w:t>機率</w:t>
      </w:r>
      <w:r w:rsidRPr="00CA1A43">
        <w:rPr>
          <w:rFonts w:eastAsia="標楷體" w:cstheme="minorHAnsi"/>
        </w:rPr>
        <w:t>，唯需證明該違約機率適用於銀行投資部位之合適性。</w:t>
      </w:r>
    </w:p>
    <w:p w14:paraId="08E77D50" w14:textId="77777777" w:rsidR="001B620A" w:rsidRPr="00CA1A43" w:rsidRDefault="001B620A" w:rsidP="005066C2">
      <w:pPr>
        <w:pStyle w:val="a7"/>
        <w:numPr>
          <w:ilvl w:val="0"/>
          <w:numId w:val="304"/>
        </w:numPr>
        <w:spacing w:beforeLines="50" w:before="180"/>
        <w:ind w:leftChars="0" w:left="964" w:hanging="482"/>
        <w:jc w:val="both"/>
        <w:rPr>
          <w:rFonts w:eastAsia="標楷體" w:cstheme="minorHAnsi"/>
          <w:kern w:val="0"/>
          <w:szCs w:val="24"/>
        </w:rPr>
      </w:pPr>
      <w:r w:rsidRPr="00CA1A43">
        <w:rPr>
          <w:rFonts w:eastAsia="標楷體" w:cstheme="minorHAnsi"/>
        </w:rPr>
        <w:t>違約損失率估計值的要求</w:t>
      </w:r>
      <w:r w:rsidRPr="00CA1A43">
        <w:rPr>
          <w:rFonts w:eastAsia="標楷體" w:cstheme="minorHAnsi"/>
          <w:szCs w:val="24"/>
        </w:rPr>
        <w:t>：</w:t>
      </w:r>
    </w:p>
    <w:p w14:paraId="33BF2527" w14:textId="77777777" w:rsidR="001B620A" w:rsidRPr="00CA1A43" w:rsidRDefault="001B620A" w:rsidP="001B620A">
      <w:pPr>
        <w:pStyle w:val="a7"/>
        <w:spacing w:beforeLines="50" w:before="180"/>
        <w:ind w:leftChars="0" w:left="964"/>
        <w:jc w:val="both"/>
        <w:rPr>
          <w:rFonts w:eastAsia="標楷體" w:cstheme="minorHAnsi"/>
        </w:rPr>
      </w:pPr>
      <w:r w:rsidRPr="00CA1A43">
        <w:rPr>
          <w:rFonts w:eastAsia="標楷體" w:cstheme="minorHAnsi"/>
        </w:rPr>
        <w:t>若銀行已取得本會核准採用內部評等法</w:t>
      </w:r>
      <w:r w:rsidRPr="00CA1A43">
        <w:rPr>
          <w:rFonts w:eastAsia="標楷體" w:cstheme="minorHAnsi"/>
        </w:rPr>
        <w:t>(IRB)</w:t>
      </w:r>
      <w:r w:rsidRPr="00CA1A43">
        <w:rPr>
          <w:rFonts w:eastAsia="標楷體" w:cstheme="minorHAnsi"/>
        </w:rPr>
        <w:t>之</w:t>
      </w:r>
      <w:r w:rsidRPr="00CA1A43">
        <w:rPr>
          <w:rFonts w:eastAsia="標楷體" w:cstheme="minorHAnsi"/>
          <w:szCs w:val="24"/>
        </w:rPr>
        <w:t>違約損失率</w:t>
      </w:r>
      <w:r w:rsidRPr="00CA1A43">
        <w:rPr>
          <w:rFonts w:eastAsia="標楷體" w:cstheme="minorHAnsi"/>
          <w:szCs w:val="24"/>
        </w:rPr>
        <w:t>(LGD)</w:t>
      </w:r>
      <w:r w:rsidRPr="00CA1A43">
        <w:rPr>
          <w:rFonts w:eastAsia="標楷體" w:cstheme="minorHAnsi"/>
        </w:rPr>
        <w:t>估計值，則應採用此</w:t>
      </w:r>
      <w:r w:rsidRPr="00CA1A43">
        <w:rPr>
          <w:rFonts w:eastAsia="標楷體" w:cstheme="minorHAnsi"/>
          <w:szCs w:val="24"/>
        </w:rPr>
        <w:t>違約損失率</w:t>
      </w:r>
      <w:r w:rsidRPr="00CA1A43">
        <w:rPr>
          <w:rFonts w:eastAsia="標楷體" w:cstheme="minorHAnsi"/>
        </w:rPr>
        <w:t>估計值計算</w:t>
      </w:r>
      <w:r w:rsidRPr="00CA1A43">
        <w:rPr>
          <w:rFonts w:eastAsia="標楷體" w:cstheme="minorHAnsi"/>
          <w:szCs w:val="24"/>
        </w:rPr>
        <w:t>違約風險性資本</w:t>
      </w:r>
      <w:r w:rsidRPr="00CA1A43">
        <w:rPr>
          <w:rFonts w:eastAsia="標楷體" w:cstheme="minorHAnsi"/>
          <w:szCs w:val="24"/>
        </w:rPr>
        <w:t>(</w:t>
      </w:r>
      <w:r w:rsidRPr="00CA1A43">
        <w:rPr>
          <w:rFonts w:eastAsia="標楷體" w:cstheme="minorHAnsi"/>
        </w:rPr>
        <w:t>DRC)</w:t>
      </w:r>
      <w:r w:rsidRPr="00CA1A43">
        <w:rPr>
          <w:rFonts w:eastAsia="標楷體" w:cstheme="minorHAnsi"/>
        </w:rPr>
        <w:t>。若此</w:t>
      </w:r>
      <w:r w:rsidRPr="00CA1A43">
        <w:rPr>
          <w:rFonts w:eastAsia="標楷體" w:cstheme="minorHAnsi"/>
          <w:szCs w:val="24"/>
        </w:rPr>
        <w:t>違約損</w:t>
      </w:r>
      <w:r w:rsidRPr="00CA1A43">
        <w:rPr>
          <w:rFonts w:eastAsia="標楷體" w:cstheme="minorHAnsi"/>
          <w:szCs w:val="24"/>
        </w:rPr>
        <w:lastRenderedPageBreak/>
        <w:t>失率</w:t>
      </w:r>
      <w:r w:rsidRPr="00CA1A43">
        <w:rPr>
          <w:rFonts w:eastAsia="標楷體" w:cstheme="minorHAnsi"/>
        </w:rPr>
        <w:t>估計值不存在或經本會評估該</w:t>
      </w:r>
      <w:r w:rsidRPr="00CA1A43">
        <w:rPr>
          <w:rFonts w:eastAsia="標楷體" w:cstheme="minorHAnsi"/>
          <w:szCs w:val="24"/>
        </w:rPr>
        <w:t>違約損失率</w:t>
      </w:r>
      <w:r w:rsidRPr="00CA1A43">
        <w:rPr>
          <w:rFonts w:eastAsia="標楷體" w:cstheme="minorHAnsi"/>
          <w:szCs w:val="24"/>
        </w:rPr>
        <w:t>(LGD)</w:t>
      </w:r>
      <w:r w:rsidRPr="00CA1A43">
        <w:rPr>
          <w:rFonts w:eastAsia="標楷體" w:cstheme="minorHAnsi"/>
        </w:rPr>
        <w:t>估計值無法充份反應</w:t>
      </w:r>
      <w:r w:rsidRPr="00CA1A43">
        <w:rPr>
          <w:rFonts w:eastAsia="標楷體" w:cstheme="minorHAnsi"/>
          <w:szCs w:val="24"/>
        </w:rPr>
        <w:t>違約損失</w:t>
      </w:r>
      <w:r w:rsidRPr="00CA1A43">
        <w:rPr>
          <w:rFonts w:eastAsia="標楷體" w:cstheme="minorHAnsi"/>
        </w:rPr>
        <w:t>，則銀行須採用與內部評等法</w:t>
      </w:r>
      <w:r w:rsidRPr="00CA1A43">
        <w:rPr>
          <w:rFonts w:eastAsia="標楷體" w:cstheme="minorHAnsi"/>
        </w:rPr>
        <w:t>(IRB)</w:t>
      </w:r>
      <w:r w:rsidRPr="00CA1A43">
        <w:rPr>
          <w:rFonts w:eastAsia="標楷體" w:cstheme="minorHAnsi"/>
        </w:rPr>
        <w:t>一致之方法計算</w:t>
      </w:r>
      <w:r w:rsidRPr="00CA1A43">
        <w:rPr>
          <w:rFonts w:eastAsia="標楷體" w:cstheme="minorHAnsi"/>
          <w:szCs w:val="24"/>
        </w:rPr>
        <w:t>違約損失率</w:t>
      </w:r>
      <w:r w:rsidRPr="00CA1A43">
        <w:rPr>
          <w:rFonts w:eastAsia="標楷體" w:cstheme="minorHAnsi"/>
        </w:rPr>
        <w:t>，且須符合下列條件：</w:t>
      </w:r>
    </w:p>
    <w:p w14:paraId="470120C2" w14:textId="77777777" w:rsidR="001B620A" w:rsidRPr="00CA1A43" w:rsidRDefault="001B620A" w:rsidP="005066C2">
      <w:pPr>
        <w:pStyle w:val="a7"/>
        <w:numPr>
          <w:ilvl w:val="0"/>
          <w:numId w:val="311"/>
        </w:numPr>
        <w:spacing w:beforeLines="50" w:before="180"/>
        <w:ind w:leftChars="0" w:left="1446" w:hanging="482"/>
        <w:jc w:val="both"/>
        <w:rPr>
          <w:rFonts w:eastAsia="標楷體" w:cstheme="minorHAnsi"/>
        </w:rPr>
      </w:pPr>
      <w:r w:rsidRPr="00CA1A43">
        <w:rPr>
          <w:rFonts w:eastAsia="標楷體" w:cstheme="minorHAnsi"/>
          <w:szCs w:val="24"/>
        </w:rPr>
        <w:t>違約</w:t>
      </w:r>
      <w:r w:rsidRPr="00CA1A43">
        <w:rPr>
          <w:rFonts w:eastAsia="標楷體" w:cstheme="minorHAnsi"/>
        </w:rPr>
        <w:t>損失率</w:t>
      </w:r>
      <w:r w:rsidRPr="00CA1A43">
        <w:rPr>
          <w:rFonts w:eastAsia="標楷體" w:cstheme="minorHAnsi"/>
          <w:szCs w:val="24"/>
        </w:rPr>
        <w:t>即為</w:t>
      </w:r>
      <w:r w:rsidRPr="00CA1A43">
        <w:rPr>
          <w:rFonts w:eastAsia="標楷體" w:cstheme="minorHAnsi"/>
          <w:szCs w:val="24"/>
        </w:rPr>
        <w:t>1-</w:t>
      </w:r>
      <w:r w:rsidRPr="00CA1A43">
        <w:rPr>
          <w:rFonts w:eastAsia="標楷體" w:cstheme="minorHAnsi"/>
          <w:szCs w:val="24"/>
        </w:rPr>
        <w:t>回收率，其必須基於實際市場觀察之部位目前市價與違約後預期市價之差異進行計算，並需反應部位之類型及償債順位，且違約損失率不得小於零。</w:t>
      </w:r>
    </w:p>
    <w:p w14:paraId="11529948" w14:textId="77777777" w:rsidR="001B620A" w:rsidRPr="00CA1A43" w:rsidRDefault="001B620A" w:rsidP="005066C2">
      <w:pPr>
        <w:pStyle w:val="a7"/>
        <w:numPr>
          <w:ilvl w:val="0"/>
          <w:numId w:val="311"/>
        </w:numPr>
        <w:spacing w:beforeLines="50" w:before="180"/>
        <w:ind w:leftChars="0" w:left="1446" w:hanging="482"/>
        <w:jc w:val="both"/>
        <w:rPr>
          <w:rFonts w:eastAsia="標楷體" w:cstheme="minorHAnsi"/>
        </w:rPr>
      </w:pPr>
      <w:r w:rsidRPr="00CA1A43">
        <w:rPr>
          <w:rFonts w:eastAsia="標楷體" w:cstheme="minorHAnsi"/>
        </w:rPr>
        <w:t>銀行需採用足夠之歷史資料以精確估算違約損失率。</w:t>
      </w:r>
    </w:p>
    <w:p w14:paraId="28CF1ABA" w14:textId="77777777" w:rsidR="00FB65D2" w:rsidRPr="00CA1A43" w:rsidRDefault="001B620A" w:rsidP="005066C2">
      <w:pPr>
        <w:pStyle w:val="a7"/>
        <w:numPr>
          <w:ilvl w:val="0"/>
          <w:numId w:val="311"/>
        </w:numPr>
        <w:spacing w:beforeLines="50" w:before="180"/>
        <w:ind w:leftChars="0" w:left="1446" w:hanging="482"/>
        <w:jc w:val="both"/>
        <w:rPr>
          <w:rFonts w:eastAsia="標楷體" w:cstheme="minorHAnsi"/>
          <w:kern w:val="0"/>
          <w:szCs w:val="24"/>
        </w:rPr>
      </w:pPr>
      <w:r w:rsidRPr="00CA1A43">
        <w:rPr>
          <w:rFonts w:eastAsia="標楷體" w:cstheme="minorHAnsi"/>
        </w:rPr>
        <w:t>銀行可採用外部提供之違約損失率，唯需證明該違約損失率適用於銀行投資部位之合適性。</w:t>
      </w:r>
    </w:p>
    <w:p w14:paraId="2C41148F" w14:textId="77777777" w:rsidR="001B620A" w:rsidRPr="00CA1A43" w:rsidRDefault="001B620A" w:rsidP="005066C2">
      <w:pPr>
        <w:pStyle w:val="a7"/>
        <w:numPr>
          <w:ilvl w:val="0"/>
          <w:numId w:val="304"/>
        </w:numPr>
        <w:spacing w:beforeLines="50" w:before="180"/>
        <w:ind w:leftChars="0" w:left="964" w:hanging="482"/>
        <w:jc w:val="both"/>
        <w:rPr>
          <w:rFonts w:eastAsia="標楷體" w:cstheme="minorHAnsi"/>
        </w:rPr>
      </w:pPr>
      <w:r w:rsidRPr="00CA1A43">
        <w:rPr>
          <w:rFonts w:eastAsia="標楷體" w:cstheme="minorHAnsi"/>
        </w:rPr>
        <w:t>違約風險計提模型之驗證方式：</w:t>
      </w:r>
    </w:p>
    <w:p w14:paraId="57BE7442" w14:textId="77777777" w:rsidR="001B620A" w:rsidRPr="00CA1A43" w:rsidRDefault="001B620A" w:rsidP="005066C2">
      <w:pPr>
        <w:pStyle w:val="a7"/>
        <w:numPr>
          <w:ilvl w:val="0"/>
          <w:numId w:val="312"/>
        </w:numPr>
        <w:spacing w:beforeLines="50" w:before="180"/>
        <w:ind w:leftChars="0" w:left="1446" w:hanging="482"/>
        <w:jc w:val="both"/>
        <w:rPr>
          <w:rFonts w:eastAsia="標楷體" w:cstheme="minorHAnsi"/>
        </w:rPr>
      </w:pPr>
      <w:r w:rsidRPr="00CA1A43">
        <w:rPr>
          <w:rFonts w:eastAsia="標楷體" w:cstheme="minorHAnsi"/>
        </w:rPr>
        <w:t>由於違約風險資本計提對於信賴區間要求較高且資本期間較長，因此無法採用</w:t>
      </w:r>
      <w:r w:rsidRPr="00CA1A43">
        <w:rPr>
          <w:rFonts w:eastAsia="標楷體" w:cstheme="minorHAnsi"/>
        </w:rPr>
        <w:t>99.9%</w:t>
      </w:r>
      <w:r w:rsidRPr="00CA1A43">
        <w:rPr>
          <w:rFonts w:eastAsia="標楷體" w:cstheme="minorHAnsi"/>
        </w:rPr>
        <w:t>信賴區間及</w:t>
      </w:r>
      <w:r w:rsidRPr="00CA1A43">
        <w:rPr>
          <w:rFonts w:eastAsia="標楷體" w:cstheme="minorHAnsi"/>
        </w:rPr>
        <w:t>1</w:t>
      </w:r>
      <w:r w:rsidRPr="00CA1A43">
        <w:rPr>
          <w:rFonts w:eastAsia="標楷體" w:cstheme="minorHAnsi"/>
        </w:rPr>
        <w:t>年持有期間之標準回溯測試進行穩健且直接的驗證。故須使用間接驗證方法，其方法包括但不限於壓力測試、敏感度分析與情境分析，以評估其質化及量化合理性，特別是評估模型在集中度的處理是否合適。</w:t>
      </w:r>
    </w:p>
    <w:p w14:paraId="407EFEAA" w14:textId="77777777" w:rsidR="001B620A" w:rsidRPr="00CA1A43" w:rsidRDefault="001B620A" w:rsidP="005066C2">
      <w:pPr>
        <w:pStyle w:val="a7"/>
        <w:numPr>
          <w:ilvl w:val="0"/>
          <w:numId w:val="312"/>
        </w:numPr>
        <w:spacing w:beforeLines="50" w:before="180"/>
        <w:ind w:leftChars="0" w:left="1446" w:hanging="482"/>
        <w:jc w:val="both"/>
        <w:rPr>
          <w:rFonts w:eastAsia="標楷體" w:cstheme="minorHAnsi"/>
        </w:rPr>
      </w:pPr>
      <w:r w:rsidRPr="00CA1A43">
        <w:rPr>
          <w:rFonts w:eastAsia="標楷體" w:cstheme="minorHAnsi"/>
        </w:rPr>
        <w:t>考慮違約風險資本計提須符合穩健性的標準，故對模型之測試不應只限於歷史情境。</w:t>
      </w:r>
    </w:p>
    <w:p w14:paraId="62FC8ECE" w14:textId="77777777" w:rsidR="001B620A" w:rsidRPr="00CA1A43" w:rsidRDefault="001B620A" w:rsidP="005066C2">
      <w:pPr>
        <w:pStyle w:val="a7"/>
        <w:numPr>
          <w:ilvl w:val="0"/>
          <w:numId w:val="312"/>
        </w:numPr>
        <w:spacing w:beforeLines="50" w:before="180"/>
        <w:ind w:leftChars="0" w:left="1446" w:hanging="482"/>
        <w:jc w:val="both"/>
        <w:rPr>
          <w:rFonts w:eastAsia="標楷體" w:cstheme="minorHAnsi"/>
        </w:rPr>
      </w:pPr>
      <w:r w:rsidRPr="00CA1A43">
        <w:rPr>
          <w:rFonts w:eastAsia="標楷體" w:cstheme="minorHAnsi"/>
        </w:rPr>
        <w:t>違約風險計提模型之驗證為一持續性之過程，且由本會和銀行共同決定</w:t>
      </w:r>
      <w:r w:rsidRPr="00CA1A43">
        <w:rPr>
          <w:rFonts w:eastAsia="標楷體" w:cstheme="minorHAnsi"/>
          <w:szCs w:val="24"/>
        </w:rPr>
        <w:t>確切</w:t>
      </w:r>
      <w:r w:rsidRPr="00CA1A43">
        <w:rPr>
          <w:rFonts w:eastAsia="標楷體" w:cstheme="minorHAnsi"/>
        </w:rPr>
        <w:t>驗證程序。</w:t>
      </w:r>
    </w:p>
    <w:p w14:paraId="0DFF66E1" w14:textId="77777777" w:rsidR="00FB65D2" w:rsidRPr="00CA1A43" w:rsidRDefault="001B620A" w:rsidP="005066C2">
      <w:pPr>
        <w:pStyle w:val="a7"/>
        <w:numPr>
          <w:ilvl w:val="0"/>
          <w:numId w:val="312"/>
        </w:numPr>
        <w:spacing w:beforeLines="50" w:before="180"/>
        <w:ind w:leftChars="0" w:left="1446" w:hanging="482"/>
        <w:jc w:val="both"/>
        <w:rPr>
          <w:rFonts w:eastAsia="標楷體" w:cstheme="minorHAnsi"/>
          <w:kern w:val="0"/>
          <w:szCs w:val="24"/>
        </w:rPr>
      </w:pPr>
      <w:r w:rsidRPr="00CA1A43">
        <w:rPr>
          <w:rFonts w:eastAsia="標楷體" w:cstheme="minorHAnsi"/>
        </w:rPr>
        <w:t>銀行應致力建立內部建模標準，以評估違約風險計提模型之準確性。</w:t>
      </w:r>
    </w:p>
    <w:p w14:paraId="1A1A8AC0" w14:textId="77777777" w:rsidR="001B620A" w:rsidRPr="00CA1A43" w:rsidRDefault="001B620A" w:rsidP="005066C2">
      <w:pPr>
        <w:pStyle w:val="a7"/>
        <w:numPr>
          <w:ilvl w:val="0"/>
          <w:numId w:val="299"/>
        </w:numPr>
        <w:spacing w:beforeLines="50" w:before="180"/>
        <w:ind w:leftChars="0" w:left="737" w:hanging="737"/>
        <w:jc w:val="both"/>
        <w:rPr>
          <w:rFonts w:eastAsia="標楷體" w:cstheme="minorHAnsi"/>
          <w:szCs w:val="24"/>
        </w:rPr>
      </w:pPr>
      <w:r w:rsidRPr="00CA1A43">
        <w:rPr>
          <w:rFonts w:eastAsia="標楷體" w:cstheme="minorHAnsi"/>
          <w:szCs w:val="24"/>
        </w:rPr>
        <w:t>資本要求加總</w:t>
      </w:r>
    </w:p>
    <w:p w14:paraId="0749A665" w14:textId="77777777" w:rsidR="001B620A" w:rsidRPr="00CA1A43" w:rsidRDefault="001B620A" w:rsidP="005066C2">
      <w:pPr>
        <w:pStyle w:val="a7"/>
        <w:numPr>
          <w:ilvl w:val="0"/>
          <w:numId w:val="313"/>
        </w:numPr>
        <w:spacing w:beforeLines="50" w:before="180"/>
        <w:ind w:leftChars="0" w:left="964" w:hanging="482"/>
        <w:jc w:val="both"/>
        <w:rPr>
          <w:rFonts w:eastAsia="標楷體" w:cstheme="minorHAnsi"/>
        </w:rPr>
      </w:pPr>
      <w:r w:rsidRPr="00CA1A43">
        <w:rPr>
          <w:rFonts w:eastAsia="標楷體" w:cstheme="minorHAnsi"/>
          <w:szCs w:val="24"/>
        </w:rPr>
        <w:t>非經本會核准</w:t>
      </w:r>
      <w:r w:rsidRPr="00CA1A43">
        <w:rPr>
          <w:rFonts w:eastAsia="標楷體" w:cstheme="minorHAnsi"/>
        </w:rPr>
        <w:t>採用內部模型法交易台</w:t>
      </w:r>
      <w:r w:rsidRPr="00CA1A43">
        <w:rPr>
          <w:rFonts w:eastAsia="標楷體" w:cstheme="minorHAnsi"/>
          <w:szCs w:val="24"/>
        </w:rPr>
        <w:t>之法定資本要求</w:t>
      </w:r>
      <w:r w:rsidRPr="00CA1A43">
        <w:rPr>
          <w:rFonts w:eastAsia="標楷體" w:cstheme="minorHAnsi"/>
          <w:szCs w:val="24"/>
        </w:rPr>
        <w:t>(Cu)</w:t>
      </w:r>
      <w:r w:rsidRPr="00CA1A43">
        <w:rPr>
          <w:rFonts w:eastAsia="標楷體" w:cstheme="minorHAnsi"/>
          <w:szCs w:val="24"/>
        </w:rPr>
        <w:t>，應</w:t>
      </w:r>
      <w:proofErr w:type="gramStart"/>
      <w:r w:rsidRPr="00CA1A43">
        <w:rPr>
          <w:rFonts w:eastAsia="標楷體" w:cstheme="minorHAnsi"/>
          <w:szCs w:val="24"/>
        </w:rPr>
        <w:t>採</w:t>
      </w:r>
      <w:proofErr w:type="gramEnd"/>
      <w:r w:rsidRPr="00CA1A43">
        <w:rPr>
          <w:rFonts w:eastAsia="標楷體" w:cstheme="minorHAnsi"/>
          <w:szCs w:val="24"/>
        </w:rPr>
        <w:t>標準法計算。</w:t>
      </w:r>
    </w:p>
    <w:p w14:paraId="2F811E79" w14:textId="77777777" w:rsidR="001B620A" w:rsidRPr="00CA1A43" w:rsidRDefault="001B620A" w:rsidP="005066C2">
      <w:pPr>
        <w:pStyle w:val="a7"/>
        <w:numPr>
          <w:ilvl w:val="0"/>
          <w:numId w:val="313"/>
        </w:numPr>
        <w:spacing w:beforeLines="50" w:before="180"/>
        <w:ind w:leftChars="0" w:left="964" w:hanging="482"/>
        <w:jc w:val="both"/>
        <w:rPr>
          <w:rFonts w:eastAsia="標楷體" w:cstheme="minorHAnsi"/>
        </w:rPr>
      </w:pPr>
      <w:r w:rsidRPr="00CA1A43">
        <w:rPr>
          <w:rFonts w:eastAsia="標楷體" w:cstheme="minorHAnsi"/>
          <w:szCs w:val="24"/>
        </w:rPr>
        <w:t>經本會核准</w:t>
      </w:r>
      <w:r w:rsidRPr="00CA1A43">
        <w:rPr>
          <w:rFonts w:eastAsia="標楷體" w:cstheme="minorHAnsi"/>
        </w:rPr>
        <w:t>採用內部模型法交易台之法定資本要求</w:t>
      </w:r>
      <w:r w:rsidRPr="00CA1A43">
        <w:rPr>
          <w:rFonts w:eastAsia="標楷體" w:cstheme="minorHAnsi"/>
          <w:szCs w:val="24"/>
        </w:rPr>
        <w:t>(</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IMA</m:t>
            </m:r>
          </m:e>
          <m:sub>
            <m:r>
              <m:rPr>
                <m:sty m:val="p"/>
              </m:rPr>
              <w:rPr>
                <w:rFonts w:ascii="Cambria Math" w:eastAsia="標楷體" w:hAnsi="Cambria Math" w:cstheme="minorHAnsi"/>
                <w:szCs w:val="24"/>
              </w:rPr>
              <m:t>G,A</m:t>
            </m:r>
          </m:sub>
        </m:sSub>
      </m:oMath>
      <w:r w:rsidR="00771076" w:rsidRPr="00CA1A43">
        <w:rPr>
          <w:rFonts w:eastAsia="標楷體" w:cstheme="minorHAnsi"/>
          <w:szCs w:val="24"/>
        </w:rPr>
        <w:t>)</w:t>
      </w:r>
      <w:r w:rsidRPr="00CA1A43">
        <w:rPr>
          <w:rFonts w:eastAsia="標楷體" w:cstheme="minorHAnsi"/>
        </w:rPr>
        <w:t>，計算說明如下</w:t>
      </w:r>
      <w:r w:rsidRPr="00CA1A43">
        <w:rPr>
          <w:rFonts w:eastAsia="標楷體" w:cstheme="minorHAnsi"/>
          <w:szCs w:val="24"/>
        </w:rPr>
        <w:t>：</w:t>
      </w:r>
    </w:p>
    <w:p w14:paraId="077AE120" w14:textId="77777777" w:rsidR="001B620A" w:rsidRPr="00CA1A43" w:rsidRDefault="001B620A" w:rsidP="001B620A">
      <w:pPr>
        <w:pStyle w:val="a7"/>
        <w:spacing w:beforeLines="50" w:before="180"/>
        <w:ind w:leftChars="0" w:left="964"/>
        <w:jc w:val="both"/>
        <w:rPr>
          <w:rFonts w:eastAsia="標楷體" w:cstheme="minorHAnsi"/>
          <w:szCs w:val="24"/>
        </w:rPr>
      </w:pPr>
      <w:r w:rsidRPr="00CA1A43">
        <w:rPr>
          <w:rFonts w:eastAsia="標楷體" w:cstheme="minorHAnsi"/>
        </w:rPr>
        <w:t>合格</w:t>
      </w:r>
      <w:r w:rsidRPr="00CA1A43">
        <w:rPr>
          <w:rFonts w:eastAsia="標楷體" w:cstheme="minorHAnsi"/>
          <w:szCs w:val="24"/>
        </w:rPr>
        <w:t>內部模型法</w:t>
      </w:r>
      <w:r w:rsidRPr="00CA1A43">
        <w:rPr>
          <w:rFonts w:eastAsia="標楷體" w:cstheme="minorHAnsi"/>
          <w:szCs w:val="24"/>
        </w:rPr>
        <w:t>(</w:t>
      </w:r>
      <w:r w:rsidRPr="00CA1A43">
        <w:rPr>
          <w:rFonts w:eastAsia="標楷體" w:cstheme="minorHAnsi"/>
        </w:rPr>
        <w:t>IMA)</w:t>
      </w:r>
      <w:r w:rsidRPr="00CA1A43">
        <w:rPr>
          <w:rFonts w:eastAsia="標楷體" w:cstheme="minorHAnsi"/>
        </w:rPr>
        <w:t>交易台資本計提</w:t>
      </w:r>
      <w:r w:rsidRPr="00CA1A43">
        <w:rPr>
          <w:rFonts w:eastAsia="標楷體" w:cstheme="minorHAnsi"/>
          <w:szCs w:val="24"/>
        </w:rPr>
        <w:t>為內部模型法</w:t>
      </w:r>
      <w:r w:rsidRPr="00CA1A43">
        <w:rPr>
          <w:rFonts w:eastAsia="標楷體" w:cstheme="minorHAnsi"/>
          <w:szCs w:val="24"/>
        </w:rPr>
        <w:t>(</w:t>
      </w:r>
      <w:r w:rsidRPr="00CA1A43">
        <w:rPr>
          <w:rFonts w:eastAsia="標楷體" w:cstheme="minorHAnsi"/>
        </w:rPr>
        <w:t>IMA)</w:t>
      </w:r>
      <w:r w:rsidRPr="00CA1A43">
        <w:rPr>
          <w:rFonts w:eastAsia="標楷體" w:cstheme="minorHAnsi"/>
          <w:szCs w:val="24"/>
        </w:rPr>
        <w:t>交易台不含違約風險性資本</w:t>
      </w:r>
      <w:r w:rsidRPr="00CA1A43">
        <w:rPr>
          <w:rFonts w:eastAsia="標楷體" w:cstheme="minorHAnsi"/>
          <w:szCs w:val="24"/>
        </w:rPr>
        <w:t>(</w:t>
      </w:r>
      <w:r w:rsidRPr="00CA1A43">
        <w:rPr>
          <w:rFonts w:eastAsia="標楷體" w:cstheme="minorHAnsi"/>
        </w:rPr>
        <w:t>DRC)</w:t>
      </w:r>
      <w:r w:rsidRPr="00CA1A43">
        <w:rPr>
          <w:rFonts w:eastAsia="標楷體" w:cstheme="minorHAnsi"/>
          <w:szCs w:val="24"/>
        </w:rPr>
        <w:t>下之資本計提</w:t>
      </w:r>
      <w:r w:rsidRPr="00CA1A43">
        <w:rPr>
          <w:rFonts w:eastAsia="標楷體" w:cstheme="minorHAnsi"/>
          <w:szCs w:val="24"/>
        </w:rPr>
        <w:t>(</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C</m:t>
            </m:r>
          </m:e>
          <m:sub>
            <m:r>
              <m:rPr>
                <m:sty m:val="p"/>
              </m:rPr>
              <w:rPr>
                <w:rFonts w:ascii="Cambria Math" w:eastAsia="標楷體" w:hAnsi="Cambria Math" w:cstheme="minorHAnsi"/>
                <w:szCs w:val="24"/>
              </w:rPr>
              <m:t>A</m:t>
            </m:r>
          </m:sub>
        </m:sSub>
      </m:oMath>
      <w:r w:rsidRPr="00CA1A43">
        <w:rPr>
          <w:rFonts w:eastAsia="標楷體" w:cstheme="minorHAnsi"/>
          <w:szCs w:val="24"/>
        </w:rPr>
        <w:t>)</w:t>
      </w:r>
      <w:r w:rsidRPr="00CA1A43">
        <w:rPr>
          <w:rFonts w:eastAsia="標楷體" w:cstheme="minorHAnsi"/>
          <w:szCs w:val="24"/>
        </w:rPr>
        <w:t>和</w:t>
      </w:r>
      <w:r w:rsidRPr="00CA1A43">
        <w:rPr>
          <w:rFonts w:eastAsia="標楷體" w:cstheme="minorHAnsi"/>
        </w:rPr>
        <w:t>違約風險資本計提</w:t>
      </w:r>
      <w:r w:rsidRPr="00CA1A43">
        <w:rPr>
          <w:rFonts w:eastAsia="標楷體" w:cstheme="minorHAnsi"/>
        </w:rPr>
        <w:t>(</w:t>
      </w:r>
      <w:r w:rsidRPr="00CA1A43">
        <w:rPr>
          <w:rFonts w:eastAsia="標楷體" w:cstheme="minorHAnsi"/>
          <w:szCs w:val="24"/>
        </w:rPr>
        <w:t>DRC)</w:t>
      </w:r>
      <w:r w:rsidRPr="00CA1A43">
        <w:rPr>
          <w:rFonts w:eastAsia="標楷體" w:cstheme="minorHAnsi"/>
          <w:szCs w:val="24"/>
        </w:rPr>
        <w:t>之加總，其中資本計提</w:t>
      </w:r>
      <w:r w:rsidRPr="00CA1A43">
        <w:rPr>
          <w:rFonts w:eastAsia="標楷體" w:cstheme="minorHAnsi"/>
          <w:szCs w:val="24"/>
        </w:rPr>
        <w:t>(</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C</m:t>
            </m:r>
          </m:e>
          <m:sub>
            <m:r>
              <m:rPr>
                <m:sty m:val="p"/>
              </m:rPr>
              <w:rPr>
                <w:rFonts w:ascii="Cambria Math" w:eastAsia="標楷體" w:hAnsi="Cambria Math" w:cstheme="minorHAnsi"/>
                <w:szCs w:val="24"/>
              </w:rPr>
              <m:t>A</m:t>
            </m:r>
          </m:sub>
        </m:sSub>
      </m:oMath>
      <w:r w:rsidRPr="00CA1A43">
        <w:rPr>
          <w:rFonts w:eastAsia="標楷體" w:cstheme="minorHAnsi"/>
          <w:szCs w:val="24"/>
        </w:rPr>
        <w:t>)</w:t>
      </w:r>
      <w:r w:rsidRPr="00CA1A43">
        <w:rPr>
          <w:rFonts w:eastAsia="標楷體" w:cstheme="minorHAnsi"/>
        </w:rPr>
        <w:t>為最近一期觀察值及近</w:t>
      </w:r>
      <w:r w:rsidRPr="00CA1A43">
        <w:rPr>
          <w:rFonts w:eastAsia="標楷體" w:cstheme="minorHAnsi"/>
        </w:rPr>
        <w:t>60</w:t>
      </w:r>
      <w:r w:rsidRPr="00CA1A43">
        <w:rPr>
          <w:rFonts w:eastAsia="標楷體" w:cstheme="minorHAnsi"/>
        </w:rPr>
        <w:t>天加權平均乘上乘數</w:t>
      </w:r>
      <w:r w:rsidRPr="00CA1A43">
        <w:rPr>
          <w:rFonts w:eastAsia="標楷體" w:cstheme="minorHAnsi"/>
        </w:rPr>
        <w:t>(m</w:t>
      </w:r>
      <w:r w:rsidRPr="00CA1A43">
        <w:rPr>
          <w:rFonts w:eastAsia="標楷體" w:cstheme="minorHAnsi"/>
          <w:vertAlign w:val="subscript"/>
        </w:rPr>
        <w:t>c</w:t>
      </w:r>
      <w:r w:rsidRPr="00CA1A43">
        <w:rPr>
          <w:rFonts w:eastAsia="標楷體" w:cstheme="minorHAnsi"/>
        </w:rPr>
        <w:t>)</w:t>
      </w:r>
      <w:r w:rsidRPr="00CA1A43">
        <w:rPr>
          <w:rFonts w:eastAsia="標楷體" w:cstheme="minorHAnsi"/>
        </w:rPr>
        <w:t>後兩者</w:t>
      </w:r>
      <w:proofErr w:type="gramStart"/>
      <w:r w:rsidRPr="00CA1A43">
        <w:rPr>
          <w:rFonts w:eastAsia="標楷體" w:cstheme="minorHAnsi"/>
        </w:rPr>
        <w:t>取孰大</w:t>
      </w:r>
      <w:proofErr w:type="gramEnd"/>
      <w:r w:rsidRPr="00CA1A43">
        <w:rPr>
          <w:rFonts w:eastAsia="標楷體" w:cstheme="minorHAnsi"/>
        </w:rPr>
        <w:t>，</w:t>
      </w:r>
      <w:r w:rsidRPr="00CA1A43">
        <w:rPr>
          <w:rFonts w:eastAsia="標楷體" w:cstheme="minorHAnsi"/>
          <w:szCs w:val="24"/>
        </w:rPr>
        <w:t>計算</w:t>
      </w:r>
      <w:r w:rsidRPr="00CA1A43">
        <w:rPr>
          <w:rFonts w:eastAsia="標楷體" w:cstheme="minorHAnsi"/>
        </w:rPr>
        <w:t>如下</w:t>
      </w:r>
      <w:r w:rsidRPr="00CA1A43">
        <w:rPr>
          <w:rFonts w:eastAsia="標楷體" w:cstheme="minorHAnsi"/>
          <w:szCs w:val="24"/>
        </w:rPr>
        <w:t>：</w:t>
      </w:r>
    </w:p>
    <w:p w14:paraId="101B41F3" w14:textId="77777777" w:rsidR="007201DE" w:rsidRPr="00CA1A43" w:rsidRDefault="00AA1117" w:rsidP="001B620A">
      <w:pPr>
        <w:pStyle w:val="a7"/>
        <w:spacing w:beforeLines="50" w:before="180"/>
        <w:ind w:leftChars="0" w:left="964"/>
        <w:jc w:val="both"/>
        <w:rPr>
          <w:rFonts w:eastAsia="標楷體" w:cstheme="minorHAnsi"/>
        </w:rPr>
      </w:pPr>
      <m:oMathPara>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C</m:t>
              </m:r>
            </m:e>
            <m:sub>
              <m:r>
                <m:rPr>
                  <m:sty m:val="p"/>
                </m:rPr>
                <w:rPr>
                  <w:rFonts w:ascii="Cambria Math" w:eastAsia="標楷體" w:hAnsi="Cambria Math" w:cstheme="minorHAnsi"/>
                  <w:szCs w:val="24"/>
                </w:rPr>
                <m:t>A</m:t>
              </m:r>
            </m:sub>
          </m:sSub>
          <m:r>
            <m:rPr>
              <m:sty m:val="p"/>
            </m:rPr>
            <w:rPr>
              <w:rFonts w:ascii="Cambria Math" w:eastAsia="標楷體" w:hAnsi="Cambria Math" w:cstheme="minorHAnsi"/>
              <w:szCs w:val="24"/>
            </w:rPr>
            <m:t>=max</m:t>
          </m:r>
          <m:d>
            <m:dPr>
              <m:begChr m:val="{"/>
              <m:endChr m:val="}"/>
              <m:ctrlPr>
                <w:rPr>
                  <w:rFonts w:ascii="Cambria Math" w:eastAsia="標楷體" w:hAnsi="Cambria Math" w:cstheme="minorHAnsi"/>
                  <w:szCs w:val="24"/>
                </w:rPr>
              </m:ctrlPr>
            </m:dPr>
            <m:e>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IMCC</m:t>
                  </m:r>
                </m:e>
                <m:sub>
                  <m:r>
                    <m:rPr>
                      <m:sty m:val="p"/>
                    </m:rPr>
                    <w:rPr>
                      <w:rFonts w:ascii="Cambria Math" w:eastAsia="標楷體" w:hAnsi="Cambria Math" w:cstheme="minorHAnsi"/>
                      <w:szCs w:val="24"/>
                    </w:rPr>
                    <m:t>t-1</m:t>
                  </m:r>
                </m:sub>
              </m:sSub>
              <m:r>
                <m:rPr>
                  <m:sty m:val="p"/>
                </m:rPr>
                <w:rPr>
                  <w:rFonts w:ascii="Cambria Math" w:eastAsia="標楷體" w:hAnsi="Cambria Math" w:cstheme="minorHAnsi"/>
                  <w:szCs w:val="24"/>
                </w:rPr>
                <m:t>+</m:t>
              </m:r>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SES</m:t>
                  </m:r>
                </m:e>
                <m:sub>
                  <m:r>
                    <m:rPr>
                      <m:sty m:val="p"/>
                    </m:rPr>
                    <w:rPr>
                      <w:rFonts w:ascii="Cambria Math" w:eastAsia="標楷體" w:hAnsi="Cambria Math" w:cstheme="minorHAnsi"/>
                      <w:szCs w:val="24"/>
                    </w:rPr>
                    <m:t>t-1</m:t>
                  </m:r>
                </m:sub>
              </m:sSub>
              <m:r>
                <m:rPr>
                  <m:sty m:val="p"/>
                </m:rPr>
                <w:rPr>
                  <w:rFonts w:ascii="Cambria Math" w:eastAsia="標楷體" w:hAnsi="Cambria Math" w:cstheme="minorHAnsi"/>
                  <w:szCs w:val="24"/>
                </w:rPr>
                <m:t>；</m:t>
              </m:r>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m</m:t>
                  </m:r>
                </m:e>
                <m:sub>
                  <m:r>
                    <m:rPr>
                      <m:sty m:val="p"/>
                    </m:rPr>
                    <w:rPr>
                      <w:rFonts w:ascii="Cambria Math" w:eastAsia="標楷體" w:hAnsi="Cambria Math" w:cstheme="minorHAnsi"/>
                      <w:szCs w:val="24"/>
                    </w:rPr>
                    <m:t>c</m:t>
                  </m:r>
                </m:sub>
              </m:sSub>
              <m:r>
                <m:rPr>
                  <m:sty m:val="p"/>
                </m:rPr>
                <w:rPr>
                  <w:rFonts w:ascii="Cambria Math" w:eastAsia="標楷體" w:hAnsi="Cambria Math" w:cstheme="minorHAnsi"/>
                  <w:szCs w:val="24"/>
                </w:rPr>
                <m:t>∙</m:t>
              </m:r>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IMCC</m:t>
                  </m:r>
                </m:e>
                <m:sub>
                  <m:r>
                    <m:rPr>
                      <m:sty m:val="p"/>
                    </m:rPr>
                    <w:rPr>
                      <w:rFonts w:ascii="Cambria Math" w:eastAsia="標楷體" w:hAnsi="Cambria Math" w:cstheme="minorHAnsi"/>
                      <w:szCs w:val="24"/>
                    </w:rPr>
                    <m:t>avg</m:t>
                  </m:r>
                </m:sub>
              </m:sSub>
              <m:r>
                <m:rPr>
                  <m:sty m:val="p"/>
                </m:rPr>
                <w:rPr>
                  <w:rFonts w:ascii="Cambria Math" w:eastAsia="標楷體" w:hAnsi="Cambria Math" w:cstheme="minorHAnsi"/>
                  <w:szCs w:val="24"/>
                </w:rPr>
                <m:t>+</m:t>
              </m:r>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SES</m:t>
                  </m:r>
                </m:e>
                <m:sub>
                  <m:r>
                    <m:rPr>
                      <m:sty m:val="p"/>
                    </m:rPr>
                    <w:rPr>
                      <w:rFonts w:ascii="Cambria Math" w:eastAsia="標楷體" w:hAnsi="Cambria Math" w:cstheme="minorHAnsi"/>
                      <w:szCs w:val="24"/>
                    </w:rPr>
                    <m:t>avg</m:t>
                  </m:r>
                </m:sub>
              </m:sSub>
            </m:e>
          </m:d>
        </m:oMath>
      </m:oMathPara>
    </w:p>
    <w:p w14:paraId="00BDB909" w14:textId="77777777" w:rsidR="007201DE" w:rsidRPr="00CA1A43" w:rsidRDefault="007201DE" w:rsidP="007201DE">
      <w:pPr>
        <w:pStyle w:val="a7"/>
        <w:spacing w:beforeLines="50" w:before="180"/>
        <w:ind w:leftChars="0" w:left="960"/>
        <w:jc w:val="both"/>
        <w:rPr>
          <w:rFonts w:eastAsia="標楷體" w:cstheme="minorHAnsi"/>
          <w:szCs w:val="24"/>
        </w:rPr>
      </w:pPr>
      <w:r w:rsidRPr="00CA1A43">
        <w:rPr>
          <w:rFonts w:eastAsia="標楷體" w:cstheme="minorHAnsi"/>
          <w:szCs w:val="24"/>
        </w:rPr>
        <w:t>其中，</w:t>
      </w:r>
    </w:p>
    <w:p w14:paraId="097032C3" w14:textId="77777777" w:rsidR="007201DE" w:rsidRPr="00CA1A43" w:rsidRDefault="007201DE" w:rsidP="005066C2">
      <w:pPr>
        <w:pStyle w:val="a7"/>
        <w:numPr>
          <w:ilvl w:val="0"/>
          <w:numId w:val="314"/>
        </w:numPr>
        <w:spacing w:beforeLines="50" w:before="180"/>
        <w:ind w:leftChars="0" w:left="1446" w:hanging="482"/>
        <w:jc w:val="both"/>
        <w:rPr>
          <w:rFonts w:eastAsia="標楷體" w:cstheme="minorHAnsi"/>
          <w:szCs w:val="24"/>
        </w:rPr>
      </w:pPr>
      <w:r w:rsidRPr="00CA1A43">
        <w:rPr>
          <w:rFonts w:eastAsia="標楷體" w:cstheme="minorHAnsi"/>
          <w:szCs w:val="24"/>
        </w:rPr>
        <w:lastRenderedPageBreak/>
        <w:t>IMCC</w:t>
      </w:r>
      <w:r w:rsidRPr="00CA1A43">
        <w:rPr>
          <w:rFonts w:eastAsia="標楷體" w:cstheme="minorHAnsi"/>
          <w:szCs w:val="24"/>
        </w:rPr>
        <w:t>為內部模型法交易台所持有之可模型化風險因子總法定資本要求</w:t>
      </w:r>
      <w:r w:rsidRPr="00CA1A43">
        <w:rPr>
          <w:rFonts w:eastAsia="標楷體" w:cstheme="minorHAnsi"/>
          <w:szCs w:val="24"/>
        </w:rPr>
        <w:t>(IMCC)</w:t>
      </w:r>
      <w:r w:rsidRPr="00CA1A43">
        <w:rPr>
          <w:rFonts w:eastAsia="標楷體" w:cstheme="minorHAnsi"/>
          <w:szCs w:val="24"/>
        </w:rPr>
        <w:t>。</w:t>
      </w:r>
    </w:p>
    <w:p w14:paraId="305827ED" w14:textId="77777777" w:rsidR="007201DE" w:rsidRPr="00CA1A43" w:rsidRDefault="007201DE" w:rsidP="005066C2">
      <w:pPr>
        <w:pStyle w:val="a7"/>
        <w:numPr>
          <w:ilvl w:val="0"/>
          <w:numId w:val="314"/>
        </w:numPr>
        <w:spacing w:beforeLines="50" w:before="180"/>
        <w:ind w:leftChars="0" w:left="1446" w:hanging="482"/>
        <w:jc w:val="both"/>
        <w:rPr>
          <w:rFonts w:eastAsia="標楷體" w:cstheme="minorHAnsi"/>
          <w:szCs w:val="24"/>
        </w:rPr>
      </w:pPr>
      <w:r w:rsidRPr="00CA1A43">
        <w:rPr>
          <w:rFonts w:eastAsia="標楷體" w:cstheme="minorHAnsi"/>
          <w:szCs w:val="24"/>
        </w:rPr>
        <w:t>SES</w:t>
      </w:r>
      <w:r w:rsidRPr="00CA1A43">
        <w:rPr>
          <w:rFonts w:eastAsia="標楷體" w:cstheme="minorHAnsi"/>
          <w:szCs w:val="24"/>
        </w:rPr>
        <w:t>為內部模型法交易台所持有之不可模型化風險因子總法定資本要求。</w:t>
      </w:r>
    </w:p>
    <w:p w14:paraId="41008035" w14:textId="77777777" w:rsidR="007201DE" w:rsidRPr="00CA1A43" w:rsidRDefault="007201DE" w:rsidP="005066C2">
      <w:pPr>
        <w:pStyle w:val="a7"/>
        <w:numPr>
          <w:ilvl w:val="0"/>
          <w:numId w:val="314"/>
        </w:numPr>
        <w:spacing w:beforeLines="50" w:before="180"/>
        <w:ind w:leftChars="0" w:left="1446" w:hanging="482"/>
        <w:jc w:val="both"/>
        <w:rPr>
          <w:rFonts w:eastAsia="標楷體" w:cstheme="minorHAnsi"/>
          <w:szCs w:val="24"/>
        </w:rPr>
      </w:pPr>
      <w:r w:rsidRPr="00CA1A43">
        <w:rPr>
          <w:rFonts w:eastAsia="標楷體" w:cstheme="minorHAnsi"/>
        </w:rPr>
        <w:t>m</w:t>
      </w:r>
      <w:r w:rsidRPr="00CA1A43">
        <w:rPr>
          <w:rFonts w:eastAsia="標楷體" w:cstheme="minorHAnsi"/>
          <w:vertAlign w:val="subscript"/>
        </w:rPr>
        <w:t>c</w:t>
      </w:r>
      <w:r w:rsidRPr="00CA1A43">
        <w:rPr>
          <w:rFonts w:eastAsia="標楷體" w:cstheme="minorHAnsi"/>
          <w:szCs w:val="24"/>
        </w:rPr>
        <w:t>為乘數因子，其固定為</w:t>
      </w:r>
      <w:r w:rsidRPr="00CA1A43">
        <w:rPr>
          <w:rFonts w:eastAsia="標楷體" w:cstheme="minorHAnsi"/>
          <w:szCs w:val="24"/>
        </w:rPr>
        <w:t>1.5</w:t>
      </w:r>
      <w:r w:rsidRPr="00CA1A43">
        <w:rPr>
          <w:rFonts w:eastAsia="標楷體" w:cstheme="minorHAnsi"/>
          <w:szCs w:val="24"/>
        </w:rPr>
        <w:t>。符合以下條件下，</w:t>
      </w:r>
      <w:r w:rsidRPr="00CA1A43">
        <w:rPr>
          <w:rFonts w:eastAsia="標楷體" w:cstheme="minorHAnsi"/>
        </w:rPr>
        <w:t>本會</w:t>
      </w:r>
      <w:r w:rsidRPr="00CA1A43">
        <w:rPr>
          <w:rFonts w:eastAsia="標楷體" w:cstheme="minorHAnsi"/>
          <w:szCs w:val="24"/>
        </w:rPr>
        <w:t>可另設定附加乘數值以反應額外質化資本加碼或額外回溯測試資本加碼。</w:t>
      </w:r>
    </w:p>
    <w:p w14:paraId="4B434FED" w14:textId="77777777" w:rsidR="007201DE" w:rsidRPr="00CA1A43" w:rsidRDefault="007201DE" w:rsidP="005066C2">
      <w:pPr>
        <w:pStyle w:val="a7"/>
        <w:numPr>
          <w:ilvl w:val="0"/>
          <w:numId w:val="315"/>
        </w:numPr>
        <w:spacing w:beforeLines="50" w:before="180"/>
        <w:ind w:leftChars="0"/>
        <w:jc w:val="both"/>
        <w:rPr>
          <w:rFonts w:eastAsia="標楷體" w:cstheme="minorHAnsi"/>
        </w:rPr>
      </w:pPr>
      <w:r w:rsidRPr="00CA1A43">
        <w:rPr>
          <w:rFonts w:eastAsia="標楷體" w:cstheme="minorHAnsi"/>
        </w:rPr>
        <w:t>為鼓勵銀行維持模型的準確性，此附加</w:t>
      </w:r>
      <w:r w:rsidRPr="00CA1A43">
        <w:rPr>
          <w:rFonts w:eastAsia="標楷體" w:cstheme="minorHAnsi"/>
          <w:szCs w:val="24"/>
        </w:rPr>
        <w:t>乘數值必須在原乘數因子加上與</w:t>
      </w:r>
      <w:r w:rsidRPr="00CA1A43">
        <w:rPr>
          <w:rFonts w:eastAsia="標楷體" w:cstheme="minorHAnsi"/>
        </w:rPr>
        <w:t>過去模型表現</w:t>
      </w:r>
      <w:r w:rsidRPr="00CA1A43">
        <w:rPr>
          <w:rFonts w:eastAsia="標楷體" w:cstheme="minorHAnsi"/>
          <w:szCs w:val="24"/>
        </w:rPr>
        <w:t>直接相關的附加乘數。</w:t>
      </w:r>
    </w:p>
    <w:p w14:paraId="705E1102" w14:textId="77777777" w:rsidR="007201DE" w:rsidRPr="00CA1A43" w:rsidRDefault="007201DE" w:rsidP="005066C2">
      <w:pPr>
        <w:pStyle w:val="a7"/>
        <w:numPr>
          <w:ilvl w:val="0"/>
          <w:numId w:val="315"/>
        </w:numPr>
        <w:spacing w:beforeLines="50" w:before="180"/>
        <w:ind w:leftChars="0"/>
        <w:jc w:val="both"/>
        <w:rPr>
          <w:rFonts w:eastAsia="標楷體" w:cstheme="minorHAnsi"/>
          <w:szCs w:val="24"/>
        </w:rPr>
      </w:pPr>
      <w:r w:rsidRPr="00CA1A43">
        <w:rPr>
          <w:rFonts w:eastAsia="標楷體" w:cstheme="minorHAnsi"/>
          <w:szCs w:val="24"/>
        </w:rPr>
        <w:t>回溯</w:t>
      </w:r>
      <w:r w:rsidRPr="00CA1A43">
        <w:rPr>
          <w:rFonts w:eastAsia="標楷體" w:cstheme="minorHAnsi"/>
        </w:rPr>
        <w:t>測試</w:t>
      </w:r>
      <w:r w:rsidRPr="00CA1A43">
        <w:rPr>
          <w:rFonts w:eastAsia="標楷體" w:cstheme="minorHAnsi"/>
          <w:szCs w:val="24"/>
        </w:rPr>
        <w:t>資本加碼是依實際損益</w:t>
      </w:r>
      <w:r w:rsidRPr="00CA1A43">
        <w:rPr>
          <w:rFonts w:eastAsia="標楷體" w:cstheme="minorHAnsi"/>
          <w:szCs w:val="24"/>
        </w:rPr>
        <w:t>(APL)</w:t>
      </w:r>
      <w:r w:rsidRPr="00CA1A43">
        <w:rPr>
          <w:rFonts w:eastAsia="標楷體" w:cstheme="minorHAnsi"/>
          <w:szCs w:val="24"/>
        </w:rPr>
        <w:t>回溯測試結果與假設損益</w:t>
      </w:r>
      <w:r w:rsidRPr="00CA1A43">
        <w:rPr>
          <w:rFonts w:eastAsia="標楷體" w:cstheme="minorHAnsi"/>
          <w:szCs w:val="24"/>
        </w:rPr>
        <w:t>(HPL)</w:t>
      </w:r>
      <w:r w:rsidRPr="00CA1A43">
        <w:rPr>
          <w:rFonts w:eastAsia="標楷體" w:cstheme="minorHAnsi"/>
          <w:szCs w:val="24"/>
        </w:rPr>
        <w:t>回溯測試結果相比穿透次數取最大者，對映回溯測試區間</w:t>
      </w:r>
      <w:r w:rsidRPr="00CA1A43">
        <w:rPr>
          <w:rFonts w:eastAsia="標楷體" w:cstheme="minorHAnsi"/>
          <w:szCs w:val="24"/>
        </w:rPr>
        <w:t>(</w:t>
      </w:r>
      <w:r w:rsidRPr="00CA1A43">
        <w:rPr>
          <w:rFonts w:eastAsia="標楷體" w:cstheme="minorHAnsi"/>
          <w:szCs w:val="24"/>
        </w:rPr>
        <w:t>表</w:t>
      </w:r>
      <w:r w:rsidRPr="00CA1A43">
        <w:rPr>
          <w:rFonts w:eastAsia="標楷體" w:cstheme="minorHAnsi"/>
          <w:szCs w:val="24"/>
        </w:rPr>
        <w:t>2)</w:t>
      </w:r>
      <w:r w:rsidRPr="00CA1A43">
        <w:rPr>
          <w:rFonts w:eastAsia="標楷體" w:cstheme="minorHAnsi"/>
          <w:szCs w:val="24"/>
        </w:rPr>
        <w:t>取得之附加乘數值，該數值介於</w:t>
      </w:r>
      <w:r w:rsidRPr="00CA1A43">
        <w:rPr>
          <w:rFonts w:eastAsia="標楷體" w:cstheme="minorHAnsi"/>
          <w:szCs w:val="24"/>
        </w:rPr>
        <w:t>0</w:t>
      </w:r>
      <w:r w:rsidRPr="00CA1A43">
        <w:rPr>
          <w:rFonts w:eastAsia="標楷體" w:cstheme="minorHAnsi"/>
          <w:szCs w:val="24"/>
        </w:rPr>
        <w:t>到</w:t>
      </w:r>
      <w:r w:rsidRPr="00CA1A43">
        <w:rPr>
          <w:rFonts w:eastAsia="標楷體" w:cstheme="minorHAnsi"/>
          <w:szCs w:val="24"/>
        </w:rPr>
        <w:t>0.5</w:t>
      </w:r>
      <w:r w:rsidRPr="00CA1A43">
        <w:rPr>
          <w:rFonts w:eastAsia="標楷體" w:cstheme="minorHAnsi"/>
          <w:szCs w:val="24"/>
        </w:rPr>
        <w:t>之間。</w:t>
      </w:r>
    </w:p>
    <w:p w14:paraId="63BF78BA" w14:textId="77777777" w:rsidR="00FB65D2" w:rsidRPr="00CA1A43" w:rsidRDefault="007201DE" w:rsidP="005066C2">
      <w:pPr>
        <w:pStyle w:val="a7"/>
        <w:numPr>
          <w:ilvl w:val="0"/>
          <w:numId w:val="315"/>
        </w:numPr>
        <w:spacing w:beforeLines="50" w:before="180"/>
        <w:ind w:leftChars="0"/>
        <w:jc w:val="both"/>
        <w:rPr>
          <w:rFonts w:eastAsia="標楷體" w:cstheme="minorHAnsi"/>
          <w:kern w:val="0"/>
          <w:szCs w:val="24"/>
        </w:rPr>
      </w:pPr>
      <w:r w:rsidRPr="00CA1A43">
        <w:rPr>
          <w:rFonts w:eastAsia="標楷體" w:cstheme="minorHAnsi"/>
          <w:szCs w:val="24"/>
        </w:rPr>
        <w:t>銀行若符合內部模型法之各項質化標準且亦通過回溯測試，附加乘數值可為</w:t>
      </w:r>
      <w:r w:rsidRPr="00CA1A43">
        <w:rPr>
          <w:rFonts w:eastAsia="標楷體" w:cstheme="minorHAnsi"/>
          <w:szCs w:val="24"/>
        </w:rPr>
        <w:t>0</w:t>
      </w:r>
      <w:r w:rsidRPr="00CA1A43">
        <w:rPr>
          <w:rFonts w:eastAsia="標楷體" w:cstheme="minorHAnsi"/>
          <w:szCs w:val="24"/>
        </w:rPr>
        <w:t>。</w:t>
      </w:r>
    </w:p>
    <w:p w14:paraId="43877347" w14:textId="77777777" w:rsidR="007201DE" w:rsidRPr="00CA1A43" w:rsidRDefault="007201DE" w:rsidP="005066C2">
      <w:pPr>
        <w:pStyle w:val="a7"/>
        <w:numPr>
          <w:ilvl w:val="0"/>
          <w:numId w:val="313"/>
        </w:numPr>
        <w:spacing w:beforeLines="50" w:before="180"/>
        <w:ind w:leftChars="0" w:left="964" w:hanging="482"/>
        <w:jc w:val="both"/>
        <w:rPr>
          <w:rFonts w:eastAsia="標楷體" w:cstheme="minorHAnsi"/>
        </w:rPr>
      </w:pPr>
      <w:r w:rsidRPr="00CA1A43">
        <w:rPr>
          <w:rFonts w:eastAsia="標楷體" w:cstheme="minorHAnsi"/>
          <w:szCs w:val="24"/>
        </w:rPr>
        <w:t>市場</w:t>
      </w:r>
      <w:r w:rsidRPr="00CA1A43">
        <w:rPr>
          <w:rFonts w:eastAsia="標楷體" w:cstheme="minorHAnsi"/>
        </w:rPr>
        <w:t>風險資本</w:t>
      </w:r>
      <w:r w:rsidRPr="00CA1A43">
        <w:rPr>
          <w:rFonts w:eastAsia="標楷體" w:cstheme="minorHAnsi"/>
          <w:szCs w:val="24"/>
        </w:rPr>
        <w:t>要求</w:t>
      </w:r>
      <w:r w:rsidRPr="00CA1A43">
        <w:rPr>
          <w:rFonts w:eastAsia="標楷體" w:cstheme="minorHAnsi"/>
          <w:szCs w:val="24"/>
        </w:rPr>
        <w:t>(</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ACR</m:t>
            </m:r>
          </m:e>
          <m:sub>
            <m:r>
              <m:rPr>
                <m:sty m:val="p"/>
              </m:rPr>
              <w:rPr>
                <w:rFonts w:ascii="Cambria Math" w:eastAsia="標楷體" w:hAnsi="Cambria Math" w:cstheme="minorHAnsi"/>
                <w:szCs w:val="24"/>
              </w:rPr>
              <m:t>total</m:t>
            </m:r>
          </m:sub>
        </m:sSub>
      </m:oMath>
      <w:r w:rsidRPr="00CA1A43">
        <w:rPr>
          <w:rFonts w:eastAsia="標楷體" w:cstheme="minorHAnsi"/>
          <w:szCs w:val="24"/>
        </w:rPr>
        <w:t>)</w:t>
      </w:r>
      <w:r w:rsidRPr="00CA1A43">
        <w:rPr>
          <w:rFonts w:eastAsia="標楷體" w:cstheme="minorHAnsi"/>
          <w:szCs w:val="24"/>
        </w:rPr>
        <w:t>：</w:t>
      </w:r>
    </w:p>
    <w:p w14:paraId="3E5E405D" w14:textId="77777777" w:rsidR="00FB65D2" w:rsidRPr="00CA1A43" w:rsidRDefault="007201DE" w:rsidP="005066C2">
      <w:pPr>
        <w:pStyle w:val="a7"/>
        <w:numPr>
          <w:ilvl w:val="0"/>
          <w:numId w:val="316"/>
        </w:numPr>
        <w:spacing w:beforeLines="50" w:before="180"/>
        <w:ind w:leftChars="0" w:left="1446" w:hanging="482"/>
        <w:jc w:val="both"/>
        <w:rPr>
          <w:rFonts w:eastAsia="標楷體" w:cstheme="minorHAnsi"/>
          <w:kern w:val="0"/>
          <w:szCs w:val="24"/>
        </w:rPr>
      </w:pPr>
      <w:r w:rsidRPr="00CA1A43">
        <w:rPr>
          <w:rFonts w:eastAsia="標楷體" w:cstheme="minorHAnsi"/>
          <w:szCs w:val="24"/>
        </w:rPr>
        <w:t>市場風險資本要求</w:t>
      </w:r>
      <w:r w:rsidRPr="00CA1A43">
        <w:rPr>
          <w:rFonts w:eastAsia="標楷體" w:cstheme="minorHAnsi"/>
          <w:szCs w:val="24"/>
        </w:rPr>
        <w:t>(</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ACR</m:t>
            </m:r>
          </m:e>
          <m:sub>
            <m:r>
              <m:rPr>
                <m:sty m:val="p"/>
              </m:rPr>
              <w:rPr>
                <w:rFonts w:ascii="Cambria Math" w:eastAsia="標楷體" w:hAnsi="Cambria Math" w:cstheme="minorHAnsi"/>
                <w:szCs w:val="24"/>
              </w:rPr>
              <m:t>total</m:t>
            </m:r>
          </m:sub>
        </m:sSub>
      </m:oMath>
      <w:r w:rsidRPr="00CA1A43">
        <w:rPr>
          <w:rFonts w:eastAsia="標楷體" w:cstheme="minorHAnsi"/>
          <w:szCs w:val="24"/>
        </w:rPr>
        <w:t>)</w:t>
      </w:r>
      <w:r w:rsidRPr="00CA1A43">
        <w:rPr>
          <w:rFonts w:eastAsia="標楷體" w:cstheme="minorHAnsi"/>
          <w:szCs w:val="24"/>
        </w:rPr>
        <w:t>為經本會核准採用</w:t>
      </w:r>
      <w:r w:rsidRPr="00CA1A43">
        <w:rPr>
          <w:rFonts w:eastAsia="標楷體" w:cstheme="minorHAnsi"/>
        </w:rPr>
        <w:t>內部模型法交易台之</w:t>
      </w:r>
      <w:r w:rsidRPr="00CA1A43">
        <w:rPr>
          <w:rFonts w:eastAsia="標楷體" w:cstheme="minorHAnsi"/>
          <w:szCs w:val="24"/>
        </w:rPr>
        <w:t>法定</w:t>
      </w:r>
      <w:r w:rsidRPr="00CA1A43">
        <w:rPr>
          <w:rFonts w:eastAsia="標楷體" w:cstheme="minorHAnsi"/>
        </w:rPr>
        <w:t>資本要求</w:t>
      </w:r>
      <w:r w:rsidRPr="00CA1A43">
        <w:rPr>
          <w:rFonts w:eastAsia="標楷體" w:cstheme="minorHAnsi"/>
          <w:szCs w:val="24"/>
        </w:rPr>
        <w:t>(</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IMA</m:t>
            </m:r>
          </m:e>
          <m:sub>
            <m:r>
              <m:rPr>
                <m:sty m:val="p"/>
              </m:rPr>
              <w:rPr>
                <w:rFonts w:ascii="Cambria Math" w:eastAsia="標楷體" w:hAnsi="Cambria Math" w:cstheme="minorHAnsi"/>
                <w:szCs w:val="24"/>
              </w:rPr>
              <m:t>G,A</m:t>
            </m:r>
          </m:sub>
        </m:sSub>
        <m:r>
          <m:rPr>
            <m:sty m:val="p"/>
          </m:rPr>
          <w:rPr>
            <w:rFonts w:ascii="Cambria Math" w:eastAsia="標楷體" w:hAnsi="Cambria Math" w:cstheme="minorHAnsi"/>
            <w:szCs w:val="24"/>
          </w:rPr>
          <m:t>=</m:t>
        </m:r>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C</m:t>
            </m:r>
          </m:e>
          <m:sub>
            <m:r>
              <m:rPr>
                <m:sty m:val="p"/>
              </m:rPr>
              <w:rPr>
                <w:rFonts w:ascii="Cambria Math" w:eastAsia="標楷體" w:hAnsi="Cambria Math" w:cstheme="minorHAnsi"/>
                <w:szCs w:val="24"/>
              </w:rPr>
              <m:t>A</m:t>
            </m:r>
          </m:sub>
        </m:sSub>
        <m:r>
          <m:rPr>
            <m:sty m:val="p"/>
          </m:rPr>
          <w:rPr>
            <w:rFonts w:ascii="Cambria Math" w:eastAsia="標楷體" w:hAnsi="Cambria Math" w:cstheme="minorHAnsi"/>
            <w:szCs w:val="24"/>
          </w:rPr>
          <m:t>+DRC</m:t>
        </m:r>
      </m:oMath>
      <w:r w:rsidRPr="00CA1A43">
        <w:rPr>
          <w:rFonts w:eastAsia="標楷體" w:cstheme="minorHAnsi"/>
          <w:szCs w:val="24"/>
        </w:rPr>
        <w:t>)</w:t>
      </w:r>
      <w:r w:rsidRPr="00CA1A43">
        <w:rPr>
          <w:rFonts w:eastAsia="標楷體" w:cstheme="minorHAnsi"/>
          <w:szCs w:val="24"/>
        </w:rPr>
        <w:t>與非經本會核准採用</w:t>
      </w:r>
      <w:r w:rsidRPr="00CA1A43">
        <w:rPr>
          <w:rFonts w:eastAsia="標楷體" w:cstheme="minorHAnsi"/>
        </w:rPr>
        <w:t>內部模型法交易台</w:t>
      </w:r>
      <w:r w:rsidRPr="00CA1A43">
        <w:rPr>
          <w:rFonts w:eastAsia="標楷體" w:cstheme="minorHAnsi"/>
          <w:szCs w:val="24"/>
        </w:rPr>
        <w:t>之法定資本要求</w:t>
      </w:r>
      <w:r w:rsidRPr="00CA1A43">
        <w:rPr>
          <w:rFonts w:eastAsia="標楷體" w:cstheme="minorHAnsi"/>
          <w:szCs w:val="24"/>
        </w:rPr>
        <w:t>(Cu)</w:t>
      </w:r>
      <w:r w:rsidRPr="00CA1A43">
        <w:rPr>
          <w:rFonts w:eastAsia="標楷體" w:cstheme="minorHAnsi"/>
          <w:szCs w:val="24"/>
        </w:rPr>
        <w:t>之加總。若有一經本會核准採用</w:t>
      </w:r>
      <w:r w:rsidRPr="00CA1A43">
        <w:rPr>
          <w:rFonts w:eastAsia="標楷體" w:cstheme="minorHAnsi"/>
        </w:rPr>
        <w:t>內部</w:t>
      </w:r>
      <w:r w:rsidRPr="00CA1A43">
        <w:rPr>
          <w:rFonts w:eastAsia="標楷體" w:cstheme="minorHAnsi"/>
          <w:szCs w:val="24"/>
        </w:rPr>
        <w:t>模型</w:t>
      </w:r>
      <w:r w:rsidRPr="00CA1A43">
        <w:rPr>
          <w:rFonts w:eastAsia="標楷體" w:cstheme="minorHAnsi"/>
        </w:rPr>
        <w:t>法</w:t>
      </w:r>
      <w:r w:rsidRPr="00CA1A43">
        <w:rPr>
          <w:rFonts w:eastAsia="標楷體" w:cstheme="minorHAnsi"/>
          <w:szCs w:val="24"/>
        </w:rPr>
        <w:t>交易台分配到損益歸因</w:t>
      </w:r>
      <w:r w:rsidRPr="00CA1A43">
        <w:rPr>
          <w:rFonts w:eastAsia="標楷體" w:cstheme="minorHAnsi"/>
          <w:szCs w:val="24"/>
        </w:rPr>
        <w:t>(PLA)</w:t>
      </w:r>
      <w:proofErr w:type="gramStart"/>
      <w:r w:rsidRPr="00CA1A43">
        <w:rPr>
          <w:rFonts w:eastAsia="標楷體" w:cstheme="minorHAnsi"/>
          <w:szCs w:val="24"/>
        </w:rPr>
        <w:t>測試黃區</w:t>
      </w:r>
      <w:proofErr w:type="gramEnd"/>
      <w:r w:rsidRPr="00CA1A43">
        <w:rPr>
          <w:rFonts w:eastAsia="標楷體" w:cstheme="minorHAnsi"/>
          <w:szCs w:val="24"/>
        </w:rPr>
        <w:t>，則須加計資本加碼，相關公式如下：</w:t>
      </w:r>
    </w:p>
    <w:p w14:paraId="40D7F3E5" w14:textId="77777777" w:rsidR="007201DE" w:rsidRPr="00CA1A43" w:rsidRDefault="00AA1117" w:rsidP="007201DE">
      <w:pPr>
        <w:spacing w:beforeLines="50" w:before="180"/>
        <w:jc w:val="both"/>
        <w:rPr>
          <w:rFonts w:eastAsia="標楷體" w:cstheme="minorHAnsi"/>
          <w:kern w:val="0"/>
          <w:szCs w:val="24"/>
        </w:rPr>
      </w:pPr>
      <m:oMathPara>
        <m:oMath>
          <m:sSub>
            <m:sSubPr>
              <m:ctrlPr>
                <w:rPr>
                  <w:rFonts w:ascii="Cambria Math" w:eastAsia="標楷體" w:hAnsi="Cambria Math" w:cstheme="minorHAnsi"/>
                  <w:sz w:val="21"/>
                  <w:szCs w:val="21"/>
                </w:rPr>
              </m:ctrlPr>
            </m:sSubPr>
            <m:e>
              <m:r>
                <m:rPr>
                  <m:sty m:val="p"/>
                </m:rPr>
                <w:rPr>
                  <w:rFonts w:ascii="Cambria Math" w:eastAsia="標楷體" w:hAnsi="Cambria Math" w:cstheme="minorHAnsi"/>
                  <w:sz w:val="21"/>
                  <w:szCs w:val="21"/>
                </w:rPr>
                <m:t>ACR</m:t>
              </m:r>
            </m:e>
            <m:sub>
              <m:r>
                <m:rPr>
                  <m:sty m:val="p"/>
                </m:rPr>
                <w:rPr>
                  <w:rFonts w:ascii="Cambria Math" w:eastAsia="標楷體" w:hAnsi="Cambria Math" w:cstheme="minorHAnsi"/>
                  <w:sz w:val="21"/>
                  <w:szCs w:val="21"/>
                </w:rPr>
                <m:t>total</m:t>
              </m:r>
            </m:sub>
          </m:sSub>
          <m:r>
            <m:rPr>
              <m:sty m:val="p"/>
            </m:rPr>
            <w:rPr>
              <w:rFonts w:ascii="Cambria Math" w:eastAsia="標楷體" w:hAnsi="Cambria Math" w:cstheme="minorHAnsi"/>
              <w:sz w:val="21"/>
              <w:szCs w:val="21"/>
            </w:rPr>
            <m:t>=min</m:t>
          </m:r>
          <m:d>
            <m:dPr>
              <m:begChr m:val="{"/>
              <m:endChr m:val="}"/>
              <m:ctrlPr>
                <w:rPr>
                  <w:rFonts w:ascii="Cambria Math" w:eastAsia="標楷體" w:hAnsi="Cambria Math" w:cstheme="minorHAnsi"/>
                  <w:sz w:val="21"/>
                  <w:szCs w:val="21"/>
                </w:rPr>
              </m:ctrlPr>
            </m:dPr>
            <m:e>
              <m:sSub>
                <m:sSubPr>
                  <m:ctrlPr>
                    <w:rPr>
                      <w:rFonts w:ascii="Cambria Math" w:eastAsia="標楷體" w:hAnsi="Cambria Math" w:cstheme="minorHAnsi"/>
                      <w:sz w:val="21"/>
                      <w:szCs w:val="21"/>
                    </w:rPr>
                  </m:ctrlPr>
                </m:sSubPr>
                <m:e>
                  <m:r>
                    <m:rPr>
                      <m:sty m:val="p"/>
                    </m:rPr>
                    <w:rPr>
                      <w:rFonts w:ascii="Cambria Math" w:eastAsia="標楷體" w:hAnsi="Cambria Math" w:cstheme="minorHAnsi"/>
                      <w:sz w:val="21"/>
                      <w:szCs w:val="21"/>
                    </w:rPr>
                    <m:t>IMA</m:t>
                  </m:r>
                </m:e>
                <m:sub>
                  <m:r>
                    <m:rPr>
                      <m:sty m:val="p"/>
                    </m:rPr>
                    <w:rPr>
                      <w:rFonts w:ascii="Cambria Math" w:eastAsia="標楷體" w:hAnsi="Cambria Math" w:cstheme="minorHAnsi"/>
                      <w:sz w:val="21"/>
                      <w:szCs w:val="21"/>
                    </w:rPr>
                    <m:t>G,A</m:t>
                  </m:r>
                </m:sub>
              </m:sSub>
              <m:r>
                <m:rPr>
                  <m:sty m:val="p"/>
                </m:rPr>
                <w:rPr>
                  <w:rFonts w:ascii="Cambria Math" w:eastAsia="標楷體" w:hAnsi="Cambria Math" w:cstheme="minorHAnsi"/>
                  <w:sz w:val="21"/>
                  <w:szCs w:val="21"/>
                </w:rPr>
                <m:t>+Capital surcharge+</m:t>
              </m:r>
              <m:sSub>
                <m:sSubPr>
                  <m:ctrlPr>
                    <w:rPr>
                      <w:rFonts w:ascii="Cambria Math" w:eastAsia="標楷體" w:hAnsi="Cambria Math" w:cstheme="minorHAnsi"/>
                      <w:sz w:val="21"/>
                      <w:szCs w:val="21"/>
                    </w:rPr>
                  </m:ctrlPr>
                </m:sSubPr>
                <m:e>
                  <m:r>
                    <m:rPr>
                      <m:sty m:val="p"/>
                    </m:rPr>
                    <w:rPr>
                      <w:rFonts w:ascii="Cambria Math" w:eastAsia="標楷體" w:hAnsi="Cambria Math" w:cstheme="minorHAnsi"/>
                      <w:sz w:val="21"/>
                      <w:szCs w:val="21"/>
                    </w:rPr>
                    <m:t>C</m:t>
                  </m:r>
                </m:e>
                <m:sub>
                  <m:r>
                    <m:rPr>
                      <m:sty m:val="p"/>
                    </m:rPr>
                    <w:rPr>
                      <w:rFonts w:ascii="Cambria Math" w:eastAsia="標楷體" w:hAnsi="Cambria Math" w:cstheme="minorHAnsi"/>
                      <w:sz w:val="21"/>
                      <w:szCs w:val="21"/>
                    </w:rPr>
                    <m:t>U</m:t>
                  </m:r>
                </m:sub>
              </m:sSub>
              <m:r>
                <m:rPr>
                  <m:sty m:val="p"/>
                </m:rPr>
                <w:rPr>
                  <w:rFonts w:ascii="Cambria Math" w:eastAsia="標楷體" w:hAnsi="Cambria Math" w:cstheme="minorHAnsi"/>
                  <w:sz w:val="21"/>
                  <w:szCs w:val="21"/>
                </w:rPr>
                <m:t>；</m:t>
              </m:r>
              <m:sSub>
                <m:sSubPr>
                  <m:ctrlPr>
                    <w:rPr>
                      <w:rFonts w:ascii="Cambria Math" w:eastAsia="標楷體" w:hAnsi="Cambria Math" w:cstheme="minorHAnsi"/>
                      <w:sz w:val="21"/>
                      <w:szCs w:val="21"/>
                    </w:rPr>
                  </m:ctrlPr>
                </m:sSubPr>
                <m:e>
                  <m:r>
                    <m:rPr>
                      <m:sty m:val="p"/>
                    </m:rPr>
                    <w:rPr>
                      <w:rFonts w:ascii="Cambria Math" w:eastAsia="標楷體" w:hAnsi="Cambria Math" w:cstheme="minorHAnsi"/>
                      <w:sz w:val="21"/>
                      <w:szCs w:val="21"/>
                    </w:rPr>
                    <m:t>SA</m:t>
                  </m:r>
                </m:e>
                <m:sub>
                  <m:r>
                    <m:rPr>
                      <m:sty m:val="p"/>
                    </m:rPr>
                    <w:rPr>
                      <w:rFonts w:ascii="Cambria Math" w:eastAsia="標楷體" w:hAnsi="Cambria Math" w:cstheme="minorHAnsi"/>
                      <w:sz w:val="21"/>
                      <w:szCs w:val="21"/>
                    </w:rPr>
                    <m:t>all desk</m:t>
                  </m:r>
                </m:sub>
              </m:sSub>
            </m:e>
          </m:d>
          <m:r>
            <m:rPr>
              <m:sty m:val="p"/>
            </m:rPr>
            <w:rPr>
              <w:rFonts w:ascii="Cambria Math" w:eastAsia="標楷體" w:hAnsi="Cambria Math" w:cstheme="minorHAnsi"/>
              <w:sz w:val="21"/>
              <w:szCs w:val="21"/>
            </w:rPr>
            <m:t>+max</m:t>
          </m:r>
          <m:d>
            <m:dPr>
              <m:begChr m:val="{"/>
              <m:endChr m:val="}"/>
              <m:ctrlPr>
                <w:rPr>
                  <w:rFonts w:ascii="Cambria Math" w:eastAsia="標楷體" w:hAnsi="Cambria Math" w:cstheme="minorHAnsi"/>
                  <w:sz w:val="21"/>
                  <w:szCs w:val="21"/>
                </w:rPr>
              </m:ctrlPr>
            </m:dPr>
            <m:e>
              <m:r>
                <m:rPr>
                  <m:sty m:val="p"/>
                </m:rPr>
                <w:rPr>
                  <w:rFonts w:ascii="Cambria Math" w:eastAsia="標楷體" w:hAnsi="Cambria Math" w:cstheme="minorHAnsi"/>
                  <w:sz w:val="21"/>
                  <w:szCs w:val="21"/>
                </w:rPr>
                <m:t>0</m:t>
              </m:r>
              <m:r>
                <m:rPr>
                  <m:sty m:val="p"/>
                </m:rPr>
                <w:rPr>
                  <w:rFonts w:ascii="Cambria Math" w:eastAsia="標楷體" w:hAnsi="Cambria Math" w:cstheme="minorHAnsi"/>
                  <w:sz w:val="21"/>
                  <w:szCs w:val="21"/>
                </w:rPr>
                <m:t>；</m:t>
              </m:r>
              <m:sSub>
                <m:sSubPr>
                  <m:ctrlPr>
                    <w:rPr>
                      <w:rFonts w:ascii="Cambria Math" w:eastAsia="標楷體" w:hAnsi="Cambria Math" w:cstheme="minorHAnsi"/>
                      <w:sz w:val="21"/>
                      <w:szCs w:val="21"/>
                    </w:rPr>
                  </m:ctrlPr>
                </m:sSubPr>
                <m:e>
                  <m:r>
                    <m:rPr>
                      <m:sty m:val="p"/>
                    </m:rPr>
                    <w:rPr>
                      <w:rFonts w:ascii="Cambria Math" w:eastAsia="標楷體" w:hAnsi="Cambria Math" w:cstheme="minorHAnsi"/>
                      <w:sz w:val="21"/>
                      <w:szCs w:val="21"/>
                    </w:rPr>
                    <m:t>IMA</m:t>
                  </m:r>
                </m:e>
                <m:sub>
                  <m:r>
                    <m:rPr>
                      <m:sty m:val="p"/>
                    </m:rPr>
                    <w:rPr>
                      <w:rFonts w:ascii="Cambria Math" w:eastAsia="標楷體" w:hAnsi="Cambria Math" w:cstheme="minorHAnsi"/>
                      <w:sz w:val="21"/>
                      <w:szCs w:val="21"/>
                    </w:rPr>
                    <m:t>G,A</m:t>
                  </m:r>
                </m:sub>
              </m:sSub>
              <m:r>
                <m:rPr>
                  <m:sty m:val="p"/>
                </m:rPr>
                <w:rPr>
                  <w:rFonts w:ascii="Cambria Math" w:eastAsia="標楷體" w:hAnsi="Cambria Math" w:cstheme="minorHAnsi"/>
                  <w:sz w:val="21"/>
                  <w:szCs w:val="21"/>
                </w:rPr>
                <m:t>-</m:t>
              </m:r>
              <m:sSub>
                <m:sSubPr>
                  <m:ctrlPr>
                    <w:rPr>
                      <w:rFonts w:ascii="Cambria Math" w:eastAsia="標楷體" w:hAnsi="Cambria Math" w:cstheme="minorHAnsi"/>
                      <w:sz w:val="21"/>
                      <w:szCs w:val="21"/>
                    </w:rPr>
                  </m:ctrlPr>
                </m:sSubPr>
                <m:e>
                  <m:r>
                    <m:rPr>
                      <m:sty m:val="p"/>
                    </m:rPr>
                    <w:rPr>
                      <w:rFonts w:ascii="Cambria Math" w:eastAsia="標楷體" w:hAnsi="Cambria Math" w:cstheme="minorHAnsi"/>
                      <w:sz w:val="21"/>
                      <w:szCs w:val="21"/>
                    </w:rPr>
                    <m:t>SA</m:t>
                  </m:r>
                </m:e>
                <m:sub>
                  <m:r>
                    <m:rPr>
                      <m:sty m:val="p"/>
                    </m:rPr>
                    <w:rPr>
                      <w:rFonts w:ascii="Cambria Math" w:eastAsia="標楷體" w:hAnsi="Cambria Math" w:cstheme="minorHAnsi"/>
                      <w:sz w:val="21"/>
                      <w:szCs w:val="21"/>
                    </w:rPr>
                    <m:t>G,A</m:t>
                  </m:r>
                </m:sub>
              </m:sSub>
            </m:e>
          </m:d>
        </m:oMath>
      </m:oMathPara>
    </w:p>
    <w:p w14:paraId="37B4764D" w14:textId="77777777" w:rsidR="007201DE" w:rsidRPr="00CA1A43" w:rsidRDefault="007201DE" w:rsidP="005066C2">
      <w:pPr>
        <w:pStyle w:val="a7"/>
        <w:numPr>
          <w:ilvl w:val="0"/>
          <w:numId w:val="316"/>
        </w:numPr>
        <w:spacing w:beforeLines="50" w:before="180"/>
        <w:ind w:leftChars="0" w:left="1446" w:hanging="482"/>
        <w:jc w:val="both"/>
        <w:rPr>
          <w:rFonts w:eastAsia="標楷體" w:cstheme="minorHAnsi"/>
          <w:szCs w:val="24"/>
        </w:rPr>
      </w:pPr>
      <w:r w:rsidRPr="00CA1A43">
        <w:rPr>
          <w:rFonts w:eastAsia="標楷體" w:cstheme="minorHAnsi"/>
          <w:szCs w:val="24"/>
        </w:rPr>
        <w:t>資本加碼</w:t>
      </w:r>
      <w:r w:rsidRPr="00CA1A43">
        <w:rPr>
          <w:rFonts w:eastAsia="標楷體" w:cstheme="minorHAnsi"/>
          <w:szCs w:val="24"/>
        </w:rPr>
        <w:t>(capital surcharge)</w:t>
      </w:r>
      <w:r w:rsidRPr="00CA1A43">
        <w:rPr>
          <w:rFonts w:eastAsia="標楷體" w:cstheme="minorHAnsi"/>
          <w:szCs w:val="24"/>
        </w:rPr>
        <w:t>為計算標準法資本要求</w:t>
      </w:r>
      <w:r w:rsidRPr="00CA1A43">
        <w:rPr>
          <w:rFonts w:eastAsia="標楷體" w:cstheme="minorHAnsi"/>
          <w:szCs w:val="24"/>
        </w:rPr>
        <w:t>(</w:t>
      </w:r>
      <m:oMath>
        <m:sSub>
          <m:sSubPr>
            <m:ctrlPr>
              <w:rPr>
                <w:rFonts w:ascii="Cambria Math" w:eastAsia="標楷體" w:hAnsi="Cambria Math" w:cstheme="minorHAnsi"/>
                <w:szCs w:val="24"/>
              </w:rPr>
            </m:ctrlPr>
          </m:sSubPr>
          <m:e>
            <m:r>
              <w:rPr>
                <w:rFonts w:ascii="Cambria Math" w:eastAsia="標楷體" w:hAnsi="Cambria Math" w:cstheme="minorHAnsi"/>
                <w:szCs w:val="24"/>
              </w:rPr>
              <m:t>SA</m:t>
            </m:r>
          </m:e>
          <m:sub>
            <m:r>
              <w:rPr>
                <w:rFonts w:ascii="Cambria Math" w:eastAsia="標楷體" w:hAnsi="Cambria Math" w:cstheme="minorHAnsi"/>
                <w:szCs w:val="24"/>
              </w:rPr>
              <m:t>G,A</m:t>
            </m:r>
          </m:sub>
        </m:sSub>
      </m:oMath>
      <w:r w:rsidRPr="00CA1A43">
        <w:rPr>
          <w:rFonts w:eastAsia="標楷體" w:cstheme="minorHAnsi"/>
          <w:szCs w:val="24"/>
        </w:rPr>
        <w:t>)</w:t>
      </w:r>
      <w:r w:rsidRPr="00CA1A43">
        <w:rPr>
          <w:rFonts w:eastAsia="標楷體" w:cstheme="minorHAnsi"/>
          <w:szCs w:val="24"/>
        </w:rPr>
        <w:t>扣除經本會核准採用</w:t>
      </w:r>
      <w:r w:rsidRPr="00CA1A43">
        <w:rPr>
          <w:rFonts w:eastAsia="標楷體" w:cstheme="minorHAnsi"/>
        </w:rPr>
        <w:t>內部模型法交易台之</w:t>
      </w:r>
      <w:r w:rsidRPr="00CA1A43">
        <w:rPr>
          <w:rFonts w:eastAsia="標楷體" w:cstheme="minorHAnsi"/>
          <w:szCs w:val="24"/>
        </w:rPr>
        <w:t>法定</w:t>
      </w:r>
      <w:r w:rsidRPr="00CA1A43">
        <w:rPr>
          <w:rFonts w:eastAsia="標楷體" w:cstheme="minorHAnsi"/>
        </w:rPr>
        <w:t>資本要求</w:t>
      </w:r>
      <w:r w:rsidRPr="00CA1A43">
        <w:rPr>
          <w:rFonts w:eastAsia="標楷體" w:cstheme="minorHAnsi"/>
        </w:rPr>
        <w:t xml:space="preserve"> (</w:t>
      </w:r>
      <m:oMath>
        <m:sSub>
          <m:sSubPr>
            <m:ctrlPr>
              <w:rPr>
                <w:rFonts w:ascii="Cambria Math" w:eastAsia="標楷體" w:hAnsi="Cambria Math" w:cstheme="minorHAnsi"/>
              </w:rPr>
            </m:ctrlPr>
          </m:sSubPr>
          <m:e>
            <m:r>
              <m:rPr>
                <m:sty m:val="p"/>
              </m:rPr>
              <w:rPr>
                <w:rFonts w:ascii="Cambria Math" w:eastAsia="標楷體" w:hAnsi="Cambria Math" w:cstheme="minorHAnsi"/>
              </w:rPr>
              <m:t>IMA</m:t>
            </m:r>
          </m:e>
          <m:sub>
            <m:r>
              <m:rPr>
                <m:sty m:val="p"/>
              </m:rPr>
              <w:rPr>
                <w:rFonts w:ascii="Cambria Math" w:eastAsia="標楷體" w:hAnsi="Cambria Math" w:cstheme="minorHAnsi"/>
              </w:rPr>
              <m:t>G,A</m:t>
            </m:r>
          </m:sub>
        </m:sSub>
        <m:r>
          <w:rPr>
            <w:rFonts w:ascii="Cambria Math" w:eastAsia="標楷體" w:hAnsi="Cambria Math" w:cstheme="minorHAnsi"/>
          </w:rPr>
          <m:t>=</m:t>
        </m:r>
        <m:sSub>
          <m:sSubPr>
            <m:ctrlPr>
              <w:rPr>
                <w:rFonts w:ascii="Cambria Math" w:eastAsia="標楷體" w:hAnsi="Cambria Math" w:cstheme="minorHAnsi"/>
                <w:i/>
              </w:rPr>
            </m:ctrlPr>
          </m:sSubPr>
          <m:e>
            <m:r>
              <w:rPr>
                <w:rFonts w:ascii="Cambria Math" w:eastAsia="標楷體" w:hAnsi="Cambria Math" w:cstheme="minorHAnsi"/>
              </w:rPr>
              <m:t>C</m:t>
            </m:r>
          </m:e>
          <m:sub>
            <m:r>
              <w:rPr>
                <w:rFonts w:ascii="Cambria Math" w:eastAsia="標楷體" w:hAnsi="Cambria Math" w:cstheme="minorHAnsi"/>
              </w:rPr>
              <m:t>A</m:t>
            </m:r>
          </m:sub>
        </m:sSub>
        <m:r>
          <w:rPr>
            <w:rFonts w:ascii="Cambria Math" w:eastAsia="標楷體" w:hAnsi="Cambria Math" w:cstheme="minorHAnsi"/>
          </w:rPr>
          <m:t>+DRC</m:t>
        </m:r>
      </m:oMath>
      <w:r w:rsidRPr="00CA1A43">
        <w:rPr>
          <w:rFonts w:eastAsia="標楷體" w:cstheme="minorHAnsi"/>
        </w:rPr>
        <w:t>)</w:t>
      </w:r>
      <w:r w:rsidRPr="00CA1A43">
        <w:rPr>
          <w:rFonts w:eastAsia="標楷體" w:cstheme="minorHAnsi"/>
          <w:szCs w:val="24"/>
        </w:rPr>
        <w:t>後乘以因子</w:t>
      </w:r>
      <w:r w:rsidRPr="00CA1A43">
        <w:rPr>
          <w:rFonts w:eastAsia="標楷體" w:cstheme="minorHAnsi"/>
          <w:szCs w:val="24"/>
        </w:rPr>
        <w:t>k</w:t>
      </w:r>
      <w:r w:rsidRPr="00CA1A43">
        <w:rPr>
          <w:rFonts w:eastAsia="標楷體" w:cstheme="minorHAnsi"/>
          <w:szCs w:val="24"/>
        </w:rPr>
        <w:t>。為確定資本計提加總數，分配至損益歸因</w:t>
      </w:r>
      <w:r w:rsidRPr="00CA1A43">
        <w:rPr>
          <w:rFonts w:eastAsia="標楷體" w:cstheme="minorHAnsi"/>
          <w:szCs w:val="24"/>
        </w:rPr>
        <w:t>(PLA)</w:t>
      </w:r>
      <w:proofErr w:type="gramStart"/>
      <w:r w:rsidRPr="00CA1A43">
        <w:rPr>
          <w:rFonts w:eastAsia="標楷體" w:cstheme="minorHAnsi"/>
          <w:szCs w:val="24"/>
        </w:rPr>
        <w:t>綠區或黃區</w:t>
      </w:r>
      <w:proofErr w:type="gramEnd"/>
      <w:r w:rsidRPr="00CA1A43">
        <w:rPr>
          <w:rFonts w:eastAsia="標楷體" w:cstheme="minorHAnsi"/>
          <w:szCs w:val="24"/>
        </w:rPr>
        <w:t>的所有交易台部位皆納入考量。資本加碼的下限為零。計算如下：</w:t>
      </w:r>
    </w:p>
    <w:p w14:paraId="212B4735" w14:textId="77777777" w:rsidR="007201DE" w:rsidRPr="00CA1A43" w:rsidRDefault="007201DE" w:rsidP="007201DE">
      <w:pPr>
        <w:pStyle w:val="a7"/>
        <w:spacing w:beforeLines="50" w:before="180"/>
        <w:ind w:leftChars="0" w:left="1446"/>
        <w:jc w:val="both"/>
        <w:rPr>
          <w:rFonts w:eastAsia="標楷體" w:cstheme="minorHAnsi"/>
          <w:szCs w:val="24"/>
        </w:rPr>
      </w:pPr>
      <m:oMathPara>
        <m:oMath>
          <m:r>
            <w:rPr>
              <w:rFonts w:ascii="Cambria Math" w:eastAsia="標楷體" w:hAnsi="Cambria Math" w:cstheme="minorHAnsi"/>
            </w:rPr>
            <m:t>Capital surcharge</m:t>
          </m:r>
          <m:r>
            <m:rPr>
              <m:sty m:val="p"/>
            </m:rPr>
            <w:rPr>
              <w:rFonts w:ascii="Cambria Math" w:eastAsia="標楷體" w:hAnsi="Cambria Math" w:cstheme="minorHAnsi"/>
            </w:rPr>
            <m:t>=</m:t>
          </m:r>
          <m:r>
            <w:rPr>
              <w:rFonts w:ascii="Cambria Math" w:eastAsia="標楷體" w:hAnsi="Cambria Math" w:cstheme="minorHAnsi"/>
            </w:rPr>
            <m:t>k</m:t>
          </m:r>
          <m:r>
            <m:rPr>
              <m:sty m:val="p"/>
            </m:rPr>
            <w:rPr>
              <w:rFonts w:ascii="Cambria Math" w:eastAsia="標楷體" w:hAnsi="Cambria Math" w:cstheme="minorHAnsi"/>
            </w:rPr>
            <m:t>∙</m:t>
          </m:r>
          <m:r>
            <w:rPr>
              <w:rFonts w:ascii="Cambria Math" w:eastAsia="標楷體" w:hAnsi="Cambria Math" w:cstheme="minorHAnsi"/>
            </w:rPr>
            <m:t>max</m:t>
          </m:r>
          <m:d>
            <m:dPr>
              <m:begChr m:val="{"/>
              <m:endChr m:val="}"/>
              <m:ctrlPr>
                <w:rPr>
                  <w:rFonts w:ascii="Cambria Math" w:eastAsia="標楷體" w:hAnsi="Cambria Math" w:cstheme="minorHAnsi"/>
                </w:rPr>
              </m:ctrlPr>
            </m:dPr>
            <m:e>
              <m:r>
                <w:rPr>
                  <w:rFonts w:ascii="Cambria Math" w:eastAsia="標楷體" w:hAnsi="Cambria Math" w:cstheme="minorHAnsi"/>
                </w:rPr>
                <m:t xml:space="preserve">0, </m:t>
              </m:r>
              <m:sSub>
                <m:sSubPr>
                  <m:ctrlPr>
                    <w:rPr>
                      <w:rFonts w:ascii="Cambria Math" w:eastAsia="標楷體" w:hAnsi="Cambria Math" w:cstheme="minorHAnsi"/>
                      <w:i/>
                    </w:rPr>
                  </m:ctrlPr>
                </m:sSubPr>
                <m:e>
                  <m:r>
                    <w:rPr>
                      <w:rFonts w:ascii="Cambria Math" w:eastAsia="標楷體" w:hAnsi="Cambria Math" w:cstheme="minorHAnsi"/>
                    </w:rPr>
                    <m:t>SA</m:t>
                  </m:r>
                </m:e>
                <m:sub>
                  <m:r>
                    <w:rPr>
                      <w:rFonts w:ascii="Cambria Math" w:eastAsia="標楷體" w:hAnsi="Cambria Math" w:cstheme="minorHAnsi"/>
                    </w:rPr>
                    <m:t>G,A</m:t>
                  </m:r>
                </m:sub>
              </m:sSub>
              <m:r>
                <w:rPr>
                  <w:rFonts w:ascii="Cambria Math" w:eastAsia="標楷體" w:hAnsi="Cambria Math" w:cstheme="minorHAnsi"/>
                </w:rPr>
                <m:t>-</m:t>
              </m:r>
              <m:sSub>
                <m:sSubPr>
                  <m:ctrlPr>
                    <w:rPr>
                      <w:rFonts w:ascii="Cambria Math" w:eastAsia="標楷體" w:hAnsi="Cambria Math" w:cstheme="minorHAnsi"/>
                      <w:i/>
                    </w:rPr>
                  </m:ctrlPr>
                </m:sSubPr>
                <m:e>
                  <m:r>
                    <w:rPr>
                      <w:rFonts w:ascii="Cambria Math" w:eastAsia="標楷體" w:hAnsi="Cambria Math" w:cstheme="minorHAnsi"/>
                    </w:rPr>
                    <m:t>IMA</m:t>
                  </m:r>
                </m:e>
                <m:sub>
                  <m:r>
                    <w:rPr>
                      <w:rFonts w:ascii="Cambria Math" w:eastAsia="標楷體" w:hAnsi="Cambria Math" w:cstheme="minorHAnsi"/>
                    </w:rPr>
                    <m:t>G,A</m:t>
                  </m:r>
                </m:sub>
              </m:sSub>
            </m:e>
          </m:d>
        </m:oMath>
      </m:oMathPara>
    </w:p>
    <w:p w14:paraId="145790ED" w14:textId="77777777" w:rsidR="007201DE" w:rsidRPr="00CA1A43" w:rsidRDefault="007201DE" w:rsidP="007201DE">
      <w:pPr>
        <w:pStyle w:val="a7"/>
        <w:spacing w:beforeLines="50" w:before="180"/>
        <w:ind w:leftChars="0" w:left="1446"/>
        <w:jc w:val="both"/>
        <w:rPr>
          <w:rFonts w:eastAsia="標楷體" w:cstheme="minorHAnsi"/>
          <w:szCs w:val="24"/>
        </w:rPr>
      </w:pPr>
      <w:r w:rsidRPr="00CA1A43">
        <w:rPr>
          <w:rFonts w:eastAsia="標楷體" w:cstheme="minorHAnsi"/>
          <w:szCs w:val="24"/>
        </w:rPr>
        <w:t>其中：</w:t>
      </w:r>
    </w:p>
    <w:p w14:paraId="7E5F9150" w14:textId="77777777" w:rsidR="007201DE" w:rsidRPr="00CA1A43" w:rsidRDefault="007201DE" w:rsidP="005066C2">
      <w:pPr>
        <w:pStyle w:val="a7"/>
        <w:numPr>
          <w:ilvl w:val="0"/>
          <w:numId w:val="317"/>
        </w:numPr>
        <w:spacing w:beforeLines="50" w:before="180"/>
        <w:ind w:leftChars="0"/>
        <w:jc w:val="both"/>
        <w:rPr>
          <w:rFonts w:eastAsia="標楷體" w:cstheme="minorHAnsi"/>
          <w:szCs w:val="24"/>
        </w:rPr>
      </w:pPr>
      <m:oMath>
        <m:r>
          <w:rPr>
            <w:rFonts w:ascii="Cambria Math" w:eastAsia="標楷體" w:hAnsi="Cambria Math" w:cstheme="minorHAnsi"/>
          </w:rPr>
          <m:t>k</m:t>
        </m:r>
        <m:r>
          <m:rPr>
            <m:sty m:val="p"/>
          </m:rPr>
          <w:rPr>
            <w:rFonts w:ascii="Cambria Math" w:eastAsia="標楷體" w:hAnsi="Cambria Math" w:cstheme="minorHAnsi"/>
          </w:rPr>
          <m:t>=0.5×</m:t>
        </m:r>
        <m:f>
          <m:fPr>
            <m:ctrlPr>
              <w:rPr>
                <w:rFonts w:ascii="Cambria Math" w:eastAsia="標楷體" w:hAnsi="Cambria Math" w:cstheme="minorHAnsi"/>
                <w:i/>
              </w:rPr>
            </m:ctrlPr>
          </m:fPr>
          <m:num>
            <m:nary>
              <m:naryPr>
                <m:chr m:val="∑"/>
                <m:limLoc m:val="undOvr"/>
                <m:supHide m:val="1"/>
                <m:ctrlPr>
                  <w:rPr>
                    <w:rFonts w:ascii="Cambria Math" w:eastAsia="標楷體" w:hAnsi="Cambria Math" w:cstheme="minorHAnsi"/>
                  </w:rPr>
                </m:ctrlPr>
              </m:naryPr>
              <m:sub>
                <m:r>
                  <w:rPr>
                    <w:rFonts w:ascii="Cambria Math" w:eastAsia="標楷體" w:hAnsi="Cambria Math" w:cstheme="minorHAnsi"/>
                  </w:rPr>
                  <m:t>i∈A</m:t>
                </m:r>
              </m:sub>
              <m:sup/>
              <m:e>
                <m:r>
                  <w:rPr>
                    <w:rFonts w:ascii="Cambria Math" w:eastAsia="標楷體" w:hAnsi="Cambria Math" w:cstheme="minorHAnsi"/>
                  </w:rPr>
                  <m:t>S</m:t>
                </m:r>
                <m:sSub>
                  <m:sSubPr>
                    <m:ctrlPr>
                      <w:rPr>
                        <w:rFonts w:ascii="Cambria Math" w:eastAsia="標楷體" w:hAnsi="Cambria Math" w:cstheme="minorHAnsi"/>
                        <w:i/>
                      </w:rPr>
                    </m:ctrlPr>
                  </m:sSubPr>
                  <m:e>
                    <m:r>
                      <w:rPr>
                        <w:rFonts w:ascii="Cambria Math" w:eastAsia="標楷體" w:hAnsi="Cambria Math" w:cstheme="minorHAnsi"/>
                      </w:rPr>
                      <m:t>A</m:t>
                    </m:r>
                  </m:e>
                  <m:sub>
                    <m:r>
                      <w:rPr>
                        <w:rFonts w:ascii="Cambria Math" w:eastAsia="標楷體" w:hAnsi="Cambria Math" w:cstheme="minorHAnsi"/>
                      </w:rPr>
                      <m:t>i</m:t>
                    </m:r>
                  </m:sub>
                </m:sSub>
              </m:e>
            </m:nary>
          </m:num>
          <m:den>
            <m:nary>
              <m:naryPr>
                <m:chr m:val="∑"/>
                <m:limLoc m:val="undOvr"/>
                <m:supHide m:val="1"/>
                <m:ctrlPr>
                  <w:rPr>
                    <w:rFonts w:ascii="Cambria Math" w:eastAsia="標楷體" w:hAnsi="Cambria Math" w:cstheme="minorHAnsi"/>
                  </w:rPr>
                </m:ctrlPr>
              </m:naryPr>
              <m:sub>
                <m:r>
                  <w:rPr>
                    <w:rFonts w:ascii="Cambria Math" w:eastAsia="標楷體" w:hAnsi="Cambria Math" w:cstheme="minorHAnsi"/>
                  </w:rPr>
                  <m:t>i∈G,A</m:t>
                </m:r>
              </m:sub>
              <m:sup/>
              <m:e>
                <m:r>
                  <w:rPr>
                    <w:rFonts w:ascii="Cambria Math" w:eastAsia="標楷體" w:hAnsi="Cambria Math" w:cstheme="minorHAnsi"/>
                  </w:rPr>
                  <m:t>S</m:t>
                </m:r>
                <m:sSub>
                  <m:sSubPr>
                    <m:ctrlPr>
                      <w:rPr>
                        <w:rFonts w:ascii="Cambria Math" w:eastAsia="標楷體" w:hAnsi="Cambria Math" w:cstheme="minorHAnsi"/>
                        <w:i/>
                      </w:rPr>
                    </m:ctrlPr>
                  </m:sSubPr>
                  <m:e>
                    <m:r>
                      <w:rPr>
                        <w:rFonts w:ascii="Cambria Math" w:eastAsia="標楷體" w:hAnsi="Cambria Math" w:cstheme="minorHAnsi"/>
                      </w:rPr>
                      <m:t>A</m:t>
                    </m:r>
                  </m:e>
                  <m:sub>
                    <m:r>
                      <w:rPr>
                        <w:rFonts w:ascii="Cambria Math" w:eastAsia="標楷體" w:hAnsi="Cambria Math" w:cstheme="minorHAnsi"/>
                      </w:rPr>
                      <m:t>i</m:t>
                    </m:r>
                  </m:sub>
                </m:sSub>
              </m:e>
            </m:nary>
          </m:den>
        </m:f>
      </m:oMath>
      <w:r w:rsidRPr="00CA1A43">
        <w:rPr>
          <w:rFonts w:eastAsia="標楷體" w:cstheme="minorHAnsi"/>
        </w:rPr>
        <w:t>；</w:t>
      </w:r>
    </w:p>
    <w:p w14:paraId="33569343" w14:textId="77777777" w:rsidR="007201DE" w:rsidRPr="00CA1A43" w:rsidRDefault="00AA1117" w:rsidP="005066C2">
      <w:pPr>
        <w:pStyle w:val="a7"/>
        <w:numPr>
          <w:ilvl w:val="0"/>
          <w:numId w:val="317"/>
        </w:numPr>
        <w:spacing w:beforeLines="50" w:before="180"/>
        <w:ind w:leftChars="0"/>
        <w:jc w:val="both"/>
        <w:rPr>
          <w:rFonts w:eastAsia="標楷體" w:cstheme="minorHAnsi"/>
          <w:szCs w:val="24"/>
        </w:rPr>
      </w:pPr>
      <m:oMath>
        <m:sSub>
          <m:sSubPr>
            <m:ctrlPr>
              <w:rPr>
                <w:rFonts w:ascii="Cambria Math" w:eastAsia="標楷體" w:hAnsi="Cambria Math" w:cstheme="minorHAnsi"/>
              </w:rPr>
            </m:ctrlPr>
          </m:sSubPr>
          <m:e>
            <m:r>
              <m:rPr>
                <m:sty m:val="p"/>
              </m:rPr>
              <w:rPr>
                <w:rFonts w:ascii="Cambria Math" w:eastAsia="標楷體" w:hAnsi="Cambria Math" w:cstheme="minorHAnsi"/>
              </w:rPr>
              <m:t>SA</m:t>
            </m:r>
          </m:e>
          <m:sub>
            <m:r>
              <m:rPr>
                <m:sty m:val="p"/>
              </m:rPr>
              <w:rPr>
                <w:rFonts w:ascii="Cambria Math" w:eastAsia="標楷體" w:hAnsi="Cambria Math" w:cstheme="minorHAnsi"/>
              </w:rPr>
              <m:t>i</m:t>
            </m:r>
          </m:sub>
        </m:sSub>
      </m:oMath>
      <w:r w:rsidR="007201DE" w:rsidRPr="00CA1A43">
        <w:rPr>
          <w:rFonts w:eastAsia="標楷體" w:cstheme="minorHAnsi"/>
        </w:rPr>
        <w:t xml:space="preserve"> </w:t>
      </w:r>
      <w:r w:rsidR="007201DE" w:rsidRPr="00CA1A43">
        <w:rPr>
          <w:rFonts w:eastAsia="標楷體" w:cstheme="minorHAnsi"/>
        </w:rPr>
        <w:t>代表</w:t>
      </w:r>
      <w:r w:rsidR="007201DE" w:rsidRPr="00CA1A43">
        <w:rPr>
          <w:rFonts w:eastAsia="標楷體" w:cstheme="minorHAnsi"/>
          <w:szCs w:val="24"/>
        </w:rPr>
        <w:t>交易台</w:t>
      </w:r>
      <w:r w:rsidR="007201DE" w:rsidRPr="00CA1A43">
        <w:rPr>
          <w:rFonts w:eastAsia="標楷體" w:cstheme="minorHAnsi"/>
        </w:rPr>
        <w:t>“</w:t>
      </w:r>
      <w:proofErr w:type="spellStart"/>
      <w:r w:rsidR="007201DE" w:rsidRPr="00CA1A43">
        <w:rPr>
          <w:rFonts w:eastAsia="標楷體" w:cstheme="minorHAnsi"/>
        </w:rPr>
        <w:t>i</w:t>
      </w:r>
      <w:proofErr w:type="spellEnd"/>
      <w:r w:rsidR="007201DE" w:rsidRPr="00CA1A43">
        <w:rPr>
          <w:rFonts w:eastAsia="標楷體" w:cstheme="minorHAnsi"/>
        </w:rPr>
        <w:t>”</w:t>
      </w:r>
      <w:r w:rsidR="007201DE" w:rsidRPr="00CA1A43">
        <w:rPr>
          <w:rFonts w:eastAsia="標楷體" w:cstheme="minorHAnsi"/>
        </w:rPr>
        <w:t>所有部位的標準法資本要求；</w:t>
      </w:r>
    </w:p>
    <w:p w14:paraId="1B5C4C15" w14:textId="77777777" w:rsidR="007201DE" w:rsidRPr="00CA1A43" w:rsidRDefault="007201DE" w:rsidP="005066C2">
      <w:pPr>
        <w:pStyle w:val="a7"/>
        <w:numPr>
          <w:ilvl w:val="0"/>
          <w:numId w:val="317"/>
        </w:numPr>
        <w:spacing w:beforeLines="50" w:before="180"/>
        <w:ind w:leftChars="0"/>
        <w:jc w:val="both"/>
        <w:rPr>
          <w:rFonts w:eastAsia="標楷體" w:cstheme="minorHAnsi"/>
          <w:szCs w:val="24"/>
        </w:rPr>
      </w:pPr>
      <w:r w:rsidRPr="00CA1A43">
        <w:rPr>
          <w:rFonts w:ascii="Cambria Math" w:eastAsia="標楷體" w:hAnsi="Cambria Math" w:cs="Cambria Math"/>
        </w:rPr>
        <w:t>𝑖</w:t>
      </w:r>
      <w:r w:rsidRPr="00CA1A43">
        <w:rPr>
          <w:rFonts w:eastAsia="標楷體" w:cstheme="minorHAnsi"/>
        </w:rPr>
        <w:t xml:space="preserve"> </w:t>
      </w:r>
      <w:r w:rsidRPr="00CA1A43">
        <w:rPr>
          <w:rFonts w:ascii="Cambria Math" w:eastAsia="標楷體" w:hAnsi="Cambria Math" w:cs="Cambria Math"/>
        </w:rPr>
        <w:t>∈𝐴</w:t>
      </w:r>
      <w:r w:rsidRPr="00CA1A43">
        <w:rPr>
          <w:rFonts w:eastAsia="標楷體" w:cstheme="minorHAnsi"/>
        </w:rPr>
        <w:t xml:space="preserve"> </w:t>
      </w:r>
      <w:r w:rsidRPr="00CA1A43">
        <w:rPr>
          <w:rFonts w:eastAsia="標楷體" w:cstheme="minorHAnsi"/>
        </w:rPr>
        <w:t>代表</w:t>
      </w:r>
      <w:r w:rsidRPr="00CA1A43">
        <w:rPr>
          <w:rFonts w:eastAsia="標楷體" w:cstheme="minorHAnsi"/>
          <w:szCs w:val="24"/>
        </w:rPr>
        <w:t>黃區中</w:t>
      </w:r>
      <w:r w:rsidRPr="00CA1A43">
        <w:rPr>
          <w:rFonts w:eastAsia="標楷體" w:cstheme="minorHAnsi"/>
        </w:rPr>
        <w:t>所有經核准</w:t>
      </w:r>
      <w:r w:rsidRPr="00CA1A43">
        <w:rPr>
          <w:rFonts w:eastAsia="標楷體" w:cstheme="minorHAnsi"/>
          <w:szCs w:val="24"/>
        </w:rPr>
        <w:t>交易台的標示；及</w:t>
      </w:r>
    </w:p>
    <w:p w14:paraId="3EDF73D5" w14:textId="77777777" w:rsidR="007201DE" w:rsidRPr="00CA1A43" w:rsidRDefault="007201DE" w:rsidP="005066C2">
      <w:pPr>
        <w:pStyle w:val="a7"/>
        <w:numPr>
          <w:ilvl w:val="0"/>
          <w:numId w:val="317"/>
        </w:numPr>
        <w:spacing w:beforeLines="50" w:before="180"/>
        <w:ind w:leftChars="0"/>
        <w:jc w:val="both"/>
        <w:rPr>
          <w:rFonts w:eastAsia="標楷體" w:cstheme="minorHAnsi"/>
          <w:szCs w:val="24"/>
        </w:rPr>
      </w:pPr>
      <w:r w:rsidRPr="00CA1A43">
        <w:rPr>
          <w:rFonts w:ascii="Cambria Math" w:eastAsia="標楷體" w:hAnsi="Cambria Math" w:cs="Cambria Math"/>
        </w:rPr>
        <w:lastRenderedPageBreak/>
        <w:t>𝑖</w:t>
      </w:r>
      <w:r w:rsidRPr="00CA1A43">
        <w:rPr>
          <w:rFonts w:eastAsia="標楷體" w:cstheme="minorHAnsi"/>
        </w:rPr>
        <w:t xml:space="preserve"> </w:t>
      </w:r>
      <w:r w:rsidRPr="00CA1A43">
        <w:rPr>
          <w:rFonts w:ascii="Cambria Math" w:eastAsia="標楷體" w:hAnsi="Cambria Math" w:cs="Cambria Math"/>
        </w:rPr>
        <w:t>∈</w:t>
      </w:r>
      <w:r w:rsidRPr="00CA1A43">
        <w:rPr>
          <w:rFonts w:eastAsia="標楷體" w:cstheme="minorHAnsi"/>
        </w:rPr>
        <w:t xml:space="preserve">G, </w:t>
      </w:r>
      <w:r w:rsidRPr="00CA1A43">
        <w:rPr>
          <w:rFonts w:ascii="Cambria Math" w:eastAsia="標楷體" w:hAnsi="Cambria Math" w:cs="Cambria Math"/>
        </w:rPr>
        <w:t>𝐴</w:t>
      </w:r>
      <w:r w:rsidRPr="00CA1A43">
        <w:rPr>
          <w:rFonts w:eastAsia="標楷體" w:cstheme="minorHAnsi"/>
        </w:rPr>
        <w:t xml:space="preserve"> </w:t>
      </w:r>
      <w:r w:rsidRPr="00CA1A43">
        <w:rPr>
          <w:rFonts w:eastAsia="標楷體" w:cstheme="minorHAnsi"/>
        </w:rPr>
        <w:t>代表綠區或</w:t>
      </w:r>
      <w:r w:rsidRPr="00CA1A43">
        <w:rPr>
          <w:rFonts w:eastAsia="標楷體" w:cstheme="minorHAnsi"/>
          <w:szCs w:val="24"/>
        </w:rPr>
        <w:t>黃區中</w:t>
      </w:r>
      <w:r w:rsidRPr="00CA1A43">
        <w:rPr>
          <w:rFonts w:eastAsia="標楷體" w:cstheme="minorHAnsi"/>
        </w:rPr>
        <w:t>所有經核准</w:t>
      </w:r>
      <w:r w:rsidRPr="00CA1A43">
        <w:rPr>
          <w:rFonts w:eastAsia="標楷體" w:cstheme="minorHAnsi"/>
          <w:szCs w:val="24"/>
        </w:rPr>
        <w:t>交易台的標示。</w:t>
      </w:r>
    </w:p>
    <w:p w14:paraId="1D6B80AE" w14:textId="77777777" w:rsidR="007201DE" w:rsidRPr="00CA1A43" w:rsidRDefault="007201DE" w:rsidP="005066C2">
      <w:pPr>
        <w:pStyle w:val="a7"/>
        <w:numPr>
          <w:ilvl w:val="0"/>
          <w:numId w:val="316"/>
        </w:numPr>
        <w:spacing w:beforeLines="50" w:before="180"/>
        <w:ind w:leftChars="0" w:left="1446" w:hanging="482"/>
        <w:jc w:val="both"/>
        <w:rPr>
          <w:rFonts w:eastAsia="標楷體" w:cstheme="minorHAnsi"/>
          <w:szCs w:val="24"/>
        </w:rPr>
      </w:pPr>
      <w:r w:rsidRPr="00CA1A43">
        <w:rPr>
          <w:rFonts w:eastAsia="標楷體" w:cstheme="minorHAnsi"/>
          <w:szCs w:val="24"/>
        </w:rPr>
        <w:t>為了計算資本要求，過去</w:t>
      </w:r>
      <w:r w:rsidRPr="00CA1A43">
        <w:rPr>
          <w:rFonts w:eastAsia="標楷體" w:cstheme="minorHAnsi"/>
          <w:szCs w:val="24"/>
        </w:rPr>
        <w:t>60</w:t>
      </w:r>
      <w:r w:rsidRPr="00CA1A43">
        <w:rPr>
          <w:rFonts w:eastAsia="標楷體" w:cstheme="minorHAnsi"/>
          <w:szCs w:val="24"/>
        </w:rPr>
        <w:t>天</w:t>
      </w:r>
      <w:r w:rsidRPr="00CA1A43">
        <w:rPr>
          <w:rFonts w:eastAsia="標楷體" w:cstheme="minorHAnsi"/>
          <w:szCs w:val="24"/>
        </w:rPr>
        <w:t>(</w:t>
      </w:r>
      <w:r w:rsidRPr="00CA1A43">
        <w:rPr>
          <w:rFonts w:eastAsia="標楷體" w:cstheme="minorHAnsi"/>
          <w:szCs w:val="24"/>
        </w:rPr>
        <w:t>可模型化風險因子總法定資本要求</w:t>
      </w:r>
      <w:r w:rsidRPr="00CA1A43">
        <w:rPr>
          <w:rFonts w:eastAsia="標楷體" w:cstheme="minorHAnsi"/>
          <w:szCs w:val="24"/>
        </w:rPr>
        <w:t xml:space="preserve">(IMCC), </w:t>
      </w:r>
      <w:r w:rsidRPr="00CA1A43">
        <w:rPr>
          <w:rFonts w:eastAsia="標楷體" w:cstheme="minorHAnsi"/>
          <w:szCs w:val="24"/>
        </w:rPr>
        <w:t>不可模型化風險因子總法定資本要求</w:t>
      </w:r>
      <w:r w:rsidRPr="00CA1A43">
        <w:rPr>
          <w:rFonts w:eastAsia="標楷體" w:cstheme="minorHAnsi"/>
          <w:szCs w:val="24"/>
        </w:rPr>
        <w:t>(SES)</w:t>
      </w:r>
      <w:r w:rsidRPr="00CA1A43">
        <w:rPr>
          <w:rFonts w:eastAsia="標楷體" w:cstheme="minorHAnsi"/>
          <w:szCs w:val="24"/>
        </w:rPr>
        <w:t>和</w:t>
      </w:r>
      <w:r w:rsidRPr="00CA1A43">
        <w:rPr>
          <w:rFonts w:eastAsia="標楷體" w:cstheme="minorHAnsi"/>
          <w:szCs w:val="24"/>
        </w:rPr>
        <w:t>/</w:t>
      </w:r>
      <w:r w:rsidRPr="00CA1A43">
        <w:rPr>
          <w:rFonts w:eastAsia="標楷體" w:cstheme="minorHAnsi"/>
          <w:szCs w:val="24"/>
        </w:rPr>
        <w:t>或</w:t>
      </w:r>
      <w:r w:rsidRPr="00CA1A43">
        <w:rPr>
          <w:rFonts w:eastAsia="標楷體" w:cstheme="minorHAnsi"/>
          <w:szCs w:val="24"/>
        </w:rPr>
        <w:t>12</w:t>
      </w:r>
      <w:proofErr w:type="gramStart"/>
      <w:r w:rsidRPr="00CA1A43">
        <w:rPr>
          <w:rFonts w:eastAsia="標楷體" w:cstheme="minorHAnsi"/>
          <w:szCs w:val="24"/>
        </w:rPr>
        <w:t>週</w:t>
      </w:r>
      <w:proofErr w:type="gramEnd"/>
      <w:r w:rsidRPr="00CA1A43">
        <w:rPr>
          <w:rFonts w:eastAsia="標楷體" w:cstheme="minorHAnsi"/>
          <w:szCs w:val="24"/>
        </w:rPr>
        <w:t>違約風險性資本</w:t>
      </w:r>
      <w:r w:rsidRPr="00CA1A43">
        <w:rPr>
          <w:rFonts w:eastAsia="標楷體" w:cstheme="minorHAnsi"/>
          <w:szCs w:val="24"/>
        </w:rPr>
        <w:t>(DRC)</w:t>
      </w:r>
      <w:r w:rsidRPr="00CA1A43">
        <w:rPr>
          <w:rFonts w:eastAsia="標楷體" w:cstheme="minorHAnsi"/>
          <w:szCs w:val="24"/>
        </w:rPr>
        <w:t>個別的平均值只需在每季末計算。</w:t>
      </w:r>
    </w:p>
    <w:p w14:paraId="403465EF" w14:textId="77777777" w:rsidR="00FB65D2" w:rsidRPr="00CA1A43" w:rsidRDefault="007201DE" w:rsidP="005066C2">
      <w:pPr>
        <w:pStyle w:val="a7"/>
        <w:numPr>
          <w:ilvl w:val="0"/>
          <w:numId w:val="316"/>
        </w:numPr>
        <w:spacing w:beforeLines="50" w:before="180"/>
        <w:ind w:leftChars="0" w:left="1446" w:hanging="482"/>
        <w:jc w:val="both"/>
        <w:rPr>
          <w:rFonts w:eastAsia="標楷體" w:cstheme="minorHAnsi"/>
          <w:kern w:val="0"/>
          <w:szCs w:val="24"/>
        </w:rPr>
      </w:pPr>
      <w:r w:rsidRPr="00CA1A43">
        <w:rPr>
          <w:rFonts w:eastAsia="標楷體" w:cstheme="minorHAnsi"/>
          <w:szCs w:val="24"/>
        </w:rPr>
        <w:t>內部模型法</w:t>
      </w:r>
      <w:r w:rsidRPr="00CA1A43">
        <w:rPr>
          <w:rFonts w:eastAsia="標楷體" w:cstheme="minorHAnsi"/>
          <w:szCs w:val="24"/>
        </w:rPr>
        <w:t>(IMA)</w:t>
      </w:r>
      <w:r w:rsidRPr="00CA1A43">
        <w:rPr>
          <w:rFonts w:eastAsia="標楷體" w:cstheme="minorHAnsi"/>
          <w:szCs w:val="24"/>
        </w:rPr>
        <w:t>下的市場風險風險性加權資產為</w:t>
      </w:r>
      <w:r w:rsidRPr="00CA1A43">
        <w:rPr>
          <w:rFonts w:eastAsia="標楷體" w:cstheme="minorHAnsi"/>
        </w:rPr>
        <w:t>市場風險資本</w:t>
      </w:r>
      <w:r w:rsidRPr="00CA1A43">
        <w:rPr>
          <w:rFonts w:eastAsia="標楷體" w:cstheme="minorHAnsi"/>
          <w:szCs w:val="24"/>
        </w:rPr>
        <w:t>要求</w:t>
      </w:r>
      <w:r w:rsidRPr="00CA1A43">
        <w:rPr>
          <w:rFonts w:eastAsia="標楷體" w:cstheme="minorHAnsi"/>
          <w:szCs w:val="24"/>
        </w:rPr>
        <w:t>(</w:t>
      </w:r>
      <m:oMath>
        <m:sSub>
          <m:sSubPr>
            <m:ctrlPr>
              <w:rPr>
                <w:rFonts w:ascii="Cambria Math" w:eastAsia="標楷體" w:hAnsi="Cambria Math" w:cstheme="minorHAnsi"/>
                <w:szCs w:val="24"/>
              </w:rPr>
            </m:ctrlPr>
          </m:sSubPr>
          <m:e>
            <m:r>
              <m:rPr>
                <m:sty m:val="p"/>
              </m:rPr>
              <w:rPr>
                <w:rFonts w:ascii="Cambria Math" w:eastAsia="標楷體" w:hAnsi="Cambria Math" w:cstheme="minorHAnsi"/>
                <w:szCs w:val="24"/>
              </w:rPr>
              <m:t>ACR</m:t>
            </m:r>
          </m:e>
          <m:sub>
            <m:r>
              <m:rPr>
                <m:sty m:val="p"/>
              </m:rPr>
              <w:rPr>
                <w:rFonts w:ascii="Cambria Math" w:eastAsia="標楷體" w:hAnsi="Cambria Math" w:cstheme="minorHAnsi"/>
                <w:szCs w:val="24"/>
              </w:rPr>
              <m:t>total</m:t>
            </m:r>
          </m:sub>
        </m:sSub>
      </m:oMath>
      <w:r w:rsidRPr="00CA1A43">
        <w:rPr>
          <w:rFonts w:eastAsia="標楷體" w:cstheme="minorHAnsi"/>
          <w:szCs w:val="24"/>
        </w:rPr>
        <w:t>)</w:t>
      </w:r>
      <w:r w:rsidRPr="00CA1A43">
        <w:rPr>
          <w:rFonts w:eastAsia="標楷體" w:cstheme="minorHAnsi"/>
          <w:szCs w:val="24"/>
        </w:rPr>
        <w:t>乘</w:t>
      </w:r>
      <w:r w:rsidRPr="00CA1A43">
        <w:rPr>
          <w:rFonts w:eastAsia="標楷體" w:cstheme="minorHAnsi"/>
          <w:szCs w:val="24"/>
        </w:rPr>
        <w:t>12.5</w:t>
      </w:r>
      <w:r w:rsidRPr="00CA1A43">
        <w:rPr>
          <w:rFonts w:eastAsia="標楷體" w:cstheme="minorHAnsi"/>
          <w:szCs w:val="24"/>
        </w:rPr>
        <w:t>。</w:t>
      </w:r>
    </w:p>
    <w:p w14:paraId="353749AE" w14:textId="77777777" w:rsidR="00FB65D2" w:rsidRPr="00CA1A43" w:rsidRDefault="00FB65D2" w:rsidP="00633E44">
      <w:pPr>
        <w:spacing w:beforeLines="50" w:before="180"/>
        <w:jc w:val="both"/>
        <w:rPr>
          <w:rFonts w:eastAsia="標楷體" w:cstheme="minorHAnsi"/>
          <w:kern w:val="0"/>
          <w:szCs w:val="24"/>
        </w:rPr>
      </w:pPr>
    </w:p>
    <w:p w14:paraId="25127978" w14:textId="77777777" w:rsidR="00FB65D2" w:rsidRPr="00CA1A43" w:rsidRDefault="00FB65D2" w:rsidP="00633E44">
      <w:pPr>
        <w:spacing w:beforeLines="50" w:before="180"/>
        <w:jc w:val="both"/>
        <w:rPr>
          <w:rFonts w:eastAsia="標楷體" w:cstheme="minorHAnsi"/>
          <w:kern w:val="0"/>
          <w:szCs w:val="24"/>
        </w:rPr>
      </w:pPr>
    </w:p>
    <w:p w14:paraId="50CAC197" w14:textId="77777777" w:rsidR="00FB65D2" w:rsidRPr="00CA1A43" w:rsidRDefault="00FB65D2" w:rsidP="00633E44">
      <w:pPr>
        <w:spacing w:beforeLines="50" w:before="180"/>
        <w:jc w:val="both"/>
        <w:rPr>
          <w:rFonts w:eastAsia="標楷體" w:cstheme="minorHAnsi"/>
          <w:kern w:val="0"/>
          <w:szCs w:val="24"/>
        </w:rPr>
      </w:pPr>
    </w:p>
    <w:p w14:paraId="0D71A543" w14:textId="77777777" w:rsidR="000F1707" w:rsidRPr="00CA1A43" w:rsidRDefault="000F1707" w:rsidP="00633E44">
      <w:pPr>
        <w:spacing w:beforeLines="50" w:before="180"/>
        <w:jc w:val="both"/>
        <w:rPr>
          <w:rFonts w:eastAsia="標楷體" w:cstheme="minorHAnsi"/>
          <w:kern w:val="0"/>
          <w:szCs w:val="24"/>
        </w:rPr>
      </w:pPr>
    </w:p>
    <w:p w14:paraId="5BDDA1ED" w14:textId="77777777" w:rsidR="000F1707" w:rsidRPr="00CA1A43" w:rsidRDefault="000F1707" w:rsidP="00633E44">
      <w:pPr>
        <w:spacing w:beforeLines="50" w:before="180"/>
        <w:jc w:val="both"/>
        <w:rPr>
          <w:rFonts w:eastAsia="標楷體" w:cstheme="minorHAnsi"/>
          <w:kern w:val="0"/>
          <w:szCs w:val="24"/>
        </w:rPr>
      </w:pPr>
    </w:p>
    <w:p w14:paraId="6099EFD7" w14:textId="77777777" w:rsidR="00B90321" w:rsidRPr="00CA1A43" w:rsidRDefault="00A76E96" w:rsidP="00145DCF">
      <w:pPr>
        <w:widowControl/>
        <w:spacing w:beforeLines="50" w:before="180"/>
        <w:jc w:val="both"/>
        <w:rPr>
          <w:rFonts w:eastAsia="標楷體" w:cstheme="minorHAnsi"/>
          <w:szCs w:val="24"/>
        </w:rPr>
      </w:pPr>
      <w:r w:rsidRPr="00CA1A43">
        <w:rPr>
          <w:rFonts w:eastAsia="標楷體" w:cstheme="minorHAnsi"/>
          <w:szCs w:val="24"/>
        </w:rPr>
        <w:br w:type="page"/>
      </w:r>
    </w:p>
    <w:p w14:paraId="0C92F6C8" w14:textId="77777777" w:rsidR="004C3E75" w:rsidRPr="00CA1A43" w:rsidRDefault="00F96CDD" w:rsidP="00145DCF">
      <w:pPr>
        <w:spacing w:beforeLines="50" w:before="180"/>
        <w:jc w:val="both"/>
        <w:outlineLvl w:val="0"/>
        <w:rPr>
          <w:rFonts w:eastAsia="標楷體" w:cstheme="minorHAnsi"/>
          <w:sz w:val="32"/>
          <w:szCs w:val="32"/>
        </w:rPr>
      </w:pPr>
      <w:bookmarkStart w:id="34" w:name="_Toc67992474"/>
      <w:r w:rsidRPr="00CA1A43">
        <w:rPr>
          <w:rFonts w:eastAsia="標楷體" w:cstheme="minorHAnsi"/>
          <w:sz w:val="32"/>
          <w:szCs w:val="32"/>
        </w:rPr>
        <w:lastRenderedPageBreak/>
        <w:t>附錄</w:t>
      </w:r>
      <w:proofErr w:type="gramStart"/>
      <w:r w:rsidRPr="00CA1A43">
        <w:rPr>
          <w:rFonts w:eastAsia="標楷體" w:cstheme="minorHAnsi"/>
          <w:sz w:val="32"/>
          <w:szCs w:val="32"/>
        </w:rPr>
        <w:t>一</w:t>
      </w:r>
      <w:proofErr w:type="gramEnd"/>
      <w:r w:rsidRPr="00CA1A43">
        <w:rPr>
          <w:rFonts w:eastAsia="標楷體" w:cstheme="minorHAnsi"/>
          <w:sz w:val="32"/>
          <w:szCs w:val="32"/>
        </w:rPr>
        <w:t>：市場風險與信用評價調整風險詞彙</w:t>
      </w:r>
      <w:bookmarkEnd w:id="34"/>
    </w:p>
    <w:p w14:paraId="7D120ACE" w14:textId="77777777"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市場風險</w:t>
      </w:r>
      <w:r w:rsidRPr="00CA1A43">
        <w:rPr>
          <w:rFonts w:eastAsia="標楷體" w:cstheme="minorHAnsi"/>
          <w:szCs w:val="24"/>
        </w:rPr>
        <w:t>(Market risk)</w:t>
      </w:r>
      <w:r w:rsidRPr="00CA1A43">
        <w:rPr>
          <w:rFonts w:eastAsia="標楷體" w:cstheme="minorHAnsi"/>
          <w:szCs w:val="24"/>
        </w:rPr>
        <w:t>：因市場價格變動</w:t>
      </w:r>
      <w:r w:rsidRPr="00CA1A43">
        <w:rPr>
          <w:rFonts w:eastAsia="標楷體" w:cstheme="minorHAnsi"/>
          <w:szCs w:val="24"/>
        </w:rPr>
        <w:t>(</w:t>
      </w:r>
      <w:r w:rsidRPr="00CA1A43">
        <w:rPr>
          <w:rFonts w:eastAsia="標楷體" w:cstheme="minorHAnsi"/>
          <w:szCs w:val="24"/>
        </w:rPr>
        <w:t>如市場利率、匯率、股價及商品價格之變動</w:t>
      </w:r>
      <w:r w:rsidRPr="00CA1A43">
        <w:rPr>
          <w:rFonts w:eastAsia="標楷體" w:cstheme="minorHAnsi"/>
          <w:szCs w:val="24"/>
        </w:rPr>
        <w:t>)</w:t>
      </w:r>
      <w:r w:rsidRPr="00CA1A43">
        <w:rPr>
          <w:rFonts w:eastAsia="標楷體" w:cstheme="minorHAnsi"/>
          <w:szCs w:val="24"/>
        </w:rPr>
        <w:t>造成對銀行資產負債表</w:t>
      </w:r>
      <w:proofErr w:type="gramStart"/>
      <w:r w:rsidRPr="00CA1A43">
        <w:rPr>
          <w:rFonts w:eastAsia="標楷體" w:cstheme="minorHAnsi"/>
          <w:szCs w:val="24"/>
        </w:rPr>
        <w:t>表</w:t>
      </w:r>
      <w:proofErr w:type="gramEnd"/>
      <w:r w:rsidRPr="00CA1A43">
        <w:rPr>
          <w:rFonts w:eastAsia="標楷體" w:cstheme="minorHAnsi"/>
          <w:szCs w:val="24"/>
        </w:rPr>
        <w:t>內或表外部位可能產生之損失。</w:t>
      </w:r>
    </w:p>
    <w:p w14:paraId="38356ADC" w14:textId="20F45819"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名目本金價值</w:t>
      </w:r>
      <w:r w:rsidRPr="00CA1A43">
        <w:rPr>
          <w:rFonts w:eastAsia="標楷體" w:cstheme="minorHAnsi"/>
          <w:szCs w:val="24"/>
        </w:rPr>
        <w:t>(Notional value)</w:t>
      </w:r>
      <w:r w:rsidRPr="00CA1A43">
        <w:rPr>
          <w:rFonts w:eastAsia="標楷體" w:cstheme="minorHAnsi"/>
          <w:szCs w:val="24"/>
        </w:rPr>
        <w:t>：衍生性金融商品的名目本金價值等於該</w:t>
      </w:r>
      <w:r w:rsidR="009653EE" w:rsidRPr="00FC3B66">
        <w:rPr>
          <w:rFonts w:eastAsia="標楷體" w:cstheme="minorHAnsi"/>
          <w:szCs w:val="24"/>
        </w:rPr>
        <w:t>工具</w:t>
      </w:r>
      <w:r w:rsidRPr="00FC3B66">
        <w:rPr>
          <w:rFonts w:eastAsia="標楷體" w:cstheme="minorHAnsi"/>
          <w:szCs w:val="24"/>
        </w:rPr>
        <w:t>標</w:t>
      </w:r>
      <w:r w:rsidRPr="00CA1A43">
        <w:rPr>
          <w:rFonts w:eastAsia="標楷體" w:cstheme="minorHAnsi"/>
          <w:szCs w:val="24"/>
        </w:rPr>
        <w:t>的資產的單位數乘以每單位標的資產目前的市價。</w:t>
      </w:r>
    </w:p>
    <w:p w14:paraId="745154A8" w14:textId="77777777"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交易台</w:t>
      </w:r>
      <w:r w:rsidRPr="00CA1A43">
        <w:rPr>
          <w:rFonts w:eastAsia="標楷體" w:cstheme="minorHAnsi"/>
          <w:szCs w:val="24"/>
        </w:rPr>
        <w:t>(Trading desk)</w:t>
      </w:r>
      <w:r w:rsidRPr="00CA1A43">
        <w:rPr>
          <w:rFonts w:eastAsia="標楷體" w:cstheme="minorHAnsi"/>
          <w:szCs w:val="24"/>
        </w:rPr>
        <w:t>：銀行轄下一群交易員或交易帳戶其遵循既定之交易策略，透過承擔並管理風險，以達創造收益或維繫市場存在等策略目標。</w:t>
      </w:r>
    </w:p>
    <w:p w14:paraId="6F29AFF5" w14:textId="106EB910"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評價模型</w:t>
      </w:r>
      <w:r w:rsidRPr="00CA1A43">
        <w:rPr>
          <w:rFonts w:eastAsia="標楷體" w:cstheme="minorHAnsi"/>
          <w:szCs w:val="24"/>
        </w:rPr>
        <w:t>(Pricing model)</w:t>
      </w:r>
      <w:r w:rsidRPr="00CA1A43">
        <w:rPr>
          <w:rFonts w:eastAsia="標楷體" w:cstheme="minorHAnsi"/>
          <w:szCs w:val="24"/>
        </w:rPr>
        <w:t>：評價模型係由評價參數</w:t>
      </w:r>
      <w:r w:rsidRPr="00CA1A43">
        <w:rPr>
          <w:rFonts w:eastAsia="標楷體" w:cstheme="minorHAnsi"/>
          <w:szCs w:val="24"/>
        </w:rPr>
        <w:t>(pricing parameters)</w:t>
      </w:r>
      <w:r w:rsidRPr="00CA1A43">
        <w:rPr>
          <w:rFonts w:eastAsia="標楷體" w:cstheme="minorHAnsi"/>
          <w:szCs w:val="24"/>
        </w:rPr>
        <w:t>所組成的函數以求</w:t>
      </w:r>
      <w:r w:rsidRPr="00FC3B66">
        <w:rPr>
          <w:rFonts w:eastAsia="標楷體" w:cstheme="minorHAnsi"/>
          <w:szCs w:val="24"/>
        </w:rPr>
        <w:t>算</w:t>
      </w:r>
      <w:r w:rsidR="009653EE" w:rsidRPr="00FC3B66">
        <w:rPr>
          <w:rFonts w:eastAsia="標楷體" w:cstheme="minorHAnsi"/>
          <w:szCs w:val="24"/>
        </w:rPr>
        <w:t>工具</w:t>
      </w:r>
      <w:r w:rsidRPr="00FC3B66">
        <w:rPr>
          <w:rFonts w:eastAsia="標楷體" w:cstheme="minorHAnsi"/>
          <w:szCs w:val="24"/>
        </w:rPr>
        <w:t>的價值</w:t>
      </w:r>
      <w:r w:rsidRPr="00FC3B66">
        <w:rPr>
          <w:rFonts w:eastAsia="標楷體" w:cstheme="minorHAnsi"/>
          <w:szCs w:val="24"/>
        </w:rPr>
        <w:t>(</w:t>
      </w:r>
      <w:r w:rsidRPr="00FC3B66">
        <w:rPr>
          <w:rFonts w:eastAsia="標楷體" w:cstheme="minorHAnsi"/>
          <w:szCs w:val="24"/>
        </w:rPr>
        <w:t>採用市價評估或模型評估</w:t>
      </w:r>
      <w:r w:rsidRPr="00FC3B66">
        <w:rPr>
          <w:rFonts w:eastAsia="標楷體" w:cstheme="minorHAnsi"/>
          <w:szCs w:val="24"/>
        </w:rPr>
        <w:t>)</w:t>
      </w:r>
      <w:r w:rsidRPr="00FC3B66">
        <w:rPr>
          <w:rFonts w:eastAsia="標楷體" w:cstheme="minorHAnsi"/>
          <w:szCs w:val="24"/>
        </w:rPr>
        <w:t>，或由風險因子</w:t>
      </w:r>
      <w:r w:rsidRPr="00FC3B66">
        <w:rPr>
          <w:rFonts w:eastAsia="標楷體" w:cstheme="minorHAnsi"/>
          <w:szCs w:val="24"/>
        </w:rPr>
        <w:t>(risk factors)</w:t>
      </w:r>
      <w:r w:rsidRPr="00FC3B66">
        <w:rPr>
          <w:rFonts w:eastAsia="標楷體" w:cstheme="minorHAnsi"/>
          <w:szCs w:val="24"/>
        </w:rPr>
        <w:t>所組成的函數以求算</w:t>
      </w:r>
      <w:r w:rsidR="009653EE" w:rsidRPr="00FC3B66">
        <w:rPr>
          <w:rFonts w:eastAsia="標楷體" w:cstheme="minorHAnsi"/>
          <w:szCs w:val="24"/>
        </w:rPr>
        <w:t>工具</w:t>
      </w:r>
      <w:r w:rsidRPr="00FC3B66">
        <w:rPr>
          <w:rFonts w:eastAsia="標楷體" w:cstheme="minorHAnsi"/>
          <w:szCs w:val="24"/>
        </w:rPr>
        <w:t>的價</w:t>
      </w:r>
      <w:r w:rsidRPr="00CA1A43">
        <w:rPr>
          <w:rFonts w:eastAsia="標楷體" w:cstheme="minorHAnsi"/>
          <w:szCs w:val="24"/>
        </w:rPr>
        <w:t>值變動。一個評價模型可能為多個計算步驟的結合，例如第一</w:t>
      </w:r>
      <w:proofErr w:type="gramStart"/>
      <w:r w:rsidRPr="00CA1A43">
        <w:rPr>
          <w:rFonts w:eastAsia="標楷體" w:cstheme="minorHAnsi"/>
          <w:szCs w:val="24"/>
        </w:rPr>
        <w:t>階段先算出</w:t>
      </w:r>
      <w:proofErr w:type="gramEnd"/>
      <w:r w:rsidRPr="00CA1A43">
        <w:rPr>
          <w:rFonts w:eastAsia="標楷體" w:cstheme="minorHAnsi"/>
          <w:szCs w:val="24"/>
        </w:rPr>
        <w:t>價格，接著再針對未含</w:t>
      </w:r>
      <w:proofErr w:type="gramStart"/>
      <w:r w:rsidRPr="00CA1A43">
        <w:rPr>
          <w:rFonts w:eastAsia="標楷體" w:cstheme="minorHAnsi"/>
          <w:szCs w:val="24"/>
        </w:rPr>
        <w:t>括</w:t>
      </w:r>
      <w:proofErr w:type="gramEnd"/>
      <w:r w:rsidRPr="00CA1A43">
        <w:rPr>
          <w:rFonts w:eastAsia="標楷體" w:cstheme="minorHAnsi"/>
          <w:szCs w:val="24"/>
        </w:rPr>
        <w:t>在第一階段之風險作評價調整。</w:t>
      </w:r>
    </w:p>
    <w:p w14:paraId="2D503ED2" w14:textId="7525AE29" w:rsidR="00F96CDD" w:rsidRPr="00CA1A43" w:rsidRDefault="009653EE" w:rsidP="005066C2">
      <w:pPr>
        <w:pStyle w:val="a7"/>
        <w:numPr>
          <w:ilvl w:val="0"/>
          <w:numId w:val="318"/>
        </w:numPr>
        <w:spacing w:beforeLines="50" w:before="180"/>
        <w:ind w:leftChars="0" w:left="964" w:hanging="482"/>
        <w:jc w:val="both"/>
        <w:rPr>
          <w:rFonts w:eastAsia="標楷體" w:cstheme="minorHAnsi"/>
          <w:szCs w:val="24"/>
        </w:rPr>
      </w:pPr>
      <w:r w:rsidRPr="00FC3B66">
        <w:rPr>
          <w:rFonts w:eastAsia="標楷體" w:cstheme="minorHAnsi"/>
          <w:szCs w:val="24"/>
        </w:rPr>
        <w:t>金融工具</w:t>
      </w:r>
      <w:r w:rsidR="00F96CDD" w:rsidRPr="00FC3B66">
        <w:rPr>
          <w:rFonts w:eastAsia="標楷體" w:cstheme="minorHAnsi"/>
          <w:szCs w:val="24"/>
        </w:rPr>
        <w:t>(Fi</w:t>
      </w:r>
      <w:r w:rsidR="00F96CDD" w:rsidRPr="00CA1A43">
        <w:rPr>
          <w:rFonts w:eastAsia="標楷體" w:cstheme="minorHAnsi"/>
          <w:szCs w:val="24"/>
        </w:rPr>
        <w:t>nancial instrument)</w:t>
      </w:r>
      <w:r w:rsidR="00F96CDD" w:rsidRPr="00CA1A43">
        <w:rPr>
          <w:rFonts w:eastAsia="標楷體" w:cstheme="minorHAnsi"/>
          <w:szCs w:val="24"/>
        </w:rPr>
        <w:t>：指一方產生金融資產亦同時使另一方產生金融負債或權益證券</w:t>
      </w:r>
      <w:r w:rsidRPr="00FC3B66">
        <w:rPr>
          <w:rFonts w:eastAsia="標楷體" w:cstheme="minorHAnsi"/>
          <w:szCs w:val="24"/>
        </w:rPr>
        <w:t>工具</w:t>
      </w:r>
      <w:r w:rsidR="00F96CDD" w:rsidRPr="00FC3B66">
        <w:rPr>
          <w:rFonts w:eastAsia="標楷體" w:cstheme="minorHAnsi"/>
          <w:szCs w:val="24"/>
        </w:rPr>
        <w:t>之</w:t>
      </w:r>
      <w:r w:rsidR="00F96CDD" w:rsidRPr="00CA1A43">
        <w:rPr>
          <w:rFonts w:eastAsia="標楷體" w:cstheme="minorHAnsi"/>
          <w:szCs w:val="24"/>
        </w:rPr>
        <w:t>合約。此</w:t>
      </w:r>
      <w:r w:rsidRPr="00FC3B66">
        <w:rPr>
          <w:rFonts w:eastAsia="標楷體" w:cstheme="minorHAnsi"/>
          <w:szCs w:val="24"/>
        </w:rPr>
        <w:t>金融工具</w:t>
      </w:r>
      <w:r w:rsidR="00F96CDD" w:rsidRPr="00FC3B66">
        <w:rPr>
          <w:rFonts w:eastAsia="標楷體" w:cstheme="minorHAnsi"/>
          <w:szCs w:val="24"/>
        </w:rPr>
        <w:t>包括原始</w:t>
      </w:r>
      <w:r w:rsidRPr="00FC3B66">
        <w:rPr>
          <w:rFonts w:eastAsia="標楷體" w:cstheme="minorHAnsi"/>
          <w:szCs w:val="24"/>
        </w:rPr>
        <w:t>金融工具</w:t>
      </w:r>
      <w:r w:rsidR="00F96CDD" w:rsidRPr="00FC3B66">
        <w:rPr>
          <w:rFonts w:eastAsia="標楷體" w:cstheme="minorHAnsi"/>
          <w:szCs w:val="24"/>
        </w:rPr>
        <w:t>(</w:t>
      </w:r>
      <w:r w:rsidR="00F96CDD" w:rsidRPr="00FC3B66">
        <w:rPr>
          <w:rFonts w:eastAsia="標楷體" w:cstheme="minorHAnsi"/>
          <w:szCs w:val="24"/>
        </w:rPr>
        <w:t>或</w:t>
      </w:r>
      <w:r w:rsidR="00F96CDD" w:rsidRPr="00CA1A43">
        <w:rPr>
          <w:rFonts w:eastAsia="標楷體" w:cstheme="minorHAnsi"/>
          <w:szCs w:val="24"/>
        </w:rPr>
        <w:t>現貨商品</w:t>
      </w:r>
      <w:r w:rsidR="00F96CDD" w:rsidRPr="00CA1A43">
        <w:rPr>
          <w:rFonts w:eastAsia="標楷體" w:cstheme="minorHAnsi"/>
          <w:szCs w:val="24"/>
        </w:rPr>
        <w:t>)</w:t>
      </w:r>
      <w:r w:rsidR="00F96CDD" w:rsidRPr="00CA1A43">
        <w:rPr>
          <w:rFonts w:eastAsia="標楷體" w:cstheme="minorHAnsi"/>
          <w:szCs w:val="24"/>
        </w:rPr>
        <w:t>及衍生性金融商品。</w:t>
      </w:r>
    </w:p>
    <w:p w14:paraId="7A86B8A8" w14:textId="6283CE62" w:rsidR="00F96CDD" w:rsidRPr="00CA1A43" w:rsidRDefault="009653EE" w:rsidP="005066C2">
      <w:pPr>
        <w:pStyle w:val="a7"/>
        <w:numPr>
          <w:ilvl w:val="0"/>
          <w:numId w:val="318"/>
        </w:numPr>
        <w:spacing w:beforeLines="50" w:before="180"/>
        <w:ind w:leftChars="0" w:left="964" w:hanging="482"/>
        <w:jc w:val="both"/>
        <w:rPr>
          <w:rFonts w:eastAsia="標楷體" w:cstheme="minorHAnsi"/>
          <w:szCs w:val="24"/>
        </w:rPr>
      </w:pPr>
      <w:r w:rsidRPr="00FC3B66">
        <w:rPr>
          <w:rFonts w:eastAsia="標楷體" w:cstheme="minorHAnsi"/>
          <w:szCs w:val="24"/>
        </w:rPr>
        <w:t>工具</w:t>
      </w:r>
      <w:r w:rsidR="00F96CDD" w:rsidRPr="00FC3B66">
        <w:rPr>
          <w:rFonts w:eastAsia="標楷體" w:cstheme="minorHAnsi"/>
          <w:szCs w:val="24"/>
        </w:rPr>
        <w:t>(Inst</w:t>
      </w:r>
      <w:r w:rsidR="00F96CDD" w:rsidRPr="00CA1A43">
        <w:rPr>
          <w:rFonts w:eastAsia="標楷體" w:cstheme="minorHAnsi"/>
          <w:szCs w:val="24"/>
        </w:rPr>
        <w:t>rument)</w:t>
      </w:r>
      <w:r w:rsidR="00F96CDD" w:rsidRPr="00CA1A43">
        <w:rPr>
          <w:rFonts w:eastAsia="標楷體" w:cstheme="minorHAnsi"/>
          <w:szCs w:val="24"/>
        </w:rPr>
        <w:t>：用以描</w:t>
      </w:r>
      <w:r w:rsidR="00F96CDD" w:rsidRPr="00FC3B66">
        <w:rPr>
          <w:rFonts w:eastAsia="標楷體" w:cstheme="minorHAnsi"/>
          <w:szCs w:val="24"/>
        </w:rPr>
        <w:t>述</w:t>
      </w:r>
      <w:r w:rsidRPr="00FC3B66">
        <w:rPr>
          <w:rFonts w:eastAsia="標楷體" w:cstheme="minorHAnsi"/>
          <w:szCs w:val="24"/>
        </w:rPr>
        <w:t>金融工具</w:t>
      </w:r>
      <w:r w:rsidR="00F96CDD" w:rsidRPr="00FC3B66">
        <w:rPr>
          <w:rFonts w:eastAsia="標楷體" w:cstheme="minorHAnsi"/>
          <w:szCs w:val="24"/>
        </w:rPr>
        <w:t>、外匯及商品</w:t>
      </w:r>
      <w:r w:rsidR="00F96CDD" w:rsidRPr="00FC3B66">
        <w:rPr>
          <w:rFonts w:eastAsia="標楷體" w:cstheme="minorHAnsi"/>
          <w:szCs w:val="24"/>
        </w:rPr>
        <w:t>(commodities)</w:t>
      </w:r>
      <w:r w:rsidRPr="00FC3B66">
        <w:rPr>
          <w:rFonts w:eastAsia="標楷體" w:cstheme="minorHAnsi"/>
          <w:szCs w:val="24"/>
        </w:rPr>
        <w:t>工具</w:t>
      </w:r>
      <w:r w:rsidR="00F96CDD" w:rsidRPr="00FC3B66">
        <w:rPr>
          <w:rFonts w:eastAsia="標楷體" w:cstheme="minorHAnsi"/>
          <w:szCs w:val="24"/>
        </w:rPr>
        <w:t>的</w:t>
      </w:r>
      <w:r w:rsidR="00F96CDD" w:rsidRPr="00CA1A43">
        <w:rPr>
          <w:rFonts w:eastAsia="標楷體" w:cstheme="minorHAnsi"/>
          <w:szCs w:val="24"/>
        </w:rPr>
        <w:t>名詞。</w:t>
      </w:r>
    </w:p>
    <w:p w14:paraId="1D66F1FB" w14:textId="0D67299D"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金融資產：指現金，有權收取現金、其他金融資產、商品或權益證</w:t>
      </w:r>
      <w:r w:rsidRPr="00FC3B66">
        <w:rPr>
          <w:rFonts w:eastAsia="標楷體" w:cstheme="minorHAnsi"/>
          <w:szCs w:val="24"/>
        </w:rPr>
        <w:t>券</w:t>
      </w:r>
      <w:r w:rsidR="009653EE" w:rsidRPr="00FC3B66">
        <w:rPr>
          <w:rFonts w:eastAsia="標楷體" w:cstheme="minorHAnsi"/>
          <w:szCs w:val="24"/>
        </w:rPr>
        <w:t>工具</w:t>
      </w:r>
      <w:r w:rsidRPr="00FC3B66">
        <w:rPr>
          <w:rFonts w:eastAsia="標楷體" w:cstheme="minorHAnsi"/>
          <w:szCs w:val="24"/>
        </w:rPr>
        <w:t>之</w:t>
      </w:r>
      <w:r w:rsidRPr="00CA1A43">
        <w:rPr>
          <w:rFonts w:eastAsia="標楷體" w:cstheme="minorHAnsi"/>
          <w:szCs w:val="24"/>
        </w:rPr>
        <w:t>任何資產。</w:t>
      </w:r>
    </w:p>
    <w:p w14:paraId="115DE1DC" w14:textId="77777777"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金融負債：指支付現金、其他金融資產或商品的契約義務。商品項目還包括無形的</w:t>
      </w:r>
      <w:r w:rsidRPr="00CA1A43">
        <w:rPr>
          <w:rFonts w:eastAsia="標楷體" w:cstheme="minorHAnsi"/>
          <w:szCs w:val="24"/>
        </w:rPr>
        <w:t>(</w:t>
      </w:r>
      <w:r w:rsidRPr="00CA1A43">
        <w:rPr>
          <w:rFonts w:eastAsia="標楷體" w:cstheme="minorHAnsi"/>
          <w:szCs w:val="24"/>
        </w:rPr>
        <w:t>即非實體</w:t>
      </w:r>
      <w:r w:rsidRPr="00CA1A43">
        <w:rPr>
          <w:rFonts w:eastAsia="標楷體" w:cstheme="minorHAnsi"/>
          <w:szCs w:val="24"/>
        </w:rPr>
        <w:t>)</w:t>
      </w:r>
      <w:r w:rsidRPr="00CA1A43">
        <w:rPr>
          <w:rFonts w:eastAsia="標楷體" w:cstheme="minorHAnsi"/>
          <w:szCs w:val="24"/>
        </w:rPr>
        <w:t>商品，如電力。</w:t>
      </w:r>
    </w:p>
    <w:p w14:paraId="59AE66D3" w14:textId="69DE2BFB"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嵌入式衍生性商品</w:t>
      </w:r>
      <w:r w:rsidRPr="00CA1A43">
        <w:rPr>
          <w:rFonts w:eastAsia="標楷體" w:cstheme="minorHAnsi"/>
          <w:szCs w:val="24"/>
        </w:rPr>
        <w:t>(Embedded derivative)</w:t>
      </w:r>
      <w:r w:rsidRPr="00CA1A43">
        <w:rPr>
          <w:rFonts w:eastAsia="標楷體" w:cstheme="minorHAnsi"/>
          <w:szCs w:val="24"/>
        </w:rPr>
        <w:t>：包含非衍生性商品主契約之</w:t>
      </w:r>
      <w:r w:rsidR="009653EE" w:rsidRPr="00FC3B66">
        <w:rPr>
          <w:rFonts w:eastAsia="標楷體" w:cstheme="minorHAnsi"/>
          <w:szCs w:val="24"/>
        </w:rPr>
        <w:t>金融工具</w:t>
      </w:r>
      <w:r w:rsidRPr="00FC3B66">
        <w:rPr>
          <w:rFonts w:eastAsia="標楷體" w:cstheme="minorHAnsi"/>
          <w:szCs w:val="24"/>
        </w:rPr>
        <w:t>的</w:t>
      </w:r>
      <w:r w:rsidRPr="00CA1A43">
        <w:rPr>
          <w:rFonts w:eastAsia="標楷體" w:cstheme="minorHAnsi"/>
          <w:szCs w:val="24"/>
        </w:rPr>
        <w:t>組成部分之</w:t>
      </w:r>
      <w:proofErr w:type="gramStart"/>
      <w:r w:rsidRPr="00CA1A43">
        <w:rPr>
          <w:rFonts w:eastAsia="標楷體" w:cstheme="minorHAnsi"/>
          <w:szCs w:val="24"/>
        </w:rPr>
        <w:t>一</w:t>
      </w:r>
      <w:proofErr w:type="gramEnd"/>
      <w:r w:rsidRPr="00CA1A43">
        <w:rPr>
          <w:rFonts w:eastAsia="標楷體" w:cstheme="minorHAnsi"/>
          <w:szCs w:val="24"/>
        </w:rPr>
        <w:t>。例如可轉換債券中的轉換權。</w:t>
      </w:r>
    </w:p>
    <w:p w14:paraId="12AB8572" w14:textId="1BFBC3A0"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拆解法</w:t>
      </w:r>
      <w:r w:rsidRPr="00CA1A43">
        <w:rPr>
          <w:rFonts w:eastAsia="標楷體" w:cstheme="minorHAnsi"/>
          <w:szCs w:val="24"/>
        </w:rPr>
        <w:t>(Look-through approach)</w:t>
      </w:r>
      <w:r w:rsidRPr="00CA1A43">
        <w:rPr>
          <w:rFonts w:eastAsia="標楷體" w:cstheme="minorHAnsi"/>
          <w:szCs w:val="24"/>
        </w:rPr>
        <w:t>：銀行衡量連結非單一標的資產相關部位</w:t>
      </w:r>
      <w:r w:rsidRPr="00CA1A43">
        <w:rPr>
          <w:rFonts w:eastAsia="標楷體" w:cstheme="minorHAnsi"/>
          <w:szCs w:val="24"/>
        </w:rPr>
        <w:t>(</w:t>
      </w:r>
      <w:r w:rsidRPr="00CA1A43">
        <w:rPr>
          <w:rFonts w:eastAsia="標楷體" w:cstheme="minorHAnsi"/>
          <w:szCs w:val="24"/>
        </w:rPr>
        <w:t>例如指數型</w:t>
      </w:r>
      <w:r w:rsidR="009653EE" w:rsidRPr="00FC3B66">
        <w:rPr>
          <w:rFonts w:eastAsia="標楷體" w:cstheme="minorHAnsi"/>
          <w:szCs w:val="24"/>
        </w:rPr>
        <w:t>工具</w:t>
      </w:r>
      <w:r w:rsidRPr="00FC3B66">
        <w:rPr>
          <w:rFonts w:eastAsia="標楷體" w:cstheme="minorHAnsi"/>
          <w:szCs w:val="24"/>
        </w:rPr>
        <w:t>，多</w:t>
      </w:r>
      <w:r w:rsidRPr="00CA1A43">
        <w:rPr>
          <w:rFonts w:eastAsia="標楷體" w:cstheme="minorHAnsi"/>
          <w:szCs w:val="24"/>
        </w:rPr>
        <w:t>重標的資產選擇權或基金股權投資</w:t>
      </w:r>
      <w:r w:rsidRPr="00CA1A43">
        <w:rPr>
          <w:rFonts w:eastAsia="標楷體" w:cstheme="minorHAnsi"/>
          <w:szCs w:val="24"/>
        </w:rPr>
        <w:t>)</w:t>
      </w:r>
      <w:r w:rsidRPr="00CA1A43">
        <w:rPr>
          <w:rFonts w:eastAsia="標楷體" w:cstheme="minorHAnsi"/>
          <w:szCs w:val="24"/>
        </w:rPr>
        <w:t>的一種資本計提方法，須將該部位之標的視為銀行直接持有該標的部位。</w:t>
      </w:r>
    </w:p>
    <w:p w14:paraId="592B2341" w14:textId="0C2B1D5C"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風險因子</w:t>
      </w:r>
      <w:r w:rsidRPr="00CA1A43">
        <w:rPr>
          <w:rFonts w:eastAsia="標楷體" w:cstheme="minorHAnsi"/>
          <w:szCs w:val="24"/>
        </w:rPr>
        <w:t>(Risk factor)</w:t>
      </w:r>
      <w:r w:rsidRPr="00CA1A43">
        <w:rPr>
          <w:rFonts w:eastAsia="標楷體" w:cstheme="minorHAnsi"/>
          <w:szCs w:val="24"/>
        </w:rPr>
        <w:t>：影響</w:t>
      </w:r>
      <w:r w:rsidR="009653EE" w:rsidRPr="00FC3B66">
        <w:rPr>
          <w:rFonts w:eastAsia="標楷體" w:cstheme="minorHAnsi"/>
          <w:szCs w:val="24"/>
        </w:rPr>
        <w:t>工具</w:t>
      </w:r>
      <w:r w:rsidRPr="00FC3B66">
        <w:rPr>
          <w:rFonts w:eastAsia="標楷體" w:cstheme="minorHAnsi"/>
          <w:szCs w:val="24"/>
        </w:rPr>
        <w:t>價</w:t>
      </w:r>
      <w:r w:rsidRPr="00CA1A43">
        <w:rPr>
          <w:rFonts w:eastAsia="標楷體" w:cstheme="minorHAnsi"/>
          <w:szCs w:val="24"/>
        </w:rPr>
        <w:t>值變動的主要因素</w:t>
      </w:r>
      <w:r w:rsidRPr="00CA1A43">
        <w:rPr>
          <w:rFonts w:eastAsia="標楷體" w:cstheme="minorHAnsi"/>
          <w:szCs w:val="24"/>
        </w:rPr>
        <w:t>(</w:t>
      </w:r>
      <w:r w:rsidRPr="00CA1A43">
        <w:rPr>
          <w:rFonts w:eastAsia="標楷體" w:cstheme="minorHAnsi"/>
          <w:szCs w:val="24"/>
        </w:rPr>
        <w:t>例如匯率或利率</w:t>
      </w:r>
      <w:r w:rsidRPr="00CA1A43">
        <w:rPr>
          <w:rFonts w:eastAsia="標楷體" w:cstheme="minorHAnsi"/>
          <w:szCs w:val="24"/>
        </w:rPr>
        <w:t>)</w:t>
      </w:r>
      <w:r w:rsidRPr="00CA1A43">
        <w:rPr>
          <w:rFonts w:eastAsia="標楷體" w:cstheme="minorHAnsi"/>
          <w:szCs w:val="24"/>
        </w:rPr>
        <w:t>。</w:t>
      </w:r>
    </w:p>
    <w:p w14:paraId="66F46155" w14:textId="41E0A5EF"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風險部位</w:t>
      </w:r>
      <w:r w:rsidRPr="00CA1A43">
        <w:rPr>
          <w:rFonts w:eastAsia="標楷體" w:cstheme="minorHAnsi"/>
          <w:szCs w:val="24"/>
        </w:rPr>
        <w:t>(Risk position)</w:t>
      </w:r>
      <w:r w:rsidRPr="00CA1A43">
        <w:rPr>
          <w:rFonts w:eastAsia="標楷體" w:cstheme="minorHAnsi"/>
          <w:szCs w:val="24"/>
        </w:rPr>
        <w:t>：</w:t>
      </w:r>
      <w:r w:rsidR="009653EE" w:rsidRPr="00FC3B66">
        <w:rPr>
          <w:rFonts w:eastAsia="標楷體" w:cstheme="minorHAnsi"/>
          <w:szCs w:val="24"/>
        </w:rPr>
        <w:t>工具</w:t>
      </w:r>
      <w:r w:rsidRPr="00FC3B66">
        <w:rPr>
          <w:rFonts w:eastAsia="標楷體" w:cstheme="minorHAnsi"/>
          <w:szCs w:val="24"/>
        </w:rPr>
        <w:t>因風</w:t>
      </w:r>
      <w:r w:rsidRPr="00CA1A43">
        <w:rPr>
          <w:rFonts w:eastAsia="標楷體" w:cstheme="minorHAnsi"/>
          <w:szCs w:val="24"/>
        </w:rPr>
        <w:t>險因子變動而遭受現值損失的部分。例如：幣別與銀行本位幣不同的債券，會產生一般利率風險、信用價差風險</w:t>
      </w:r>
      <w:r w:rsidRPr="00CA1A43">
        <w:rPr>
          <w:rFonts w:eastAsia="標楷體" w:cstheme="minorHAnsi"/>
          <w:szCs w:val="24"/>
        </w:rPr>
        <w:t>(</w:t>
      </w:r>
      <w:r w:rsidRPr="00CA1A43">
        <w:rPr>
          <w:rFonts w:eastAsia="標楷體" w:cstheme="minorHAnsi"/>
          <w:szCs w:val="24"/>
        </w:rPr>
        <w:t>非證券化</w:t>
      </w:r>
      <w:r w:rsidRPr="00CA1A43">
        <w:rPr>
          <w:rFonts w:eastAsia="標楷體" w:cstheme="minorHAnsi"/>
          <w:szCs w:val="24"/>
        </w:rPr>
        <w:t>)</w:t>
      </w:r>
      <w:r w:rsidRPr="00CA1A43">
        <w:rPr>
          <w:rFonts w:eastAsia="標楷體" w:cstheme="minorHAnsi"/>
          <w:szCs w:val="24"/>
        </w:rPr>
        <w:t>及外匯風險部位，該風險部位即因相關標的資產風險因</w:t>
      </w:r>
      <w:r w:rsidRPr="00CA1A43">
        <w:rPr>
          <w:rFonts w:eastAsia="標楷體" w:cstheme="minorHAnsi"/>
          <w:szCs w:val="24"/>
        </w:rPr>
        <w:lastRenderedPageBreak/>
        <w:t>子</w:t>
      </w:r>
      <w:r w:rsidRPr="00CA1A43">
        <w:rPr>
          <w:rFonts w:eastAsia="標楷體" w:cstheme="minorHAnsi"/>
          <w:szCs w:val="24"/>
        </w:rPr>
        <w:t>(</w:t>
      </w:r>
      <w:r w:rsidRPr="00CA1A43">
        <w:rPr>
          <w:rFonts w:eastAsia="標楷體" w:cstheme="minorHAnsi"/>
          <w:szCs w:val="24"/>
        </w:rPr>
        <w:t>利率、信用價差或匯率</w:t>
      </w:r>
      <w:r w:rsidRPr="00CA1A43">
        <w:rPr>
          <w:rFonts w:eastAsia="標楷體" w:cstheme="minorHAnsi"/>
          <w:szCs w:val="24"/>
        </w:rPr>
        <w:t>)</w:t>
      </w:r>
      <w:r w:rsidRPr="00CA1A43">
        <w:rPr>
          <w:rFonts w:eastAsia="標楷體" w:cstheme="minorHAnsi"/>
          <w:szCs w:val="24"/>
        </w:rPr>
        <w:t>的變動，</w:t>
      </w:r>
      <w:r w:rsidRPr="00FC3B66">
        <w:rPr>
          <w:rFonts w:eastAsia="標楷體" w:cstheme="minorHAnsi"/>
          <w:szCs w:val="24"/>
        </w:rPr>
        <w:t>使</w:t>
      </w:r>
      <w:r w:rsidR="009653EE" w:rsidRPr="00FC3B66">
        <w:rPr>
          <w:rFonts w:eastAsia="標楷體" w:cstheme="minorHAnsi"/>
          <w:szCs w:val="24"/>
        </w:rPr>
        <w:t>工具</w:t>
      </w:r>
      <w:r w:rsidRPr="00FC3B66">
        <w:rPr>
          <w:rFonts w:eastAsia="標楷體" w:cstheme="minorHAnsi"/>
          <w:szCs w:val="24"/>
        </w:rPr>
        <w:t>現</w:t>
      </w:r>
      <w:r w:rsidRPr="00CA1A43">
        <w:rPr>
          <w:rFonts w:eastAsia="標楷體" w:cstheme="minorHAnsi"/>
          <w:szCs w:val="24"/>
        </w:rPr>
        <w:t>值產生之潛在損失。</w:t>
      </w:r>
    </w:p>
    <w:p w14:paraId="4846E939" w14:textId="77777777"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風險組別</w:t>
      </w:r>
      <w:r w:rsidRPr="00CA1A43">
        <w:rPr>
          <w:rFonts w:eastAsia="標楷體" w:cstheme="minorHAnsi"/>
          <w:szCs w:val="24"/>
        </w:rPr>
        <w:t>(Risk bucket)</w:t>
      </w:r>
      <w:r w:rsidRPr="00CA1A43">
        <w:rPr>
          <w:rFonts w:eastAsia="標楷體" w:cstheme="minorHAnsi"/>
          <w:szCs w:val="24"/>
        </w:rPr>
        <w:t>：具有相似特徵的風險因子視為同一組別。</w:t>
      </w:r>
    </w:p>
    <w:p w14:paraId="636E0666" w14:textId="77777777"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風險類別</w:t>
      </w:r>
      <w:r w:rsidRPr="00CA1A43">
        <w:rPr>
          <w:rFonts w:eastAsia="標楷體" w:cstheme="minorHAnsi"/>
          <w:szCs w:val="24"/>
        </w:rPr>
        <w:t>(Risk class)</w:t>
      </w:r>
      <w:r w:rsidRPr="00CA1A43">
        <w:rPr>
          <w:rFonts w:eastAsia="標楷體" w:cstheme="minorHAnsi"/>
          <w:szCs w:val="24"/>
        </w:rPr>
        <w:t>：本計算說明定義的風險清單，用作計算市場風險資本計提的基礎，包含：一般利率風險，信用價差風險</w:t>
      </w:r>
      <w:r w:rsidRPr="00CA1A43">
        <w:rPr>
          <w:rFonts w:eastAsia="標楷體" w:cstheme="minorHAnsi"/>
          <w:szCs w:val="24"/>
        </w:rPr>
        <w:t>(</w:t>
      </w:r>
      <w:r w:rsidRPr="00CA1A43">
        <w:rPr>
          <w:rFonts w:eastAsia="標楷體" w:cstheme="minorHAnsi"/>
          <w:szCs w:val="24"/>
        </w:rPr>
        <w:t>非證券化</w:t>
      </w:r>
      <w:r w:rsidRPr="00CA1A43">
        <w:rPr>
          <w:rFonts w:eastAsia="標楷體" w:cstheme="minorHAnsi"/>
          <w:szCs w:val="24"/>
        </w:rPr>
        <w:t>)</w:t>
      </w:r>
      <w:r w:rsidRPr="00CA1A43">
        <w:rPr>
          <w:rFonts w:eastAsia="標楷體" w:cstheme="minorHAnsi"/>
          <w:szCs w:val="24"/>
        </w:rPr>
        <w:t>，信用價差風險</w:t>
      </w:r>
      <w:r w:rsidRPr="00CA1A43">
        <w:rPr>
          <w:rFonts w:eastAsia="標楷體" w:cstheme="minorHAnsi"/>
          <w:szCs w:val="24"/>
        </w:rPr>
        <w:t>(</w:t>
      </w:r>
      <w:r w:rsidRPr="00CA1A43">
        <w:rPr>
          <w:rFonts w:eastAsia="標楷體" w:cstheme="minorHAnsi"/>
          <w:szCs w:val="24"/>
        </w:rPr>
        <w:t>證券化：非相關性交易組合</w:t>
      </w:r>
      <w:r w:rsidRPr="00CA1A43">
        <w:rPr>
          <w:rFonts w:eastAsia="標楷體" w:cstheme="minorHAnsi"/>
          <w:szCs w:val="24"/>
        </w:rPr>
        <w:t>)</w:t>
      </w:r>
      <w:r w:rsidRPr="00CA1A43">
        <w:rPr>
          <w:rFonts w:eastAsia="標楷體" w:cstheme="minorHAnsi"/>
          <w:szCs w:val="24"/>
        </w:rPr>
        <w:t>，信用價差風險</w:t>
      </w:r>
      <w:r w:rsidRPr="00CA1A43">
        <w:rPr>
          <w:rFonts w:eastAsia="標楷體" w:cstheme="minorHAnsi"/>
          <w:szCs w:val="24"/>
        </w:rPr>
        <w:t>(</w:t>
      </w:r>
      <w:r w:rsidRPr="00CA1A43">
        <w:rPr>
          <w:rFonts w:eastAsia="標楷體" w:cstheme="minorHAnsi"/>
          <w:szCs w:val="24"/>
        </w:rPr>
        <w:t>證券化：相關性交易組合</w:t>
      </w:r>
      <w:r w:rsidRPr="00CA1A43">
        <w:rPr>
          <w:rFonts w:eastAsia="標楷體" w:cstheme="minorHAnsi"/>
          <w:szCs w:val="24"/>
        </w:rPr>
        <w:t>)</w:t>
      </w:r>
      <w:r w:rsidRPr="00CA1A43">
        <w:rPr>
          <w:rFonts w:eastAsia="標楷體" w:cstheme="minorHAnsi"/>
          <w:szCs w:val="24"/>
        </w:rPr>
        <w:t>，外匯風險，權益證券風險和商品風險。</w:t>
      </w:r>
    </w:p>
    <w:p w14:paraId="0EF856F7" w14:textId="6C260E58" w:rsidR="00F96CDD" w:rsidRPr="00CA1A43" w:rsidRDefault="00F96CDD"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敏感性部位</w:t>
      </w:r>
      <w:r w:rsidRPr="00CA1A43">
        <w:rPr>
          <w:rFonts w:eastAsia="標楷體" w:cstheme="minorHAnsi"/>
          <w:szCs w:val="24"/>
        </w:rPr>
        <w:t>(Sensitivity)</w:t>
      </w:r>
      <w:r w:rsidRPr="00CA1A43">
        <w:rPr>
          <w:rFonts w:eastAsia="標楷體" w:cstheme="minorHAnsi"/>
          <w:szCs w:val="24"/>
        </w:rPr>
        <w:t>：藉由標的資產其中一個風險因子的微小變化，求得銀行</w:t>
      </w:r>
      <w:r w:rsidRPr="00FC3B66">
        <w:rPr>
          <w:rFonts w:eastAsia="標楷體" w:cstheme="minorHAnsi"/>
          <w:szCs w:val="24"/>
        </w:rPr>
        <w:t>對</w:t>
      </w:r>
      <w:r w:rsidR="009653EE" w:rsidRPr="00FC3B66">
        <w:rPr>
          <w:rFonts w:eastAsia="標楷體" w:cstheme="minorHAnsi"/>
          <w:szCs w:val="24"/>
        </w:rPr>
        <w:t>工具</w:t>
      </w:r>
      <w:r w:rsidRPr="00FC3B66">
        <w:rPr>
          <w:rFonts w:eastAsia="標楷體" w:cstheme="minorHAnsi"/>
          <w:szCs w:val="24"/>
        </w:rPr>
        <w:t>價</w:t>
      </w:r>
      <w:r w:rsidRPr="00CA1A43">
        <w:rPr>
          <w:rFonts w:eastAsia="標楷體" w:cstheme="minorHAnsi"/>
          <w:szCs w:val="24"/>
        </w:rPr>
        <w:t>值變動的估計。如</w:t>
      </w:r>
      <w:r w:rsidRPr="00CA1A43">
        <w:rPr>
          <w:rFonts w:eastAsia="標楷體" w:cstheme="minorHAnsi"/>
          <w:szCs w:val="24"/>
        </w:rPr>
        <w:t>delta</w:t>
      </w:r>
      <w:r w:rsidRPr="00CA1A43">
        <w:rPr>
          <w:rFonts w:eastAsia="標楷體" w:cstheme="minorHAnsi"/>
          <w:szCs w:val="24"/>
        </w:rPr>
        <w:t>和</w:t>
      </w:r>
      <w:proofErr w:type="spellStart"/>
      <w:r w:rsidRPr="00CA1A43">
        <w:rPr>
          <w:rFonts w:eastAsia="標楷體" w:cstheme="minorHAnsi"/>
          <w:szCs w:val="24"/>
        </w:rPr>
        <w:t>vega</w:t>
      </w:r>
      <w:proofErr w:type="spellEnd"/>
      <w:r w:rsidRPr="00CA1A43">
        <w:rPr>
          <w:rFonts w:eastAsia="標楷體" w:cstheme="minorHAnsi"/>
          <w:szCs w:val="24"/>
        </w:rPr>
        <w:t>風險為敏感性部位。</w:t>
      </w:r>
    </w:p>
    <w:p w14:paraId="682D0863" w14:textId="2F352088" w:rsidR="00F96CDD" w:rsidRPr="00CA1A43" w:rsidRDefault="00955118"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Delta</w:t>
      </w:r>
      <w:r w:rsidRPr="00CA1A43">
        <w:rPr>
          <w:rFonts w:eastAsia="標楷體" w:cstheme="minorHAnsi"/>
          <w:szCs w:val="24"/>
        </w:rPr>
        <w:t>風險</w:t>
      </w:r>
      <w:r w:rsidRPr="00CA1A43">
        <w:rPr>
          <w:rFonts w:eastAsia="標楷體" w:cstheme="minorHAnsi"/>
          <w:szCs w:val="24"/>
        </w:rPr>
        <w:t>(Delta risk)</w:t>
      </w:r>
      <w:r w:rsidRPr="00CA1A43">
        <w:rPr>
          <w:rFonts w:eastAsia="標楷體" w:cstheme="minorHAnsi"/>
          <w:szCs w:val="24"/>
        </w:rPr>
        <w:t>：風險因子數值變動</w:t>
      </w:r>
      <w:r w:rsidRPr="00FC3B66">
        <w:rPr>
          <w:rFonts w:eastAsia="標楷體" w:cstheme="minorHAnsi"/>
          <w:szCs w:val="24"/>
        </w:rPr>
        <w:t>對</w:t>
      </w:r>
      <w:r w:rsidR="009653EE" w:rsidRPr="00FC3B66">
        <w:rPr>
          <w:rFonts w:eastAsia="標楷體" w:cstheme="minorHAnsi"/>
          <w:szCs w:val="24"/>
        </w:rPr>
        <w:t>金融工具</w:t>
      </w:r>
      <w:r w:rsidRPr="00FC3B66">
        <w:rPr>
          <w:rFonts w:eastAsia="標楷體" w:cstheme="minorHAnsi"/>
          <w:szCs w:val="24"/>
        </w:rPr>
        <w:t>價</w:t>
      </w:r>
      <w:r w:rsidRPr="00CA1A43">
        <w:rPr>
          <w:rFonts w:eastAsia="標楷體" w:cstheme="minorHAnsi"/>
          <w:szCs w:val="24"/>
        </w:rPr>
        <w:t>值變動的估計。風險因子可以是權益證券或商品的價格，或是利率、信用價差或匯率的變動。</w:t>
      </w:r>
    </w:p>
    <w:p w14:paraId="22A7A2D2" w14:textId="77777777" w:rsidR="00955118" w:rsidRPr="00CA1A43" w:rsidRDefault="00955118"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Vega</w:t>
      </w:r>
      <w:r w:rsidRPr="00CA1A43">
        <w:rPr>
          <w:rFonts w:eastAsia="標楷體" w:cstheme="minorHAnsi"/>
          <w:szCs w:val="24"/>
        </w:rPr>
        <w:t>風險</w:t>
      </w:r>
      <w:r w:rsidRPr="00CA1A43">
        <w:rPr>
          <w:rFonts w:eastAsia="標楷體" w:cstheme="minorHAnsi"/>
          <w:szCs w:val="24"/>
        </w:rPr>
        <w:t>(Vega risk)</w:t>
      </w:r>
      <w:r w:rsidRPr="00CA1A43">
        <w:rPr>
          <w:rFonts w:eastAsia="標楷體" w:cstheme="minorHAnsi"/>
          <w:szCs w:val="24"/>
        </w:rPr>
        <w:t>：因標的資產之隱含波動率變化，使得衍生性金融商品價值變動所產生的潛在損失。</w:t>
      </w:r>
    </w:p>
    <w:p w14:paraId="141E1880" w14:textId="0EAB2CC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Curvature</w:t>
      </w:r>
      <w:r w:rsidRPr="00CA1A43">
        <w:rPr>
          <w:rFonts w:eastAsia="標楷體" w:cstheme="minorHAnsi"/>
          <w:szCs w:val="24"/>
        </w:rPr>
        <w:t>風險</w:t>
      </w:r>
      <w:r w:rsidRPr="00CA1A43">
        <w:rPr>
          <w:rFonts w:eastAsia="標楷體" w:cstheme="minorHAnsi"/>
          <w:szCs w:val="24"/>
        </w:rPr>
        <w:t>(Curvature risk)</w:t>
      </w:r>
      <w:r w:rsidRPr="00CA1A43">
        <w:rPr>
          <w:rFonts w:eastAsia="標楷體" w:cstheme="minorHAnsi"/>
          <w:szCs w:val="24"/>
        </w:rPr>
        <w:t>：具選擇權性質</w:t>
      </w:r>
      <w:r w:rsidRPr="00FC3B66">
        <w:rPr>
          <w:rFonts w:eastAsia="標楷體" w:cstheme="minorHAnsi"/>
          <w:szCs w:val="24"/>
        </w:rPr>
        <w:t>的</w:t>
      </w:r>
      <w:r w:rsidR="009653EE" w:rsidRPr="00FC3B66">
        <w:rPr>
          <w:rFonts w:eastAsia="標楷體" w:cstheme="minorHAnsi"/>
          <w:szCs w:val="24"/>
        </w:rPr>
        <w:t>金融工具</w:t>
      </w:r>
      <w:r w:rsidRPr="00FC3B66">
        <w:rPr>
          <w:rFonts w:eastAsia="標楷體" w:cstheme="minorHAnsi"/>
          <w:szCs w:val="24"/>
        </w:rPr>
        <w:t>之</w:t>
      </w:r>
      <w:r w:rsidRPr="00CA1A43">
        <w:rPr>
          <w:rFonts w:eastAsia="標楷體" w:cstheme="minorHAnsi"/>
          <w:szCs w:val="24"/>
        </w:rPr>
        <w:t>風險因子變動，產生</w:t>
      </w:r>
      <w:r w:rsidRPr="00CA1A43">
        <w:rPr>
          <w:rFonts w:eastAsia="標楷體" w:cstheme="minorHAnsi"/>
          <w:szCs w:val="24"/>
        </w:rPr>
        <w:t>Delta</w:t>
      </w:r>
      <w:r w:rsidRPr="00CA1A43">
        <w:rPr>
          <w:rFonts w:eastAsia="標楷體" w:cstheme="minorHAnsi"/>
          <w:szCs w:val="24"/>
        </w:rPr>
        <w:t>風險無法估算的額外潛在損失。在市場風險標準法架構下，基於對每一法定風險因子的向上衝擊與向下衝擊二種壓力情境。</w:t>
      </w:r>
    </w:p>
    <w:p w14:paraId="619EA18B" w14:textId="42F8F7D0"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風險值</w:t>
      </w:r>
      <w:r w:rsidRPr="00CA1A43">
        <w:rPr>
          <w:rFonts w:eastAsia="標楷體" w:cstheme="minorHAnsi"/>
          <w:szCs w:val="24"/>
        </w:rPr>
        <w:t xml:space="preserve">(Value at risk, </w:t>
      </w:r>
      <w:proofErr w:type="spellStart"/>
      <w:r w:rsidRPr="00CA1A43">
        <w:rPr>
          <w:rFonts w:eastAsia="標楷體" w:cstheme="minorHAnsi"/>
          <w:szCs w:val="24"/>
        </w:rPr>
        <w:t>VaR</w:t>
      </w:r>
      <w:proofErr w:type="spellEnd"/>
      <w:r w:rsidRPr="00CA1A43">
        <w:rPr>
          <w:rFonts w:eastAsia="標楷體" w:cstheme="minorHAnsi"/>
          <w:szCs w:val="24"/>
        </w:rPr>
        <w:t>)</w:t>
      </w:r>
      <w:r w:rsidRPr="00CA1A43">
        <w:rPr>
          <w:rFonts w:eastAsia="標楷體" w:cstheme="minorHAnsi"/>
          <w:szCs w:val="24"/>
        </w:rPr>
        <w:t>：在特定期間及預先定義的信賴水準下，衡量</w:t>
      </w:r>
      <w:r w:rsidR="009653EE" w:rsidRPr="00FC3B66">
        <w:rPr>
          <w:rFonts w:eastAsia="標楷體" w:cstheme="minorHAnsi"/>
          <w:szCs w:val="24"/>
        </w:rPr>
        <w:t>工具</w:t>
      </w:r>
      <w:r w:rsidRPr="00FC3B66">
        <w:rPr>
          <w:rFonts w:eastAsia="標楷體" w:cstheme="minorHAnsi"/>
          <w:szCs w:val="24"/>
        </w:rPr>
        <w:t>投</w:t>
      </w:r>
      <w:r w:rsidRPr="00CA1A43">
        <w:rPr>
          <w:rFonts w:eastAsia="標楷體" w:cstheme="minorHAnsi"/>
          <w:szCs w:val="24"/>
        </w:rPr>
        <w:t>資組合因市場變動產生之預期最大損失。</w:t>
      </w:r>
    </w:p>
    <w:p w14:paraId="1DA8306F"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預期短缺</w:t>
      </w:r>
      <w:r w:rsidRPr="00CA1A43">
        <w:rPr>
          <w:rFonts w:eastAsia="標楷體" w:cstheme="minorHAnsi"/>
          <w:szCs w:val="24"/>
        </w:rPr>
        <w:t>(Expected shortfall, ES)</w:t>
      </w:r>
      <w:r w:rsidRPr="00CA1A43">
        <w:rPr>
          <w:rFonts w:eastAsia="標楷體" w:cstheme="minorHAnsi"/>
          <w:szCs w:val="24"/>
        </w:rPr>
        <w:t>：在特定信賴水準下，衡量超出風險值之所有潛在損失的平均值。</w:t>
      </w:r>
    </w:p>
    <w:p w14:paraId="5856CB1E"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瞬間違約</w:t>
      </w:r>
      <w:r w:rsidRPr="00CA1A43">
        <w:rPr>
          <w:rFonts w:eastAsia="標楷體" w:cstheme="minorHAnsi"/>
          <w:szCs w:val="24"/>
        </w:rPr>
        <w:t>(Jump-to-default, JTD)</w:t>
      </w:r>
      <w:r w:rsidRPr="00CA1A43">
        <w:rPr>
          <w:rFonts w:eastAsia="標楷體" w:cstheme="minorHAnsi"/>
          <w:szCs w:val="24"/>
        </w:rPr>
        <w:t>：突然違約的風險。瞬間違約</w:t>
      </w:r>
      <w:proofErr w:type="gramStart"/>
      <w:r w:rsidRPr="00CA1A43">
        <w:rPr>
          <w:rFonts w:eastAsia="標楷體" w:cstheme="minorHAnsi"/>
          <w:szCs w:val="24"/>
        </w:rPr>
        <w:t>暴險係</w:t>
      </w:r>
      <w:proofErr w:type="gramEnd"/>
      <w:r w:rsidRPr="00CA1A43">
        <w:rPr>
          <w:rFonts w:eastAsia="標楷體" w:cstheme="minorHAnsi"/>
          <w:szCs w:val="24"/>
        </w:rPr>
        <w:t>指由於瞬間違約事件造成的潛在損失。</w:t>
      </w:r>
    </w:p>
    <w:p w14:paraId="14BB31F7"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變現</w:t>
      </w:r>
      <w:proofErr w:type="gramStart"/>
      <w:r w:rsidRPr="00CA1A43">
        <w:rPr>
          <w:rFonts w:eastAsia="標楷體" w:cstheme="minorHAnsi"/>
          <w:szCs w:val="24"/>
        </w:rPr>
        <w:t>期間</w:t>
      </w:r>
      <w:r w:rsidRPr="00CA1A43">
        <w:rPr>
          <w:rFonts w:eastAsia="標楷體" w:cstheme="minorHAnsi"/>
          <w:szCs w:val="24"/>
        </w:rPr>
        <w:t>(</w:t>
      </w:r>
      <w:proofErr w:type="gramEnd"/>
      <w:r w:rsidRPr="00CA1A43">
        <w:rPr>
          <w:rFonts w:eastAsia="標楷體" w:cstheme="minorHAnsi"/>
          <w:szCs w:val="24"/>
        </w:rPr>
        <w:t>Liquidity horizon)</w:t>
      </w:r>
      <w:r w:rsidRPr="00CA1A43">
        <w:rPr>
          <w:rFonts w:eastAsia="標楷體" w:cstheme="minorHAnsi"/>
          <w:szCs w:val="24"/>
        </w:rPr>
        <w:t>：</w:t>
      </w:r>
      <w:proofErr w:type="gramStart"/>
      <w:r w:rsidRPr="00CA1A43">
        <w:rPr>
          <w:rFonts w:eastAsia="標楷體" w:cstheme="minorHAnsi"/>
          <w:szCs w:val="24"/>
        </w:rPr>
        <w:t>市場承壓狀況</w:t>
      </w:r>
      <w:proofErr w:type="gramEnd"/>
      <w:r w:rsidRPr="00CA1A43">
        <w:rPr>
          <w:rFonts w:eastAsia="標楷體" w:cstheme="minorHAnsi"/>
          <w:szCs w:val="24"/>
        </w:rPr>
        <w:t>下，假設需要出清或規避風險部位但不重大影響市場價格下所需的時間。</w:t>
      </w:r>
    </w:p>
    <w:p w14:paraId="6C789211" w14:textId="036BDDDF"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proofErr w:type="gramStart"/>
      <w:r w:rsidRPr="00CA1A43">
        <w:rPr>
          <w:rFonts w:eastAsia="標楷體" w:cstheme="minorHAnsi"/>
          <w:szCs w:val="24"/>
        </w:rPr>
        <w:t>基差風險</w:t>
      </w:r>
      <w:proofErr w:type="gramEnd"/>
      <w:r w:rsidRPr="00CA1A43">
        <w:rPr>
          <w:rFonts w:eastAsia="標楷體" w:cstheme="minorHAnsi"/>
          <w:szCs w:val="24"/>
        </w:rPr>
        <w:t>(Basis risk)</w:t>
      </w:r>
      <w:r w:rsidRPr="00CA1A43">
        <w:rPr>
          <w:rFonts w:eastAsia="標楷體" w:cstheme="minorHAnsi"/>
          <w:szCs w:val="24"/>
        </w:rPr>
        <w:t>：避險策略中，因</w:t>
      </w:r>
      <w:r w:rsidR="009653EE" w:rsidRPr="00FC3B66">
        <w:rPr>
          <w:rFonts w:eastAsia="標楷體" w:cstheme="minorHAnsi"/>
        </w:rPr>
        <w:t>金融工具</w:t>
      </w:r>
      <w:r w:rsidRPr="00FC3B66">
        <w:rPr>
          <w:rFonts w:eastAsia="標楷體" w:cstheme="minorHAnsi"/>
          <w:szCs w:val="24"/>
        </w:rPr>
        <w:t>價</w:t>
      </w:r>
      <w:r w:rsidRPr="00CA1A43">
        <w:rPr>
          <w:rFonts w:eastAsia="標楷體" w:cstheme="minorHAnsi"/>
          <w:szCs w:val="24"/>
        </w:rPr>
        <w:t>格非完全相關，導致避險策略有效性降低之風險。</w:t>
      </w:r>
    </w:p>
    <w:p w14:paraId="68887F00" w14:textId="7DAFC07A"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分散性</w:t>
      </w:r>
      <w:r w:rsidRPr="00CA1A43">
        <w:rPr>
          <w:rFonts w:eastAsia="標楷體" w:cstheme="minorHAnsi"/>
          <w:szCs w:val="24"/>
        </w:rPr>
        <w:t>(Diversification)</w:t>
      </w:r>
      <w:r w:rsidRPr="00CA1A43">
        <w:rPr>
          <w:rFonts w:eastAsia="標楷體" w:cstheme="minorHAnsi"/>
          <w:szCs w:val="24"/>
        </w:rPr>
        <w:t>：藉由持有非完全相關之不同</w:t>
      </w:r>
      <w:r w:rsidR="009653EE" w:rsidRPr="00FC3B66">
        <w:rPr>
          <w:rFonts w:eastAsia="標楷體" w:cstheme="minorHAnsi"/>
          <w:szCs w:val="24"/>
        </w:rPr>
        <w:t>工具</w:t>
      </w:r>
      <w:r w:rsidRPr="00CA1A43">
        <w:rPr>
          <w:rFonts w:eastAsia="標楷體" w:cstheme="minorHAnsi"/>
          <w:szCs w:val="24"/>
        </w:rPr>
        <w:t>風險部位，使投資組合之風險降低。</w:t>
      </w:r>
    </w:p>
    <w:p w14:paraId="577D0155" w14:textId="7403E1C9"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避險</w:t>
      </w:r>
      <w:r w:rsidRPr="00CA1A43">
        <w:rPr>
          <w:rFonts w:eastAsia="標楷體" w:cstheme="minorHAnsi"/>
          <w:szCs w:val="24"/>
        </w:rPr>
        <w:t>(Hedge)</w:t>
      </w:r>
      <w:r w:rsidRPr="00CA1A43">
        <w:rPr>
          <w:rFonts w:eastAsia="標楷體" w:cstheme="minorHAnsi"/>
          <w:szCs w:val="24"/>
        </w:rPr>
        <w:t>：藉由持有具相關性之</w:t>
      </w:r>
      <w:r w:rsidR="009653EE" w:rsidRPr="00FC3B66">
        <w:rPr>
          <w:rFonts w:eastAsia="標楷體" w:cstheme="minorHAnsi"/>
          <w:szCs w:val="24"/>
        </w:rPr>
        <w:t>工具</w:t>
      </w:r>
      <w:r w:rsidRPr="00FC3B66">
        <w:rPr>
          <w:rFonts w:eastAsia="標楷體" w:cstheme="minorHAnsi"/>
          <w:szCs w:val="24"/>
        </w:rPr>
        <w:t>的</w:t>
      </w:r>
      <w:r w:rsidRPr="00CA1A43">
        <w:rPr>
          <w:rFonts w:eastAsia="標楷體" w:cstheme="minorHAnsi"/>
          <w:szCs w:val="24"/>
        </w:rPr>
        <w:t>長、短</w:t>
      </w:r>
      <w:proofErr w:type="gramStart"/>
      <w:r w:rsidRPr="00CA1A43">
        <w:rPr>
          <w:rFonts w:eastAsia="標楷體" w:cstheme="minorHAnsi"/>
          <w:szCs w:val="24"/>
        </w:rPr>
        <w:t>部位暴險</w:t>
      </w:r>
      <w:proofErr w:type="gramEnd"/>
      <w:r w:rsidRPr="00CA1A43">
        <w:rPr>
          <w:rFonts w:eastAsia="標楷體" w:cstheme="minorHAnsi"/>
          <w:szCs w:val="24"/>
        </w:rPr>
        <w:t>，以對沖風險。</w:t>
      </w:r>
    </w:p>
    <w:p w14:paraId="71A90E04"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抵銷</w:t>
      </w:r>
      <w:r w:rsidRPr="00CA1A43">
        <w:rPr>
          <w:rFonts w:eastAsia="標楷體" w:cstheme="minorHAnsi"/>
          <w:szCs w:val="24"/>
        </w:rPr>
        <w:t>(Offset)</w:t>
      </w:r>
      <w:r w:rsidRPr="00CA1A43">
        <w:rPr>
          <w:rFonts w:eastAsia="標楷體" w:cstheme="minorHAnsi"/>
          <w:szCs w:val="24"/>
        </w:rPr>
        <w:t>：相同風險因子長及短</w:t>
      </w:r>
      <w:proofErr w:type="gramStart"/>
      <w:r w:rsidRPr="00CA1A43">
        <w:rPr>
          <w:rFonts w:eastAsia="標楷體" w:cstheme="minorHAnsi"/>
          <w:szCs w:val="24"/>
        </w:rPr>
        <w:t>部位暴險之</w:t>
      </w:r>
      <w:proofErr w:type="gramEnd"/>
      <w:r w:rsidRPr="00CA1A43">
        <w:rPr>
          <w:rFonts w:eastAsia="標楷體" w:cstheme="minorHAnsi"/>
          <w:szCs w:val="24"/>
        </w:rPr>
        <w:t>風險互抵的過程。</w:t>
      </w:r>
    </w:p>
    <w:p w14:paraId="7D8B9E1E"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個別獨立</w:t>
      </w:r>
      <w:r w:rsidRPr="00CA1A43">
        <w:rPr>
          <w:rFonts w:eastAsia="標楷體" w:cstheme="minorHAnsi"/>
          <w:szCs w:val="24"/>
        </w:rPr>
        <w:t>(Standalone)</w:t>
      </w:r>
      <w:r w:rsidRPr="00CA1A43">
        <w:rPr>
          <w:rFonts w:eastAsia="標楷體" w:cstheme="minorHAnsi"/>
          <w:szCs w:val="24"/>
        </w:rPr>
        <w:t>：以個別獨立之基礎計提資本，係指風險部位以一</w:t>
      </w:r>
      <w:r w:rsidRPr="00CA1A43">
        <w:rPr>
          <w:rFonts w:eastAsia="標楷體" w:cstheme="minorHAnsi"/>
          <w:szCs w:val="24"/>
        </w:rPr>
        <w:lastRenderedPageBreak/>
        <w:t>非連續、不可分散的交易</w:t>
      </w:r>
      <w:proofErr w:type="gramStart"/>
      <w:r w:rsidRPr="00CA1A43">
        <w:rPr>
          <w:rFonts w:eastAsia="標楷體" w:cstheme="minorHAnsi"/>
          <w:szCs w:val="24"/>
        </w:rPr>
        <w:t>簿</w:t>
      </w:r>
      <w:proofErr w:type="gramEnd"/>
      <w:r w:rsidRPr="00CA1A43">
        <w:rPr>
          <w:rFonts w:eastAsia="標楷體" w:cstheme="minorHAnsi"/>
          <w:szCs w:val="24"/>
        </w:rPr>
        <w:t>投資組合方式認列，這些風險部位本身與其相關之風險皆無法被其他部位分散、避險或抵銷。</w:t>
      </w:r>
    </w:p>
    <w:p w14:paraId="703DF00A"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實際價格</w:t>
      </w:r>
      <w:r w:rsidRPr="00CA1A43">
        <w:rPr>
          <w:rFonts w:eastAsia="標楷體" w:cstheme="minorHAnsi"/>
          <w:szCs w:val="24"/>
        </w:rPr>
        <w:t>(Real prices)</w:t>
      </w:r>
      <w:r w:rsidRPr="00CA1A43">
        <w:rPr>
          <w:rFonts w:eastAsia="標楷體" w:cstheme="minorHAnsi"/>
          <w:szCs w:val="24"/>
        </w:rPr>
        <w:t>：用來評估風險因子是否通過風險因子合格測試，須為下列三者之</w:t>
      </w:r>
      <w:proofErr w:type="gramStart"/>
      <w:r w:rsidRPr="00CA1A43">
        <w:rPr>
          <w:rFonts w:eastAsia="標楷體" w:cstheme="minorHAnsi"/>
          <w:szCs w:val="24"/>
        </w:rPr>
        <w:t>一</w:t>
      </w:r>
      <w:proofErr w:type="gramEnd"/>
      <w:r w:rsidRPr="00CA1A43">
        <w:rPr>
          <w:rFonts w:eastAsia="標楷體" w:cstheme="minorHAnsi"/>
          <w:szCs w:val="24"/>
        </w:rPr>
        <w:t>(</w:t>
      </w:r>
      <w:proofErr w:type="spellStart"/>
      <w:r w:rsidRPr="00CA1A43">
        <w:rPr>
          <w:rFonts w:eastAsia="標楷體" w:cstheme="minorHAnsi"/>
          <w:szCs w:val="24"/>
        </w:rPr>
        <w:t>i</w:t>
      </w:r>
      <w:proofErr w:type="spellEnd"/>
      <w:r w:rsidRPr="00CA1A43">
        <w:rPr>
          <w:rFonts w:eastAsia="標楷體" w:cstheme="minorHAnsi"/>
          <w:szCs w:val="24"/>
        </w:rPr>
        <w:t>)</w:t>
      </w:r>
      <w:r w:rsidRPr="00CA1A43">
        <w:rPr>
          <w:rFonts w:eastAsia="標楷體" w:cstheme="minorHAnsi"/>
          <w:szCs w:val="24"/>
        </w:rPr>
        <w:t>該銀行</w:t>
      </w:r>
      <w:proofErr w:type="gramStart"/>
      <w:r w:rsidRPr="00CA1A43">
        <w:rPr>
          <w:rFonts w:eastAsia="標楷體" w:cstheme="minorHAnsi"/>
          <w:szCs w:val="24"/>
        </w:rPr>
        <w:t>承作</w:t>
      </w:r>
      <w:proofErr w:type="gramEnd"/>
      <w:r w:rsidRPr="00CA1A43">
        <w:rPr>
          <w:rFonts w:eastAsia="標楷體" w:cstheme="minorHAnsi"/>
          <w:szCs w:val="24"/>
        </w:rPr>
        <w:t>交易的實際成交價、</w:t>
      </w:r>
      <w:r w:rsidRPr="00CA1A43">
        <w:rPr>
          <w:rFonts w:eastAsia="標楷體" w:cstheme="minorHAnsi"/>
          <w:szCs w:val="24"/>
        </w:rPr>
        <w:t>(ii)</w:t>
      </w:r>
      <w:r w:rsidRPr="00CA1A43">
        <w:rPr>
          <w:rFonts w:eastAsia="標楷體" w:cstheme="minorHAnsi"/>
          <w:szCs w:val="24"/>
        </w:rPr>
        <w:t>其他公平交易對手</w:t>
      </w:r>
      <w:r w:rsidRPr="00CA1A43">
        <w:rPr>
          <w:rFonts w:eastAsia="標楷體" w:cstheme="minorHAnsi"/>
          <w:szCs w:val="24"/>
        </w:rPr>
        <w:t>(</w:t>
      </w:r>
      <w:r w:rsidRPr="00CA1A43">
        <w:rPr>
          <w:rFonts w:eastAsia="標楷體" w:cstheme="minorHAnsi"/>
          <w:szCs w:val="24"/>
        </w:rPr>
        <w:t>例如交易所</w:t>
      </w:r>
      <w:r w:rsidRPr="00CA1A43">
        <w:rPr>
          <w:rFonts w:eastAsia="標楷體" w:cstheme="minorHAnsi"/>
          <w:szCs w:val="24"/>
        </w:rPr>
        <w:t>)</w:t>
      </w:r>
      <w:proofErr w:type="gramStart"/>
      <w:r w:rsidRPr="00CA1A43">
        <w:rPr>
          <w:rFonts w:eastAsia="標楷體" w:cstheme="minorHAnsi"/>
          <w:szCs w:val="24"/>
        </w:rPr>
        <w:t>間的實際</w:t>
      </w:r>
      <w:proofErr w:type="gramEnd"/>
      <w:r w:rsidRPr="00CA1A43">
        <w:rPr>
          <w:rFonts w:eastAsia="標楷體" w:cstheme="minorHAnsi"/>
          <w:szCs w:val="24"/>
        </w:rPr>
        <w:t>成交價或</w:t>
      </w:r>
      <w:r w:rsidRPr="00CA1A43">
        <w:rPr>
          <w:rFonts w:eastAsia="標楷體" w:cstheme="minorHAnsi"/>
          <w:szCs w:val="24"/>
        </w:rPr>
        <w:t>(iii)</w:t>
      </w:r>
      <w:r w:rsidRPr="00CA1A43">
        <w:rPr>
          <w:rFonts w:eastAsia="標楷體" w:cstheme="minorHAnsi"/>
          <w:szCs w:val="24"/>
        </w:rPr>
        <w:t>交易對手報價</w:t>
      </w:r>
      <w:r w:rsidRPr="00CA1A43">
        <w:rPr>
          <w:rFonts w:eastAsia="標楷體" w:cstheme="minorHAnsi"/>
          <w:szCs w:val="24"/>
        </w:rPr>
        <w:t>(</w:t>
      </w:r>
      <w:r w:rsidRPr="00CA1A43">
        <w:rPr>
          <w:rFonts w:eastAsia="標楷體" w:cstheme="minorHAnsi"/>
          <w:szCs w:val="24"/>
        </w:rPr>
        <w:t>銀行可依此價格與公平交易對手進行交易</w:t>
      </w:r>
      <w:r w:rsidRPr="00CA1A43">
        <w:rPr>
          <w:rFonts w:eastAsia="標楷體" w:cstheme="minorHAnsi"/>
          <w:szCs w:val="24"/>
        </w:rPr>
        <w:t>)</w:t>
      </w:r>
      <w:r w:rsidRPr="00CA1A43">
        <w:rPr>
          <w:rFonts w:eastAsia="標楷體" w:cstheme="minorHAnsi"/>
          <w:szCs w:val="24"/>
        </w:rPr>
        <w:t>。</w:t>
      </w:r>
    </w:p>
    <w:p w14:paraId="132E9550"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可模型化風險因子</w:t>
      </w:r>
      <w:r w:rsidRPr="00CA1A43">
        <w:rPr>
          <w:rFonts w:eastAsia="標楷體" w:cstheme="minorHAnsi"/>
          <w:szCs w:val="24"/>
        </w:rPr>
        <w:t>(Modellable risk factor)</w:t>
      </w:r>
      <w:r w:rsidRPr="00CA1A43">
        <w:rPr>
          <w:rFonts w:eastAsia="標楷體" w:cstheme="minorHAnsi"/>
          <w:szCs w:val="24"/>
        </w:rPr>
        <w:t>：該風險因子符合具代表性實際價格觀察值的數量要求與用於校準預期短缺</w:t>
      </w:r>
      <w:r w:rsidRPr="00CA1A43">
        <w:rPr>
          <w:rFonts w:eastAsia="標楷體" w:cstheme="minorHAnsi"/>
          <w:szCs w:val="24"/>
        </w:rPr>
        <w:t>(ES)</w:t>
      </w:r>
      <w:r w:rsidRPr="00CA1A43">
        <w:rPr>
          <w:rFonts w:eastAsia="標楷體" w:cstheme="minorHAnsi"/>
          <w:szCs w:val="24"/>
        </w:rPr>
        <w:t>模型的數據相關之附加質化原則。未通過風險因子合格檢定之風險因子將被視為不可模型化風險因子</w:t>
      </w:r>
      <w:r w:rsidRPr="00CA1A43">
        <w:rPr>
          <w:rFonts w:eastAsia="標楷體" w:cstheme="minorHAnsi"/>
          <w:szCs w:val="24"/>
        </w:rPr>
        <w:t>(NMRF)</w:t>
      </w:r>
      <w:r w:rsidRPr="00CA1A43">
        <w:rPr>
          <w:rFonts w:eastAsia="標楷體" w:cstheme="minorHAnsi"/>
          <w:szCs w:val="24"/>
        </w:rPr>
        <w:t>。</w:t>
      </w:r>
    </w:p>
    <w:p w14:paraId="7D22E444"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回溯測試</w:t>
      </w:r>
      <w:r w:rsidRPr="00CA1A43">
        <w:rPr>
          <w:rFonts w:eastAsia="標楷體" w:cstheme="minorHAnsi"/>
          <w:szCs w:val="24"/>
        </w:rPr>
        <w:t>(</w:t>
      </w:r>
      <w:proofErr w:type="spellStart"/>
      <w:r w:rsidRPr="00CA1A43">
        <w:rPr>
          <w:rFonts w:eastAsia="標楷體" w:cstheme="minorHAnsi"/>
          <w:szCs w:val="24"/>
        </w:rPr>
        <w:t>Backtesting</w:t>
      </w:r>
      <w:proofErr w:type="spellEnd"/>
      <w:r w:rsidRPr="00CA1A43">
        <w:rPr>
          <w:rFonts w:eastAsia="標楷體" w:cstheme="minorHAnsi"/>
          <w:szCs w:val="24"/>
        </w:rPr>
        <w:t>)</w:t>
      </w:r>
      <w:r w:rsidRPr="00CA1A43">
        <w:rPr>
          <w:rFonts w:eastAsia="標楷體" w:cstheme="minorHAnsi"/>
          <w:szCs w:val="24"/>
        </w:rPr>
        <w:t>：透過比較每日實際損益及假設損益與模型計算出的風險值，以評估風險衡量系統穩健性的過程。</w:t>
      </w:r>
    </w:p>
    <w:p w14:paraId="3E9C0C79"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損益歸因</w:t>
      </w:r>
      <w:r w:rsidRPr="00CA1A43">
        <w:rPr>
          <w:rFonts w:eastAsia="標楷體" w:cstheme="minorHAnsi"/>
          <w:szCs w:val="24"/>
        </w:rPr>
        <w:t>(Profit and loss, P&amp;L; Profit and loss attribution, PLA)</w:t>
      </w:r>
      <w:r w:rsidRPr="00CA1A43">
        <w:rPr>
          <w:rFonts w:eastAsia="標楷體" w:cstheme="minorHAnsi"/>
          <w:szCs w:val="24"/>
        </w:rPr>
        <w:t>：透過比較交易台風險管理模型推算的理論損益與假設損益間差異，以評估銀行風險管理模型穩健性的方法。</w:t>
      </w:r>
    </w:p>
    <w:p w14:paraId="03975CE5"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交易台風險管理模型</w:t>
      </w:r>
      <w:r w:rsidRPr="00CA1A43">
        <w:rPr>
          <w:rFonts w:eastAsia="標楷體" w:cstheme="minorHAnsi"/>
          <w:szCs w:val="24"/>
        </w:rPr>
        <w:t>(Trading desk risk management model)</w:t>
      </w:r>
      <w:r w:rsidRPr="00CA1A43">
        <w:rPr>
          <w:rFonts w:eastAsia="標楷體" w:cstheme="minorHAnsi"/>
          <w:szCs w:val="24"/>
        </w:rPr>
        <w:t>：交易台風險管理模型</w:t>
      </w:r>
      <w:r w:rsidRPr="00CA1A43">
        <w:rPr>
          <w:rFonts w:eastAsia="標楷體" w:cstheme="minorHAnsi"/>
          <w:szCs w:val="24"/>
        </w:rPr>
        <w:t>(</w:t>
      </w:r>
      <w:r w:rsidRPr="00CA1A43">
        <w:rPr>
          <w:rFonts w:eastAsia="標楷體" w:cstheme="minorHAnsi"/>
          <w:szCs w:val="24"/>
        </w:rPr>
        <w:t>有關範圍內之交易台</w:t>
      </w:r>
      <w:r w:rsidRPr="00CA1A43">
        <w:rPr>
          <w:rFonts w:eastAsia="標楷體" w:cstheme="minorHAnsi"/>
          <w:szCs w:val="24"/>
        </w:rPr>
        <w:t>)</w:t>
      </w:r>
      <w:r w:rsidRPr="00CA1A43">
        <w:rPr>
          <w:rFonts w:eastAsia="標楷體" w:cstheme="minorHAnsi"/>
          <w:szCs w:val="24"/>
        </w:rPr>
        <w:t>包括銀行使用監管參數預期短缺</w:t>
      </w:r>
      <w:r w:rsidRPr="00CA1A43">
        <w:rPr>
          <w:rFonts w:eastAsia="標楷體" w:cstheme="minorHAnsi"/>
          <w:szCs w:val="24"/>
        </w:rPr>
        <w:t>(ES)</w:t>
      </w:r>
      <w:r w:rsidRPr="00CA1A43">
        <w:rPr>
          <w:rFonts w:eastAsia="標楷體" w:cstheme="minorHAnsi"/>
          <w:szCs w:val="24"/>
        </w:rPr>
        <w:t>模型中所涵蓋的所有風險因子，及任何被視為不可模型化的風險因子。</w:t>
      </w:r>
    </w:p>
    <w:p w14:paraId="60D375FC"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假設損益</w:t>
      </w:r>
      <w:r w:rsidRPr="00CA1A43">
        <w:rPr>
          <w:rFonts w:eastAsia="標楷體" w:cstheme="minorHAnsi"/>
          <w:szCs w:val="24"/>
        </w:rPr>
        <w:t>(Hypothetical P&amp;L, HPL)</w:t>
      </w:r>
      <w:r w:rsidRPr="00CA1A43">
        <w:rPr>
          <w:rFonts w:eastAsia="標楷體" w:cstheme="minorHAnsi"/>
          <w:szCs w:val="24"/>
        </w:rPr>
        <w:t>：前一</w:t>
      </w:r>
      <w:proofErr w:type="gramStart"/>
      <w:r w:rsidRPr="00CA1A43">
        <w:rPr>
          <w:rFonts w:eastAsia="標楷體" w:cstheme="minorHAnsi"/>
          <w:szCs w:val="24"/>
        </w:rPr>
        <w:t>日日終</w:t>
      </w:r>
      <w:proofErr w:type="gramEnd"/>
      <w:r w:rsidRPr="00CA1A43">
        <w:rPr>
          <w:rFonts w:eastAsia="標楷體" w:cstheme="minorHAnsi"/>
          <w:szCs w:val="24"/>
        </w:rPr>
        <w:t>部位使用當日</w:t>
      </w:r>
      <w:proofErr w:type="gramStart"/>
      <w:r w:rsidRPr="00CA1A43">
        <w:rPr>
          <w:rFonts w:eastAsia="標楷體" w:cstheme="minorHAnsi"/>
          <w:szCs w:val="24"/>
        </w:rPr>
        <w:t>日</w:t>
      </w:r>
      <w:proofErr w:type="gramEnd"/>
      <w:r w:rsidRPr="00CA1A43">
        <w:rPr>
          <w:rFonts w:eastAsia="標楷體" w:cstheme="minorHAnsi"/>
          <w:szCs w:val="24"/>
        </w:rPr>
        <w:t>終市場數據重新評價計算出的每日損益，其須排除佣金、費用、日中交易、當日新</w:t>
      </w:r>
      <w:proofErr w:type="gramStart"/>
      <w:r w:rsidRPr="00CA1A43">
        <w:rPr>
          <w:rFonts w:eastAsia="標楷體" w:cstheme="minorHAnsi"/>
          <w:szCs w:val="24"/>
        </w:rPr>
        <w:t>承作</w:t>
      </w:r>
      <w:proofErr w:type="gramEnd"/>
      <w:r w:rsidRPr="00CA1A43">
        <w:rPr>
          <w:rFonts w:eastAsia="標楷體" w:cstheme="minorHAnsi"/>
          <w:szCs w:val="24"/>
        </w:rPr>
        <w:t>或修正交易，及已依另行規定的法定資本方法計提或從普通股權益第一類資本中扣除之評價調整。每日更新的評價調整通常應包含在假設損益中。時間效應</w:t>
      </w:r>
      <w:proofErr w:type="gramStart"/>
      <w:r w:rsidRPr="00CA1A43">
        <w:rPr>
          <w:rFonts w:eastAsia="標楷體" w:cstheme="minorHAnsi"/>
          <w:szCs w:val="24"/>
        </w:rPr>
        <w:t>應</w:t>
      </w:r>
      <w:proofErr w:type="gramEnd"/>
      <w:r w:rsidRPr="00CA1A43">
        <w:rPr>
          <w:rFonts w:eastAsia="標楷體" w:cstheme="minorHAnsi"/>
          <w:szCs w:val="24"/>
        </w:rPr>
        <w:t>在假設損益與風險理論損益中以一致的方式處理。</w:t>
      </w:r>
    </w:p>
    <w:p w14:paraId="2B62389D"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實際損益</w:t>
      </w:r>
      <w:r w:rsidRPr="00CA1A43">
        <w:rPr>
          <w:rFonts w:eastAsia="標楷體" w:cstheme="minorHAnsi"/>
          <w:szCs w:val="24"/>
        </w:rPr>
        <w:t>(Actual P&amp;L, APL)</w:t>
      </w:r>
      <w:r w:rsidRPr="00CA1A43">
        <w:rPr>
          <w:rFonts w:eastAsia="標楷體" w:cstheme="minorHAnsi"/>
          <w:szCs w:val="24"/>
        </w:rPr>
        <w:t>：實際損益係衍生自每日損益過程。其包含日中交易、當日新</w:t>
      </w:r>
      <w:proofErr w:type="gramStart"/>
      <w:r w:rsidRPr="00CA1A43">
        <w:rPr>
          <w:rFonts w:eastAsia="標楷體" w:cstheme="minorHAnsi"/>
          <w:szCs w:val="24"/>
        </w:rPr>
        <w:t>承作</w:t>
      </w:r>
      <w:proofErr w:type="gramEnd"/>
      <w:r w:rsidRPr="00CA1A43">
        <w:rPr>
          <w:rFonts w:eastAsia="標楷體" w:cstheme="minorHAnsi"/>
          <w:szCs w:val="24"/>
        </w:rPr>
        <w:t>或修正交易、時間效應，但不包含費用、佣金以及已依另行規定的法定資本方法計提或從普通股權益第一類資本中扣除之評價調整。實際損益需包含任何與市場風險相關的其他評價調整。與假設損益一樣，實際損益應該包括銀行</w:t>
      </w:r>
      <w:proofErr w:type="gramStart"/>
      <w:r w:rsidRPr="00CA1A43">
        <w:rPr>
          <w:rFonts w:eastAsia="標楷體" w:cstheme="minorHAnsi"/>
          <w:szCs w:val="24"/>
        </w:rPr>
        <w:t>簿</w:t>
      </w:r>
      <w:proofErr w:type="gramEnd"/>
      <w:r w:rsidRPr="00CA1A43">
        <w:rPr>
          <w:rFonts w:eastAsia="標楷體" w:cstheme="minorHAnsi"/>
          <w:szCs w:val="24"/>
        </w:rPr>
        <w:t>持有部位之外匯及商品風險。</w:t>
      </w:r>
    </w:p>
    <w:p w14:paraId="7222A05F"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風險理論損益</w:t>
      </w:r>
      <w:r w:rsidRPr="00CA1A43">
        <w:rPr>
          <w:rFonts w:eastAsia="標楷體" w:cstheme="minorHAnsi"/>
          <w:szCs w:val="24"/>
        </w:rPr>
        <w:t>(Risk-theoretical P&amp;L, RTPL)</w:t>
      </w:r>
      <w:r w:rsidRPr="00CA1A43">
        <w:rPr>
          <w:rFonts w:eastAsia="標楷體" w:cstheme="minorHAnsi"/>
          <w:szCs w:val="24"/>
        </w:rPr>
        <w:t>：透過交易台風險管理模型之評價引擎，使用交易台風險模型的所有風險因子</w:t>
      </w:r>
      <w:r w:rsidRPr="00CA1A43">
        <w:rPr>
          <w:rFonts w:eastAsia="標楷體" w:cstheme="minorHAnsi"/>
          <w:szCs w:val="24"/>
        </w:rPr>
        <w:t>(</w:t>
      </w:r>
      <w:r w:rsidRPr="00CA1A43">
        <w:rPr>
          <w:rFonts w:eastAsia="標楷體" w:cstheme="minorHAnsi"/>
          <w:szCs w:val="24"/>
        </w:rPr>
        <w:t>包含不可模型化因子</w:t>
      </w:r>
      <w:r w:rsidRPr="00CA1A43">
        <w:rPr>
          <w:rFonts w:eastAsia="標楷體" w:cstheme="minorHAnsi"/>
          <w:szCs w:val="24"/>
        </w:rPr>
        <w:t>)</w:t>
      </w:r>
      <w:r w:rsidRPr="00CA1A43">
        <w:rPr>
          <w:rFonts w:eastAsia="標楷體" w:cstheme="minorHAnsi"/>
          <w:szCs w:val="24"/>
        </w:rPr>
        <w:t>預測之每日交易台層級損益。</w:t>
      </w:r>
    </w:p>
    <w:p w14:paraId="356F4556"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t>信用評價調整</w:t>
      </w:r>
      <w:r w:rsidRPr="00CA1A43">
        <w:rPr>
          <w:rFonts w:eastAsia="標楷體" w:cstheme="minorHAnsi"/>
          <w:szCs w:val="24"/>
        </w:rPr>
        <w:t>(Credit valuation adjustment, CVA)</w:t>
      </w:r>
      <w:r w:rsidRPr="00CA1A43">
        <w:rPr>
          <w:rFonts w:eastAsia="標楷體" w:cstheme="minorHAnsi"/>
          <w:szCs w:val="24"/>
        </w:rPr>
        <w:t>：考量衍生性金融商品交易之交易對手信用風險的評價調整。</w:t>
      </w:r>
    </w:p>
    <w:p w14:paraId="08C3D295" w14:textId="77777777" w:rsidR="005E286C" w:rsidRPr="00CA1A43" w:rsidRDefault="005E286C" w:rsidP="005066C2">
      <w:pPr>
        <w:pStyle w:val="a7"/>
        <w:numPr>
          <w:ilvl w:val="0"/>
          <w:numId w:val="318"/>
        </w:numPr>
        <w:spacing w:beforeLines="50" w:before="180"/>
        <w:ind w:leftChars="0" w:left="964" w:hanging="482"/>
        <w:jc w:val="both"/>
        <w:rPr>
          <w:rFonts w:eastAsia="標楷體" w:cstheme="minorHAnsi"/>
          <w:szCs w:val="24"/>
        </w:rPr>
      </w:pPr>
      <w:r w:rsidRPr="00CA1A43">
        <w:rPr>
          <w:rFonts w:eastAsia="標楷體" w:cstheme="minorHAnsi"/>
          <w:szCs w:val="24"/>
        </w:rPr>
        <w:lastRenderedPageBreak/>
        <w:t>信用評價調整風險</w:t>
      </w:r>
      <w:r w:rsidRPr="00CA1A43">
        <w:rPr>
          <w:rFonts w:eastAsia="標楷體" w:cstheme="minorHAnsi"/>
          <w:szCs w:val="24"/>
        </w:rPr>
        <w:t>(CVA risk)</w:t>
      </w:r>
      <w:r w:rsidRPr="00CA1A43">
        <w:rPr>
          <w:rFonts w:eastAsia="標楷體" w:cstheme="minorHAnsi"/>
          <w:szCs w:val="24"/>
        </w:rPr>
        <w:t>：因交易對手信用價差改變導致信用評價調整變動的風險，此風險可能另因衍生性金融商品交易之標的資產價值或價值變異性的變動有複合影響。</w:t>
      </w:r>
    </w:p>
    <w:p w14:paraId="5B72458A" w14:textId="77777777" w:rsidR="00F96CDD" w:rsidRPr="00CA1A43" w:rsidRDefault="00F96CDD" w:rsidP="00F96CDD">
      <w:pPr>
        <w:spacing w:beforeLines="50" w:before="180"/>
        <w:jc w:val="both"/>
        <w:rPr>
          <w:rFonts w:eastAsia="標楷體" w:cstheme="minorHAnsi"/>
          <w:szCs w:val="24"/>
        </w:rPr>
      </w:pPr>
    </w:p>
    <w:p w14:paraId="49E2ADCD" w14:textId="77777777" w:rsidR="00F96CDD" w:rsidRPr="00CA1A43" w:rsidRDefault="00F96CDD" w:rsidP="00F96CDD">
      <w:pPr>
        <w:spacing w:beforeLines="50" w:before="180"/>
        <w:jc w:val="both"/>
        <w:rPr>
          <w:rFonts w:eastAsia="標楷體" w:cstheme="minorHAnsi"/>
          <w:szCs w:val="24"/>
        </w:rPr>
      </w:pPr>
    </w:p>
    <w:p w14:paraId="1832762E" w14:textId="77777777" w:rsidR="00F96CDD" w:rsidRPr="00CA1A43" w:rsidRDefault="00F96CDD" w:rsidP="00F96CDD">
      <w:pPr>
        <w:spacing w:beforeLines="50" w:before="180"/>
        <w:jc w:val="both"/>
        <w:rPr>
          <w:rFonts w:eastAsia="標楷體" w:cstheme="minorHAnsi"/>
          <w:szCs w:val="24"/>
        </w:rPr>
      </w:pPr>
    </w:p>
    <w:p w14:paraId="62EC7AFB" w14:textId="77777777" w:rsidR="00F96CDD" w:rsidRPr="00CA1A43" w:rsidRDefault="00F96CDD" w:rsidP="00F96CDD">
      <w:pPr>
        <w:spacing w:beforeLines="50" w:before="180"/>
        <w:jc w:val="both"/>
        <w:rPr>
          <w:rFonts w:eastAsia="標楷體" w:cstheme="minorHAnsi"/>
          <w:szCs w:val="24"/>
        </w:rPr>
      </w:pPr>
    </w:p>
    <w:p w14:paraId="2536D8D6" w14:textId="77777777" w:rsidR="00F96CDD" w:rsidRPr="00CA1A43" w:rsidRDefault="00F96CDD" w:rsidP="00F96CDD">
      <w:pPr>
        <w:spacing w:beforeLines="50" w:before="180"/>
        <w:jc w:val="both"/>
        <w:rPr>
          <w:rFonts w:eastAsia="標楷體" w:cstheme="minorHAnsi"/>
          <w:szCs w:val="24"/>
        </w:rPr>
      </w:pPr>
    </w:p>
    <w:p w14:paraId="44294190" w14:textId="77777777" w:rsidR="00F96CDD" w:rsidRPr="00CA1A43" w:rsidRDefault="00F96CDD" w:rsidP="00F96CDD">
      <w:pPr>
        <w:spacing w:beforeLines="50" w:before="180"/>
        <w:jc w:val="both"/>
        <w:rPr>
          <w:rFonts w:eastAsia="標楷體" w:cstheme="minorHAnsi"/>
          <w:szCs w:val="24"/>
        </w:rPr>
      </w:pPr>
    </w:p>
    <w:p w14:paraId="7DC51783" w14:textId="77777777" w:rsidR="00F96CDD" w:rsidRPr="00CA1A43" w:rsidRDefault="00F96CDD" w:rsidP="00F96CDD">
      <w:pPr>
        <w:spacing w:beforeLines="50" w:before="180"/>
        <w:jc w:val="both"/>
        <w:rPr>
          <w:rFonts w:eastAsia="標楷體" w:cstheme="minorHAnsi"/>
          <w:szCs w:val="24"/>
        </w:rPr>
      </w:pPr>
    </w:p>
    <w:p w14:paraId="0D23F381" w14:textId="77777777" w:rsidR="00B00948" w:rsidRPr="00CA1A43" w:rsidRDefault="006E07B0" w:rsidP="00145DCF">
      <w:pPr>
        <w:widowControl/>
        <w:spacing w:beforeLines="50" w:before="180"/>
        <w:jc w:val="both"/>
        <w:rPr>
          <w:rFonts w:eastAsia="標楷體" w:cstheme="minorHAnsi"/>
          <w:szCs w:val="24"/>
        </w:rPr>
      </w:pPr>
      <w:r w:rsidRPr="00CA1A43">
        <w:rPr>
          <w:rFonts w:eastAsia="標楷體" w:cstheme="minorHAnsi"/>
          <w:szCs w:val="24"/>
        </w:rPr>
        <w:br w:type="page"/>
      </w:r>
    </w:p>
    <w:p w14:paraId="37415988" w14:textId="77777777" w:rsidR="00B00948" w:rsidRPr="00CA1A43" w:rsidRDefault="00EF6AE7" w:rsidP="00145DCF">
      <w:pPr>
        <w:spacing w:beforeLines="50" w:before="180"/>
        <w:jc w:val="both"/>
        <w:outlineLvl w:val="0"/>
        <w:rPr>
          <w:rFonts w:eastAsia="標楷體" w:cstheme="minorHAnsi"/>
          <w:sz w:val="32"/>
          <w:szCs w:val="32"/>
        </w:rPr>
      </w:pPr>
      <w:bookmarkStart w:id="35" w:name="_Toc67992475"/>
      <w:r w:rsidRPr="00CA1A43">
        <w:rPr>
          <w:rFonts w:eastAsia="標楷體" w:cstheme="minorHAnsi"/>
          <w:sz w:val="32"/>
          <w:szCs w:val="32"/>
        </w:rPr>
        <w:lastRenderedPageBreak/>
        <w:t>附錄二：審慎評價原則</w:t>
      </w:r>
      <w:bookmarkEnd w:id="35"/>
    </w:p>
    <w:p w14:paraId="61147CB0" w14:textId="77777777" w:rsidR="008A2EA5" w:rsidRPr="00CA1A43" w:rsidRDefault="008A2EA5" w:rsidP="008A2EA5">
      <w:pPr>
        <w:spacing w:beforeLines="50" w:before="180"/>
        <w:jc w:val="both"/>
        <w:rPr>
          <w:rFonts w:eastAsia="標楷體" w:cstheme="minorHAnsi"/>
        </w:rPr>
      </w:pPr>
      <w:r w:rsidRPr="00CA1A43">
        <w:rPr>
          <w:rFonts w:eastAsia="標楷體" w:cstheme="minorHAnsi"/>
        </w:rPr>
        <w:t>銀行以公允價值衡量之部位，無論帳列交易簿或銀行簿，</w:t>
      </w:r>
      <w:proofErr w:type="gramStart"/>
      <w:r w:rsidRPr="00CA1A43">
        <w:rPr>
          <w:rFonts w:eastAsia="標楷體" w:cstheme="minorHAnsi"/>
        </w:rPr>
        <w:t>均應符合</w:t>
      </w:r>
      <w:proofErr w:type="gramEnd"/>
      <w:r w:rsidRPr="00CA1A43">
        <w:rPr>
          <w:rFonts w:eastAsia="標楷體" w:cstheme="minorHAnsi"/>
        </w:rPr>
        <w:t>下列審慎評價原則，審慎評價原則對於沒有實際市場價格、可觀察評價參數或流動性欠佳之部位特別重要。</w:t>
      </w:r>
    </w:p>
    <w:p w14:paraId="6A00544F" w14:textId="77777777" w:rsidR="008A2EA5" w:rsidRPr="00CA1A43" w:rsidRDefault="008A2EA5" w:rsidP="008A2EA5">
      <w:pPr>
        <w:pStyle w:val="a7"/>
        <w:numPr>
          <w:ilvl w:val="0"/>
          <w:numId w:val="319"/>
        </w:numPr>
        <w:spacing w:beforeLines="50" w:before="180"/>
        <w:ind w:leftChars="0" w:left="567" w:hanging="567"/>
        <w:jc w:val="both"/>
        <w:outlineLvl w:val="0"/>
        <w:rPr>
          <w:rFonts w:eastAsia="標楷體" w:cstheme="minorHAnsi"/>
          <w:b/>
          <w:sz w:val="28"/>
          <w:szCs w:val="28"/>
        </w:rPr>
      </w:pPr>
      <w:bookmarkStart w:id="36" w:name="_Toc67992476"/>
      <w:r w:rsidRPr="00CA1A43">
        <w:rPr>
          <w:rFonts w:eastAsia="標楷體" w:cstheme="minorHAnsi"/>
          <w:b/>
          <w:sz w:val="28"/>
          <w:szCs w:val="28"/>
        </w:rPr>
        <w:t>評價及控管機制</w:t>
      </w:r>
      <w:bookmarkEnd w:id="36"/>
    </w:p>
    <w:p w14:paraId="29AF5BE1" w14:textId="77777777" w:rsidR="008A2EA5" w:rsidRPr="00CA1A43" w:rsidRDefault="008A2EA5" w:rsidP="0039445A">
      <w:pPr>
        <w:pStyle w:val="Default"/>
        <w:ind w:left="567"/>
        <w:rPr>
          <w:rFonts w:asciiTheme="minorHAnsi" w:cstheme="minorHAnsi"/>
        </w:rPr>
      </w:pPr>
      <w:r w:rsidRPr="00CA1A43">
        <w:rPr>
          <w:rFonts w:asciiTheme="minorHAnsi" w:cstheme="minorHAnsi"/>
        </w:rPr>
        <w:t>銀行必須建立並維持</w:t>
      </w:r>
      <w:proofErr w:type="gramStart"/>
      <w:r w:rsidRPr="00CA1A43">
        <w:rPr>
          <w:rFonts w:asciiTheme="minorHAnsi" w:cstheme="minorHAnsi"/>
        </w:rPr>
        <w:t>一</w:t>
      </w:r>
      <w:proofErr w:type="gramEnd"/>
      <w:r w:rsidRPr="00CA1A43">
        <w:rPr>
          <w:rFonts w:asciiTheme="minorHAnsi" w:cstheme="minorHAnsi"/>
        </w:rPr>
        <w:t>有效之評價及控管機制，使管理階層和本會皆能信賴其評價結果。同時該評價制度必須與銀行之其他風險管理系統</w:t>
      </w:r>
      <w:r w:rsidR="0039445A" w:rsidRPr="00CA1A43">
        <w:rPr>
          <w:rFonts w:asciiTheme="minorHAnsi" w:cstheme="minorHAnsi"/>
        </w:rPr>
        <w:t>(</w:t>
      </w:r>
      <w:r w:rsidRPr="00CA1A43">
        <w:rPr>
          <w:rFonts w:asciiTheme="minorHAnsi" w:cstheme="minorHAnsi"/>
        </w:rPr>
        <w:t>例如信用分析</w:t>
      </w:r>
      <w:r w:rsidR="0039445A" w:rsidRPr="00CA1A43">
        <w:rPr>
          <w:rFonts w:asciiTheme="minorHAnsi" w:cstheme="minorHAnsi"/>
        </w:rPr>
        <w:t>)</w:t>
      </w:r>
      <w:r w:rsidRPr="00CA1A43">
        <w:rPr>
          <w:rFonts w:asciiTheme="minorHAnsi" w:cstheme="minorHAnsi"/>
        </w:rPr>
        <w:t>進行整合。評價制度之具體要求如下：</w:t>
      </w:r>
      <w:r w:rsidRPr="00CA1A43">
        <w:rPr>
          <w:rFonts w:asciiTheme="minorHAnsi" w:cstheme="minorHAnsi"/>
        </w:rPr>
        <w:t xml:space="preserve"> </w:t>
      </w:r>
    </w:p>
    <w:p w14:paraId="47647FE9" w14:textId="77777777" w:rsidR="008A2EA5" w:rsidRPr="00CA1A43" w:rsidRDefault="008A2EA5" w:rsidP="0039445A">
      <w:pPr>
        <w:pStyle w:val="a7"/>
        <w:numPr>
          <w:ilvl w:val="0"/>
          <w:numId w:val="320"/>
        </w:numPr>
        <w:spacing w:beforeLines="50" w:before="180"/>
        <w:ind w:leftChars="0" w:left="737" w:hanging="737"/>
        <w:jc w:val="both"/>
        <w:rPr>
          <w:rFonts w:eastAsia="標楷體" w:cstheme="minorHAnsi"/>
        </w:rPr>
      </w:pPr>
      <w:r w:rsidRPr="00CA1A43">
        <w:rPr>
          <w:rFonts w:eastAsia="標楷體" w:cstheme="minorHAnsi"/>
        </w:rPr>
        <w:t>應有明確定義之評價政策和流程，包括：</w:t>
      </w:r>
    </w:p>
    <w:p w14:paraId="758BD7D2" w14:textId="77777777" w:rsidR="008A2EA5" w:rsidRPr="00CA1A43" w:rsidRDefault="008A2EA5" w:rsidP="00457F1A">
      <w:pPr>
        <w:pStyle w:val="a7"/>
        <w:numPr>
          <w:ilvl w:val="0"/>
          <w:numId w:val="321"/>
        </w:numPr>
        <w:spacing w:beforeLines="50" w:before="180"/>
        <w:ind w:leftChars="0" w:left="964" w:hanging="482"/>
        <w:jc w:val="both"/>
        <w:rPr>
          <w:rFonts w:eastAsia="標楷體" w:cstheme="minorHAnsi"/>
        </w:rPr>
      </w:pPr>
      <w:r w:rsidRPr="00CA1A43">
        <w:rPr>
          <w:rFonts w:eastAsia="標楷體" w:cstheme="minorHAnsi"/>
        </w:rPr>
        <w:t>評價時所涉及各個部門之職責；</w:t>
      </w:r>
    </w:p>
    <w:p w14:paraId="10E38CC0" w14:textId="77777777" w:rsidR="008A2EA5" w:rsidRPr="00CA1A43" w:rsidRDefault="008A2EA5" w:rsidP="00457F1A">
      <w:pPr>
        <w:pStyle w:val="a7"/>
        <w:numPr>
          <w:ilvl w:val="0"/>
          <w:numId w:val="321"/>
        </w:numPr>
        <w:spacing w:beforeLines="50" w:before="180"/>
        <w:ind w:leftChars="0" w:left="964" w:hanging="482"/>
        <w:jc w:val="both"/>
        <w:rPr>
          <w:rFonts w:eastAsia="標楷體" w:cstheme="minorHAnsi"/>
        </w:rPr>
      </w:pPr>
      <w:r w:rsidRPr="00CA1A43">
        <w:rPr>
          <w:rFonts w:eastAsia="標楷體" w:cstheme="minorHAnsi"/>
        </w:rPr>
        <w:t>市場資訊來源以及對於這些資訊適當性之審查；</w:t>
      </w:r>
    </w:p>
    <w:p w14:paraId="049B662A" w14:textId="77777777" w:rsidR="008A2EA5" w:rsidRPr="00CA1A43" w:rsidRDefault="008A2EA5" w:rsidP="00457F1A">
      <w:pPr>
        <w:pStyle w:val="a7"/>
        <w:numPr>
          <w:ilvl w:val="0"/>
          <w:numId w:val="321"/>
        </w:numPr>
        <w:spacing w:beforeLines="50" w:before="180"/>
        <w:ind w:leftChars="0" w:left="964" w:hanging="482"/>
        <w:jc w:val="both"/>
        <w:rPr>
          <w:rFonts w:eastAsia="標楷體" w:cstheme="minorHAnsi"/>
        </w:rPr>
      </w:pPr>
      <w:r w:rsidRPr="00CA1A43">
        <w:rPr>
          <w:rFonts w:eastAsia="標楷體" w:cstheme="minorHAnsi"/>
        </w:rPr>
        <w:t>銀行使用不可觀察參數之原則，應能反映其對於市場參與者部位評價之假設；</w:t>
      </w:r>
    </w:p>
    <w:p w14:paraId="58AB0683" w14:textId="77777777" w:rsidR="008A2EA5" w:rsidRPr="00CA1A43" w:rsidRDefault="008A2EA5" w:rsidP="00457F1A">
      <w:pPr>
        <w:pStyle w:val="a7"/>
        <w:numPr>
          <w:ilvl w:val="0"/>
          <w:numId w:val="321"/>
        </w:numPr>
        <w:spacing w:beforeLines="50" w:before="180"/>
        <w:ind w:leftChars="0" w:left="964" w:hanging="482"/>
        <w:jc w:val="both"/>
        <w:rPr>
          <w:rFonts w:eastAsia="標楷體" w:cstheme="minorHAnsi"/>
        </w:rPr>
      </w:pPr>
      <w:r w:rsidRPr="00CA1A43">
        <w:rPr>
          <w:rFonts w:eastAsia="標楷體" w:cstheme="minorHAnsi"/>
        </w:rPr>
        <w:t>獨立評價之頻率</w:t>
      </w:r>
      <w:r w:rsidR="00457F1A" w:rsidRPr="00CA1A43">
        <w:rPr>
          <w:rFonts w:eastAsia="標楷體" w:cstheme="minorHAnsi"/>
        </w:rPr>
        <w:t>(</w:t>
      </w:r>
      <w:r w:rsidRPr="00CA1A43">
        <w:rPr>
          <w:rFonts w:eastAsia="標楷體" w:cstheme="minorHAnsi"/>
        </w:rPr>
        <w:t>frequency of independent valuation</w:t>
      </w:r>
      <w:r w:rsidR="00457F1A" w:rsidRPr="00CA1A43">
        <w:rPr>
          <w:rFonts w:eastAsia="標楷體" w:cstheme="minorHAnsi"/>
        </w:rPr>
        <w:t>)</w:t>
      </w:r>
      <w:r w:rsidRPr="00CA1A43">
        <w:rPr>
          <w:rFonts w:eastAsia="標楷體" w:cstheme="minorHAnsi"/>
        </w:rPr>
        <w:t>；</w:t>
      </w:r>
    </w:p>
    <w:p w14:paraId="3425C4B4" w14:textId="77777777" w:rsidR="008A2EA5" w:rsidRPr="00CA1A43" w:rsidRDefault="008A2EA5" w:rsidP="00457F1A">
      <w:pPr>
        <w:pStyle w:val="a7"/>
        <w:numPr>
          <w:ilvl w:val="0"/>
          <w:numId w:val="321"/>
        </w:numPr>
        <w:spacing w:beforeLines="50" w:before="180"/>
        <w:ind w:leftChars="0" w:left="964" w:hanging="482"/>
        <w:jc w:val="both"/>
        <w:rPr>
          <w:rFonts w:eastAsia="標楷體" w:cstheme="minorHAnsi"/>
        </w:rPr>
      </w:pPr>
      <w:r w:rsidRPr="00CA1A43">
        <w:rPr>
          <w:rFonts w:eastAsia="標楷體" w:cstheme="minorHAnsi"/>
        </w:rPr>
        <w:t>收盤價之確認；</w:t>
      </w:r>
    </w:p>
    <w:p w14:paraId="27F8038F" w14:textId="77777777" w:rsidR="008A2EA5" w:rsidRPr="00CA1A43" w:rsidRDefault="008A2EA5" w:rsidP="00457F1A">
      <w:pPr>
        <w:pStyle w:val="a7"/>
        <w:numPr>
          <w:ilvl w:val="0"/>
          <w:numId w:val="321"/>
        </w:numPr>
        <w:spacing w:beforeLines="50" w:before="180"/>
        <w:ind w:leftChars="0" w:left="964" w:hanging="482"/>
        <w:jc w:val="both"/>
        <w:rPr>
          <w:rFonts w:eastAsia="標楷體" w:cstheme="minorHAnsi"/>
        </w:rPr>
      </w:pPr>
      <w:r w:rsidRPr="00CA1A43">
        <w:rPr>
          <w:rFonts w:eastAsia="標楷體" w:cstheme="minorHAnsi"/>
        </w:rPr>
        <w:t>評價調整流程；</w:t>
      </w:r>
    </w:p>
    <w:p w14:paraId="70AD5A71" w14:textId="77777777" w:rsidR="008A2EA5" w:rsidRPr="00CA1A43" w:rsidRDefault="008A2EA5" w:rsidP="00457F1A">
      <w:pPr>
        <w:pStyle w:val="a7"/>
        <w:numPr>
          <w:ilvl w:val="0"/>
          <w:numId w:val="321"/>
        </w:numPr>
        <w:spacing w:beforeLines="50" w:before="180"/>
        <w:ind w:leftChars="0" w:left="964" w:hanging="482"/>
        <w:jc w:val="both"/>
        <w:rPr>
          <w:rFonts w:eastAsia="標楷體" w:cstheme="minorHAnsi"/>
        </w:rPr>
      </w:pPr>
      <w:r w:rsidRPr="00CA1A43">
        <w:rPr>
          <w:rFonts w:eastAsia="標楷體" w:cstheme="minorHAnsi"/>
        </w:rPr>
        <w:t>月底和不定期之驗證程序。</w:t>
      </w:r>
    </w:p>
    <w:p w14:paraId="4573848E" w14:textId="77777777" w:rsidR="008A2EA5" w:rsidRPr="00CA1A43" w:rsidRDefault="008A2EA5" w:rsidP="0039445A">
      <w:pPr>
        <w:pStyle w:val="a7"/>
        <w:numPr>
          <w:ilvl w:val="0"/>
          <w:numId w:val="320"/>
        </w:numPr>
        <w:spacing w:beforeLines="50" w:before="180"/>
        <w:ind w:leftChars="0" w:left="737" w:hanging="737"/>
        <w:jc w:val="both"/>
        <w:rPr>
          <w:rFonts w:eastAsia="標楷體" w:cstheme="minorHAnsi"/>
        </w:rPr>
      </w:pPr>
      <w:r w:rsidRPr="00CA1A43">
        <w:rPr>
          <w:rFonts w:eastAsia="標楷體" w:cstheme="minorHAnsi"/>
        </w:rPr>
        <w:t>負責評價作業之部門應具有明確且獨立於前</w:t>
      </w:r>
      <w:proofErr w:type="gramStart"/>
      <w:r w:rsidRPr="00CA1A43">
        <w:rPr>
          <w:rFonts w:eastAsia="標楷體" w:cstheme="minorHAnsi"/>
        </w:rPr>
        <w:t>臺</w:t>
      </w:r>
      <w:proofErr w:type="gramEnd"/>
      <w:r w:rsidRPr="00CA1A43">
        <w:rPr>
          <w:rFonts w:eastAsia="標楷體" w:cstheme="minorHAnsi"/>
        </w:rPr>
        <w:t>部門之報告體系，該報告體系最終應對董事會負責。</w:t>
      </w:r>
    </w:p>
    <w:p w14:paraId="7BB11DD0" w14:textId="77777777" w:rsidR="008A2EA5" w:rsidRPr="00CA1A43" w:rsidRDefault="008A2EA5" w:rsidP="008A2EA5">
      <w:pPr>
        <w:pStyle w:val="a7"/>
        <w:numPr>
          <w:ilvl w:val="0"/>
          <w:numId w:val="319"/>
        </w:numPr>
        <w:spacing w:beforeLines="50" w:before="180"/>
        <w:ind w:leftChars="0" w:left="567" w:hanging="567"/>
        <w:jc w:val="both"/>
        <w:outlineLvl w:val="0"/>
        <w:rPr>
          <w:rFonts w:eastAsia="標楷體" w:cstheme="minorHAnsi"/>
          <w:b/>
          <w:sz w:val="28"/>
          <w:szCs w:val="28"/>
        </w:rPr>
      </w:pPr>
      <w:bookmarkStart w:id="37" w:name="_Toc67992477"/>
      <w:r w:rsidRPr="00CA1A43">
        <w:rPr>
          <w:rFonts w:eastAsia="標楷體" w:cstheme="minorHAnsi"/>
          <w:b/>
          <w:sz w:val="28"/>
          <w:szCs w:val="28"/>
        </w:rPr>
        <w:t>評價方法</w:t>
      </w:r>
      <w:bookmarkEnd w:id="37"/>
    </w:p>
    <w:p w14:paraId="54D1B9C9" w14:textId="77777777" w:rsidR="008A2EA5" w:rsidRPr="00CA1A43" w:rsidRDefault="008A2EA5" w:rsidP="00457F1A">
      <w:pPr>
        <w:pStyle w:val="a7"/>
        <w:numPr>
          <w:ilvl w:val="0"/>
          <w:numId w:val="322"/>
        </w:numPr>
        <w:spacing w:beforeLines="50" w:before="180"/>
        <w:ind w:leftChars="0" w:left="737" w:hanging="737"/>
        <w:jc w:val="both"/>
        <w:rPr>
          <w:rFonts w:eastAsia="標楷體" w:cstheme="minorHAnsi"/>
        </w:rPr>
      </w:pPr>
      <w:r w:rsidRPr="00CA1A43">
        <w:rPr>
          <w:rFonts w:eastAsia="標楷體" w:cstheme="minorHAnsi"/>
        </w:rPr>
        <w:t>市價</w:t>
      </w:r>
      <w:r w:rsidRPr="00CA1A43">
        <w:rPr>
          <w:rFonts w:eastAsia="標楷體" w:cstheme="minorHAnsi"/>
          <w:color w:val="000000"/>
          <w:kern w:val="0"/>
          <w:szCs w:val="24"/>
        </w:rPr>
        <w:t>評估</w:t>
      </w:r>
      <w:r w:rsidRPr="00CA1A43">
        <w:rPr>
          <w:rFonts w:eastAsia="標楷體" w:cstheme="minorHAnsi"/>
        </w:rPr>
        <w:t>方法</w:t>
      </w:r>
    </w:p>
    <w:p w14:paraId="0CD12C5D" w14:textId="77777777" w:rsidR="008A2EA5" w:rsidRPr="00CA1A43" w:rsidRDefault="00EF33F4" w:rsidP="00EF33F4">
      <w:pPr>
        <w:pStyle w:val="a7"/>
        <w:spacing w:beforeLines="50" w:before="180"/>
        <w:ind w:leftChars="0" w:left="737"/>
        <w:jc w:val="both"/>
        <w:rPr>
          <w:rFonts w:eastAsia="標楷體" w:cstheme="minorHAnsi"/>
        </w:rPr>
      </w:pPr>
      <w:r w:rsidRPr="00CA1A43">
        <w:rPr>
          <w:rFonts w:eastAsia="標楷體" w:cstheme="minorHAnsi"/>
        </w:rPr>
        <w:t>銀行必須</w:t>
      </w:r>
      <w:proofErr w:type="gramStart"/>
      <w:r w:rsidRPr="00CA1A43">
        <w:rPr>
          <w:rFonts w:eastAsia="標楷體" w:cstheme="minorHAnsi"/>
        </w:rPr>
        <w:t>儘</w:t>
      </w:r>
      <w:proofErr w:type="gramEnd"/>
      <w:r w:rsidRPr="00CA1A43">
        <w:rPr>
          <w:rFonts w:eastAsia="標楷體" w:cstheme="minorHAnsi"/>
        </w:rPr>
        <w:t>可能按照市價評估。銀行辦理市價評估時，至少應每日以有獨立來源且可容易取得之資訊進行評估，例如交易所價格、電子螢幕報價或一些來自信譽良好之獨立經紀商提供之報價。除非銀行本身為主要造市者，且能夠以中價平倉，或該產品係屬集中市場交易，且其流通性極高，其</w:t>
      </w:r>
      <w:proofErr w:type="gramStart"/>
      <w:r w:rsidRPr="00CA1A43">
        <w:rPr>
          <w:rFonts w:eastAsia="標楷體" w:cstheme="minorHAnsi"/>
        </w:rPr>
        <w:t>收盤價具市場</w:t>
      </w:r>
      <w:proofErr w:type="gramEnd"/>
      <w:r w:rsidRPr="00CA1A43">
        <w:rPr>
          <w:rFonts w:eastAsia="標楷體" w:cstheme="minorHAnsi"/>
        </w:rPr>
        <w:t>代表性；否則必須依所持有部位方向選用買價或賣價資訊，以精確反映金融產品之重置成本價值。銀行在評估公允價值時應盡量使用可觀察之參數，並盡量避免使用不可觀察之參數。但可觀察參數或交易可能</w:t>
      </w:r>
      <w:r w:rsidRPr="00CA1A43">
        <w:rPr>
          <w:rFonts w:eastAsia="標楷體" w:cstheme="minorHAnsi"/>
        </w:rPr>
        <w:lastRenderedPageBreak/>
        <w:t>不具</w:t>
      </w:r>
      <w:proofErr w:type="gramStart"/>
      <w:r w:rsidRPr="00CA1A43">
        <w:rPr>
          <w:rFonts w:eastAsia="標楷體" w:cstheme="minorHAnsi"/>
        </w:rPr>
        <w:t>攸</w:t>
      </w:r>
      <w:proofErr w:type="gramEnd"/>
      <w:r w:rsidRPr="00CA1A43">
        <w:rPr>
          <w:rFonts w:eastAsia="標楷體" w:cstheme="minorHAnsi"/>
        </w:rPr>
        <w:t>關性，例如執行強制清算或賤價出售的交易，或是交易資訊不易觀察</w:t>
      </w:r>
      <w:r w:rsidRPr="00CA1A43">
        <w:rPr>
          <w:rFonts w:eastAsia="標楷體" w:cstheme="minorHAnsi"/>
        </w:rPr>
        <w:t>(</w:t>
      </w:r>
      <w:r w:rsidRPr="00CA1A43">
        <w:rPr>
          <w:rFonts w:eastAsia="標楷體" w:cstheme="minorHAnsi"/>
        </w:rPr>
        <w:t>例如市場不活絡時</w:t>
      </w:r>
      <w:r w:rsidRPr="00CA1A43">
        <w:rPr>
          <w:rFonts w:eastAsia="標楷體" w:cstheme="minorHAnsi"/>
        </w:rPr>
        <w:t>)</w:t>
      </w:r>
      <w:r w:rsidRPr="00CA1A43">
        <w:rPr>
          <w:rFonts w:eastAsia="標楷體" w:cstheme="minorHAnsi"/>
        </w:rPr>
        <w:t>。於此情形下，這些可觀察的資料可以被納入參考，惟其可能不具決定性。</w:t>
      </w:r>
    </w:p>
    <w:p w14:paraId="4F9FA52E" w14:textId="77777777" w:rsidR="008A2EA5" w:rsidRPr="00CA1A43" w:rsidRDefault="008A2EA5" w:rsidP="00457F1A">
      <w:pPr>
        <w:pStyle w:val="a7"/>
        <w:numPr>
          <w:ilvl w:val="0"/>
          <w:numId w:val="322"/>
        </w:numPr>
        <w:spacing w:beforeLines="50" w:before="180"/>
        <w:ind w:leftChars="0" w:left="737" w:hanging="737"/>
        <w:jc w:val="both"/>
        <w:rPr>
          <w:rFonts w:eastAsia="標楷體" w:cstheme="minorHAnsi"/>
          <w:color w:val="000000"/>
          <w:kern w:val="0"/>
          <w:szCs w:val="24"/>
        </w:rPr>
      </w:pPr>
      <w:r w:rsidRPr="00CA1A43">
        <w:rPr>
          <w:rFonts w:eastAsia="標楷體" w:cstheme="minorHAnsi"/>
          <w:color w:val="000000"/>
          <w:kern w:val="0"/>
          <w:szCs w:val="24"/>
        </w:rPr>
        <w:t>模型評價</w:t>
      </w:r>
    </w:p>
    <w:p w14:paraId="3A90B4CC" w14:textId="77777777" w:rsidR="008A2EA5" w:rsidRPr="00CA1A43" w:rsidRDefault="008A2EA5" w:rsidP="00EF33F4">
      <w:pPr>
        <w:pStyle w:val="a7"/>
        <w:spacing w:beforeLines="50" w:before="180"/>
        <w:ind w:leftChars="0" w:left="737"/>
        <w:jc w:val="both"/>
        <w:rPr>
          <w:rFonts w:eastAsia="標楷體" w:cstheme="minorHAnsi"/>
          <w:color w:val="000000"/>
          <w:kern w:val="0"/>
          <w:szCs w:val="24"/>
        </w:rPr>
      </w:pPr>
      <w:r w:rsidRPr="00CA1A43">
        <w:rPr>
          <w:rFonts w:eastAsia="標楷體" w:cstheme="minorHAnsi"/>
          <w:color w:val="000000"/>
          <w:kern w:val="0"/>
          <w:szCs w:val="24"/>
        </w:rPr>
        <w:t>若無法以市價</w:t>
      </w:r>
      <w:r w:rsidRPr="00CA1A43">
        <w:rPr>
          <w:rFonts w:eastAsia="標楷體" w:cstheme="minorHAnsi"/>
        </w:rPr>
        <w:t>評估</w:t>
      </w:r>
      <w:r w:rsidRPr="00CA1A43">
        <w:rPr>
          <w:rFonts w:eastAsia="標楷體" w:cstheme="minorHAnsi"/>
          <w:color w:val="000000"/>
          <w:kern w:val="0"/>
          <w:szCs w:val="24"/>
        </w:rPr>
        <w:t>方法進行評價時，銀行始得審慎採用數理模型評價。模型評價法係指價格之評估係將市場參數予以指標化、採用</w:t>
      </w:r>
      <w:proofErr w:type="gramStart"/>
      <w:r w:rsidRPr="00CA1A43">
        <w:rPr>
          <w:rFonts w:eastAsia="標楷體" w:cstheme="minorHAnsi"/>
          <w:color w:val="000000"/>
          <w:kern w:val="0"/>
          <w:szCs w:val="24"/>
        </w:rPr>
        <w:t>外推法或</w:t>
      </w:r>
      <w:proofErr w:type="gramEnd"/>
      <w:r w:rsidRPr="00CA1A43">
        <w:rPr>
          <w:rFonts w:eastAsia="標楷體" w:cstheme="minorHAnsi"/>
          <w:color w:val="000000"/>
          <w:kern w:val="0"/>
          <w:szCs w:val="24"/>
        </w:rPr>
        <w:t>其他運算方式所得之價格估計，以計算出交易部位之價值。以模型評價須特別謹慎，且在判斷模型評價方法是否適當時，應考慮以下因素：</w:t>
      </w:r>
    </w:p>
    <w:p w14:paraId="5C74BCD7"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銀行高階主管應該瞭解交易</w:t>
      </w:r>
      <w:proofErr w:type="gramStart"/>
      <w:r w:rsidRPr="00CA1A43">
        <w:rPr>
          <w:rFonts w:eastAsia="標楷體" w:cstheme="minorHAnsi"/>
          <w:color w:val="000000"/>
          <w:kern w:val="0"/>
          <w:szCs w:val="24"/>
        </w:rPr>
        <w:t>簿</w:t>
      </w:r>
      <w:proofErr w:type="gramEnd"/>
      <w:r w:rsidRPr="00CA1A43">
        <w:rPr>
          <w:rFonts w:eastAsia="標楷體" w:cstheme="minorHAnsi"/>
          <w:color w:val="000000"/>
          <w:kern w:val="0"/>
          <w:szCs w:val="24"/>
        </w:rPr>
        <w:t>或是其他公</w:t>
      </w:r>
      <w:r w:rsidRPr="00CA1A43">
        <w:rPr>
          <w:rFonts w:eastAsia="標楷體" w:cstheme="minorHAnsi"/>
          <w:kern w:val="0"/>
          <w:szCs w:val="24"/>
        </w:rPr>
        <w:t>允</w:t>
      </w:r>
      <w:r w:rsidRPr="00CA1A43">
        <w:rPr>
          <w:rFonts w:eastAsia="標楷體" w:cstheme="minorHAnsi"/>
          <w:color w:val="000000"/>
          <w:kern w:val="0"/>
          <w:szCs w:val="24"/>
        </w:rPr>
        <w:t>價值部位中依模型評價之商品，且認知因採用模型評價對企業風險</w:t>
      </w:r>
      <w:r w:rsidRPr="00CA1A43">
        <w:rPr>
          <w:rFonts w:eastAsia="標楷體" w:cstheme="minorHAnsi"/>
          <w:color w:val="000000"/>
          <w:kern w:val="0"/>
          <w:szCs w:val="24"/>
        </w:rPr>
        <w:t>/</w:t>
      </w:r>
      <w:r w:rsidRPr="00CA1A43">
        <w:rPr>
          <w:rFonts w:eastAsia="標楷體" w:cstheme="minorHAnsi"/>
          <w:color w:val="000000"/>
          <w:kern w:val="0"/>
          <w:szCs w:val="24"/>
        </w:rPr>
        <w:t>績效報告所產生不確定性之重要程度。</w:t>
      </w:r>
      <w:r w:rsidRPr="00CA1A43">
        <w:rPr>
          <w:rFonts w:eastAsia="標楷體" w:cstheme="minorHAnsi"/>
          <w:color w:val="000000"/>
          <w:kern w:val="0"/>
          <w:szCs w:val="24"/>
        </w:rPr>
        <w:t xml:space="preserve"> </w:t>
      </w:r>
    </w:p>
    <w:p w14:paraId="057D6FEE"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市場參數須</w:t>
      </w:r>
      <w:proofErr w:type="gramStart"/>
      <w:r w:rsidRPr="00CA1A43">
        <w:rPr>
          <w:rFonts w:eastAsia="標楷體" w:cstheme="minorHAnsi"/>
          <w:color w:val="000000"/>
          <w:kern w:val="0"/>
          <w:szCs w:val="24"/>
        </w:rPr>
        <w:t>儘</w:t>
      </w:r>
      <w:proofErr w:type="gramEnd"/>
      <w:r w:rsidRPr="00CA1A43">
        <w:rPr>
          <w:rFonts w:eastAsia="標楷體" w:cstheme="minorHAnsi"/>
          <w:color w:val="000000"/>
          <w:kern w:val="0"/>
          <w:szCs w:val="24"/>
        </w:rPr>
        <w:t>可能回溯價格變動來源，並與市場價格之變化相一致。銀行應該對計算某些特定部位價值時所採用之市場參數進行定期檢視。</w:t>
      </w:r>
      <w:r w:rsidRPr="00CA1A43">
        <w:rPr>
          <w:rFonts w:eastAsia="標楷體" w:cstheme="minorHAnsi"/>
          <w:color w:val="000000"/>
          <w:kern w:val="0"/>
          <w:szCs w:val="24"/>
        </w:rPr>
        <w:t xml:space="preserve"> </w:t>
      </w:r>
    </w:p>
    <w:p w14:paraId="383BBF8C"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在可能情況下，應該使用一般認可之方法來評估産品價值。</w:t>
      </w:r>
      <w:r w:rsidRPr="00CA1A43">
        <w:rPr>
          <w:rFonts w:eastAsia="標楷體" w:cstheme="minorHAnsi"/>
          <w:color w:val="000000"/>
          <w:kern w:val="0"/>
          <w:szCs w:val="24"/>
        </w:rPr>
        <w:t xml:space="preserve"> </w:t>
      </w:r>
    </w:p>
    <w:p w14:paraId="67303FA4"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若是銀行自行開發之模型，則模型應該建立在適當的假設基礎之上，且應由獨立於模型開發單位以外之模型驗證單位，對模型進行驗證。模型的開發或核准使用應由獨立於交易前</w:t>
      </w:r>
      <w:proofErr w:type="gramStart"/>
      <w:r w:rsidRPr="00CA1A43">
        <w:rPr>
          <w:rFonts w:eastAsia="標楷體" w:cstheme="minorHAnsi"/>
          <w:color w:val="000000"/>
          <w:kern w:val="0"/>
          <w:szCs w:val="24"/>
        </w:rPr>
        <w:t>臺</w:t>
      </w:r>
      <w:proofErr w:type="gramEnd"/>
      <w:r w:rsidRPr="00CA1A43">
        <w:rPr>
          <w:rFonts w:eastAsia="標楷體" w:cstheme="minorHAnsi"/>
          <w:color w:val="000000"/>
          <w:kern w:val="0"/>
          <w:szCs w:val="24"/>
        </w:rPr>
        <w:t>的另一部門執行，同時應進行獨立測試，包括對數學推導、假設條件及軟體系統進行驗證。</w:t>
      </w:r>
      <w:r w:rsidRPr="00CA1A43">
        <w:rPr>
          <w:rFonts w:eastAsia="標楷體" w:cstheme="minorHAnsi"/>
          <w:color w:val="000000"/>
          <w:kern w:val="0"/>
          <w:szCs w:val="24"/>
        </w:rPr>
        <w:t xml:space="preserve"> </w:t>
      </w:r>
    </w:p>
    <w:p w14:paraId="410651FE"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應該有正式的模型變更控管流程、評價模型的安全備份，並定期以模型安全備份測試評價結果。</w:t>
      </w:r>
      <w:r w:rsidRPr="00CA1A43">
        <w:rPr>
          <w:rFonts w:eastAsia="標楷體" w:cstheme="minorHAnsi"/>
          <w:color w:val="000000"/>
          <w:kern w:val="0"/>
          <w:szCs w:val="24"/>
        </w:rPr>
        <w:t xml:space="preserve"> </w:t>
      </w:r>
    </w:p>
    <w:p w14:paraId="2A8447D4"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風險管理部門應該了解所使用模型的缺陷，並於評價結果中有效反映。</w:t>
      </w:r>
      <w:r w:rsidRPr="00CA1A43">
        <w:rPr>
          <w:rFonts w:eastAsia="標楷體" w:cstheme="minorHAnsi"/>
          <w:color w:val="000000"/>
          <w:kern w:val="0"/>
          <w:szCs w:val="24"/>
        </w:rPr>
        <w:t xml:space="preserve"> </w:t>
      </w:r>
    </w:p>
    <w:p w14:paraId="2FC45F97"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應該對模型進行定期檢討評估，以確定其精確性。例如驗證假設的合理性、對損益和風險因子之關連性進行分析，對實際收盤價格和模型的產出值進行比對。</w:t>
      </w:r>
      <w:r w:rsidRPr="00CA1A43">
        <w:rPr>
          <w:rFonts w:eastAsia="標楷體" w:cstheme="minorHAnsi"/>
          <w:color w:val="000000"/>
          <w:kern w:val="0"/>
          <w:szCs w:val="24"/>
        </w:rPr>
        <w:t xml:space="preserve"> </w:t>
      </w:r>
    </w:p>
    <w:p w14:paraId="1B93F9F3" w14:textId="77777777" w:rsidR="008A2EA5" w:rsidRPr="00CA1A43" w:rsidRDefault="008A2EA5" w:rsidP="00EF33F4">
      <w:pPr>
        <w:pStyle w:val="a7"/>
        <w:numPr>
          <w:ilvl w:val="0"/>
          <w:numId w:val="323"/>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必要時，應該適當調整評價結果，以因應處理模型評價結果的不確定性因素。</w:t>
      </w:r>
    </w:p>
    <w:p w14:paraId="16E8ADCE" w14:textId="77777777" w:rsidR="008A2EA5" w:rsidRPr="00CA1A43" w:rsidRDefault="008A2EA5" w:rsidP="00457F1A">
      <w:pPr>
        <w:pStyle w:val="a7"/>
        <w:numPr>
          <w:ilvl w:val="0"/>
          <w:numId w:val="322"/>
        </w:numPr>
        <w:spacing w:beforeLines="50" w:before="180"/>
        <w:ind w:leftChars="0" w:left="737" w:hanging="737"/>
        <w:jc w:val="both"/>
        <w:rPr>
          <w:rFonts w:eastAsia="標楷體" w:cstheme="minorHAnsi"/>
          <w:color w:val="000000"/>
          <w:kern w:val="0"/>
          <w:szCs w:val="24"/>
        </w:rPr>
      </w:pPr>
      <w:r w:rsidRPr="00CA1A43">
        <w:rPr>
          <w:rFonts w:eastAsia="標楷體" w:cstheme="minorHAnsi"/>
          <w:color w:val="000000"/>
          <w:kern w:val="0"/>
          <w:szCs w:val="24"/>
        </w:rPr>
        <w:t>獨立之價格查證</w:t>
      </w:r>
      <w:r w:rsidR="00EF33F4" w:rsidRPr="00CA1A43">
        <w:rPr>
          <w:rFonts w:eastAsia="標楷體" w:cstheme="minorHAnsi"/>
          <w:color w:val="000000"/>
          <w:kern w:val="0"/>
          <w:szCs w:val="24"/>
        </w:rPr>
        <w:t>(</w:t>
      </w:r>
      <w:r w:rsidRPr="00CA1A43">
        <w:rPr>
          <w:rFonts w:eastAsia="標楷體" w:cstheme="minorHAnsi"/>
          <w:color w:val="000000"/>
          <w:kern w:val="0"/>
          <w:szCs w:val="24"/>
        </w:rPr>
        <w:t>Independent price verification</w:t>
      </w:r>
      <w:r w:rsidR="00EF33F4" w:rsidRPr="00CA1A43">
        <w:rPr>
          <w:rFonts w:eastAsia="標楷體" w:cstheme="minorHAnsi"/>
          <w:color w:val="000000"/>
          <w:kern w:val="0"/>
          <w:szCs w:val="24"/>
        </w:rPr>
        <w:t>)</w:t>
      </w:r>
    </w:p>
    <w:p w14:paraId="77607918" w14:textId="77777777" w:rsidR="008A2EA5" w:rsidRPr="00CA1A43" w:rsidRDefault="008A2EA5" w:rsidP="00EF33F4">
      <w:pPr>
        <w:pStyle w:val="a7"/>
        <w:spacing w:beforeLines="50" w:before="180"/>
        <w:ind w:leftChars="0" w:left="737"/>
        <w:jc w:val="both"/>
        <w:rPr>
          <w:rFonts w:eastAsia="標楷體" w:cstheme="minorHAnsi"/>
          <w:color w:val="000000"/>
          <w:kern w:val="0"/>
          <w:szCs w:val="24"/>
        </w:rPr>
      </w:pPr>
      <w:r w:rsidRPr="00CA1A43">
        <w:rPr>
          <w:rFonts w:eastAsia="標楷體" w:cstheme="minorHAnsi"/>
          <w:color w:val="000000"/>
          <w:kern w:val="0"/>
          <w:szCs w:val="24"/>
        </w:rPr>
        <w:t>獨立之價格查證與每日市價評估不同。每日市價評估的目的，主要在正式報表日期前，由交易部門向管理階層報告相關資訊，可由交易員提供；而獨立價格查證是指將市場價格或模型參數定期進行準確性查證的過程，因其資訊係用以決定損益績效，需要更加精確，故對市場價格或模型參數的查證須由交易部門以外的獨立部門完成，且至少每月一次</w:t>
      </w:r>
      <w:r w:rsidR="00EF33F4" w:rsidRPr="00CA1A43">
        <w:rPr>
          <w:rFonts w:eastAsia="標楷體" w:cstheme="minorHAnsi"/>
          <w:color w:val="000000"/>
          <w:kern w:val="0"/>
          <w:szCs w:val="24"/>
        </w:rPr>
        <w:t>(</w:t>
      </w:r>
      <w:r w:rsidRPr="00CA1A43">
        <w:rPr>
          <w:rFonts w:eastAsia="標楷體" w:cstheme="minorHAnsi"/>
          <w:color w:val="000000"/>
          <w:kern w:val="0"/>
          <w:szCs w:val="24"/>
        </w:rPr>
        <w:t>或更密集，取</w:t>
      </w:r>
      <w:r w:rsidRPr="00CA1A43">
        <w:rPr>
          <w:rFonts w:eastAsia="標楷體" w:cstheme="minorHAnsi"/>
          <w:color w:val="000000"/>
          <w:kern w:val="0"/>
          <w:szCs w:val="24"/>
        </w:rPr>
        <w:lastRenderedPageBreak/>
        <w:t>決於市場</w:t>
      </w:r>
      <w:r w:rsidRPr="00CA1A43">
        <w:rPr>
          <w:rFonts w:eastAsia="標楷體" w:cstheme="minorHAnsi"/>
          <w:color w:val="000000"/>
          <w:kern w:val="0"/>
          <w:szCs w:val="24"/>
        </w:rPr>
        <w:t>/</w:t>
      </w:r>
      <w:r w:rsidRPr="00CA1A43">
        <w:rPr>
          <w:rFonts w:eastAsia="標楷體" w:cstheme="minorHAnsi"/>
          <w:color w:val="000000"/>
          <w:kern w:val="0"/>
          <w:szCs w:val="24"/>
        </w:rPr>
        <w:t>交易活動的本質</w:t>
      </w:r>
      <w:r w:rsidR="00EF33F4" w:rsidRPr="00CA1A43">
        <w:rPr>
          <w:rFonts w:eastAsia="標楷體" w:cstheme="minorHAnsi"/>
          <w:color w:val="000000"/>
          <w:kern w:val="0"/>
          <w:szCs w:val="24"/>
        </w:rPr>
        <w:t>)</w:t>
      </w:r>
      <w:r w:rsidRPr="00CA1A43">
        <w:rPr>
          <w:rFonts w:eastAsia="標楷體" w:cstheme="minorHAnsi"/>
          <w:color w:val="000000"/>
          <w:kern w:val="0"/>
          <w:szCs w:val="24"/>
        </w:rPr>
        <w:t>。價格查證不須與市價評估一樣每日進行，獨立查證之目的，係為消除每日部位評價之錯誤及誤差。對獨立之價格查證而言，當評價來源資料是比較主觀的，例如只有一個經紀商報價之情況下，利用如評價調整來進行審慎評估可能比較適當。</w:t>
      </w:r>
    </w:p>
    <w:p w14:paraId="4B1295F0" w14:textId="77777777" w:rsidR="008A2EA5" w:rsidRPr="00CA1A43" w:rsidRDefault="008A2EA5" w:rsidP="00EF33F4">
      <w:pPr>
        <w:pStyle w:val="a7"/>
        <w:numPr>
          <w:ilvl w:val="0"/>
          <w:numId w:val="319"/>
        </w:numPr>
        <w:spacing w:beforeLines="50" w:before="180"/>
        <w:ind w:leftChars="0" w:left="567" w:hanging="567"/>
        <w:jc w:val="both"/>
        <w:outlineLvl w:val="0"/>
        <w:rPr>
          <w:rFonts w:eastAsia="標楷體" w:cstheme="minorHAnsi"/>
          <w:b/>
          <w:sz w:val="28"/>
          <w:szCs w:val="28"/>
        </w:rPr>
      </w:pPr>
      <w:bookmarkStart w:id="38" w:name="_Toc67992478"/>
      <w:r w:rsidRPr="00CA1A43">
        <w:rPr>
          <w:rFonts w:eastAsia="標楷體" w:cstheme="minorHAnsi"/>
          <w:b/>
          <w:sz w:val="28"/>
          <w:szCs w:val="28"/>
        </w:rPr>
        <w:t>評價調整</w:t>
      </w:r>
      <w:r w:rsidR="00EF33F4" w:rsidRPr="00CA1A43">
        <w:rPr>
          <w:rFonts w:eastAsia="標楷體" w:cstheme="minorHAnsi"/>
          <w:b/>
          <w:sz w:val="28"/>
          <w:szCs w:val="28"/>
        </w:rPr>
        <w:t>(</w:t>
      </w:r>
      <w:r w:rsidRPr="00CA1A43">
        <w:rPr>
          <w:rFonts w:eastAsia="標楷體" w:cstheme="minorHAnsi"/>
          <w:b/>
          <w:sz w:val="28"/>
          <w:szCs w:val="28"/>
        </w:rPr>
        <w:t>Valuation adjustments</w:t>
      </w:r>
      <w:r w:rsidR="00EF33F4" w:rsidRPr="00CA1A43">
        <w:rPr>
          <w:rFonts w:eastAsia="標楷體" w:cstheme="minorHAnsi"/>
          <w:b/>
          <w:sz w:val="28"/>
          <w:szCs w:val="28"/>
        </w:rPr>
        <w:t>)</w:t>
      </w:r>
      <w:bookmarkEnd w:id="38"/>
    </w:p>
    <w:p w14:paraId="230EFAB8" w14:textId="77777777" w:rsidR="008A2EA5" w:rsidRPr="00CA1A43" w:rsidRDefault="008A2EA5" w:rsidP="00021D3C">
      <w:pPr>
        <w:pStyle w:val="a7"/>
        <w:numPr>
          <w:ilvl w:val="0"/>
          <w:numId w:val="324"/>
        </w:numPr>
        <w:spacing w:beforeLines="50" w:before="180"/>
        <w:ind w:leftChars="0" w:left="737" w:hanging="737"/>
        <w:jc w:val="both"/>
        <w:rPr>
          <w:rFonts w:eastAsia="標楷體" w:cstheme="minorHAnsi"/>
          <w:color w:val="000000"/>
          <w:kern w:val="0"/>
          <w:szCs w:val="24"/>
        </w:rPr>
      </w:pPr>
      <w:r w:rsidRPr="00CA1A43">
        <w:rPr>
          <w:rFonts w:eastAsia="標楷體" w:cstheme="minorHAnsi"/>
          <w:color w:val="000000"/>
          <w:kern w:val="0"/>
          <w:szCs w:val="24"/>
        </w:rPr>
        <w:t>如同市價評估的一部分，銀行必須建立及維護評價調整之作業程序。銀行如使用第三方評價資訊，包括模型評價時，應考量是否須進行評價調整。</w:t>
      </w:r>
    </w:p>
    <w:p w14:paraId="10B53937" w14:textId="77777777" w:rsidR="008A2EA5" w:rsidRPr="00CA1A43" w:rsidRDefault="008A2EA5" w:rsidP="00021D3C">
      <w:pPr>
        <w:pStyle w:val="a7"/>
        <w:numPr>
          <w:ilvl w:val="0"/>
          <w:numId w:val="324"/>
        </w:numPr>
        <w:spacing w:beforeLines="50" w:before="180"/>
        <w:ind w:leftChars="0" w:left="737" w:hanging="737"/>
        <w:jc w:val="both"/>
        <w:rPr>
          <w:rFonts w:eastAsia="標楷體" w:cstheme="minorHAnsi"/>
          <w:color w:val="000000"/>
          <w:kern w:val="0"/>
          <w:szCs w:val="24"/>
        </w:rPr>
      </w:pPr>
      <w:r w:rsidRPr="00CA1A43">
        <w:rPr>
          <w:rFonts w:eastAsia="標楷體" w:cstheme="minorHAnsi"/>
          <w:color w:val="000000"/>
          <w:kern w:val="0"/>
          <w:szCs w:val="24"/>
        </w:rPr>
        <w:t>銀行在進行評價調整時，至少須考量以下因素：未實現信用利差、平倉成本、作業風險、交易提前終止、投資和融資成本、未來的管理費用及模型風險等。</w:t>
      </w:r>
    </w:p>
    <w:p w14:paraId="1360BAB1" w14:textId="77777777" w:rsidR="008A2EA5" w:rsidRPr="00CA1A43" w:rsidRDefault="008A2EA5" w:rsidP="00021D3C">
      <w:pPr>
        <w:pStyle w:val="a7"/>
        <w:numPr>
          <w:ilvl w:val="0"/>
          <w:numId w:val="324"/>
        </w:numPr>
        <w:spacing w:beforeLines="50" w:before="180"/>
        <w:ind w:leftChars="0" w:left="737" w:hanging="737"/>
        <w:jc w:val="both"/>
        <w:rPr>
          <w:rFonts w:eastAsia="標楷體" w:cstheme="minorHAnsi"/>
          <w:color w:val="000000"/>
          <w:kern w:val="0"/>
          <w:szCs w:val="24"/>
        </w:rPr>
      </w:pPr>
      <w:r w:rsidRPr="00CA1A43">
        <w:rPr>
          <w:rFonts w:eastAsia="標楷體" w:cstheme="minorHAnsi"/>
          <w:color w:val="000000"/>
          <w:kern w:val="0"/>
          <w:szCs w:val="24"/>
        </w:rPr>
        <w:t>基於法定資本計提之目的，銀行必須建立和維護用來判斷及計算流動性欠佳部位之評價調整的相關程序，且無論該部位是以市場價格、可觀察參數、第三方報價或是模型評價。</w:t>
      </w:r>
    </w:p>
    <w:p w14:paraId="00E6C543" w14:textId="77777777" w:rsidR="008A2EA5" w:rsidRPr="00CA1A43" w:rsidRDefault="008A2EA5" w:rsidP="00021D3C">
      <w:pPr>
        <w:pStyle w:val="a7"/>
        <w:numPr>
          <w:ilvl w:val="0"/>
          <w:numId w:val="324"/>
        </w:numPr>
        <w:spacing w:beforeLines="50" w:before="180"/>
        <w:ind w:leftChars="0" w:left="737" w:hanging="737"/>
        <w:jc w:val="both"/>
        <w:rPr>
          <w:rFonts w:eastAsia="標楷體" w:cstheme="minorHAnsi"/>
          <w:color w:val="000000"/>
          <w:kern w:val="0"/>
          <w:szCs w:val="24"/>
        </w:rPr>
      </w:pPr>
      <w:r w:rsidRPr="00CA1A43">
        <w:rPr>
          <w:rFonts w:eastAsia="標楷體" w:cstheme="minorHAnsi"/>
          <w:color w:val="000000"/>
          <w:kern w:val="0"/>
          <w:szCs w:val="24"/>
        </w:rPr>
        <w:t>針對市場風險之資本計提要求，關於流動性的假設可能與銀行對於流動性欠佳部位處分或避險的能力不一致，銀行必須調整前述部位最近之評價，並持續檢視其適當性。流動性降低可能係因為市場事件之發生。銀行於調整時，應考慮過度集中部位或流動性欠佳部位之可能處分價格。銀行於決定流動性欠佳部位之評價調整，應考量所有相關因素，這些因素至少包括：進行平倉或將風險轉移所需時間、買賣價差之平均波動性、是否能取得公開市場報價</w:t>
      </w:r>
      <w:r w:rsidR="00021D3C" w:rsidRPr="00CA1A43">
        <w:rPr>
          <w:rFonts w:eastAsia="標楷體" w:cstheme="minorHAnsi"/>
          <w:color w:val="000000"/>
          <w:kern w:val="0"/>
          <w:szCs w:val="24"/>
        </w:rPr>
        <w:t>(</w:t>
      </w:r>
      <w:r w:rsidRPr="00CA1A43">
        <w:rPr>
          <w:rFonts w:eastAsia="標楷體" w:cstheme="minorHAnsi"/>
          <w:color w:val="000000"/>
          <w:kern w:val="0"/>
          <w:szCs w:val="24"/>
        </w:rPr>
        <w:t>包含市場壓力期間的交易量</w:t>
      </w:r>
      <w:r w:rsidR="00021D3C" w:rsidRPr="00CA1A43">
        <w:rPr>
          <w:rFonts w:eastAsia="標楷體" w:cstheme="minorHAnsi"/>
          <w:color w:val="000000"/>
          <w:kern w:val="0"/>
          <w:szCs w:val="24"/>
        </w:rPr>
        <w:t>)</w:t>
      </w:r>
      <w:r w:rsidRPr="00CA1A43">
        <w:rPr>
          <w:rFonts w:eastAsia="標楷體" w:cstheme="minorHAnsi"/>
          <w:color w:val="000000"/>
          <w:kern w:val="0"/>
          <w:szCs w:val="24"/>
        </w:rPr>
        <w:t>、市場集中度、部位持有</w:t>
      </w:r>
      <w:proofErr w:type="gramStart"/>
      <w:r w:rsidRPr="00CA1A43">
        <w:rPr>
          <w:rFonts w:eastAsia="標楷體" w:cstheme="minorHAnsi"/>
          <w:color w:val="000000"/>
          <w:kern w:val="0"/>
          <w:szCs w:val="24"/>
        </w:rPr>
        <w:t>期間、</w:t>
      </w:r>
      <w:proofErr w:type="gramEnd"/>
      <w:r w:rsidRPr="00CA1A43">
        <w:rPr>
          <w:rFonts w:eastAsia="標楷體" w:cstheme="minorHAnsi"/>
          <w:color w:val="000000"/>
          <w:kern w:val="0"/>
          <w:szCs w:val="24"/>
        </w:rPr>
        <w:t>依賴模型評價之程度、以及模型風險之影響。</w:t>
      </w:r>
    </w:p>
    <w:p w14:paraId="302A4E38" w14:textId="77777777" w:rsidR="008A2EA5" w:rsidRPr="00CA1A43" w:rsidRDefault="008A2EA5" w:rsidP="00021D3C">
      <w:pPr>
        <w:pStyle w:val="a7"/>
        <w:numPr>
          <w:ilvl w:val="0"/>
          <w:numId w:val="324"/>
        </w:numPr>
        <w:spacing w:beforeLines="50" w:before="180"/>
        <w:ind w:leftChars="0" w:left="737" w:hanging="737"/>
        <w:jc w:val="both"/>
        <w:rPr>
          <w:rFonts w:eastAsia="標楷體" w:cstheme="minorHAnsi"/>
          <w:color w:val="000000"/>
          <w:kern w:val="0"/>
          <w:szCs w:val="24"/>
        </w:rPr>
      </w:pPr>
      <w:r w:rsidRPr="00CA1A43">
        <w:rPr>
          <w:rFonts w:eastAsia="標楷體" w:cstheme="minorHAnsi"/>
          <w:color w:val="000000"/>
          <w:kern w:val="0"/>
          <w:szCs w:val="24"/>
        </w:rPr>
        <w:t>對於複雜的產品，包括但不限於</w:t>
      </w:r>
      <w:proofErr w:type="gramStart"/>
      <w:r w:rsidRPr="00CA1A43">
        <w:rPr>
          <w:rFonts w:eastAsia="標楷體" w:cstheme="minorHAnsi"/>
          <w:color w:val="000000"/>
          <w:kern w:val="0"/>
          <w:szCs w:val="24"/>
        </w:rPr>
        <w:t>證券化暴險</w:t>
      </w:r>
      <w:proofErr w:type="gramEnd"/>
      <w:r w:rsidRPr="00CA1A43">
        <w:rPr>
          <w:rFonts w:eastAsia="標楷體" w:cstheme="minorHAnsi"/>
          <w:color w:val="000000"/>
          <w:kern w:val="0"/>
          <w:szCs w:val="24"/>
        </w:rPr>
        <w:t>部位及第</w:t>
      </w:r>
      <w:r w:rsidRPr="00CA1A43">
        <w:rPr>
          <w:rFonts w:eastAsia="標楷體" w:cstheme="minorHAnsi"/>
          <w:color w:val="000000"/>
          <w:kern w:val="0"/>
          <w:szCs w:val="24"/>
        </w:rPr>
        <w:t>n</w:t>
      </w:r>
      <w:r w:rsidRPr="00CA1A43">
        <w:rPr>
          <w:rFonts w:eastAsia="標楷體" w:cstheme="minorHAnsi"/>
          <w:color w:val="000000"/>
          <w:kern w:val="0"/>
          <w:szCs w:val="24"/>
        </w:rPr>
        <w:t>次違約信用衍生性金融商品，銀行必須明確評估評價調整之需要，以反映下列兩種形式的模型風險：</w:t>
      </w:r>
    </w:p>
    <w:p w14:paraId="62077AA2" w14:textId="77777777" w:rsidR="008A2EA5" w:rsidRPr="00CA1A43" w:rsidRDefault="008A2EA5" w:rsidP="009B47D2">
      <w:pPr>
        <w:pStyle w:val="a7"/>
        <w:numPr>
          <w:ilvl w:val="0"/>
          <w:numId w:val="325"/>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使用可能不正確評價方法造成的模型風險。</w:t>
      </w:r>
    </w:p>
    <w:p w14:paraId="53F87859" w14:textId="77777777" w:rsidR="008A2EA5" w:rsidRPr="00CA1A43" w:rsidRDefault="008A2EA5" w:rsidP="009B47D2">
      <w:pPr>
        <w:pStyle w:val="a7"/>
        <w:numPr>
          <w:ilvl w:val="0"/>
          <w:numId w:val="325"/>
        </w:numPr>
        <w:spacing w:beforeLines="50" w:before="180"/>
        <w:ind w:leftChars="0" w:left="964" w:hanging="482"/>
        <w:jc w:val="both"/>
        <w:rPr>
          <w:rFonts w:eastAsia="標楷體" w:cstheme="minorHAnsi"/>
          <w:color w:val="000000"/>
          <w:kern w:val="0"/>
          <w:szCs w:val="24"/>
        </w:rPr>
      </w:pPr>
      <w:r w:rsidRPr="00CA1A43">
        <w:rPr>
          <w:rFonts w:eastAsia="標楷體" w:cstheme="minorHAnsi"/>
          <w:color w:val="000000"/>
          <w:kern w:val="0"/>
          <w:szCs w:val="24"/>
        </w:rPr>
        <w:t>評價模型中使用不可觀察</w:t>
      </w:r>
      <w:r w:rsidR="009B47D2" w:rsidRPr="00CA1A43">
        <w:rPr>
          <w:rFonts w:eastAsia="標楷體" w:cstheme="minorHAnsi"/>
          <w:color w:val="000000"/>
          <w:kern w:val="0"/>
          <w:szCs w:val="24"/>
        </w:rPr>
        <w:t>(</w:t>
      </w:r>
      <w:r w:rsidRPr="00CA1A43">
        <w:rPr>
          <w:rFonts w:eastAsia="標楷體" w:cstheme="minorHAnsi"/>
          <w:color w:val="000000"/>
          <w:kern w:val="0"/>
          <w:szCs w:val="24"/>
        </w:rPr>
        <w:t>或可能不正確</w:t>
      </w:r>
      <w:r w:rsidR="009B47D2" w:rsidRPr="00CA1A43">
        <w:rPr>
          <w:rFonts w:eastAsia="標楷體" w:cstheme="minorHAnsi"/>
          <w:color w:val="000000"/>
          <w:kern w:val="0"/>
          <w:szCs w:val="24"/>
        </w:rPr>
        <w:t>)</w:t>
      </w:r>
      <w:r w:rsidRPr="00CA1A43">
        <w:rPr>
          <w:rFonts w:eastAsia="標楷體" w:cstheme="minorHAnsi"/>
          <w:color w:val="000000"/>
          <w:kern w:val="0"/>
          <w:szCs w:val="24"/>
        </w:rPr>
        <w:t>之校準參數所產生的風險。</w:t>
      </w:r>
    </w:p>
    <w:p w14:paraId="7E2DC83E" w14:textId="77777777" w:rsidR="00DF4135" w:rsidRPr="00CA1A43" w:rsidRDefault="008A2EA5" w:rsidP="009B47D2">
      <w:pPr>
        <w:pStyle w:val="a7"/>
        <w:numPr>
          <w:ilvl w:val="0"/>
          <w:numId w:val="324"/>
        </w:numPr>
        <w:spacing w:beforeLines="50" w:before="180"/>
        <w:ind w:leftChars="0" w:left="737" w:hanging="737"/>
        <w:jc w:val="both"/>
        <w:rPr>
          <w:rFonts w:eastAsia="標楷體" w:cstheme="minorHAnsi"/>
          <w:szCs w:val="24"/>
        </w:rPr>
      </w:pPr>
      <w:r w:rsidRPr="00CA1A43">
        <w:rPr>
          <w:rFonts w:eastAsia="標楷體" w:cstheme="minorHAnsi"/>
          <w:color w:val="000000"/>
          <w:kern w:val="0"/>
          <w:szCs w:val="24"/>
        </w:rPr>
        <w:t>銀行依本規定對流動性欠佳部位之評價調整，可能超過銀行依財務會計準則所規範之標準，其差額必須反映至普通股權益第一類資本。</w:t>
      </w:r>
    </w:p>
    <w:sectPr w:rsidR="00DF4135" w:rsidRPr="00CA1A43" w:rsidSect="009C4EE5">
      <w:footnotePr>
        <w:pos w:val="beneathText"/>
      </w:footnotePr>
      <w:endnotePr>
        <w:numFmt w:val="decimal"/>
      </w:endnotePr>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C7826" w14:textId="77777777" w:rsidR="00BD20A5" w:rsidRDefault="00BD20A5" w:rsidP="002168DB">
      <w:r>
        <w:separator/>
      </w:r>
    </w:p>
  </w:endnote>
  <w:endnote w:type="continuationSeparator" w:id="0">
    <w:p w14:paraId="541E2588" w14:textId="77777777" w:rsidR="00BD20A5" w:rsidRDefault="00BD20A5" w:rsidP="0021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01806"/>
      <w:docPartObj>
        <w:docPartGallery w:val="Page Numbers (Bottom of Page)"/>
        <w:docPartUnique/>
      </w:docPartObj>
    </w:sdtPr>
    <w:sdtEndPr>
      <w:rPr>
        <w:rFonts w:ascii="Times New Roman" w:hAnsi="Times New Roman" w:cs="Times New Roman"/>
      </w:rPr>
    </w:sdtEndPr>
    <w:sdtContent>
      <w:p w14:paraId="62684430" w14:textId="756D9333" w:rsidR="00BD20A5" w:rsidRPr="001D5E9B" w:rsidRDefault="00BD20A5">
        <w:pPr>
          <w:pStyle w:val="af1"/>
          <w:jc w:val="right"/>
          <w:rPr>
            <w:rFonts w:ascii="Times New Roman" w:hAnsi="Times New Roman" w:cs="Times New Roman"/>
          </w:rPr>
        </w:pPr>
        <w:r w:rsidRPr="001D5E9B">
          <w:rPr>
            <w:rFonts w:ascii="Times New Roman" w:hAnsi="Times New Roman" w:cs="Times New Roman"/>
          </w:rPr>
          <w:fldChar w:fldCharType="begin"/>
        </w:r>
        <w:r w:rsidRPr="001D5E9B">
          <w:rPr>
            <w:rFonts w:ascii="Times New Roman" w:hAnsi="Times New Roman" w:cs="Times New Roman"/>
          </w:rPr>
          <w:instrText xml:space="preserve"> PAGE   \* MERGEFORMAT </w:instrText>
        </w:r>
        <w:r w:rsidRPr="001D5E9B">
          <w:rPr>
            <w:rFonts w:ascii="Times New Roman" w:hAnsi="Times New Roman" w:cs="Times New Roman"/>
          </w:rPr>
          <w:fldChar w:fldCharType="separate"/>
        </w:r>
        <w:r w:rsidR="00AA1117" w:rsidRPr="00AA1117">
          <w:rPr>
            <w:rFonts w:ascii="Times New Roman" w:hAnsi="Times New Roman" w:cs="Times New Roman"/>
            <w:noProof/>
            <w:lang w:val="zh-TW"/>
          </w:rPr>
          <w:t>I</w:t>
        </w:r>
        <w:r w:rsidRPr="001D5E9B">
          <w:rPr>
            <w:rFonts w:ascii="Times New Roman" w:hAnsi="Times New Roman" w:cs="Times New Roman"/>
          </w:rPr>
          <w:fldChar w:fldCharType="end"/>
        </w:r>
      </w:p>
    </w:sdtContent>
  </w:sdt>
  <w:p w14:paraId="550CD6E1" w14:textId="77777777" w:rsidR="00BD20A5" w:rsidRPr="00796A3A" w:rsidRDefault="00BD20A5" w:rsidP="00B04106">
    <w:pPr>
      <w:pStyle w:val="af1"/>
      <w:rPr>
        <w:rFonts w:ascii="標楷體" w:eastAsia="標楷體" w:hAnsi="標楷體"/>
        <w:sz w:val="16"/>
        <w:szCs w:val="16"/>
      </w:rPr>
    </w:pPr>
    <w:r w:rsidRPr="00796A3A">
      <w:rPr>
        <w:rFonts w:ascii="標楷體" w:eastAsia="標楷體" w:hAnsi="標楷體" w:hint="eastAsia"/>
        <w:sz w:val="16"/>
        <w:szCs w:val="16"/>
      </w:rPr>
      <w:t>市場風險之最低資本要求</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8A03F" w14:textId="77777777" w:rsidR="00BD20A5" w:rsidRDefault="00BD20A5" w:rsidP="002168DB">
      <w:r>
        <w:separator/>
      </w:r>
    </w:p>
  </w:footnote>
  <w:footnote w:type="continuationSeparator" w:id="0">
    <w:p w14:paraId="56F62FF8" w14:textId="77777777" w:rsidR="00BD20A5" w:rsidRDefault="00BD20A5" w:rsidP="002168DB">
      <w:r>
        <w:continuationSeparator/>
      </w:r>
    </w:p>
  </w:footnote>
  <w:footnote w:id="1">
    <w:p w14:paraId="33E7A4C1" w14:textId="77777777" w:rsidR="001A16FB" w:rsidRPr="00796434" w:rsidRDefault="001A16FB" w:rsidP="001A16FB">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89611B">
        <w:rPr>
          <w:rFonts w:eastAsia="標楷體" w:cstheme="minorHAnsi"/>
        </w:rPr>
        <w:t>如國外營運機構淨投資金額，包括資本金匯出入、未</w:t>
      </w:r>
      <w:proofErr w:type="gramStart"/>
      <w:r w:rsidRPr="0089611B">
        <w:rPr>
          <w:rFonts w:eastAsia="標楷體" w:cstheme="minorHAnsi"/>
        </w:rPr>
        <w:t>匯</w:t>
      </w:r>
      <w:proofErr w:type="gramEnd"/>
      <w:r w:rsidRPr="0089611B">
        <w:rPr>
          <w:rFonts w:eastAsia="標楷體" w:cstheme="minorHAnsi"/>
        </w:rPr>
        <w:t>回之保留盈餘與當期盈餘等。</w:t>
      </w:r>
    </w:p>
  </w:footnote>
  <w:footnote w:id="2">
    <w:p w14:paraId="0CFB09E6" w14:textId="77777777" w:rsidR="00BD20A5" w:rsidRPr="00796434" w:rsidRDefault="00BD20A5" w:rsidP="00B87CCC">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89611B">
        <w:rPr>
          <w:rFonts w:eastAsia="標楷體" w:cstheme="minorHAnsi"/>
        </w:rPr>
        <w:t>非</w:t>
      </w:r>
      <w:r w:rsidRPr="0089611B">
        <w:rPr>
          <w:rFonts w:eastAsia="標楷體" w:cstheme="minorHAnsi"/>
        </w:rPr>
        <w:t>100%</w:t>
      </w:r>
      <w:r w:rsidRPr="0089611B">
        <w:rPr>
          <w:rFonts w:eastAsia="標楷體" w:cstheme="minorHAnsi"/>
        </w:rPr>
        <w:t>持有之子公司部位，將</w:t>
      </w:r>
      <w:proofErr w:type="gramStart"/>
      <w:r w:rsidRPr="0089611B">
        <w:rPr>
          <w:rFonts w:eastAsia="標楷體" w:cstheme="minorHAnsi"/>
        </w:rPr>
        <w:t>依循母公司</w:t>
      </w:r>
      <w:proofErr w:type="gramEnd"/>
      <w:r w:rsidRPr="0089611B">
        <w:rPr>
          <w:rFonts w:eastAsia="標楷體" w:cstheme="minorHAnsi"/>
        </w:rPr>
        <w:t>所在國家的一般公認會計原則。</w:t>
      </w:r>
    </w:p>
  </w:footnote>
  <w:footnote w:id="3">
    <w:p w14:paraId="15B7816B" w14:textId="3C3D3A5D" w:rsidR="00BD20A5" w:rsidRPr="00796434" w:rsidRDefault="00BD20A5" w:rsidP="00B87CCC">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89611B">
        <w:rPr>
          <w:rFonts w:eastAsia="標楷體" w:cstheme="minorHAnsi"/>
        </w:rPr>
        <w:t>在</w:t>
      </w:r>
      <w:r w:rsidRPr="0089611B">
        <w:rPr>
          <w:rFonts w:eastAsia="標楷體" w:cstheme="minorHAnsi"/>
        </w:rPr>
        <w:t>IAS 39</w:t>
      </w:r>
      <w:r w:rsidRPr="0089611B">
        <w:rPr>
          <w:rFonts w:eastAsia="標楷體" w:cstheme="minorHAnsi"/>
        </w:rPr>
        <w:t>下，</w:t>
      </w:r>
      <w:r w:rsidRPr="00456FCF">
        <w:rPr>
          <w:rFonts w:eastAsia="標楷體" w:cstheme="minorHAnsi"/>
        </w:rPr>
        <w:t>工具被認列為</w:t>
      </w:r>
      <w:r w:rsidRPr="00456FCF">
        <w:rPr>
          <w:rFonts w:ascii="Calibri" w:eastAsia="標楷體" w:hAnsi="Calibri" w:cs="Calibri"/>
        </w:rPr>
        <w:t>“</w:t>
      </w:r>
      <w:r w:rsidRPr="00456FCF">
        <w:rPr>
          <w:rFonts w:eastAsia="標楷體" w:cstheme="minorHAnsi"/>
        </w:rPr>
        <w:t>持有供交易</w:t>
      </w:r>
      <w:r w:rsidRPr="00456FCF">
        <w:rPr>
          <w:rFonts w:ascii="Calibri" w:eastAsia="標楷體" w:hAnsi="Calibri" w:cs="Calibri"/>
        </w:rPr>
        <w:t>”</w:t>
      </w:r>
      <w:r w:rsidRPr="00456FCF">
        <w:rPr>
          <w:rFonts w:eastAsia="標楷體" w:cstheme="minorHAnsi"/>
        </w:rPr>
        <w:t>的會計科目下。在</w:t>
      </w:r>
      <w:r w:rsidRPr="00456FCF">
        <w:rPr>
          <w:rFonts w:eastAsia="標楷體" w:cstheme="minorHAnsi"/>
        </w:rPr>
        <w:t xml:space="preserve">IFRS9 </w:t>
      </w:r>
      <w:r w:rsidRPr="00456FCF">
        <w:rPr>
          <w:rFonts w:eastAsia="標楷體" w:cstheme="minorHAnsi"/>
        </w:rPr>
        <w:t>下，工具納入交易經營模式且帳列為透過損益按公允價值衡量會計科目，若銀行帳列於前述會計科目之工具排</w:t>
      </w:r>
      <w:r w:rsidRPr="0089611B">
        <w:rPr>
          <w:rFonts w:eastAsia="標楷體" w:cstheme="minorHAnsi"/>
        </w:rPr>
        <w:t>除於交易簿，須於交易</w:t>
      </w:r>
      <w:proofErr w:type="gramStart"/>
      <w:r w:rsidRPr="0089611B">
        <w:rPr>
          <w:rFonts w:eastAsia="標楷體" w:cstheme="minorHAnsi"/>
        </w:rPr>
        <w:t>簿</w:t>
      </w:r>
      <w:proofErr w:type="gramEnd"/>
      <w:r w:rsidRPr="0089611B">
        <w:rPr>
          <w:rFonts w:eastAsia="標楷體" w:cstheme="minorHAnsi"/>
        </w:rPr>
        <w:t>管理之相關政策及程序制定排除規範。</w:t>
      </w:r>
    </w:p>
  </w:footnote>
  <w:footnote w:id="4">
    <w:p w14:paraId="3BEC9693" w14:textId="77777777" w:rsidR="00BD20A5" w:rsidRPr="00796434" w:rsidRDefault="00BD20A5" w:rsidP="00B87CCC">
      <w:pPr>
        <w:pStyle w:val="a3"/>
        <w:rPr>
          <w:rFonts w:ascii="Times New Roman" w:eastAsia="標楷體" w:hAnsi="Times New Roman" w:cs="Times New Roman"/>
          <w:sz w:val="16"/>
          <w:szCs w:val="16"/>
        </w:rPr>
      </w:pPr>
      <w:r w:rsidRPr="00796434">
        <w:rPr>
          <w:rStyle w:val="a5"/>
          <w:rFonts w:ascii="Times New Roman" w:eastAsia="標楷體" w:hAnsi="Times New Roman" w:cs="Times New Roman"/>
          <w:sz w:val="16"/>
          <w:szCs w:val="16"/>
        </w:rPr>
        <w:footnoteRef/>
      </w:r>
      <w:r w:rsidRPr="0089611B">
        <w:rPr>
          <w:rFonts w:eastAsia="標楷體" w:cstheme="minorHAnsi"/>
        </w:rPr>
        <w:t>下列上市櫃權益證券可被排除於</w:t>
      </w:r>
      <w:proofErr w:type="gramStart"/>
      <w:r w:rsidRPr="0089611B">
        <w:rPr>
          <w:rFonts w:eastAsia="標楷體" w:cstheme="minorHAnsi"/>
        </w:rPr>
        <w:t>交易簿外</w:t>
      </w:r>
      <w:proofErr w:type="gramEnd"/>
      <w:r w:rsidRPr="0089611B">
        <w:rPr>
          <w:rFonts w:eastAsia="標楷體" w:cstheme="minorHAnsi"/>
        </w:rPr>
        <w:t>：於遞延補償計畫產生之權益證券部位、可轉換負債有價證券、利息以股權酬金</w:t>
      </w:r>
      <w:r w:rsidRPr="0089611B">
        <w:rPr>
          <w:rFonts w:eastAsia="標楷體" w:cstheme="minorHAnsi"/>
        </w:rPr>
        <w:t>(equity kickers)</w:t>
      </w:r>
      <w:r w:rsidRPr="0089611B">
        <w:rPr>
          <w:rFonts w:eastAsia="標楷體" w:cstheme="minorHAnsi"/>
        </w:rPr>
        <w:t>形式支付的放款產品、以先前之負債合約產生的權益證券、銀行擁有的人壽保險產品，及法定計畫。</w:t>
      </w:r>
    </w:p>
  </w:footnote>
  <w:footnote w:id="5">
    <w:p w14:paraId="6FA041B7" w14:textId="2CFFF4E8" w:rsidR="00BD20A5" w:rsidRPr="00FF6371" w:rsidRDefault="00BD20A5" w:rsidP="00FF6371">
      <w:pPr>
        <w:pStyle w:val="a3"/>
        <w:rPr>
          <w:rFonts w:eastAsia="標楷體" w:cstheme="minorHAnsi"/>
        </w:rPr>
      </w:pPr>
      <w:r w:rsidRPr="00FF6371">
        <w:rPr>
          <w:rStyle w:val="a5"/>
          <w:rFonts w:ascii="Times New Roman" w:eastAsia="標楷體" w:hAnsi="Times New Roman" w:cs="Times New Roman"/>
          <w:sz w:val="16"/>
          <w:szCs w:val="16"/>
        </w:rPr>
        <w:footnoteRef/>
      </w:r>
      <w:r w:rsidRPr="00FF6371">
        <w:rPr>
          <w:rFonts w:eastAsia="標楷體" w:cstheme="minorHAnsi"/>
        </w:rPr>
        <w:t>從銀行自己的銀行</w:t>
      </w:r>
      <w:proofErr w:type="gramStart"/>
      <w:r w:rsidRPr="00FF6371">
        <w:rPr>
          <w:rFonts w:eastAsia="標楷體" w:cstheme="minorHAnsi"/>
        </w:rPr>
        <w:t>簿</w:t>
      </w:r>
      <w:proofErr w:type="gramEnd"/>
      <w:r w:rsidRPr="00FF6371">
        <w:rPr>
          <w:rFonts w:eastAsia="標楷體" w:cstheme="minorHAnsi"/>
        </w:rPr>
        <w:t>發行的負債包含嵌入式衍生性商品並且符合</w:t>
      </w:r>
      <w:proofErr w:type="gramStart"/>
      <w:r w:rsidRPr="00FF6371">
        <w:rPr>
          <w:rFonts w:eastAsia="標楷體" w:cstheme="minorHAnsi"/>
        </w:rPr>
        <w:t>第四大點第</w:t>
      </w:r>
      <w:proofErr w:type="gramEnd"/>
      <w:r w:rsidRPr="00FF6371">
        <w:rPr>
          <w:rFonts w:eastAsia="標楷體" w:cstheme="minorHAnsi"/>
        </w:rPr>
        <w:t>(</w:t>
      </w:r>
      <w:r w:rsidRPr="00FF6371">
        <w:rPr>
          <w:rFonts w:eastAsia="標楷體" w:cstheme="minorHAnsi"/>
        </w:rPr>
        <w:t>三</w:t>
      </w:r>
      <w:r w:rsidRPr="00FF6371">
        <w:rPr>
          <w:rFonts w:eastAsia="標楷體" w:cstheme="minorHAnsi"/>
        </w:rPr>
        <w:t>)</w:t>
      </w:r>
      <w:r w:rsidRPr="00FF6371">
        <w:rPr>
          <w:rFonts w:eastAsia="標楷體" w:cstheme="minorHAnsi"/>
        </w:rPr>
        <w:t>點第</w:t>
      </w:r>
      <w:r w:rsidRPr="00FF6371">
        <w:rPr>
          <w:rFonts w:eastAsia="標楷體" w:cstheme="minorHAnsi"/>
        </w:rPr>
        <w:t>6</w:t>
      </w:r>
      <w:r w:rsidRPr="00FF6371">
        <w:rPr>
          <w:rFonts w:eastAsia="標楷體" w:cstheme="minorHAnsi"/>
        </w:rPr>
        <w:t>項標準的應該要被分群。</w:t>
      </w:r>
    </w:p>
    <w:p w14:paraId="7205EF15" w14:textId="77777777" w:rsidR="00BD20A5" w:rsidRPr="000F5625" w:rsidRDefault="00BD20A5" w:rsidP="00FF6371">
      <w:pPr>
        <w:pStyle w:val="a3"/>
        <w:rPr>
          <w:rFonts w:eastAsia="標楷體" w:cstheme="minorHAnsi"/>
        </w:rPr>
      </w:pPr>
      <w:r w:rsidRPr="000F5625">
        <w:rPr>
          <w:rFonts w:eastAsia="標楷體" w:cstheme="minorHAnsi"/>
        </w:rPr>
        <w:t>這代表銀行要將負債分成兩部分：</w:t>
      </w:r>
      <w:r w:rsidRPr="000F5625">
        <w:rPr>
          <w:rFonts w:eastAsia="標楷體" w:cstheme="minorHAnsi"/>
        </w:rPr>
        <w:t>(</w:t>
      </w:r>
      <w:proofErr w:type="spellStart"/>
      <w:r w:rsidRPr="000F5625">
        <w:rPr>
          <w:rFonts w:eastAsia="標楷體" w:cstheme="minorHAnsi"/>
        </w:rPr>
        <w:t>i</w:t>
      </w:r>
      <w:proofErr w:type="spellEnd"/>
      <w:r w:rsidRPr="000F5625">
        <w:rPr>
          <w:rFonts w:eastAsia="標楷體" w:cstheme="minorHAnsi"/>
        </w:rPr>
        <w:t>)</w:t>
      </w:r>
      <w:r w:rsidRPr="000F5625">
        <w:rPr>
          <w:rFonts w:eastAsia="標楷體" w:cstheme="minorHAnsi"/>
        </w:rPr>
        <w:t>分配到交易簿的嵌入式衍生性商品和</w:t>
      </w:r>
      <w:r w:rsidRPr="000F5625">
        <w:rPr>
          <w:rFonts w:eastAsia="標楷體" w:cstheme="minorHAnsi"/>
        </w:rPr>
        <w:t>(ii)</w:t>
      </w:r>
      <w:r w:rsidRPr="000F5625">
        <w:rPr>
          <w:rFonts w:eastAsia="標楷體" w:cstheme="minorHAnsi"/>
        </w:rPr>
        <w:t>剩餘負債仍維持銀行簿。這種分群不需要內部風險轉移。</w:t>
      </w:r>
    </w:p>
    <w:p w14:paraId="68B1DE28" w14:textId="77777777" w:rsidR="00BD20A5" w:rsidRPr="000F5625" w:rsidRDefault="00BD20A5" w:rsidP="00FF6371">
      <w:pPr>
        <w:pStyle w:val="a3"/>
        <w:rPr>
          <w:rFonts w:ascii="Times New Roman" w:eastAsia="標楷體" w:hAnsi="Times New Roman" w:cs="Times New Roman"/>
        </w:rPr>
      </w:pPr>
      <w:r w:rsidRPr="000F5625">
        <w:rPr>
          <w:rFonts w:eastAsia="標楷體" w:cstheme="minorHAnsi"/>
        </w:rPr>
        <w:t>當這類負債被解約或嵌入式選擇權被執行時，概念上交易簿和銀行</w:t>
      </w:r>
      <w:proofErr w:type="gramStart"/>
      <w:r w:rsidRPr="000F5625">
        <w:rPr>
          <w:rFonts w:eastAsia="標楷體" w:cstheme="minorHAnsi"/>
        </w:rPr>
        <w:t>簿</w:t>
      </w:r>
      <w:proofErr w:type="gramEnd"/>
      <w:r w:rsidRPr="000F5625">
        <w:rPr>
          <w:rFonts w:eastAsia="標楷體" w:cstheme="minorHAnsi"/>
        </w:rPr>
        <w:t>組成部位之解約與執行將同時發生；故交易簿和銀行</w:t>
      </w:r>
      <w:proofErr w:type="gramStart"/>
      <w:r w:rsidRPr="000F5625">
        <w:rPr>
          <w:rFonts w:eastAsia="標楷體" w:cstheme="minorHAnsi"/>
        </w:rPr>
        <w:t>簿</w:t>
      </w:r>
      <w:proofErr w:type="gramEnd"/>
      <w:r w:rsidRPr="000F5625">
        <w:rPr>
          <w:rFonts w:eastAsia="標楷體" w:cstheme="minorHAnsi"/>
        </w:rPr>
        <w:t>之間不需要移轉。</w:t>
      </w:r>
    </w:p>
  </w:footnote>
  <w:footnote w:id="6">
    <w:p w14:paraId="0FC94C0B" w14:textId="1497583E" w:rsidR="00BD20A5" w:rsidRPr="00B56D0D" w:rsidRDefault="00BD20A5" w:rsidP="00B56D0D">
      <w:pPr>
        <w:pStyle w:val="a3"/>
        <w:rPr>
          <w:rFonts w:eastAsia="標楷體" w:cstheme="minorHAnsi"/>
        </w:rPr>
      </w:pPr>
      <w:r w:rsidRPr="00B56D0D">
        <w:rPr>
          <w:rStyle w:val="a5"/>
          <w:rFonts w:ascii="Times New Roman" w:eastAsia="標楷體" w:hAnsi="Times New Roman" w:cs="Times New Roman"/>
          <w:sz w:val="16"/>
          <w:szCs w:val="16"/>
        </w:rPr>
        <w:footnoteRef/>
      </w:r>
      <w:r w:rsidRPr="00B56D0D">
        <w:rPr>
          <w:rFonts w:eastAsia="標楷體" w:cstheme="minorHAnsi"/>
        </w:rPr>
        <w:t>無論在任何情況，不允許將部位從</w:t>
      </w:r>
      <w:proofErr w:type="gramStart"/>
      <w:r w:rsidRPr="00B56D0D">
        <w:rPr>
          <w:rFonts w:eastAsia="標楷體" w:cstheme="minorHAnsi"/>
        </w:rPr>
        <w:t>一個簿別</w:t>
      </w:r>
      <w:proofErr w:type="gramEnd"/>
      <w:r w:rsidRPr="00B56D0D">
        <w:rPr>
          <w:rFonts w:eastAsia="標楷體" w:cstheme="minorHAnsi"/>
        </w:rPr>
        <w:t>轉換到</w:t>
      </w:r>
      <w:proofErr w:type="gramStart"/>
      <w:r w:rsidRPr="00B56D0D">
        <w:rPr>
          <w:rFonts w:eastAsia="標楷體" w:cstheme="minorHAnsi"/>
        </w:rPr>
        <w:t>另一個簿別的</w:t>
      </w:r>
      <w:proofErr w:type="gramEnd"/>
      <w:r w:rsidRPr="00B56D0D">
        <w:rPr>
          <w:rFonts w:eastAsia="標楷體" w:cstheme="minorHAnsi"/>
        </w:rPr>
        <w:t>資本套利。因此這和銀行判斷轉換或無法控制無關，例如股票下市。</w:t>
      </w:r>
    </w:p>
  </w:footnote>
  <w:footnote w:id="7">
    <w:p w14:paraId="3876EE48" w14:textId="06FAFAFD" w:rsidR="00BD20A5" w:rsidRPr="00B56D0D" w:rsidRDefault="00BD20A5" w:rsidP="00D212C0">
      <w:pPr>
        <w:pStyle w:val="a3"/>
        <w:rPr>
          <w:rFonts w:eastAsia="標楷體" w:cstheme="minorHAnsi"/>
        </w:rPr>
      </w:pPr>
      <w:r w:rsidRPr="00B56D0D">
        <w:rPr>
          <w:rStyle w:val="a5"/>
          <w:rFonts w:ascii="Times New Roman" w:eastAsia="標楷體" w:hAnsi="Times New Roman" w:cs="Times New Roman"/>
          <w:sz w:val="16"/>
          <w:szCs w:val="16"/>
        </w:rPr>
        <w:footnoteRef/>
      </w:r>
      <w:r w:rsidRPr="0089611B">
        <w:rPr>
          <w:rFonts w:eastAsia="標楷體" w:cstheme="minorHAnsi"/>
        </w:rPr>
        <w:t>根據</w:t>
      </w:r>
      <w:r w:rsidRPr="00E32507">
        <w:rPr>
          <w:rFonts w:eastAsia="標楷體" w:cstheme="minorHAnsi" w:hint="eastAsia"/>
        </w:rPr>
        <w:t>第二部分信用風險標準法第三章第四大點第</w:t>
      </w:r>
      <w:r w:rsidRPr="00E32507">
        <w:rPr>
          <w:rFonts w:eastAsia="標楷體" w:cstheme="minorHAnsi" w:hint="eastAsia"/>
        </w:rPr>
        <w:t>6</w:t>
      </w:r>
      <w:r w:rsidRPr="00E32507">
        <w:rPr>
          <w:rFonts w:eastAsia="標楷體" w:cstheme="minorHAnsi" w:hint="eastAsia"/>
        </w:rPr>
        <w:t>點</w:t>
      </w:r>
      <w:r w:rsidRPr="00E32507">
        <w:rPr>
          <w:rFonts w:eastAsia="標楷體" w:cstheme="minorHAnsi" w:hint="eastAsia"/>
        </w:rPr>
        <w:t>(1).a</w:t>
      </w:r>
      <w:r w:rsidRPr="0089611B">
        <w:rPr>
          <w:rFonts w:eastAsia="標楷體" w:cstheme="minorHAnsi"/>
        </w:rPr>
        <w:t>，不具重組義務之信用衍生性商品，其被認可的信用風險抵減效果以</w:t>
      </w:r>
      <w:r w:rsidRPr="0089611B">
        <w:rPr>
          <w:rFonts w:eastAsia="標楷體" w:cstheme="minorHAnsi"/>
        </w:rPr>
        <w:t>60%</w:t>
      </w:r>
      <w:r w:rsidRPr="0089611B">
        <w:rPr>
          <w:rFonts w:eastAsia="標楷體" w:cstheme="minorHAnsi"/>
        </w:rPr>
        <w:t>金額為上限，僅適用於法定資本目的之銀行</w:t>
      </w:r>
      <w:proofErr w:type="gramStart"/>
      <w:r w:rsidRPr="0089611B">
        <w:rPr>
          <w:rFonts w:eastAsia="標楷體" w:cstheme="minorHAnsi"/>
        </w:rPr>
        <w:t>簿</w:t>
      </w:r>
      <w:proofErr w:type="gramEnd"/>
      <w:r w:rsidRPr="0007711C">
        <w:rPr>
          <w:rFonts w:eastAsia="標楷體" w:cstheme="minorHAnsi"/>
        </w:rPr>
        <w:t>工具</w:t>
      </w:r>
      <w:r w:rsidRPr="0089611B">
        <w:rPr>
          <w:rFonts w:eastAsia="標楷體" w:cstheme="minorHAnsi"/>
        </w:rPr>
        <w:t>，而不適用於內部風險移轉。</w:t>
      </w:r>
    </w:p>
  </w:footnote>
  <w:footnote w:id="8">
    <w:p w14:paraId="45A0010B" w14:textId="6B62719A" w:rsidR="00BD20A5" w:rsidRPr="00B56D0D" w:rsidRDefault="00BD20A5" w:rsidP="00D212C0">
      <w:pPr>
        <w:pStyle w:val="a3"/>
        <w:rPr>
          <w:rFonts w:eastAsia="標楷體" w:cstheme="minorHAnsi"/>
        </w:rPr>
      </w:pPr>
      <w:r w:rsidRPr="00B56D0D">
        <w:rPr>
          <w:rStyle w:val="a5"/>
          <w:rFonts w:ascii="Times New Roman" w:eastAsia="標楷體" w:hAnsi="Times New Roman" w:cs="Times New Roman"/>
          <w:sz w:val="16"/>
          <w:szCs w:val="16"/>
        </w:rPr>
        <w:footnoteRef/>
      </w:r>
      <w:r w:rsidRPr="0089611B">
        <w:rPr>
          <w:rFonts w:eastAsia="標楷體" w:cstheme="minorHAnsi"/>
        </w:rPr>
        <w:t>被其相對應之內部風險移轉過度避險的銀行</w:t>
      </w:r>
      <w:proofErr w:type="gramStart"/>
      <w:r w:rsidRPr="0089611B">
        <w:rPr>
          <w:rFonts w:eastAsia="標楷體" w:cstheme="minorHAnsi"/>
        </w:rPr>
        <w:t>簿</w:t>
      </w:r>
      <w:proofErr w:type="gramEnd"/>
      <w:r w:rsidRPr="0007711C">
        <w:rPr>
          <w:rFonts w:eastAsia="標楷體" w:cstheme="minorHAnsi"/>
        </w:rPr>
        <w:t>工具</w:t>
      </w:r>
      <w:r w:rsidRPr="0089611B">
        <w:rPr>
          <w:rFonts w:eastAsia="標楷體" w:cstheme="minorHAnsi"/>
        </w:rPr>
        <w:t>，將在銀行簿裡產生短</w:t>
      </w:r>
      <w:r w:rsidRPr="0089611B">
        <w:rPr>
          <w:rFonts w:eastAsia="標楷體" w:cstheme="minorHAnsi"/>
        </w:rPr>
        <w:t>(</w:t>
      </w:r>
      <w:r w:rsidRPr="0089611B">
        <w:rPr>
          <w:rFonts w:eastAsia="標楷體" w:cstheme="minorHAnsi"/>
        </w:rPr>
        <w:t>風險</w:t>
      </w:r>
      <w:r w:rsidRPr="0089611B">
        <w:rPr>
          <w:rFonts w:eastAsia="標楷體" w:cstheme="minorHAnsi"/>
        </w:rPr>
        <w:t>)</w:t>
      </w:r>
      <w:r w:rsidRPr="0089611B">
        <w:rPr>
          <w:rFonts w:eastAsia="標楷體" w:cstheme="minorHAnsi"/>
        </w:rPr>
        <w:t>部位。</w:t>
      </w:r>
    </w:p>
  </w:footnote>
  <w:footnote w:id="9">
    <w:p w14:paraId="2654E860" w14:textId="77777777" w:rsidR="00BD20A5" w:rsidRPr="00B56D0D" w:rsidRDefault="00BD20A5" w:rsidP="006A5B36">
      <w:pPr>
        <w:pStyle w:val="a3"/>
        <w:rPr>
          <w:rFonts w:eastAsia="標楷體" w:cstheme="minorHAnsi"/>
        </w:rPr>
      </w:pPr>
      <w:r w:rsidRPr="00B56D0D">
        <w:rPr>
          <w:rStyle w:val="a5"/>
          <w:rFonts w:ascii="Times New Roman" w:eastAsia="標楷體" w:hAnsi="Times New Roman" w:cs="Times New Roman"/>
          <w:sz w:val="16"/>
          <w:szCs w:val="16"/>
        </w:rPr>
        <w:footnoteRef/>
      </w:r>
      <w:r w:rsidRPr="00A71041">
        <w:rPr>
          <w:rFonts w:eastAsia="標楷體" w:cstheme="minorHAnsi" w:hint="eastAsia"/>
        </w:rPr>
        <w:t>雙向市場是否存在，端視該市場的買賣交易是否獨立且真實，使得合理價格</w:t>
      </w:r>
      <w:r w:rsidRPr="00A71041">
        <w:rPr>
          <w:rFonts w:eastAsia="標楷體" w:cstheme="minorHAnsi"/>
        </w:rPr>
        <w:t>(</w:t>
      </w:r>
      <w:r w:rsidRPr="00A71041">
        <w:rPr>
          <w:rFonts w:eastAsia="標楷體" w:cstheme="minorHAnsi" w:hint="eastAsia"/>
        </w:rPr>
        <w:t>收盤價或目前有競爭性的買賣報價</w:t>
      </w:r>
      <w:r w:rsidRPr="00A71041">
        <w:rPr>
          <w:rFonts w:eastAsia="標楷體" w:cstheme="minorHAnsi"/>
        </w:rPr>
        <w:t>)</w:t>
      </w:r>
      <w:r w:rsidRPr="00A71041">
        <w:rPr>
          <w:rFonts w:eastAsia="標楷體" w:cstheme="minorHAnsi" w:hint="eastAsia"/>
        </w:rPr>
        <w:t>能於一天之內取得，且依交易慣例於短時間內，以該合理價格進行交割。</w:t>
      </w:r>
    </w:p>
  </w:footnote>
  <w:footnote w:id="10">
    <w:p w14:paraId="22637B80" w14:textId="0BEA6628" w:rsidR="00BD20A5" w:rsidRPr="00B56D0D" w:rsidRDefault="00BD20A5" w:rsidP="00B147C6">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具有選擇權特性的</w:t>
      </w:r>
      <w:r w:rsidRPr="00BA48D5">
        <w:rPr>
          <w:rFonts w:eastAsia="標楷體" w:cstheme="minorHAnsi" w:hint="eastAsia"/>
        </w:rPr>
        <w:t>工具</w:t>
      </w:r>
      <w:r w:rsidRPr="006F6AB5">
        <w:rPr>
          <w:rFonts w:eastAsia="標楷體" w:cstheme="minorHAnsi" w:hint="eastAsia"/>
        </w:rPr>
        <w:t>如</w:t>
      </w:r>
      <w:r w:rsidRPr="006F6AB5">
        <w:rPr>
          <w:rFonts w:eastAsia="標楷體" w:cstheme="minorHAnsi" w:hint="eastAsia"/>
        </w:rPr>
        <w:t>(</w:t>
      </w:r>
      <w:r w:rsidRPr="006F6AB5">
        <w:rPr>
          <w:rFonts w:eastAsia="標楷體" w:cstheme="minorHAnsi" w:hint="eastAsia"/>
        </w:rPr>
        <w:t>但不限於</w:t>
      </w:r>
      <w:r w:rsidRPr="006F6AB5">
        <w:rPr>
          <w:rFonts w:eastAsia="標楷體" w:cstheme="minorHAnsi" w:hint="eastAsia"/>
        </w:rPr>
        <w:t>)</w:t>
      </w:r>
      <w:r w:rsidRPr="006F6AB5">
        <w:rPr>
          <w:rFonts w:eastAsia="標楷體" w:cstheme="minorHAnsi" w:hint="eastAsia"/>
        </w:rPr>
        <w:t>：買權、賣權、上下限選擇權、利率交換選擇權、界限選擇權與新奇選擇權。</w:t>
      </w:r>
    </w:p>
  </w:footnote>
  <w:footnote w:id="11">
    <w:p w14:paraId="5D85A20F" w14:textId="664B21F3" w:rsidR="00BD20A5" w:rsidRPr="00B56D0D" w:rsidRDefault="00BD20A5" w:rsidP="00B147C6">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包含有提前償還選擇權的</w:t>
      </w:r>
      <w:r w:rsidRPr="00BA48D5">
        <w:rPr>
          <w:rFonts w:eastAsia="標楷體" w:cstheme="minorHAnsi" w:hint="eastAsia"/>
        </w:rPr>
        <w:t>工具</w:t>
      </w:r>
      <w:r w:rsidRPr="006F6AB5">
        <w:rPr>
          <w:rFonts w:eastAsia="標楷體" w:cstheme="minorHAnsi" w:hint="eastAsia"/>
        </w:rPr>
        <w:t>如</w:t>
      </w:r>
      <w:r w:rsidRPr="006F6AB5">
        <w:rPr>
          <w:rFonts w:eastAsia="標楷體" w:cstheme="minorHAnsi"/>
        </w:rPr>
        <w:t>(</w:t>
      </w:r>
      <w:r w:rsidRPr="006F6AB5">
        <w:rPr>
          <w:rFonts w:eastAsia="標楷體" w:cstheme="minorHAnsi" w:hint="eastAsia"/>
        </w:rPr>
        <w:t>但不限於</w:t>
      </w:r>
      <w:r w:rsidRPr="006F6AB5">
        <w:rPr>
          <w:rFonts w:eastAsia="標楷體" w:cstheme="minorHAnsi"/>
        </w:rPr>
        <w:t>)</w:t>
      </w:r>
      <w:r w:rsidRPr="006F6AB5">
        <w:rPr>
          <w:rFonts w:eastAsia="標楷體" w:cstheme="minorHAnsi" w:hint="eastAsia"/>
        </w:rPr>
        <w:t>：債務人在契約到期日前得選擇償還一部分或全部本金且不用對於債權人少收的利息進行補償。</w:t>
      </w:r>
    </w:p>
  </w:footnote>
  <w:footnote w:id="12">
    <w:p w14:paraId="6AA6FB01" w14:textId="7F3225EE" w:rsidR="00BD20A5" w:rsidRPr="00B56D0D" w:rsidRDefault="00BD20A5" w:rsidP="00B147C6">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當</w:t>
      </w:r>
      <w:r w:rsidRPr="00BA48D5">
        <w:rPr>
          <w:rFonts w:eastAsia="標楷體" w:cstheme="minorHAnsi" w:hint="eastAsia"/>
        </w:rPr>
        <w:t>工具的現金流</w:t>
      </w:r>
      <w:proofErr w:type="gramStart"/>
      <w:r w:rsidRPr="00BA48D5">
        <w:rPr>
          <w:rFonts w:eastAsia="標楷體" w:cstheme="minorHAnsi" w:hint="eastAsia"/>
        </w:rPr>
        <w:t>可以用標的</w:t>
      </w:r>
      <w:proofErr w:type="gramEnd"/>
      <w:r w:rsidRPr="00BA48D5">
        <w:rPr>
          <w:rFonts w:eastAsia="標楷體" w:cstheme="minorHAnsi" w:hint="eastAsia"/>
        </w:rPr>
        <w:t>本金線性函數表示時，其就不具有選擇權特性的工具</w:t>
      </w:r>
      <w:r w:rsidRPr="00BA48D5">
        <w:rPr>
          <w:rFonts w:eastAsia="標楷體" w:cstheme="minorHAnsi" w:hint="eastAsia"/>
        </w:rPr>
        <w:t>(</w:t>
      </w:r>
      <w:r w:rsidRPr="00BA48D5">
        <w:rPr>
          <w:rFonts w:eastAsia="標楷體" w:cstheme="minorHAnsi" w:hint="eastAsia"/>
        </w:rPr>
        <w:t>例如：</w:t>
      </w:r>
      <w:proofErr w:type="gramStart"/>
      <w:r w:rsidRPr="00BA48D5">
        <w:rPr>
          <w:rFonts w:eastAsia="標楷體" w:cstheme="minorHAnsi" w:hint="eastAsia"/>
        </w:rPr>
        <w:t>由含息</w:t>
      </w:r>
      <w:proofErr w:type="gramEnd"/>
      <w:r w:rsidRPr="00BA48D5">
        <w:rPr>
          <w:rFonts w:eastAsia="標楷體" w:cstheme="minorHAnsi" w:hint="eastAsia"/>
        </w:rPr>
        <w:t>債券</w:t>
      </w:r>
      <w:r w:rsidRPr="006F6AB5">
        <w:rPr>
          <w:rFonts w:eastAsia="標楷體" w:cstheme="minorHAnsi" w:hint="eastAsia"/>
        </w:rPr>
        <w:t>所產生的現金流可以寫成一個線性函數</w:t>
      </w:r>
      <w:r w:rsidRPr="006F6AB5">
        <w:rPr>
          <w:rFonts w:eastAsia="標楷體" w:cstheme="minorHAnsi" w:hint="eastAsia"/>
        </w:rPr>
        <w:t>)</w:t>
      </w:r>
      <w:r w:rsidRPr="006F6AB5">
        <w:rPr>
          <w:rFonts w:eastAsia="標楷體" w:cstheme="minorHAnsi" w:hint="eastAsia"/>
        </w:rPr>
        <w:t>，因此，就不會受到</w:t>
      </w:r>
      <w:proofErr w:type="spellStart"/>
      <w:r w:rsidRPr="006F6AB5">
        <w:rPr>
          <w:rFonts w:eastAsia="標楷體" w:cstheme="minorHAnsi" w:hint="eastAsia"/>
        </w:rPr>
        <w:t>vega</w:t>
      </w:r>
      <w:proofErr w:type="spellEnd"/>
      <w:r w:rsidRPr="006F6AB5">
        <w:rPr>
          <w:rFonts w:eastAsia="標楷體" w:cstheme="minorHAnsi" w:hint="eastAsia"/>
        </w:rPr>
        <w:t>和</w:t>
      </w:r>
      <w:r w:rsidRPr="006F6AB5">
        <w:rPr>
          <w:rFonts w:eastAsia="標楷體" w:cstheme="minorHAnsi" w:hint="eastAsia"/>
        </w:rPr>
        <w:t xml:space="preserve">curvature </w:t>
      </w:r>
      <w:r w:rsidRPr="006F6AB5">
        <w:rPr>
          <w:rFonts w:eastAsia="標楷體" w:cstheme="minorHAnsi" w:hint="eastAsia"/>
        </w:rPr>
        <w:t>風險影響。</w:t>
      </w:r>
    </w:p>
  </w:footnote>
  <w:footnote w:id="13">
    <w:p w14:paraId="22F8423C" w14:textId="77777777" w:rsidR="00BD20A5" w:rsidRPr="00B56D0D" w:rsidRDefault="00BD20A5" w:rsidP="00582E35">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為建構各幣別的無風險</w:t>
      </w:r>
      <w:proofErr w:type="gramStart"/>
      <w:r w:rsidRPr="006F6AB5">
        <w:rPr>
          <w:rFonts w:eastAsia="標楷體" w:cstheme="minorHAnsi" w:hint="eastAsia"/>
        </w:rPr>
        <w:t>殖</w:t>
      </w:r>
      <w:proofErr w:type="gramEnd"/>
      <w:r w:rsidRPr="006F6AB5">
        <w:rPr>
          <w:rFonts w:eastAsia="標楷體" w:cstheme="minorHAnsi" w:hint="eastAsia"/>
        </w:rPr>
        <w:t>利率曲線，</w:t>
      </w:r>
      <w:r>
        <w:rPr>
          <w:rFonts w:eastAsia="標楷體" w:cstheme="minorHAnsi" w:hint="eastAsia"/>
        </w:rPr>
        <w:t>OIS</w:t>
      </w:r>
      <w:r w:rsidRPr="006F6AB5">
        <w:rPr>
          <w:rFonts w:eastAsia="標楷體" w:cstheme="minorHAnsi" w:hint="eastAsia"/>
        </w:rPr>
        <w:t>曲線</w:t>
      </w:r>
      <w:r w:rsidRPr="006F6AB5">
        <w:rPr>
          <w:rFonts w:eastAsia="標楷體" w:cstheme="minorHAnsi" w:hint="eastAsia"/>
        </w:rPr>
        <w:t>(</w:t>
      </w:r>
      <w:r w:rsidRPr="006F6AB5">
        <w:rPr>
          <w:rFonts w:eastAsia="標楷體" w:cstheme="minorHAnsi" w:hint="eastAsia"/>
        </w:rPr>
        <w:t>如：</w:t>
      </w:r>
      <w:proofErr w:type="spellStart"/>
      <w:r w:rsidRPr="006F6AB5">
        <w:rPr>
          <w:rFonts w:eastAsia="標楷體" w:cstheme="minorHAnsi" w:hint="eastAsia"/>
        </w:rPr>
        <w:t>Eonia</w:t>
      </w:r>
      <w:proofErr w:type="spellEnd"/>
      <w:r w:rsidRPr="006F6AB5">
        <w:rPr>
          <w:rFonts w:eastAsia="標楷體" w:cstheme="minorHAnsi" w:hint="eastAsia"/>
        </w:rPr>
        <w:t>或新的市場基準利率</w:t>
      </w:r>
      <w:r w:rsidRPr="006F6AB5">
        <w:rPr>
          <w:rFonts w:eastAsia="標楷體" w:cstheme="minorHAnsi" w:hint="eastAsia"/>
        </w:rPr>
        <w:t>)</w:t>
      </w:r>
      <w:r w:rsidRPr="006F6AB5">
        <w:rPr>
          <w:rFonts w:eastAsia="標楷體" w:cstheme="minorHAnsi" w:hint="eastAsia"/>
        </w:rPr>
        <w:t>和</w:t>
      </w:r>
      <w:r>
        <w:rPr>
          <w:rFonts w:eastAsia="標楷體" w:cstheme="minorHAnsi" w:hint="eastAsia"/>
        </w:rPr>
        <w:t>BOR</w:t>
      </w:r>
      <w:r w:rsidRPr="006F6AB5">
        <w:rPr>
          <w:rFonts w:eastAsia="標楷體" w:cstheme="minorHAnsi" w:hint="eastAsia"/>
        </w:rPr>
        <w:t>交換曲線</w:t>
      </w:r>
      <w:r w:rsidRPr="006F6AB5">
        <w:rPr>
          <w:rFonts w:eastAsia="標楷體" w:cstheme="minorHAnsi" w:hint="eastAsia"/>
        </w:rPr>
        <w:t>(</w:t>
      </w:r>
      <w:r w:rsidRPr="006F6AB5">
        <w:rPr>
          <w:rFonts w:eastAsia="標楷體" w:cstheme="minorHAnsi" w:hint="eastAsia"/>
        </w:rPr>
        <w:t>例如：</w:t>
      </w:r>
      <w:r w:rsidRPr="006F6AB5">
        <w:rPr>
          <w:rFonts w:eastAsia="標楷體" w:cstheme="minorHAnsi" w:hint="eastAsia"/>
        </w:rPr>
        <w:t xml:space="preserve">3M Euribor </w:t>
      </w:r>
      <w:r w:rsidRPr="006F6AB5">
        <w:rPr>
          <w:rFonts w:eastAsia="標楷體" w:cstheme="minorHAnsi" w:hint="eastAsia"/>
        </w:rPr>
        <w:t>或其他的市場基準利率</w:t>
      </w:r>
      <w:r w:rsidRPr="006F6AB5">
        <w:rPr>
          <w:rFonts w:eastAsia="標楷體" w:cstheme="minorHAnsi" w:hint="eastAsia"/>
        </w:rPr>
        <w:t>)</w:t>
      </w:r>
      <w:r w:rsidRPr="006F6AB5">
        <w:rPr>
          <w:rFonts w:eastAsia="標楷體" w:cstheme="minorHAnsi" w:hint="eastAsia"/>
        </w:rPr>
        <w:t>必須被視為兩條不同曲線，兩條不同指標的</w:t>
      </w:r>
      <w:r>
        <w:rPr>
          <w:rFonts w:eastAsia="標楷體" w:cstheme="minorHAnsi" w:hint="eastAsia"/>
        </w:rPr>
        <w:t>BOR</w:t>
      </w:r>
      <w:r w:rsidRPr="006F6AB5">
        <w:rPr>
          <w:rFonts w:eastAsia="標楷體" w:cstheme="minorHAnsi" w:hint="eastAsia"/>
        </w:rPr>
        <w:t>曲線</w:t>
      </w:r>
      <w:r w:rsidRPr="006F6AB5">
        <w:rPr>
          <w:rFonts w:eastAsia="標楷體" w:cstheme="minorHAnsi" w:hint="eastAsia"/>
        </w:rPr>
        <w:t>(</w:t>
      </w:r>
      <w:r w:rsidRPr="006F6AB5">
        <w:rPr>
          <w:rFonts w:eastAsia="標楷體" w:cstheme="minorHAnsi" w:hint="eastAsia"/>
        </w:rPr>
        <w:t>例如：</w:t>
      </w:r>
      <w:r w:rsidRPr="006F6AB5">
        <w:rPr>
          <w:rFonts w:eastAsia="標楷體" w:cstheme="minorHAnsi" w:hint="eastAsia"/>
        </w:rPr>
        <w:t>3M Euribor</w:t>
      </w:r>
      <w:r w:rsidRPr="006F6AB5">
        <w:rPr>
          <w:rFonts w:eastAsia="標楷體" w:cstheme="minorHAnsi" w:hint="eastAsia"/>
        </w:rPr>
        <w:t>和</w:t>
      </w:r>
      <w:r>
        <w:rPr>
          <w:rFonts w:eastAsia="標楷體" w:cstheme="minorHAnsi" w:hint="eastAsia"/>
        </w:rPr>
        <w:t>6M Euribor)</w:t>
      </w:r>
      <w:r w:rsidRPr="006F6AB5">
        <w:rPr>
          <w:rFonts w:eastAsia="標楷體" w:cstheme="minorHAnsi" w:hint="eastAsia"/>
        </w:rPr>
        <w:t>必須被視為兩條不同曲線。境內或離岸的貨幣曲線</w:t>
      </w:r>
      <w:r w:rsidRPr="006F6AB5">
        <w:rPr>
          <w:rFonts w:eastAsia="標楷體" w:cstheme="minorHAnsi" w:hint="eastAsia"/>
        </w:rPr>
        <w:t>(</w:t>
      </w:r>
      <w:r w:rsidRPr="006F6AB5">
        <w:rPr>
          <w:rFonts w:eastAsia="標楷體" w:cstheme="minorHAnsi" w:hint="eastAsia"/>
        </w:rPr>
        <w:t>例如：境內印度</w:t>
      </w:r>
      <w:proofErr w:type="gramStart"/>
      <w:r w:rsidRPr="006F6AB5">
        <w:rPr>
          <w:rFonts w:eastAsia="標楷體" w:cstheme="minorHAnsi" w:hint="eastAsia"/>
        </w:rPr>
        <w:t>盧</w:t>
      </w:r>
      <w:proofErr w:type="gramEnd"/>
      <w:r w:rsidRPr="006F6AB5">
        <w:rPr>
          <w:rFonts w:eastAsia="標楷體" w:cstheme="minorHAnsi" w:hint="eastAsia"/>
        </w:rPr>
        <w:t>幣和離岸印度</w:t>
      </w:r>
      <w:proofErr w:type="gramStart"/>
      <w:r w:rsidRPr="006F6AB5">
        <w:rPr>
          <w:rFonts w:eastAsia="標楷體" w:cstheme="minorHAnsi" w:hint="eastAsia"/>
        </w:rPr>
        <w:t>盧</w:t>
      </w:r>
      <w:proofErr w:type="gramEnd"/>
      <w:r w:rsidRPr="006F6AB5">
        <w:rPr>
          <w:rFonts w:eastAsia="標楷體" w:cstheme="minorHAnsi" w:hint="eastAsia"/>
        </w:rPr>
        <w:t>幣</w:t>
      </w:r>
      <w:r w:rsidRPr="006F6AB5">
        <w:rPr>
          <w:rFonts w:eastAsia="標楷體" w:cstheme="minorHAnsi" w:hint="eastAsia"/>
        </w:rPr>
        <w:t>)</w:t>
      </w:r>
      <w:r w:rsidRPr="006F6AB5">
        <w:rPr>
          <w:rFonts w:eastAsia="標楷體" w:cstheme="minorHAnsi" w:hint="eastAsia"/>
        </w:rPr>
        <w:t>必須被視為兩條不同曲線。</w:t>
      </w:r>
    </w:p>
  </w:footnote>
  <w:footnote w:id="14">
    <w:p w14:paraId="2911CEB7" w14:textId="77777777" w:rsidR="00BD20A5" w:rsidRPr="00B56D0D" w:rsidRDefault="00BD20A5" w:rsidP="00582E35">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當銀行不能執行</w:t>
      </w:r>
      <w:r w:rsidRPr="006F6AB5">
        <w:rPr>
          <w:rFonts w:eastAsia="標楷體" w:cstheme="minorHAnsi"/>
        </w:rPr>
        <w:t>y=</w:t>
      </w:r>
      <w:proofErr w:type="spellStart"/>
      <w:r w:rsidRPr="006F6AB5">
        <w:rPr>
          <w:rFonts w:eastAsia="標楷體" w:cstheme="minorHAnsi"/>
        </w:rPr>
        <w:t>r+cs</w:t>
      </w:r>
      <w:proofErr w:type="spellEnd"/>
      <w:r w:rsidRPr="006F6AB5">
        <w:rPr>
          <w:rFonts w:eastAsia="標楷體" w:cstheme="minorHAnsi" w:hint="eastAsia"/>
        </w:rPr>
        <w:t>之拆解，任何對於</w:t>
      </w:r>
      <w:r w:rsidRPr="006F6AB5">
        <w:rPr>
          <w:rFonts w:eastAsia="標楷體" w:cstheme="minorHAnsi"/>
        </w:rPr>
        <w:t>y</w:t>
      </w:r>
      <w:r w:rsidRPr="006F6AB5">
        <w:rPr>
          <w:rFonts w:eastAsia="標楷體" w:cstheme="minorHAnsi" w:hint="eastAsia"/>
        </w:rPr>
        <w:t>的敏感性部位，都會依據標準法之風險因子與敏感性部位定義將其分配至</w:t>
      </w:r>
      <w:r w:rsidRPr="006F6AB5">
        <w:rPr>
          <w:rFonts w:eastAsia="標楷體" w:cstheme="minorHAnsi"/>
        </w:rPr>
        <w:t>GIRR</w:t>
      </w:r>
      <w:r w:rsidRPr="006F6AB5">
        <w:rPr>
          <w:rFonts w:eastAsia="標楷體" w:cstheme="minorHAnsi" w:hint="eastAsia"/>
        </w:rPr>
        <w:t>和</w:t>
      </w:r>
      <w:r w:rsidRPr="006F6AB5">
        <w:rPr>
          <w:rFonts w:eastAsia="標楷體" w:cstheme="minorHAnsi"/>
        </w:rPr>
        <w:t>CSR</w:t>
      </w:r>
      <w:r w:rsidRPr="006F6AB5">
        <w:rPr>
          <w:rFonts w:eastAsia="標楷體" w:cstheme="minorHAnsi" w:hint="eastAsia"/>
        </w:rPr>
        <w:t>的風險類別項下。為計算</w:t>
      </w:r>
      <w:r w:rsidRPr="006F6AB5">
        <w:rPr>
          <w:rFonts w:eastAsia="標楷體" w:cstheme="minorHAnsi"/>
        </w:rPr>
        <w:t>GIRR</w:t>
      </w:r>
      <w:r w:rsidRPr="006F6AB5">
        <w:rPr>
          <w:rFonts w:eastAsia="標楷體" w:cstheme="minorHAnsi" w:hint="eastAsia"/>
        </w:rPr>
        <w:t>資本要求而採用利率交換曲線估算債券敏感性部位，將不會改變在</w:t>
      </w:r>
      <w:r w:rsidRPr="006F6AB5">
        <w:rPr>
          <w:rFonts w:eastAsia="標楷體" w:cstheme="minorHAnsi"/>
        </w:rPr>
        <w:t>CSR</w:t>
      </w:r>
      <w:r w:rsidRPr="006F6AB5">
        <w:rPr>
          <w:rFonts w:eastAsia="標楷體" w:cstheme="minorHAnsi" w:hint="eastAsia"/>
        </w:rPr>
        <w:t>風險類別中需考量債券與</w:t>
      </w:r>
      <w:r w:rsidRPr="006F6AB5">
        <w:rPr>
          <w:rFonts w:eastAsia="標楷體" w:cstheme="minorHAnsi"/>
        </w:rPr>
        <w:t>CDS</w:t>
      </w:r>
      <w:r w:rsidRPr="006F6AB5">
        <w:rPr>
          <w:rFonts w:eastAsia="標楷體" w:cstheme="minorHAnsi" w:hint="eastAsia"/>
        </w:rPr>
        <w:t>曲線間</w:t>
      </w:r>
      <w:proofErr w:type="gramStart"/>
      <w:r w:rsidRPr="006F6AB5">
        <w:rPr>
          <w:rFonts w:eastAsia="標楷體" w:cstheme="minorHAnsi" w:hint="eastAsia"/>
        </w:rPr>
        <w:t>之基差風險</w:t>
      </w:r>
      <w:proofErr w:type="gramEnd"/>
      <w:r w:rsidRPr="006F6AB5">
        <w:rPr>
          <w:rFonts w:eastAsia="標楷體" w:cstheme="minorHAnsi" w:hint="eastAsia"/>
        </w:rPr>
        <w:t>。</w:t>
      </w:r>
    </w:p>
  </w:footnote>
  <w:footnote w:id="15">
    <w:p w14:paraId="2B3410EF" w14:textId="77777777" w:rsidR="00BD20A5" w:rsidRPr="00B56D0D" w:rsidRDefault="00BD20A5" w:rsidP="00CA3D6E">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名目本金或利息支付的金額係依據消費者物價指數決定。</w:t>
      </w:r>
    </w:p>
  </w:footnote>
  <w:footnote w:id="16">
    <w:p w14:paraId="077A5B1F" w14:textId="77777777" w:rsidR="00BD20A5" w:rsidRPr="00B56D0D" w:rsidRDefault="00BD20A5" w:rsidP="00CA3D6E">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交叉貨幣</w:t>
      </w:r>
      <w:proofErr w:type="gramStart"/>
      <w:r w:rsidRPr="006F6AB5">
        <w:rPr>
          <w:rFonts w:eastAsia="標楷體" w:cstheme="minorHAnsi" w:hint="eastAsia"/>
        </w:rPr>
        <w:t>基差為殖</w:t>
      </w:r>
      <w:proofErr w:type="gramEnd"/>
      <w:r w:rsidRPr="006F6AB5">
        <w:rPr>
          <w:rFonts w:eastAsia="標楷體" w:cstheme="minorHAnsi" w:hint="eastAsia"/>
        </w:rPr>
        <w:t>利率曲線</w:t>
      </w:r>
      <w:proofErr w:type="gramStart"/>
      <w:r w:rsidRPr="006F6AB5">
        <w:rPr>
          <w:rFonts w:eastAsia="標楷體" w:cstheme="minorHAnsi" w:hint="eastAsia"/>
        </w:rPr>
        <w:t>加上基差</w:t>
      </w:r>
      <w:proofErr w:type="gramEnd"/>
      <w:r w:rsidRPr="006F6AB5">
        <w:rPr>
          <w:rFonts w:eastAsia="標楷體" w:cstheme="minorHAnsi" w:hint="eastAsia"/>
        </w:rPr>
        <w:t>，用以評估即期及遠期交付兩種不同幣別的交換交易，常被市場參與者用來作為評價換</w:t>
      </w:r>
      <w:proofErr w:type="gramStart"/>
      <w:r w:rsidRPr="006F6AB5">
        <w:rPr>
          <w:rFonts w:eastAsia="標楷體" w:cstheme="minorHAnsi" w:hint="eastAsia"/>
        </w:rPr>
        <w:t>匯</w:t>
      </w:r>
      <w:proofErr w:type="gramEnd"/>
      <w:r w:rsidRPr="006F6AB5">
        <w:rPr>
          <w:rFonts w:eastAsia="標楷體" w:cstheme="minorHAnsi" w:hint="eastAsia"/>
        </w:rPr>
        <w:t>換利交易支付固定或浮動端，在一種幣別收取固定或浮動利率，並於交易期初及期末交換兩種不同幣別的名目本金。</w:t>
      </w:r>
    </w:p>
  </w:footnote>
  <w:footnote w:id="17">
    <w:p w14:paraId="7C0673DF" w14:textId="77777777" w:rsidR="00BD20A5" w:rsidRPr="00B56D0D" w:rsidRDefault="00BD20A5" w:rsidP="00CA3D6E">
      <w:pPr>
        <w:pStyle w:val="a3"/>
        <w:rPr>
          <w:rFonts w:eastAsia="標楷體" w:cstheme="minorHAnsi"/>
        </w:rPr>
      </w:pPr>
      <w:r w:rsidRPr="00B56D0D">
        <w:rPr>
          <w:rStyle w:val="a5"/>
          <w:rFonts w:ascii="Times New Roman" w:eastAsia="標楷體" w:hAnsi="Times New Roman" w:cs="Times New Roman"/>
          <w:sz w:val="16"/>
          <w:szCs w:val="16"/>
        </w:rPr>
        <w:footnoteRef/>
      </w:r>
      <w:r w:rsidRPr="006F6AB5">
        <w:rPr>
          <w:rFonts w:eastAsia="標楷體" w:cstheme="minorHAnsi" w:hint="eastAsia"/>
        </w:rPr>
        <w:t>例如：一個延續</w:t>
      </w:r>
      <w:r w:rsidRPr="006F6AB5">
        <w:rPr>
          <w:rFonts w:eastAsia="標楷體" w:cstheme="minorHAnsi" w:hint="eastAsia"/>
        </w:rPr>
        <w:t xml:space="preserve">12 </w:t>
      </w:r>
      <w:proofErr w:type="gramStart"/>
      <w:r w:rsidRPr="006F6AB5">
        <w:rPr>
          <w:rFonts w:eastAsia="標楷體" w:cstheme="minorHAnsi" w:hint="eastAsia"/>
        </w:rPr>
        <w:t>個</w:t>
      </w:r>
      <w:proofErr w:type="gramEnd"/>
      <w:r w:rsidRPr="006F6AB5">
        <w:rPr>
          <w:rFonts w:eastAsia="標楷體" w:cstheme="minorHAnsi" w:hint="eastAsia"/>
        </w:rPr>
        <w:t>月的遠期利率上限選擇權，包含</w:t>
      </w:r>
      <w:r w:rsidRPr="006F6AB5">
        <w:rPr>
          <w:rFonts w:eastAsia="標楷體" w:cstheme="minorHAnsi" w:hint="eastAsia"/>
        </w:rPr>
        <w:t xml:space="preserve">4 </w:t>
      </w:r>
      <w:proofErr w:type="gramStart"/>
      <w:r w:rsidRPr="006F6AB5">
        <w:rPr>
          <w:rFonts w:eastAsia="標楷體" w:cstheme="minorHAnsi" w:hint="eastAsia"/>
        </w:rPr>
        <w:t>個</w:t>
      </w:r>
      <w:proofErr w:type="gramEnd"/>
      <w:r w:rsidRPr="006F6AB5">
        <w:rPr>
          <w:rFonts w:eastAsia="標楷體" w:cstheme="minorHAnsi" w:hint="eastAsia"/>
        </w:rPr>
        <w:t>連續以</w:t>
      </w:r>
      <w:r w:rsidRPr="006F6AB5">
        <w:rPr>
          <w:rFonts w:eastAsia="標楷體" w:cstheme="minorHAnsi" w:hint="eastAsia"/>
        </w:rPr>
        <w:t>USD 3M Libor</w:t>
      </w:r>
      <w:r w:rsidRPr="006F6AB5">
        <w:rPr>
          <w:rFonts w:eastAsia="標楷體" w:cstheme="minorHAnsi" w:hint="eastAsia"/>
        </w:rPr>
        <w:t>為標的之歐式利率買權。這</w:t>
      </w:r>
      <w:r w:rsidRPr="006F6AB5">
        <w:rPr>
          <w:rFonts w:eastAsia="標楷體" w:cstheme="minorHAnsi" w:hint="eastAsia"/>
        </w:rPr>
        <w:t>4</w:t>
      </w:r>
      <w:r w:rsidRPr="006F6AB5">
        <w:rPr>
          <w:rFonts w:eastAsia="標楷體" w:cstheme="minorHAnsi" w:hint="eastAsia"/>
        </w:rPr>
        <w:t>個</w:t>
      </w:r>
      <w:r w:rsidRPr="006F6AB5">
        <w:rPr>
          <w:rFonts w:eastAsia="標楷體" w:cstheme="minorHAnsi" w:hint="eastAsia"/>
        </w:rPr>
        <w:t>(</w:t>
      </w:r>
      <w:r w:rsidRPr="006F6AB5">
        <w:rPr>
          <w:rFonts w:eastAsia="標楷體" w:cstheme="minorHAnsi" w:hint="eastAsia"/>
        </w:rPr>
        <w:t>獨立</w:t>
      </w:r>
      <w:r w:rsidRPr="006F6AB5">
        <w:rPr>
          <w:rFonts w:eastAsia="標楷體" w:cstheme="minorHAnsi" w:hint="eastAsia"/>
        </w:rPr>
        <w:t>)</w:t>
      </w:r>
      <w:r w:rsidRPr="006F6AB5">
        <w:rPr>
          <w:rFonts w:eastAsia="標楷體" w:cstheme="minorHAnsi" w:hint="eastAsia"/>
        </w:rPr>
        <w:t>選擇權分別於</w:t>
      </w:r>
      <w:r w:rsidRPr="006F6AB5">
        <w:rPr>
          <w:rFonts w:eastAsia="標楷體" w:cstheme="minorHAnsi" w:hint="eastAsia"/>
        </w:rPr>
        <w:t>12</w:t>
      </w:r>
      <w:r w:rsidRPr="006F6AB5">
        <w:rPr>
          <w:rFonts w:eastAsia="標楷體" w:cstheme="minorHAnsi" w:hint="eastAsia"/>
        </w:rPr>
        <w:t>、</w:t>
      </w:r>
      <w:r w:rsidRPr="006F6AB5">
        <w:rPr>
          <w:rFonts w:eastAsia="標楷體" w:cstheme="minorHAnsi" w:hint="eastAsia"/>
        </w:rPr>
        <w:t>15</w:t>
      </w:r>
      <w:r w:rsidRPr="006F6AB5">
        <w:rPr>
          <w:rFonts w:eastAsia="標楷體" w:cstheme="minorHAnsi" w:hint="eastAsia"/>
        </w:rPr>
        <w:t>、</w:t>
      </w:r>
      <w:r w:rsidRPr="006F6AB5">
        <w:rPr>
          <w:rFonts w:eastAsia="標楷體" w:cstheme="minorHAnsi" w:hint="eastAsia"/>
        </w:rPr>
        <w:t>18</w:t>
      </w:r>
      <w:r w:rsidRPr="006F6AB5">
        <w:rPr>
          <w:rFonts w:eastAsia="標楷體" w:cstheme="minorHAnsi" w:hint="eastAsia"/>
        </w:rPr>
        <w:t>和</w:t>
      </w:r>
      <w:r w:rsidRPr="006F6AB5">
        <w:rPr>
          <w:rFonts w:eastAsia="標楷體" w:cstheme="minorHAnsi" w:hint="eastAsia"/>
        </w:rPr>
        <w:t>21</w:t>
      </w:r>
      <w:r w:rsidRPr="006F6AB5">
        <w:rPr>
          <w:rFonts w:eastAsia="標楷體" w:cstheme="minorHAnsi" w:hint="eastAsia"/>
        </w:rPr>
        <w:t>個月後到期。這些選擇權皆以</w:t>
      </w:r>
      <w:r>
        <w:rPr>
          <w:rFonts w:eastAsia="標楷體" w:cstheme="minorHAnsi" w:hint="eastAsia"/>
        </w:rPr>
        <w:t>USD 3M Libor</w:t>
      </w:r>
      <w:r w:rsidRPr="006F6AB5">
        <w:rPr>
          <w:rFonts w:eastAsia="標楷體" w:cstheme="minorHAnsi" w:hint="eastAsia"/>
        </w:rPr>
        <w:t>為標的；選擇權到期</w:t>
      </w:r>
      <w:r w:rsidRPr="006F6AB5">
        <w:rPr>
          <w:rFonts w:eastAsia="標楷體" w:cstheme="minorHAnsi" w:hint="eastAsia"/>
        </w:rPr>
        <w:t>3</w:t>
      </w:r>
      <w:r w:rsidRPr="006F6AB5">
        <w:rPr>
          <w:rFonts w:eastAsia="標楷體" w:cstheme="minorHAnsi" w:hint="eastAsia"/>
        </w:rPr>
        <w:t>個月後標的物到期</w:t>
      </w:r>
      <w:r w:rsidRPr="006F6AB5">
        <w:rPr>
          <w:rFonts w:eastAsia="標楷體" w:cstheme="minorHAnsi" w:hint="eastAsia"/>
        </w:rPr>
        <w:t>(</w:t>
      </w:r>
      <w:r w:rsidRPr="006F6AB5">
        <w:rPr>
          <w:rFonts w:eastAsia="標楷體" w:cstheme="minorHAnsi" w:hint="eastAsia"/>
        </w:rPr>
        <w:t>剩餘到期期間為</w:t>
      </w:r>
      <w:r w:rsidRPr="006F6AB5">
        <w:rPr>
          <w:rFonts w:eastAsia="標楷體" w:cstheme="minorHAnsi" w:hint="eastAsia"/>
        </w:rPr>
        <w:t>3</w:t>
      </w:r>
      <w:r w:rsidRPr="006F6AB5">
        <w:rPr>
          <w:rFonts w:eastAsia="標楷體" w:cstheme="minorHAnsi" w:hint="eastAsia"/>
        </w:rPr>
        <w:t>個月</w:t>
      </w:r>
      <w:r w:rsidRPr="006F6AB5">
        <w:rPr>
          <w:rFonts w:eastAsia="標楷體" w:cstheme="minorHAnsi" w:hint="eastAsia"/>
        </w:rPr>
        <w:t>)</w:t>
      </w:r>
      <w:r w:rsidRPr="006F6AB5">
        <w:rPr>
          <w:rFonts w:eastAsia="標楷體" w:cstheme="minorHAnsi" w:hint="eastAsia"/>
        </w:rPr>
        <w:t>。因此，一個</w:t>
      </w:r>
      <w:proofErr w:type="gramStart"/>
      <w:r w:rsidRPr="006F6AB5">
        <w:rPr>
          <w:rFonts w:eastAsia="標楷體" w:cstheme="minorHAnsi" w:hint="eastAsia"/>
        </w:rPr>
        <w:t>一</w:t>
      </w:r>
      <w:proofErr w:type="gramEnd"/>
      <w:r w:rsidRPr="006F6AB5">
        <w:rPr>
          <w:rFonts w:eastAsia="標楷體" w:cstheme="minorHAnsi" w:hint="eastAsia"/>
        </w:rPr>
        <w:t>年後開始且延續</w:t>
      </w:r>
      <w:r w:rsidRPr="006F6AB5">
        <w:rPr>
          <w:rFonts w:eastAsia="標楷體" w:cstheme="minorHAnsi" w:hint="eastAsia"/>
        </w:rPr>
        <w:t xml:space="preserve">12 </w:t>
      </w:r>
      <w:proofErr w:type="gramStart"/>
      <w:r w:rsidRPr="006F6AB5">
        <w:rPr>
          <w:rFonts w:eastAsia="標楷體" w:cstheme="minorHAnsi" w:hint="eastAsia"/>
        </w:rPr>
        <w:t>個</w:t>
      </w:r>
      <w:proofErr w:type="gramEnd"/>
      <w:r w:rsidRPr="006F6AB5">
        <w:rPr>
          <w:rFonts w:eastAsia="標楷體" w:cstheme="minorHAnsi" w:hint="eastAsia"/>
        </w:rPr>
        <w:t>月的遠期利率上限選擇權，其隱含波動度應依下列面向定義：</w:t>
      </w:r>
      <w:r w:rsidRPr="006F6AB5">
        <w:rPr>
          <w:rFonts w:eastAsia="標楷體" w:cstheme="minorHAnsi" w:hint="eastAsia"/>
        </w:rPr>
        <w:t>(</w:t>
      </w:r>
      <w:proofErr w:type="spellStart"/>
      <w:r w:rsidRPr="006F6AB5">
        <w:rPr>
          <w:rFonts w:eastAsia="標楷體" w:cstheme="minorHAnsi" w:hint="eastAsia"/>
        </w:rPr>
        <w:t>i</w:t>
      </w:r>
      <w:proofErr w:type="spellEnd"/>
      <w:r w:rsidRPr="006F6AB5">
        <w:rPr>
          <w:rFonts w:eastAsia="標楷體" w:cstheme="minorHAnsi" w:hint="eastAsia"/>
        </w:rPr>
        <w:t>)</w:t>
      </w:r>
      <w:r w:rsidRPr="006F6AB5">
        <w:rPr>
          <w:rFonts w:eastAsia="標楷體" w:cstheme="minorHAnsi" w:hint="eastAsia"/>
        </w:rPr>
        <w:t>選擇權各個組成成分</w:t>
      </w:r>
      <w:r w:rsidRPr="006F6AB5">
        <w:rPr>
          <w:rFonts w:eastAsia="標楷體" w:cstheme="minorHAnsi" w:hint="eastAsia"/>
        </w:rPr>
        <w:t>(</w:t>
      </w:r>
      <w:r w:rsidRPr="006F6AB5">
        <w:rPr>
          <w:rFonts w:eastAsia="標楷體" w:cstheme="minorHAnsi" w:hint="eastAsia"/>
        </w:rPr>
        <w:t>歐式利率買權</w:t>
      </w:r>
      <w:r w:rsidRPr="006F6AB5">
        <w:rPr>
          <w:rFonts w:eastAsia="標楷體" w:cstheme="minorHAnsi" w:hint="eastAsia"/>
        </w:rPr>
        <w:t>)</w:t>
      </w:r>
      <w:r w:rsidRPr="006F6AB5">
        <w:rPr>
          <w:rFonts w:eastAsia="標楷體" w:cstheme="minorHAnsi" w:hint="eastAsia"/>
        </w:rPr>
        <w:t>的到期</w:t>
      </w:r>
      <w:proofErr w:type="gramStart"/>
      <w:r w:rsidRPr="006F6AB5">
        <w:rPr>
          <w:rFonts w:eastAsia="標楷體" w:cstheme="minorHAnsi" w:hint="eastAsia"/>
        </w:rPr>
        <w:t>期間－</w:t>
      </w:r>
      <w:proofErr w:type="gramEnd"/>
      <w:r w:rsidRPr="006F6AB5">
        <w:rPr>
          <w:rFonts w:eastAsia="標楷體" w:cstheme="minorHAnsi" w:hint="eastAsia"/>
        </w:rPr>
        <w:t>12</w:t>
      </w:r>
      <w:r w:rsidRPr="006F6AB5">
        <w:rPr>
          <w:rFonts w:eastAsia="標楷體" w:cstheme="minorHAnsi" w:hint="eastAsia"/>
        </w:rPr>
        <w:t>、</w:t>
      </w:r>
      <w:r w:rsidRPr="006F6AB5">
        <w:rPr>
          <w:rFonts w:eastAsia="標楷體" w:cstheme="minorHAnsi" w:hint="eastAsia"/>
        </w:rPr>
        <w:t>15</w:t>
      </w:r>
      <w:r w:rsidRPr="006F6AB5">
        <w:rPr>
          <w:rFonts w:eastAsia="標楷體" w:cstheme="minorHAnsi" w:hint="eastAsia"/>
        </w:rPr>
        <w:t>、</w:t>
      </w:r>
      <w:r w:rsidRPr="006F6AB5">
        <w:rPr>
          <w:rFonts w:eastAsia="標楷體" w:cstheme="minorHAnsi" w:hint="eastAsia"/>
        </w:rPr>
        <w:t>18</w:t>
      </w:r>
      <w:r w:rsidRPr="006F6AB5">
        <w:rPr>
          <w:rFonts w:eastAsia="標楷體" w:cstheme="minorHAnsi" w:hint="eastAsia"/>
        </w:rPr>
        <w:t>和</w:t>
      </w:r>
      <w:r w:rsidRPr="006F6AB5">
        <w:rPr>
          <w:rFonts w:eastAsia="標楷體" w:cstheme="minorHAnsi" w:hint="eastAsia"/>
        </w:rPr>
        <w:t>21</w:t>
      </w:r>
      <w:r w:rsidRPr="006F6AB5">
        <w:rPr>
          <w:rFonts w:eastAsia="標楷體" w:cstheme="minorHAnsi" w:hint="eastAsia"/>
        </w:rPr>
        <w:t>個月；</w:t>
      </w:r>
      <w:r w:rsidRPr="006F6AB5">
        <w:rPr>
          <w:rFonts w:eastAsia="標楷體" w:cstheme="minorHAnsi" w:hint="eastAsia"/>
        </w:rPr>
        <w:t>(ii)</w:t>
      </w:r>
      <w:r w:rsidRPr="006F6AB5">
        <w:rPr>
          <w:rFonts w:eastAsia="標楷體" w:cstheme="minorHAnsi" w:hint="eastAsia"/>
        </w:rPr>
        <w:t>選擇權標的物的剩餘到期</w:t>
      </w:r>
      <w:proofErr w:type="gramStart"/>
      <w:r w:rsidRPr="006F6AB5">
        <w:rPr>
          <w:rFonts w:eastAsia="標楷體" w:cstheme="minorHAnsi" w:hint="eastAsia"/>
        </w:rPr>
        <w:t>期間－</w:t>
      </w:r>
      <w:proofErr w:type="gramEnd"/>
      <w:r w:rsidRPr="006F6AB5">
        <w:rPr>
          <w:rFonts w:eastAsia="標楷體" w:cstheme="minorHAnsi" w:hint="eastAsia"/>
        </w:rPr>
        <w:t>3</w:t>
      </w:r>
      <w:r w:rsidRPr="006F6AB5">
        <w:rPr>
          <w:rFonts w:eastAsia="標楷體" w:cstheme="minorHAnsi" w:hint="eastAsia"/>
        </w:rPr>
        <w:t>個月。</w:t>
      </w:r>
    </w:p>
  </w:footnote>
  <w:footnote w:id="18">
    <w:p w14:paraId="1E983A62" w14:textId="77777777" w:rsidR="00BD20A5" w:rsidRPr="00B56D0D" w:rsidRDefault="00BD20A5" w:rsidP="002D0ADF">
      <w:pPr>
        <w:pStyle w:val="a3"/>
        <w:rPr>
          <w:rFonts w:eastAsia="標楷體" w:cstheme="minorHAnsi"/>
        </w:rPr>
      </w:pPr>
      <w:r w:rsidRPr="00B56D0D">
        <w:rPr>
          <w:rStyle w:val="a5"/>
          <w:rFonts w:ascii="Times New Roman" w:eastAsia="標楷體" w:hAnsi="Times New Roman" w:cs="Times New Roman"/>
          <w:sz w:val="16"/>
          <w:szCs w:val="16"/>
        </w:rPr>
        <w:footnoteRef/>
      </w:r>
      <w:r w:rsidRPr="007B3BF2">
        <w:rPr>
          <w:rFonts w:eastAsia="標楷體" w:cstheme="minorHAnsi" w:hint="eastAsia"/>
        </w:rPr>
        <w:t>西班牙房貸抵押證券之分</w:t>
      </w:r>
      <w:proofErr w:type="gramStart"/>
      <w:r w:rsidRPr="007B3BF2">
        <w:rPr>
          <w:rFonts w:eastAsia="標楷體" w:cstheme="minorHAnsi" w:hint="eastAsia"/>
        </w:rPr>
        <w:t>券</w:t>
      </w:r>
      <w:proofErr w:type="gramEnd"/>
      <w:r w:rsidRPr="007B3BF2">
        <w:rPr>
          <w:rFonts w:eastAsia="標楷體" w:cstheme="minorHAnsi"/>
        </w:rPr>
        <w:t>(tranche)</w:t>
      </w:r>
      <w:r w:rsidRPr="007B3BF2">
        <w:rPr>
          <w:rFonts w:eastAsia="標楷體" w:cstheme="minorHAnsi" w:hint="eastAsia"/>
        </w:rPr>
        <w:t>由債券推估的價差曲線和該分</w:t>
      </w:r>
      <w:proofErr w:type="gramStart"/>
      <w:r w:rsidRPr="007B3BF2">
        <w:rPr>
          <w:rFonts w:eastAsia="標楷體" w:cstheme="minorHAnsi" w:hint="eastAsia"/>
        </w:rPr>
        <w:t>券</w:t>
      </w:r>
      <w:proofErr w:type="gramEnd"/>
      <w:r w:rsidRPr="007B3BF2">
        <w:rPr>
          <w:rFonts w:eastAsia="標楷體" w:cstheme="minorHAnsi"/>
        </w:rPr>
        <w:t>(tranche)</w:t>
      </w:r>
      <w:r w:rsidRPr="007B3BF2">
        <w:rPr>
          <w:rFonts w:eastAsia="標楷體" w:cstheme="minorHAnsi" w:hint="eastAsia"/>
        </w:rPr>
        <w:t>由信用違約交換推估的價差曲線，應被視為單一價差曲線。為了計算敏感性部位，曲線上所有的天期必須平行移動。</w:t>
      </w:r>
    </w:p>
  </w:footnote>
  <w:footnote w:id="19">
    <w:p w14:paraId="51048B8E" w14:textId="77777777" w:rsidR="00BD20A5" w:rsidRPr="00B56D0D" w:rsidRDefault="00BD20A5" w:rsidP="0074574E">
      <w:pPr>
        <w:pStyle w:val="a3"/>
        <w:rPr>
          <w:rFonts w:eastAsia="標楷體" w:cstheme="minorHAnsi"/>
        </w:rPr>
      </w:pPr>
      <w:r w:rsidRPr="00B56D0D">
        <w:rPr>
          <w:rStyle w:val="a5"/>
          <w:rFonts w:ascii="Times New Roman" w:eastAsia="標楷體" w:hAnsi="Times New Roman" w:cs="Times New Roman"/>
          <w:sz w:val="16"/>
          <w:szCs w:val="16"/>
        </w:rPr>
        <w:footnoteRef/>
      </w:r>
      <w:r w:rsidRPr="001509C4">
        <w:rPr>
          <w:rFonts w:eastAsia="標楷體" w:cstheme="minorHAnsi" w:hint="eastAsia"/>
        </w:rPr>
        <w:t>某一屬於</w:t>
      </w:r>
      <w:proofErr w:type="spellStart"/>
      <w:r w:rsidRPr="001509C4">
        <w:rPr>
          <w:rFonts w:eastAsia="標楷體" w:cstheme="minorHAnsi"/>
        </w:rPr>
        <w:t>iTraxx</w:t>
      </w:r>
      <w:proofErr w:type="spellEnd"/>
      <w:r w:rsidRPr="001509C4">
        <w:rPr>
          <w:rFonts w:eastAsia="標楷體" w:cstheme="minorHAnsi" w:hint="eastAsia"/>
        </w:rPr>
        <w:t>系列信用指數之標的，其由債券推估之價差曲線及信用違約交換所推估的價差曲線會被視為單一價差曲線。為了計算敏感性部位，曲線上所有的天期必須平行移動。</w:t>
      </w:r>
    </w:p>
  </w:footnote>
  <w:footnote w:id="20">
    <w:p w14:paraId="366AAB24" w14:textId="77777777" w:rsidR="00BD20A5" w:rsidRPr="00B56D0D" w:rsidRDefault="00BD20A5" w:rsidP="00294FEA">
      <w:pPr>
        <w:pStyle w:val="a3"/>
        <w:rPr>
          <w:rFonts w:eastAsia="標楷體" w:cstheme="minorHAnsi"/>
        </w:rPr>
      </w:pPr>
      <w:r w:rsidRPr="00B56D0D">
        <w:rPr>
          <w:rStyle w:val="a5"/>
          <w:rFonts w:ascii="Times New Roman" w:eastAsia="標楷體" w:hAnsi="Times New Roman" w:cs="Times New Roman"/>
          <w:sz w:val="16"/>
          <w:szCs w:val="16"/>
        </w:rPr>
        <w:footnoteRef/>
      </w:r>
      <w:r w:rsidRPr="00E850EC">
        <w:rPr>
          <w:rFonts w:eastAsia="標楷體" w:cstheme="minorHAnsi" w:hint="eastAsia"/>
        </w:rPr>
        <w:t>例如：本位幣為</w:t>
      </w:r>
      <w:r w:rsidRPr="00E850EC">
        <w:rPr>
          <w:rFonts w:eastAsia="標楷體" w:cstheme="minorHAnsi" w:hint="eastAsia"/>
        </w:rPr>
        <w:t>TWD</w:t>
      </w:r>
      <w:r w:rsidRPr="00E850EC">
        <w:rPr>
          <w:rFonts w:eastAsia="標楷體" w:cstheme="minorHAnsi" w:hint="eastAsia"/>
        </w:rPr>
        <w:t>的銀行，對於</w:t>
      </w:r>
      <w:r w:rsidRPr="00E850EC">
        <w:rPr>
          <w:rFonts w:eastAsia="標楷體" w:cstheme="minorHAnsi" w:hint="eastAsia"/>
        </w:rPr>
        <w:t>USD/JPY</w:t>
      </w:r>
      <w:r w:rsidRPr="00E850EC">
        <w:rPr>
          <w:rFonts w:eastAsia="標楷體" w:cstheme="minorHAnsi" w:hint="eastAsia"/>
        </w:rPr>
        <w:t>的遠期外匯所要考慮的風險因子為</w:t>
      </w:r>
      <w:r w:rsidRPr="00E850EC">
        <w:rPr>
          <w:rFonts w:eastAsia="標楷體" w:cstheme="minorHAnsi" w:hint="eastAsia"/>
        </w:rPr>
        <w:t>USD/TWD</w:t>
      </w:r>
      <w:r w:rsidRPr="00E850EC">
        <w:rPr>
          <w:rFonts w:eastAsia="標楷體" w:cstheme="minorHAnsi" w:hint="eastAsia"/>
        </w:rPr>
        <w:t>和</w:t>
      </w:r>
      <w:r w:rsidRPr="00E850EC">
        <w:rPr>
          <w:rFonts w:eastAsia="標楷體" w:cstheme="minorHAnsi" w:hint="eastAsia"/>
        </w:rPr>
        <w:t xml:space="preserve"> JPY/TWD</w:t>
      </w:r>
      <w:r w:rsidRPr="00E850EC">
        <w:rPr>
          <w:rFonts w:eastAsia="標楷體" w:cstheme="minorHAnsi" w:hint="eastAsia"/>
        </w:rPr>
        <w:t>之匯率。</w:t>
      </w:r>
    </w:p>
  </w:footnote>
  <w:footnote w:id="21">
    <w:p w14:paraId="353454C7" w14:textId="77777777" w:rsidR="00BD20A5" w:rsidRPr="00B56D0D" w:rsidRDefault="00BD20A5" w:rsidP="00294FEA">
      <w:pPr>
        <w:pStyle w:val="a3"/>
        <w:rPr>
          <w:rFonts w:eastAsia="標楷體" w:cstheme="minorHAnsi"/>
        </w:rPr>
      </w:pPr>
      <w:r w:rsidRPr="00B56D0D">
        <w:rPr>
          <w:rStyle w:val="a5"/>
          <w:rFonts w:ascii="Times New Roman" w:eastAsia="標楷體" w:hAnsi="Times New Roman" w:cs="Times New Roman"/>
          <w:sz w:val="16"/>
          <w:szCs w:val="16"/>
        </w:rPr>
        <w:footnoteRef/>
      </w:r>
      <w:r w:rsidRPr="00E850EC">
        <w:rPr>
          <w:rFonts w:eastAsia="標楷體" w:cstheme="minorHAnsi" w:hint="eastAsia"/>
        </w:rPr>
        <w:t>例如，對於</w:t>
      </w:r>
      <w:r w:rsidRPr="00E850EC">
        <w:rPr>
          <w:rFonts w:eastAsia="標楷體" w:cstheme="minorHAnsi" w:hint="eastAsia"/>
        </w:rPr>
        <w:t>USD/JPY</w:t>
      </w:r>
      <w:r w:rsidRPr="00E850EC">
        <w:rPr>
          <w:rFonts w:eastAsia="標楷體" w:cstheme="minorHAnsi" w:hint="eastAsia"/>
        </w:rPr>
        <w:t>的遠期外匯，銀行以</w:t>
      </w:r>
      <w:r w:rsidRPr="00E850EC">
        <w:rPr>
          <w:rFonts w:eastAsia="標楷體" w:cstheme="minorHAnsi" w:hint="eastAsia"/>
        </w:rPr>
        <w:t>USD</w:t>
      </w:r>
      <w:r w:rsidRPr="00E850EC">
        <w:rPr>
          <w:rFonts w:eastAsia="標楷體" w:cstheme="minorHAnsi" w:hint="eastAsia"/>
        </w:rPr>
        <w:t>為其計算外匯風險之基準貨幣，將視其外匯</w:t>
      </w:r>
      <w:r w:rsidRPr="00E850EC">
        <w:rPr>
          <w:rFonts w:eastAsia="標楷體" w:cstheme="minorHAnsi" w:hint="eastAsia"/>
        </w:rPr>
        <w:t>delta</w:t>
      </w:r>
      <w:r w:rsidRPr="00E850EC">
        <w:rPr>
          <w:rFonts w:eastAsia="標楷體" w:cstheme="minorHAnsi" w:hint="eastAsia"/>
        </w:rPr>
        <w:t>分拆為</w:t>
      </w:r>
      <w:r w:rsidRPr="00E850EC">
        <w:rPr>
          <w:rFonts w:eastAsia="標楷體" w:cstheme="minorHAnsi" w:hint="eastAsia"/>
        </w:rPr>
        <w:t>JPY/USD</w:t>
      </w:r>
      <w:r w:rsidRPr="00E850EC">
        <w:rPr>
          <w:rFonts w:eastAsia="標楷體" w:cstheme="minorHAnsi" w:hint="eastAsia"/>
        </w:rPr>
        <w:t>匯率風險和</w:t>
      </w:r>
      <w:r w:rsidRPr="00E850EC">
        <w:rPr>
          <w:rFonts w:eastAsia="標楷體" w:cstheme="minorHAnsi" w:hint="eastAsia"/>
        </w:rPr>
        <w:t>TWD/USD</w:t>
      </w:r>
      <w:r w:rsidRPr="00E850EC">
        <w:rPr>
          <w:rFonts w:eastAsia="標楷體" w:cstheme="minorHAnsi" w:hint="eastAsia"/>
        </w:rPr>
        <w:t>外匯轉換風險，然後再透過</w:t>
      </w:r>
      <w:r w:rsidRPr="00E850EC">
        <w:rPr>
          <w:rFonts w:eastAsia="標楷體" w:cstheme="minorHAnsi" w:hint="eastAsia"/>
        </w:rPr>
        <w:t>USD/TWD</w:t>
      </w:r>
      <w:r w:rsidRPr="00E850EC">
        <w:rPr>
          <w:rFonts w:eastAsia="標楷體" w:cstheme="minorHAnsi" w:hint="eastAsia"/>
        </w:rPr>
        <w:t>即期匯率轉換為</w:t>
      </w:r>
      <w:r w:rsidRPr="00E850EC">
        <w:rPr>
          <w:rFonts w:eastAsia="標楷體" w:cstheme="minorHAnsi" w:hint="eastAsia"/>
        </w:rPr>
        <w:t>TWD</w:t>
      </w:r>
      <w:r w:rsidRPr="00E850EC">
        <w:rPr>
          <w:rFonts w:eastAsia="標楷體" w:cstheme="minorHAnsi" w:hint="eastAsia"/>
        </w:rPr>
        <w:t>資本要求。</w:t>
      </w:r>
    </w:p>
  </w:footnote>
  <w:footnote w:id="22">
    <w:p w14:paraId="33A521D2" w14:textId="77777777" w:rsidR="00BD20A5" w:rsidRPr="00B56D0D" w:rsidRDefault="00BD20A5" w:rsidP="00BB481A">
      <w:pPr>
        <w:pStyle w:val="a3"/>
        <w:rPr>
          <w:rFonts w:eastAsia="標楷體" w:cstheme="minorHAnsi"/>
        </w:rPr>
      </w:pPr>
      <w:r w:rsidRPr="00B56D0D">
        <w:rPr>
          <w:rStyle w:val="a5"/>
          <w:rFonts w:ascii="Times New Roman" w:eastAsia="標楷體" w:hAnsi="Times New Roman" w:cs="Times New Roman"/>
          <w:sz w:val="16"/>
          <w:szCs w:val="16"/>
        </w:rPr>
        <w:footnoteRef/>
      </w:r>
      <w:r w:rsidRPr="00110C92">
        <w:rPr>
          <w:rFonts w:eastAsia="標楷體" w:cstheme="minorHAnsi"/>
          <w:szCs w:val="24"/>
        </w:rPr>
        <w:t>例如：如果銀行的投資組合是由兩筆相同固定利率和本金，但方向相反之</w:t>
      </w:r>
      <w:r w:rsidRPr="00110C92">
        <w:rPr>
          <w:rFonts w:eastAsia="標楷體" w:cstheme="minorHAnsi"/>
          <w:szCs w:val="24"/>
        </w:rPr>
        <w:t>3</w:t>
      </w:r>
      <w:r w:rsidRPr="00110C92">
        <w:rPr>
          <w:rFonts w:eastAsia="標楷體" w:cstheme="minorHAnsi"/>
          <w:szCs w:val="24"/>
        </w:rPr>
        <w:t>個月的</w:t>
      </w:r>
      <w:r w:rsidRPr="00110C92">
        <w:rPr>
          <w:rFonts w:eastAsia="標楷體" w:cstheme="minorHAnsi"/>
          <w:szCs w:val="24"/>
        </w:rPr>
        <w:t>Euribor</w:t>
      </w:r>
      <w:r w:rsidRPr="00110C92">
        <w:rPr>
          <w:rFonts w:eastAsia="標楷體" w:cstheme="minorHAnsi"/>
          <w:szCs w:val="24"/>
        </w:rPr>
        <w:t>利率交換所組成，則此投資組合的一般利率風險</w:t>
      </w:r>
      <w:r>
        <w:rPr>
          <w:rFonts w:eastAsia="標楷體" w:cstheme="minorHAnsi"/>
          <w:szCs w:val="24"/>
        </w:rPr>
        <w:t>(</w:t>
      </w:r>
      <w:r w:rsidRPr="00110C92">
        <w:rPr>
          <w:rFonts w:eastAsia="標楷體" w:cstheme="minorHAnsi"/>
          <w:szCs w:val="24"/>
        </w:rPr>
        <w:t>GIRR)</w:t>
      </w:r>
      <w:r w:rsidRPr="00110C92">
        <w:rPr>
          <w:rFonts w:eastAsia="標楷體" w:cstheme="minorHAnsi"/>
          <w:szCs w:val="24"/>
        </w:rPr>
        <w:t>為零。</w:t>
      </w:r>
    </w:p>
  </w:footnote>
  <w:footnote w:id="23">
    <w:p w14:paraId="610F52B9" w14:textId="77777777" w:rsidR="00BD20A5" w:rsidRPr="00B56D0D" w:rsidRDefault="00BD20A5" w:rsidP="00F952E1">
      <w:pPr>
        <w:pStyle w:val="a3"/>
        <w:rPr>
          <w:rFonts w:eastAsia="標楷體" w:cstheme="minorHAnsi"/>
        </w:rPr>
      </w:pPr>
      <w:r w:rsidRPr="00B56D0D">
        <w:rPr>
          <w:rStyle w:val="a5"/>
          <w:rFonts w:ascii="Times New Roman" w:eastAsia="標楷體" w:hAnsi="Times New Roman" w:cs="Times New Roman"/>
          <w:sz w:val="16"/>
          <w:szCs w:val="16"/>
        </w:rPr>
        <w:footnoteRef/>
      </w:r>
      <w:r w:rsidRPr="00463890">
        <w:rPr>
          <w:rFonts w:eastAsia="標楷體" w:cstheme="minorHAnsi"/>
          <w:szCs w:val="24"/>
        </w:rPr>
        <w:t>一般利率風險</w:t>
      </w:r>
      <w:r w:rsidRPr="00463890">
        <w:rPr>
          <w:rFonts w:eastAsia="標楷體" w:cstheme="minorHAnsi"/>
          <w:szCs w:val="24"/>
        </w:rPr>
        <w:t>(GIRR)</w:t>
      </w:r>
      <w:r w:rsidRPr="00463890">
        <w:rPr>
          <w:rFonts w:eastAsia="標楷體" w:cstheme="minorHAnsi"/>
          <w:szCs w:val="24"/>
        </w:rPr>
        <w:t>，在</w:t>
      </w:r>
      <w:proofErr w:type="gramStart"/>
      <w:r w:rsidRPr="00463890">
        <w:rPr>
          <w:rFonts w:eastAsia="標楷體" w:cstheme="minorHAnsi"/>
          <w:szCs w:val="24"/>
        </w:rPr>
        <w:t>給定幣別</w:t>
      </w:r>
      <w:proofErr w:type="gramEnd"/>
      <w:r w:rsidRPr="00463890">
        <w:rPr>
          <w:rFonts w:eastAsia="標楷體" w:cstheme="minorHAnsi"/>
          <w:szCs w:val="24"/>
        </w:rPr>
        <w:t>，其所有期間之所有無風險利率曲線</w:t>
      </w:r>
      <w:r w:rsidRPr="00463890">
        <w:rPr>
          <w:rFonts w:eastAsia="標楷體" w:cstheme="minorHAnsi"/>
          <w:szCs w:val="24"/>
        </w:rPr>
        <w:t>(</w:t>
      </w:r>
      <w:r w:rsidRPr="00463890">
        <w:rPr>
          <w:rFonts w:eastAsia="標楷體" w:cstheme="minorHAnsi"/>
          <w:szCs w:val="24"/>
        </w:rPr>
        <w:t>例如：對於歐元</w:t>
      </w:r>
      <w:r w:rsidRPr="00463890">
        <w:rPr>
          <w:rFonts w:eastAsia="標楷體" w:cstheme="minorHAnsi"/>
          <w:szCs w:val="24"/>
        </w:rPr>
        <w:t>3M Euribor</w:t>
      </w:r>
      <w:r w:rsidRPr="00463890">
        <w:rPr>
          <w:rFonts w:eastAsia="標楷體" w:cstheme="minorHAnsi"/>
          <w:szCs w:val="24"/>
        </w:rPr>
        <w:t>、</w:t>
      </w:r>
      <w:r w:rsidRPr="00463890">
        <w:rPr>
          <w:rFonts w:eastAsia="標楷體" w:cstheme="minorHAnsi"/>
          <w:szCs w:val="24"/>
        </w:rPr>
        <w:t>6M Euribor</w:t>
      </w:r>
      <w:r w:rsidRPr="00463890">
        <w:rPr>
          <w:rFonts w:eastAsia="標楷體" w:cstheme="minorHAnsi"/>
          <w:szCs w:val="24"/>
        </w:rPr>
        <w:t>，</w:t>
      </w:r>
      <w:r w:rsidRPr="00463890">
        <w:rPr>
          <w:rFonts w:eastAsia="標楷體" w:cstheme="minorHAnsi"/>
          <w:szCs w:val="24"/>
        </w:rPr>
        <w:t>1Y Euribor</w:t>
      </w:r>
      <w:r w:rsidRPr="00463890">
        <w:rPr>
          <w:rFonts w:eastAsia="標楷體" w:cstheme="minorHAnsi"/>
          <w:szCs w:val="24"/>
        </w:rPr>
        <w:t>等</w:t>
      </w:r>
      <w:r w:rsidRPr="00463890">
        <w:rPr>
          <w:rFonts w:eastAsia="標楷體" w:cstheme="minorHAnsi"/>
          <w:szCs w:val="24"/>
        </w:rPr>
        <w:t>)</w:t>
      </w:r>
      <w:r w:rsidRPr="00463890">
        <w:rPr>
          <w:rFonts w:eastAsia="標楷體" w:cstheme="minorHAnsi"/>
          <w:szCs w:val="24"/>
        </w:rPr>
        <w:t>，必須依本計算說明所訂之風險權重上移。扣除</w:t>
      </w:r>
      <w:r w:rsidRPr="00463890">
        <w:rPr>
          <w:rFonts w:eastAsia="標楷體" w:cstheme="minorHAnsi"/>
          <w:szCs w:val="24"/>
        </w:rPr>
        <w:t xml:space="preserve">delta </w:t>
      </w:r>
      <w:r w:rsidRPr="00463890">
        <w:rPr>
          <w:rFonts w:eastAsia="標楷體" w:cstheme="minorHAnsi"/>
          <w:szCs w:val="24"/>
        </w:rPr>
        <w:t>風險部位後的潛在損失，就是向上情境的結果。相同的方法也應適用向下情境。</w:t>
      </w:r>
    </w:p>
  </w:footnote>
  <w:footnote w:id="24">
    <w:p w14:paraId="23E57074" w14:textId="77777777" w:rsidR="00BD20A5" w:rsidRPr="007D3E45" w:rsidRDefault="00BD20A5" w:rsidP="00CC445E">
      <w:pPr>
        <w:pStyle w:val="a3"/>
        <w:rPr>
          <w:rFonts w:eastAsia="標楷體" w:cstheme="minorHAnsi"/>
        </w:rPr>
      </w:pPr>
      <w:r w:rsidRPr="007D3E45">
        <w:rPr>
          <w:rStyle w:val="a5"/>
          <w:rFonts w:ascii="Times New Roman" w:eastAsia="標楷體" w:hAnsi="Times New Roman" w:cs="Times New Roman"/>
          <w:sz w:val="16"/>
          <w:szCs w:val="16"/>
        </w:rPr>
        <w:footnoteRef/>
      </w:r>
      <w:r w:rsidRPr="007D3E45">
        <w:rPr>
          <w:rFonts w:eastAsia="標楷體" w:cstheme="minorHAnsi"/>
        </w:rPr>
        <w:t>表</w:t>
      </w:r>
      <w:r w:rsidRPr="007D3E45">
        <w:rPr>
          <w:rFonts w:eastAsia="標楷體" w:cstheme="minorHAnsi"/>
        </w:rPr>
        <w:t>2</w:t>
      </w:r>
      <w:r w:rsidRPr="007D3E45">
        <w:rPr>
          <w:rFonts w:eastAsia="標楷體" w:cstheme="minorHAnsi"/>
        </w:rPr>
        <w:t>所列出的</w:t>
      </w:r>
      <w:r w:rsidRPr="007D3E45">
        <w:rPr>
          <w:rFonts w:eastAsia="標楷體" w:cstheme="minorHAnsi"/>
        </w:rPr>
        <w:t>GIRR Delta</w:t>
      </w:r>
      <w:r w:rsidRPr="007D3E45">
        <w:rPr>
          <w:rFonts w:eastAsia="標楷體" w:cstheme="minorHAnsi"/>
        </w:rPr>
        <w:t>風險相關係數</w:t>
      </w:r>
      <w:r w:rsidRPr="007D3E45">
        <w:rPr>
          <w:rFonts w:eastAsia="標楷體" w:cstheme="minorHAnsi"/>
        </w:rPr>
        <w:t>(</w:t>
      </w:r>
      <w:proofErr w:type="spellStart"/>
      <w:r w:rsidRPr="007D3E45">
        <w:rPr>
          <w:rFonts w:eastAsia="標楷體" w:cstheme="minorHAnsi"/>
        </w:rPr>
        <w:t>ρ</w:t>
      </w:r>
      <w:r w:rsidRPr="007D3E45">
        <w:rPr>
          <w:rFonts w:eastAsia="標楷體" w:cstheme="minorHAnsi"/>
          <w:vertAlign w:val="subscript"/>
        </w:rPr>
        <w:t>kl</w:t>
      </w:r>
      <w:proofErr w:type="spellEnd"/>
      <w:r w:rsidRPr="007D3E45">
        <w:rPr>
          <w:rFonts w:eastAsia="標楷體" w:cstheme="minorHAnsi"/>
        </w:rPr>
        <w:t>)</w:t>
      </w:r>
      <w:r w:rsidRPr="007D3E45">
        <w:rPr>
          <w:rFonts w:eastAsia="標楷體" w:cstheme="minorHAnsi"/>
        </w:rPr>
        <w:t>係依</w:t>
      </w:r>
      <m:oMath>
        <m:r>
          <m:rPr>
            <m:sty m:val="p"/>
          </m:rPr>
          <w:rPr>
            <w:rFonts w:ascii="Cambria Math" w:eastAsia="標楷體" w:hAnsi="Cambria Math" w:cstheme="minorHAnsi"/>
          </w:rPr>
          <m:t xml:space="preserve"> max</m:t>
        </m:r>
        <m:d>
          <m:dPr>
            <m:begChr m:val="["/>
            <m:endChr m:val="]"/>
            <m:ctrlPr>
              <w:rPr>
                <w:rFonts w:ascii="Cambria Math" w:eastAsia="標楷體" w:hAnsi="Cambria Math" w:cstheme="minorHAnsi"/>
              </w:rPr>
            </m:ctrlPr>
          </m:dPr>
          <m:e>
            <m:sSup>
              <m:sSupPr>
                <m:ctrlPr>
                  <w:rPr>
                    <w:rFonts w:ascii="Cambria Math" w:eastAsia="標楷體" w:hAnsi="Cambria Math" w:cstheme="minorHAnsi"/>
                  </w:rPr>
                </m:ctrlPr>
              </m:sSupPr>
              <m:e>
                <m:r>
                  <m:rPr>
                    <m:sty m:val="p"/>
                  </m:rPr>
                  <w:rPr>
                    <w:rFonts w:ascii="Cambria Math" w:eastAsia="標楷體" w:hAnsi="Cambria Math" w:cstheme="minorHAnsi"/>
                  </w:rPr>
                  <m:t>e</m:t>
                </m:r>
              </m:e>
              <m:sup>
                <m:d>
                  <m:dPr>
                    <m:ctrlPr>
                      <w:rPr>
                        <w:rFonts w:ascii="Cambria Math" w:eastAsia="標楷體" w:hAnsi="Cambria Math" w:cstheme="minorHAnsi"/>
                      </w:rPr>
                    </m:ctrlPr>
                  </m:dPr>
                  <m:e>
                    <m:r>
                      <m:rPr>
                        <m:sty m:val="p"/>
                      </m:rPr>
                      <w:rPr>
                        <w:rFonts w:ascii="Cambria Math" w:eastAsia="標楷體" w:hAnsi="Cambria Math" w:cstheme="minorHAnsi"/>
                      </w:rPr>
                      <m:t>-θ×</m:t>
                    </m:r>
                    <m:f>
                      <m:fPr>
                        <m:ctrlPr>
                          <w:rPr>
                            <w:rFonts w:ascii="Cambria Math" w:eastAsia="標楷體" w:hAnsi="Cambria Math" w:cstheme="minorHAnsi"/>
                          </w:rPr>
                        </m:ctrlPr>
                      </m:fPr>
                      <m:num>
                        <m:d>
                          <m:dPr>
                            <m:begChr m:val="|"/>
                            <m:endChr m:val="|"/>
                            <m:ctrlPr>
                              <w:rPr>
                                <w:rFonts w:ascii="Cambria Math" w:eastAsia="標楷體" w:hAnsi="Cambria Math" w:cstheme="minorHAnsi"/>
                              </w:rPr>
                            </m:ctrlPr>
                          </m:dPr>
                          <m:e>
                            <m:sSub>
                              <m:sSubPr>
                                <m:ctrlPr>
                                  <w:rPr>
                                    <w:rFonts w:ascii="Cambria Math" w:eastAsia="標楷體" w:hAnsi="Cambria Math" w:cstheme="minorHAnsi"/>
                                  </w:rPr>
                                </m:ctrlPr>
                              </m:sSubPr>
                              <m:e>
                                <m:r>
                                  <m:rPr>
                                    <m:sty m:val="p"/>
                                  </m:rPr>
                                  <w:rPr>
                                    <w:rFonts w:ascii="Cambria Math" w:eastAsia="標楷體" w:hAnsi="Cambria Math" w:cstheme="minorHAnsi"/>
                                  </w:rPr>
                                  <m:t>T</m:t>
                                </m:r>
                              </m:e>
                              <m:sub>
                                <m:r>
                                  <m:rPr>
                                    <m:sty m:val="p"/>
                                  </m:rPr>
                                  <w:rPr>
                                    <w:rFonts w:ascii="Cambria Math" w:eastAsia="標楷體" w:hAnsi="Cambria Math" w:cstheme="minorHAnsi"/>
                                  </w:rPr>
                                  <m:t>k</m:t>
                                </m:r>
                              </m:sub>
                            </m:sSub>
                            <m:r>
                              <m:rPr>
                                <m:sty m:val="p"/>
                              </m:rPr>
                              <w:rPr>
                                <w:rFonts w:ascii="Cambria Math" w:eastAsia="標楷體" w:hAnsi="Cambria Math" w:cstheme="minorHAnsi"/>
                              </w:rPr>
                              <m:t>-</m:t>
                            </m:r>
                            <m:sSub>
                              <m:sSubPr>
                                <m:ctrlPr>
                                  <w:rPr>
                                    <w:rFonts w:ascii="Cambria Math" w:eastAsia="標楷體" w:hAnsi="Cambria Math" w:cstheme="minorHAnsi"/>
                                  </w:rPr>
                                </m:ctrlPr>
                              </m:sSubPr>
                              <m:e>
                                <m:r>
                                  <m:rPr>
                                    <m:sty m:val="p"/>
                                  </m:rPr>
                                  <w:rPr>
                                    <w:rFonts w:ascii="Cambria Math" w:eastAsia="標楷體" w:hAnsi="Cambria Math" w:cstheme="minorHAnsi"/>
                                  </w:rPr>
                                  <m:t>T</m:t>
                                </m:r>
                              </m:e>
                              <m:sub>
                                <m:r>
                                  <m:rPr>
                                    <m:sty m:val="p"/>
                                  </m:rPr>
                                  <w:rPr>
                                    <w:rFonts w:ascii="Cambria Math" w:eastAsia="標楷體" w:hAnsi="Cambria Math" w:cstheme="minorHAnsi"/>
                                  </w:rPr>
                                  <m:t>l</m:t>
                                </m:r>
                              </m:sub>
                            </m:sSub>
                          </m:e>
                        </m:d>
                      </m:num>
                      <m:den>
                        <m:r>
                          <m:rPr>
                            <m:sty m:val="p"/>
                          </m:rPr>
                          <w:rPr>
                            <w:rFonts w:ascii="Cambria Math" w:eastAsia="標楷體" w:hAnsi="Cambria Math" w:cstheme="minorHAnsi"/>
                          </w:rPr>
                          <m:t>min</m:t>
                        </m:r>
                        <m:d>
                          <m:dPr>
                            <m:begChr m:val="{"/>
                            <m:endChr m:val="}"/>
                            <m:ctrlPr>
                              <w:rPr>
                                <w:rFonts w:ascii="Cambria Math" w:eastAsia="標楷體" w:hAnsi="Cambria Math" w:cstheme="minorHAnsi"/>
                              </w:rPr>
                            </m:ctrlPr>
                          </m:dPr>
                          <m:e>
                            <m:sSub>
                              <m:sSubPr>
                                <m:ctrlPr>
                                  <w:rPr>
                                    <w:rFonts w:ascii="Cambria Math" w:eastAsia="標楷體" w:hAnsi="Cambria Math" w:cstheme="minorHAnsi"/>
                                  </w:rPr>
                                </m:ctrlPr>
                              </m:sSubPr>
                              <m:e>
                                <m:r>
                                  <m:rPr>
                                    <m:sty m:val="p"/>
                                  </m:rPr>
                                  <w:rPr>
                                    <w:rFonts w:ascii="Cambria Math" w:eastAsia="標楷體" w:hAnsi="Cambria Math" w:cstheme="minorHAnsi"/>
                                  </w:rPr>
                                  <m:t>T</m:t>
                                </m:r>
                              </m:e>
                              <m:sub>
                                <m:r>
                                  <m:rPr>
                                    <m:sty m:val="p"/>
                                  </m:rPr>
                                  <w:rPr>
                                    <w:rFonts w:ascii="Cambria Math" w:eastAsia="標楷體" w:hAnsi="Cambria Math" w:cstheme="minorHAnsi"/>
                                  </w:rPr>
                                  <m:t>k</m:t>
                                </m:r>
                              </m:sub>
                            </m:sSub>
                            <m:r>
                              <m:rPr>
                                <m:sty m:val="p"/>
                              </m:rPr>
                              <w:rPr>
                                <w:rFonts w:ascii="Cambria Math" w:eastAsia="標楷體" w:hAnsi="Cambria Math" w:cstheme="minorHAnsi"/>
                              </w:rPr>
                              <m:t>；</m:t>
                            </m:r>
                            <m:sSub>
                              <m:sSubPr>
                                <m:ctrlPr>
                                  <w:rPr>
                                    <w:rFonts w:ascii="Cambria Math" w:eastAsia="標楷體" w:hAnsi="Cambria Math" w:cstheme="minorHAnsi"/>
                                  </w:rPr>
                                </m:ctrlPr>
                              </m:sSubPr>
                              <m:e>
                                <m:r>
                                  <m:rPr>
                                    <m:sty m:val="p"/>
                                  </m:rPr>
                                  <w:rPr>
                                    <w:rFonts w:ascii="Cambria Math" w:eastAsia="標楷體" w:hAnsi="Cambria Math" w:cstheme="minorHAnsi"/>
                                  </w:rPr>
                                  <m:t>T</m:t>
                                </m:r>
                              </m:e>
                              <m:sub>
                                <m:r>
                                  <m:rPr>
                                    <m:sty m:val="p"/>
                                  </m:rPr>
                                  <w:rPr>
                                    <w:rFonts w:ascii="Cambria Math" w:eastAsia="標楷體" w:hAnsi="Cambria Math" w:cstheme="minorHAnsi"/>
                                  </w:rPr>
                                  <m:t>l</m:t>
                                </m:r>
                              </m:sub>
                            </m:sSub>
                          </m:e>
                        </m:d>
                      </m:den>
                    </m:f>
                  </m:e>
                </m:d>
              </m:sup>
            </m:sSup>
            <m:r>
              <m:rPr>
                <m:sty m:val="p"/>
              </m:rPr>
              <w:rPr>
                <w:rFonts w:ascii="Cambria Math" w:eastAsia="標楷體" w:hAnsi="Cambria Math" w:cstheme="minorHAnsi"/>
              </w:rPr>
              <m:t>；</m:t>
            </m:r>
            <m:r>
              <m:rPr>
                <m:sty m:val="p"/>
              </m:rPr>
              <w:rPr>
                <w:rFonts w:ascii="Cambria Math" w:eastAsia="標楷體" w:hAnsi="Cambria Math" w:cstheme="minorHAnsi"/>
              </w:rPr>
              <m:t>40%</m:t>
            </m:r>
          </m:e>
        </m:d>
      </m:oMath>
      <w:r w:rsidRPr="007D3E45">
        <w:rPr>
          <w:rFonts w:eastAsia="標楷體" w:cstheme="minorHAnsi"/>
        </w:rPr>
        <w:t>所訂，其中</w:t>
      </w:r>
      <w:r w:rsidRPr="007D3E45">
        <w:rPr>
          <w:rFonts w:ascii="Cambria Math" w:eastAsia="標楷體" w:hAnsi="Cambria Math" w:cs="Cambria Math"/>
        </w:rPr>
        <w:t>𝑇</w:t>
      </w:r>
      <w:r w:rsidRPr="007D3E45">
        <w:rPr>
          <w:rFonts w:ascii="Cambria Math" w:eastAsia="標楷體" w:hAnsi="Cambria Math" w:cs="Cambria Math"/>
          <w:vertAlign w:val="subscript"/>
        </w:rPr>
        <w:t>𝑘</w:t>
      </w:r>
      <w:r w:rsidRPr="007D3E45">
        <w:rPr>
          <w:rFonts w:eastAsia="標楷體" w:cstheme="minorHAnsi"/>
        </w:rPr>
        <w:t>及</w:t>
      </w:r>
      <w:r w:rsidRPr="007D3E45">
        <w:rPr>
          <w:rFonts w:ascii="Cambria Math" w:eastAsia="標楷體" w:hAnsi="Cambria Math" w:cs="Cambria Math"/>
        </w:rPr>
        <w:t>𝑇</w:t>
      </w:r>
      <w:r w:rsidRPr="007D3E45">
        <w:rPr>
          <w:rFonts w:ascii="Cambria Math" w:eastAsia="標楷體" w:hAnsi="Cambria Math" w:cs="Cambria Math"/>
          <w:vertAlign w:val="subscript"/>
        </w:rPr>
        <w:t>𝑙</w:t>
      </w:r>
      <w:r w:rsidRPr="007D3E45">
        <w:rPr>
          <w:rFonts w:eastAsia="標楷體" w:cstheme="minorHAnsi"/>
        </w:rPr>
        <w:t>各代表</w:t>
      </w:r>
      <w:r w:rsidRPr="007D3E45">
        <w:rPr>
          <w:rFonts w:ascii="Cambria Math" w:eastAsia="標楷體" w:hAnsi="Cambria Math" w:cs="Cambria Math"/>
        </w:rPr>
        <w:t>𝑊</w:t>
      </w:r>
      <w:r w:rsidRPr="007D3E45">
        <w:rPr>
          <w:rFonts w:eastAsia="標楷體" w:cstheme="minorHAnsi"/>
        </w:rPr>
        <w:t>S</w:t>
      </w:r>
      <w:r w:rsidRPr="007D3E45">
        <w:rPr>
          <w:rFonts w:ascii="Cambria Math" w:eastAsia="標楷體" w:hAnsi="Cambria Math" w:cs="Cambria Math"/>
          <w:vertAlign w:val="subscript"/>
        </w:rPr>
        <w:t>𝑘</w:t>
      </w:r>
      <w:r w:rsidRPr="007D3E45">
        <w:rPr>
          <w:rFonts w:eastAsia="標楷體" w:cstheme="minorHAnsi"/>
        </w:rPr>
        <w:t>及</w:t>
      </w:r>
      <w:r w:rsidRPr="007D3E45">
        <w:rPr>
          <w:rFonts w:ascii="Cambria Math" w:eastAsia="標楷體" w:hAnsi="Cambria Math" w:cs="Cambria Math"/>
        </w:rPr>
        <w:t>𝑊</w:t>
      </w:r>
      <w:proofErr w:type="spellStart"/>
      <w:r w:rsidRPr="007D3E45">
        <w:rPr>
          <w:rFonts w:eastAsia="標楷體" w:cstheme="minorHAnsi"/>
        </w:rPr>
        <w:t>S</w:t>
      </w:r>
      <w:r w:rsidRPr="007D3E45">
        <w:rPr>
          <w:rFonts w:eastAsia="標楷體" w:cstheme="minorHAnsi"/>
          <w:vertAlign w:val="subscript"/>
        </w:rPr>
        <w:t>l</w:t>
      </w:r>
      <w:proofErr w:type="spellEnd"/>
      <w:r w:rsidRPr="007D3E45">
        <w:rPr>
          <w:rFonts w:eastAsia="標楷體" w:cstheme="minorHAnsi"/>
        </w:rPr>
        <w:t>的天期，</w:t>
      </w:r>
      <w:r w:rsidRPr="007D3E45">
        <w:rPr>
          <w:rFonts w:ascii="Cambria Math" w:eastAsia="標楷體" w:hAnsi="Cambria Math" w:cs="Cambria Math"/>
        </w:rPr>
        <w:t>𝜃</w:t>
      </w:r>
      <w:r w:rsidRPr="007D3E45">
        <w:rPr>
          <w:rFonts w:eastAsia="標楷體" w:cstheme="minorHAnsi"/>
        </w:rPr>
        <w:t>為</w:t>
      </w:r>
      <w:r w:rsidRPr="007D3E45">
        <w:rPr>
          <w:rFonts w:eastAsia="標楷體" w:cstheme="minorHAnsi"/>
        </w:rPr>
        <w:t>3</w:t>
      </w:r>
      <w:r w:rsidRPr="007D3E45">
        <w:rPr>
          <w:rFonts w:eastAsia="標楷體" w:cstheme="minorHAnsi"/>
        </w:rPr>
        <w:t>％。例如，相同幣別</w:t>
      </w:r>
      <w:r w:rsidRPr="007D3E45">
        <w:rPr>
          <w:rFonts w:eastAsia="標楷體" w:cstheme="minorHAnsi"/>
        </w:rPr>
        <w:t>1</w:t>
      </w:r>
      <w:r w:rsidRPr="007D3E45">
        <w:rPr>
          <w:rFonts w:eastAsia="標楷體" w:cstheme="minorHAnsi"/>
        </w:rPr>
        <w:t>年期與</w:t>
      </w:r>
      <w:r w:rsidRPr="007D3E45">
        <w:rPr>
          <w:rFonts w:eastAsia="標楷體" w:cstheme="minorHAnsi"/>
        </w:rPr>
        <w:t>5</w:t>
      </w:r>
      <w:r w:rsidRPr="007D3E45">
        <w:rPr>
          <w:rFonts w:eastAsia="標楷體" w:cstheme="minorHAnsi"/>
        </w:rPr>
        <w:t>年期</w:t>
      </w:r>
      <w:proofErr w:type="spellStart"/>
      <w:r w:rsidRPr="007D3E45">
        <w:rPr>
          <w:rFonts w:eastAsia="標楷體" w:cstheme="minorHAnsi"/>
        </w:rPr>
        <w:t>Eonia</w:t>
      </w:r>
      <w:proofErr w:type="spellEnd"/>
      <w:r w:rsidRPr="007D3E45">
        <w:rPr>
          <w:rFonts w:eastAsia="標楷體" w:cstheme="minorHAnsi"/>
        </w:rPr>
        <w:t>利率交換曲線敏感性部位之相關係數為</w:t>
      </w:r>
      <m:oMath>
        <m:r>
          <m:rPr>
            <m:sty m:val="p"/>
          </m:rPr>
          <w:rPr>
            <w:rFonts w:ascii="Cambria Math" w:eastAsia="標楷體" w:hAnsi="Cambria Math" w:cstheme="minorHAnsi"/>
          </w:rPr>
          <m:t xml:space="preserve"> max</m:t>
        </m:r>
        <m:d>
          <m:dPr>
            <m:begChr m:val="["/>
            <m:endChr m:val="]"/>
            <m:ctrlPr>
              <w:rPr>
                <w:rFonts w:ascii="Cambria Math" w:eastAsia="標楷體" w:hAnsi="Cambria Math" w:cstheme="minorHAnsi"/>
              </w:rPr>
            </m:ctrlPr>
          </m:dPr>
          <m:e>
            <m:sSup>
              <m:sSupPr>
                <m:ctrlPr>
                  <w:rPr>
                    <w:rFonts w:ascii="Cambria Math" w:eastAsia="標楷體" w:hAnsi="Cambria Math" w:cstheme="minorHAnsi"/>
                  </w:rPr>
                </m:ctrlPr>
              </m:sSupPr>
              <m:e>
                <m:r>
                  <m:rPr>
                    <m:sty m:val="p"/>
                  </m:rPr>
                  <w:rPr>
                    <w:rFonts w:ascii="Cambria Math" w:eastAsia="標楷體" w:hAnsi="Cambria Math" w:cstheme="minorHAnsi"/>
                  </w:rPr>
                  <m:t>e</m:t>
                </m:r>
              </m:e>
              <m:sup>
                <m:d>
                  <m:dPr>
                    <m:ctrlPr>
                      <w:rPr>
                        <w:rFonts w:ascii="Cambria Math" w:eastAsia="標楷體" w:hAnsi="Cambria Math" w:cstheme="minorHAnsi"/>
                      </w:rPr>
                    </m:ctrlPr>
                  </m:dPr>
                  <m:e>
                    <m:r>
                      <m:rPr>
                        <m:sty m:val="p"/>
                      </m:rPr>
                      <w:rPr>
                        <w:rFonts w:ascii="Cambria Math" w:eastAsia="標楷體" w:hAnsi="Cambria Math" w:cstheme="minorHAnsi"/>
                      </w:rPr>
                      <m:t>-3%×</m:t>
                    </m:r>
                    <m:f>
                      <m:fPr>
                        <m:ctrlPr>
                          <w:rPr>
                            <w:rFonts w:ascii="Cambria Math" w:eastAsia="標楷體" w:hAnsi="Cambria Math" w:cstheme="minorHAnsi"/>
                          </w:rPr>
                        </m:ctrlPr>
                      </m:fPr>
                      <m:num>
                        <m:d>
                          <m:dPr>
                            <m:begChr m:val="|"/>
                            <m:endChr m:val="|"/>
                            <m:ctrlPr>
                              <w:rPr>
                                <w:rFonts w:ascii="Cambria Math" w:eastAsia="標楷體" w:hAnsi="Cambria Math" w:cstheme="minorHAnsi"/>
                              </w:rPr>
                            </m:ctrlPr>
                          </m:dPr>
                          <m:e>
                            <m:r>
                              <m:rPr>
                                <m:sty m:val="p"/>
                              </m:rPr>
                              <w:rPr>
                                <w:rFonts w:ascii="Cambria Math" w:eastAsia="標楷體" w:hAnsi="Cambria Math" w:cstheme="minorHAnsi"/>
                              </w:rPr>
                              <m:t>1-5</m:t>
                            </m:r>
                          </m:e>
                        </m:d>
                      </m:num>
                      <m:den>
                        <m:r>
                          <m:rPr>
                            <m:sty m:val="p"/>
                          </m:rPr>
                          <w:rPr>
                            <w:rFonts w:ascii="Cambria Math" w:eastAsia="標楷體" w:hAnsi="Cambria Math" w:cstheme="minorHAnsi"/>
                          </w:rPr>
                          <m:t>min</m:t>
                        </m:r>
                        <m:d>
                          <m:dPr>
                            <m:begChr m:val="{"/>
                            <m:endChr m:val="}"/>
                            <m:ctrlPr>
                              <w:rPr>
                                <w:rFonts w:ascii="Cambria Math" w:eastAsia="標楷體" w:hAnsi="Cambria Math" w:cstheme="minorHAnsi"/>
                              </w:rPr>
                            </m:ctrlPr>
                          </m:dPr>
                          <m:e>
                            <m:r>
                              <m:rPr>
                                <m:sty m:val="p"/>
                              </m:rPr>
                              <w:rPr>
                                <w:rFonts w:ascii="Cambria Math" w:eastAsia="標楷體" w:hAnsi="Cambria Math" w:cstheme="minorHAnsi"/>
                              </w:rPr>
                              <m:t>1</m:t>
                            </m:r>
                            <m:r>
                              <m:rPr>
                                <m:sty m:val="p"/>
                              </m:rPr>
                              <w:rPr>
                                <w:rFonts w:ascii="Cambria Math" w:eastAsia="標楷體" w:hAnsi="Cambria Math" w:cstheme="minorHAnsi"/>
                              </w:rPr>
                              <m:t>；</m:t>
                            </m:r>
                            <m:r>
                              <m:rPr>
                                <m:sty m:val="p"/>
                              </m:rPr>
                              <w:rPr>
                                <w:rFonts w:ascii="Cambria Math" w:eastAsia="標楷體" w:hAnsi="Cambria Math" w:cstheme="minorHAnsi"/>
                              </w:rPr>
                              <m:t>5</m:t>
                            </m:r>
                          </m:e>
                        </m:d>
                      </m:den>
                    </m:f>
                  </m:e>
                </m:d>
              </m:sup>
            </m:sSup>
            <m:r>
              <m:rPr>
                <m:sty m:val="p"/>
              </m:rPr>
              <w:rPr>
                <w:rFonts w:ascii="Cambria Math" w:eastAsia="標楷體" w:hAnsi="Cambria Math" w:cstheme="minorHAnsi"/>
              </w:rPr>
              <m:t>；</m:t>
            </m:r>
            <m:r>
              <m:rPr>
                <m:sty m:val="p"/>
              </m:rPr>
              <w:rPr>
                <w:rFonts w:ascii="Cambria Math" w:eastAsia="標楷體" w:hAnsi="Cambria Math" w:cstheme="minorHAnsi"/>
              </w:rPr>
              <m:t>40%</m:t>
            </m:r>
          </m:e>
        </m:d>
      </m:oMath>
      <w:r w:rsidRPr="007D3E45">
        <w:rPr>
          <w:rFonts w:eastAsia="標楷體" w:cstheme="minorHAnsi"/>
        </w:rPr>
        <w:t>=88.</w:t>
      </w:r>
      <w:r w:rsidRPr="007D3E45">
        <w:rPr>
          <w:rFonts w:eastAsia="標楷體" w:cstheme="minorHAnsi" w:hint="eastAsia"/>
        </w:rPr>
        <w:t>7</w:t>
      </w:r>
      <w:r w:rsidRPr="007D3E45">
        <w:rPr>
          <w:rFonts w:eastAsia="標楷體" w:cstheme="minorHAnsi"/>
        </w:rPr>
        <w:t>%</w:t>
      </w:r>
      <w:r w:rsidRPr="007D3E45">
        <w:rPr>
          <w:rFonts w:eastAsia="標楷體" w:cstheme="minorHAnsi"/>
        </w:rPr>
        <w:t>。</w:t>
      </w:r>
    </w:p>
  </w:footnote>
  <w:footnote w:id="25">
    <w:p w14:paraId="3417E589" w14:textId="77777777" w:rsidR="00BD20A5" w:rsidRPr="007D3E45" w:rsidRDefault="00BD20A5" w:rsidP="00CC445E">
      <w:pPr>
        <w:pStyle w:val="a3"/>
        <w:rPr>
          <w:rFonts w:eastAsia="標楷體" w:cstheme="minorHAnsi"/>
        </w:rPr>
      </w:pPr>
      <w:r w:rsidRPr="007D3E45">
        <w:rPr>
          <w:rStyle w:val="a5"/>
          <w:rFonts w:ascii="Times New Roman" w:eastAsia="標楷體" w:hAnsi="Times New Roman" w:cs="Times New Roman"/>
          <w:sz w:val="16"/>
          <w:szCs w:val="16"/>
        </w:rPr>
        <w:footnoteRef/>
      </w:r>
      <w:r w:rsidRPr="007D3E45">
        <w:rPr>
          <w:rFonts w:eastAsia="標楷體" w:cstheme="minorHAnsi"/>
        </w:rPr>
        <w:t>相同幣別</w:t>
      </w:r>
      <w:r w:rsidRPr="007D3E45">
        <w:rPr>
          <w:rFonts w:eastAsia="標楷體" w:cstheme="minorHAnsi"/>
        </w:rPr>
        <w:t xml:space="preserve">1 </w:t>
      </w:r>
      <w:r w:rsidRPr="007D3E45">
        <w:rPr>
          <w:rFonts w:eastAsia="標楷體" w:cstheme="minorHAnsi"/>
        </w:rPr>
        <w:t>年期</w:t>
      </w:r>
      <w:r w:rsidRPr="007D3E45">
        <w:rPr>
          <w:rFonts w:eastAsia="標楷體" w:cstheme="minorHAnsi"/>
        </w:rPr>
        <w:t xml:space="preserve">EONIA </w:t>
      </w:r>
      <w:r w:rsidRPr="007D3E45">
        <w:rPr>
          <w:rFonts w:eastAsia="標楷體" w:cstheme="minorHAnsi"/>
        </w:rPr>
        <w:t>利率交換曲線與</w:t>
      </w:r>
      <w:r w:rsidRPr="007D3E45">
        <w:rPr>
          <w:rFonts w:eastAsia="標楷體" w:cstheme="minorHAnsi"/>
        </w:rPr>
        <w:t xml:space="preserve">5 </w:t>
      </w:r>
      <w:r w:rsidRPr="007D3E45">
        <w:rPr>
          <w:rFonts w:eastAsia="標楷體" w:cstheme="minorHAnsi"/>
        </w:rPr>
        <w:t>年期</w:t>
      </w:r>
      <w:r w:rsidRPr="007D3E45">
        <w:rPr>
          <w:rFonts w:eastAsia="標楷體" w:cstheme="minorHAnsi"/>
        </w:rPr>
        <w:t xml:space="preserve">3M Euribor </w:t>
      </w:r>
      <w:r w:rsidRPr="007D3E45">
        <w:rPr>
          <w:rFonts w:eastAsia="標楷體" w:cstheme="minorHAnsi"/>
        </w:rPr>
        <w:t>利率交換曲線敏感性部位之相關係數為</w:t>
      </w:r>
      <w:r w:rsidRPr="007D3E45">
        <w:rPr>
          <w:rFonts w:eastAsia="標楷體" w:cstheme="minorHAnsi"/>
        </w:rPr>
        <w:t>(88.</w:t>
      </w:r>
      <w:r w:rsidRPr="007D3E45">
        <w:rPr>
          <w:rFonts w:eastAsia="標楷體" w:cstheme="minorHAnsi" w:hint="eastAsia"/>
        </w:rPr>
        <w:t>7</w:t>
      </w:r>
      <w:r w:rsidRPr="007D3E45">
        <w:rPr>
          <w:rFonts w:eastAsia="標楷體" w:cstheme="minorHAnsi"/>
        </w:rPr>
        <w:t>%)*(0.999)=88.60%</w:t>
      </w:r>
      <w:r w:rsidRPr="007D3E45">
        <w:rPr>
          <w:rFonts w:eastAsia="標楷體" w:cstheme="minorHAnsi"/>
        </w:rPr>
        <w:t>。</w:t>
      </w:r>
    </w:p>
  </w:footnote>
  <w:footnote w:id="26">
    <w:p w14:paraId="13CD98FB" w14:textId="77777777" w:rsidR="00BD20A5" w:rsidRPr="007D3E45" w:rsidRDefault="00BD20A5" w:rsidP="007D3E45">
      <w:pPr>
        <w:pStyle w:val="a3"/>
        <w:rPr>
          <w:rFonts w:eastAsia="標楷體" w:cstheme="minorHAnsi"/>
        </w:rPr>
      </w:pPr>
      <w:r w:rsidRPr="00B56D0D">
        <w:rPr>
          <w:rStyle w:val="a5"/>
          <w:rFonts w:ascii="Times New Roman" w:eastAsia="標楷體" w:hAnsi="Times New Roman" w:cs="Times New Roman"/>
          <w:sz w:val="16"/>
          <w:szCs w:val="16"/>
        </w:rPr>
        <w:footnoteRef/>
      </w:r>
      <w:r w:rsidRPr="007D3E45">
        <w:rPr>
          <w:rFonts w:eastAsia="標楷體" w:cstheme="minorHAnsi"/>
        </w:rPr>
        <w:t>上表之金融資產擔保債券</w:t>
      </w:r>
      <w:r w:rsidRPr="007D3E45">
        <w:rPr>
          <w:rFonts w:eastAsia="標楷體" w:cstheme="minorHAnsi"/>
        </w:rPr>
        <w:t>(Covered bonds)</w:t>
      </w:r>
      <w:r w:rsidRPr="007D3E45">
        <w:rPr>
          <w:rFonts w:eastAsia="標楷體" w:cstheme="minorHAnsi"/>
        </w:rPr>
        <w:t>須符合</w:t>
      </w:r>
      <w:r w:rsidRPr="0087517C">
        <w:rPr>
          <w:rFonts w:eastAsia="標楷體" w:cstheme="minorHAnsi"/>
        </w:rPr>
        <w:t>2014</w:t>
      </w:r>
      <w:r w:rsidRPr="0087517C">
        <w:rPr>
          <w:rFonts w:eastAsia="標楷體" w:cstheme="minorHAnsi"/>
        </w:rPr>
        <w:t>年</w:t>
      </w:r>
      <w:r w:rsidRPr="0087517C">
        <w:rPr>
          <w:rFonts w:eastAsia="標楷體" w:cstheme="minorHAnsi"/>
        </w:rPr>
        <w:t>4</w:t>
      </w:r>
      <w:r w:rsidRPr="0087517C">
        <w:rPr>
          <w:rFonts w:eastAsia="標楷體" w:cstheme="minorHAnsi"/>
        </w:rPr>
        <w:t>月巴塞爾銀行監督管理委員會公布的</w:t>
      </w:r>
      <w:r w:rsidRPr="0087517C">
        <w:rPr>
          <w:rFonts w:eastAsia="標楷體" w:cstheme="minorHAnsi"/>
        </w:rPr>
        <w:t>Supervisory framework for measuring and controlling large exposures</w:t>
      </w:r>
      <w:r w:rsidRPr="0087517C">
        <w:rPr>
          <w:rFonts w:eastAsia="標楷體" w:cstheme="minorHAnsi"/>
        </w:rPr>
        <w:t>第</w:t>
      </w:r>
      <w:r w:rsidRPr="0087517C">
        <w:rPr>
          <w:rFonts w:eastAsia="標楷體" w:cstheme="minorHAnsi"/>
        </w:rPr>
        <w:t>68,70</w:t>
      </w:r>
      <w:r w:rsidRPr="0087517C">
        <w:rPr>
          <w:rFonts w:eastAsia="標楷體" w:cstheme="minorHAnsi"/>
        </w:rPr>
        <w:t>及</w:t>
      </w:r>
      <w:r w:rsidRPr="0087517C">
        <w:rPr>
          <w:rFonts w:eastAsia="標楷體" w:cstheme="minorHAnsi"/>
        </w:rPr>
        <w:t>71</w:t>
      </w:r>
      <w:r w:rsidRPr="0087517C">
        <w:rPr>
          <w:rFonts w:eastAsia="標楷體" w:cstheme="minorHAnsi"/>
        </w:rPr>
        <w:t>小段之定義</w:t>
      </w:r>
      <w:r w:rsidRPr="0087517C">
        <w:rPr>
          <w:rFonts w:eastAsia="標楷體" w:cstheme="minorHAnsi"/>
        </w:rPr>
        <w:t xml:space="preserve">, </w:t>
      </w:r>
      <w:hyperlink r:id="rId1" w:history="1">
        <w:r w:rsidRPr="0087517C">
          <w:rPr>
            <w:rStyle w:val="a6"/>
            <w:rFonts w:eastAsia="標楷體" w:cstheme="minorHAnsi"/>
          </w:rPr>
          <w:t>www.bis.org/publ/bcbs283.pdf</w:t>
        </w:r>
      </w:hyperlink>
    </w:p>
  </w:footnote>
  <w:footnote w:id="27">
    <w:p w14:paraId="5172915A" w14:textId="77777777" w:rsidR="00BD20A5" w:rsidRPr="007D3E45" w:rsidRDefault="00BD20A5" w:rsidP="007D3E45">
      <w:pPr>
        <w:pStyle w:val="a3"/>
        <w:rPr>
          <w:rFonts w:eastAsia="標楷體" w:cstheme="minorHAnsi"/>
        </w:rPr>
      </w:pPr>
      <w:r w:rsidRPr="007D3E45">
        <w:rPr>
          <w:rStyle w:val="a5"/>
          <w:rFonts w:ascii="Times New Roman" w:eastAsia="標楷體" w:hAnsi="Times New Roman" w:cs="Times New Roman"/>
          <w:sz w:val="16"/>
          <w:szCs w:val="16"/>
        </w:rPr>
        <w:footnoteRef/>
      </w:r>
      <w:r w:rsidRPr="007D3E45">
        <w:rPr>
          <w:rFonts w:eastAsia="標楷體" w:cstheme="minorHAnsi"/>
        </w:rPr>
        <w:t>「其他產業」組別</w:t>
      </w:r>
      <w:proofErr w:type="gramStart"/>
      <w:r w:rsidRPr="007D3E45">
        <w:rPr>
          <w:rFonts w:eastAsia="標楷體" w:cstheme="minorHAnsi"/>
        </w:rPr>
        <w:t>不</w:t>
      </w:r>
      <w:proofErr w:type="gramEnd"/>
      <w:r w:rsidRPr="007D3E45">
        <w:rPr>
          <w:rFonts w:eastAsia="標楷體" w:cstheme="minorHAnsi"/>
        </w:rPr>
        <w:t>考量信用品質之差異。</w:t>
      </w:r>
    </w:p>
  </w:footnote>
  <w:footnote w:id="28">
    <w:p w14:paraId="333EFE11" w14:textId="77777777" w:rsidR="00BD20A5" w:rsidRPr="007D3E45" w:rsidRDefault="00BD20A5" w:rsidP="007D3E45">
      <w:pPr>
        <w:pStyle w:val="a3"/>
        <w:rPr>
          <w:rFonts w:eastAsia="標楷體" w:cstheme="minorHAnsi"/>
        </w:rPr>
      </w:pPr>
      <w:r w:rsidRPr="007D3E45">
        <w:rPr>
          <w:rStyle w:val="a5"/>
          <w:rFonts w:ascii="Times New Roman" w:eastAsia="標楷體" w:hAnsi="Times New Roman" w:cs="Times New Roman"/>
          <w:sz w:val="16"/>
          <w:szCs w:val="16"/>
        </w:rPr>
        <w:footnoteRef/>
      </w:r>
      <w:r w:rsidRPr="007D3E45">
        <w:rPr>
          <w:rFonts w:eastAsia="標楷體" w:cstheme="minorHAnsi"/>
        </w:rPr>
        <w:t>評等為</w:t>
      </w:r>
      <w:r w:rsidRPr="007D3E45">
        <w:rPr>
          <w:rFonts w:eastAsia="標楷體" w:cstheme="minorHAnsi"/>
        </w:rPr>
        <w:t>AA-(</w:t>
      </w:r>
      <w:r w:rsidRPr="007D3E45">
        <w:rPr>
          <w:rFonts w:eastAsia="標楷體" w:cstheme="minorHAnsi"/>
        </w:rPr>
        <w:t>含</w:t>
      </w:r>
      <w:r w:rsidRPr="007D3E45">
        <w:rPr>
          <w:rFonts w:eastAsia="標楷體" w:cstheme="minorHAnsi"/>
        </w:rPr>
        <w:t>)</w:t>
      </w:r>
      <w:r w:rsidRPr="007D3E45">
        <w:rPr>
          <w:rFonts w:eastAsia="標楷體" w:cstheme="minorHAnsi"/>
        </w:rPr>
        <w:t>以上的金融資產擔保債券</w:t>
      </w:r>
      <w:r w:rsidRPr="007D3E45">
        <w:rPr>
          <w:rFonts w:eastAsia="標楷體" w:cstheme="minorHAnsi"/>
        </w:rPr>
        <w:t>(Covered bonds)</w:t>
      </w:r>
      <w:r w:rsidRPr="007D3E45">
        <w:rPr>
          <w:rFonts w:eastAsia="標楷體" w:cstheme="minorHAnsi"/>
        </w:rPr>
        <w:t>，所適用的風險權數為</w:t>
      </w:r>
      <w:r w:rsidRPr="007D3E45">
        <w:rPr>
          <w:rFonts w:eastAsia="標楷體" w:cstheme="minorHAnsi"/>
        </w:rPr>
        <w:t>1.5</w:t>
      </w:r>
      <w:r w:rsidRPr="007D3E45">
        <w:rPr>
          <w:rFonts w:eastAsia="標楷體" w:cstheme="minorHAnsi" w:hint="eastAsia"/>
        </w:rPr>
        <w:t>%</w:t>
      </w:r>
      <w:r w:rsidRPr="007D3E45">
        <w:rPr>
          <w:rFonts w:eastAsia="標楷體" w:cstheme="minorHAnsi"/>
        </w:rPr>
        <w:t>。</w:t>
      </w:r>
    </w:p>
  </w:footnote>
  <w:footnote w:id="29">
    <w:p w14:paraId="12A599E3" w14:textId="77777777" w:rsidR="00BD20A5" w:rsidRPr="00933007" w:rsidRDefault="00BD20A5" w:rsidP="00933007">
      <w:pPr>
        <w:pStyle w:val="a3"/>
        <w:rPr>
          <w:rFonts w:eastAsia="標楷體" w:cstheme="minorHAnsi"/>
        </w:rPr>
      </w:pPr>
      <w:r w:rsidRPr="00933007">
        <w:rPr>
          <w:rStyle w:val="a5"/>
          <w:rFonts w:ascii="Times New Roman" w:eastAsia="標楷體" w:hAnsi="Times New Roman" w:cs="Times New Roman"/>
          <w:sz w:val="16"/>
          <w:szCs w:val="16"/>
        </w:rPr>
        <w:footnoteRef/>
      </w:r>
      <w:r w:rsidRPr="00933007">
        <w:rPr>
          <w:rFonts w:eastAsia="標楷體" w:cstheme="minorHAnsi"/>
        </w:rPr>
        <w:t>5</w:t>
      </w:r>
      <w:r w:rsidRPr="00933007">
        <w:rPr>
          <w:rFonts w:eastAsia="標楷體" w:cstheme="minorHAnsi"/>
        </w:rPr>
        <w:t>年期</w:t>
      </w:r>
      <w:r w:rsidRPr="00933007">
        <w:rPr>
          <w:rFonts w:eastAsia="標楷體" w:cstheme="minorHAnsi"/>
        </w:rPr>
        <w:t>Apple</w:t>
      </w:r>
      <w:r w:rsidRPr="00933007">
        <w:rPr>
          <w:rFonts w:eastAsia="標楷體" w:cstheme="minorHAnsi"/>
        </w:rPr>
        <w:t>公司債曲線與</w:t>
      </w:r>
      <w:r w:rsidRPr="00933007">
        <w:rPr>
          <w:rFonts w:eastAsia="標楷體" w:cstheme="minorHAnsi"/>
        </w:rPr>
        <w:t>10</w:t>
      </w:r>
      <w:r w:rsidRPr="00933007">
        <w:rPr>
          <w:rFonts w:eastAsia="標楷體" w:cstheme="minorHAnsi"/>
        </w:rPr>
        <w:t>年期</w:t>
      </w:r>
      <w:r w:rsidRPr="00933007">
        <w:rPr>
          <w:rFonts w:eastAsia="標楷體" w:cstheme="minorHAnsi"/>
        </w:rPr>
        <w:t xml:space="preserve">Google </w:t>
      </w:r>
      <w:r w:rsidRPr="00933007">
        <w:rPr>
          <w:rFonts w:eastAsia="標楷體" w:cstheme="minorHAnsi"/>
        </w:rPr>
        <w:t>信用違約交換曲線間之相關係數為</w:t>
      </w:r>
      <w:r w:rsidRPr="00933007">
        <w:rPr>
          <w:rFonts w:eastAsia="標楷體" w:cstheme="minorHAnsi"/>
        </w:rPr>
        <w:t>35%*65%*99.90%=22.73%</w:t>
      </w:r>
      <w:r w:rsidRPr="00933007">
        <w:rPr>
          <w:rFonts w:eastAsia="標楷體" w:cstheme="minorHAnsi"/>
        </w:rPr>
        <w:t>。</w:t>
      </w:r>
    </w:p>
  </w:footnote>
  <w:footnote w:id="30">
    <w:p w14:paraId="760D466B" w14:textId="77777777" w:rsidR="00BD20A5" w:rsidRPr="00B9313E" w:rsidRDefault="00BD20A5" w:rsidP="00B9313E">
      <w:pPr>
        <w:pStyle w:val="a3"/>
        <w:rPr>
          <w:rFonts w:eastAsia="標楷體" w:cstheme="minorHAnsi"/>
        </w:rPr>
      </w:pPr>
      <w:r w:rsidRPr="00B9313E">
        <w:rPr>
          <w:rStyle w:val="a5"/>
          <w:rFonts w:ascii="Times New Roman" w:eastAsia="標楷體" w:hAnsi="Times New Roman" w:cs="Times New Roman"/>
          <w:sz w:val="16"/>
          <w:szCs w:val="16"/>
        </w:rPr>
        <w:footnoteRef/>
      </w:r>
      <w:r w:rsidRPr="00B9313E">
        <w:rPr>
          <w:rFonts w:eastAsia="標楷體" w:cstheme="minorHAnsi"/>
        </w:rPr>
        <w:t>「其他資產」組別不考慮信用等級之差異。</w:t>
      </w:r>
    </w:p>
  </w:footnote>
  <w:footnote w:id="31">
    <w:p w14:paraId="76537679" w14:textId="77777777" w:rsidR="00BD20A5" w:rsidRPr="003B1CCC" w:rsidRDefault="00BD20A5" w:rsidP="003B1CCC">
      <w:pPr>
        <w:pStyle w:val="a3"/>
        <w:rPr>
          <w:rFonts w:eastAsia="標楷體" w:cstheme="minorHAnsi"/>
        </w:rPr>
      </w:pPr>
      <w:r w:rsidRPr="003B1CCC">
        <w:rPr>
          <w:rStyle w:val="a5"/>
          <w:rFonts w:ascii="Times New Roman" w:eastAsia="標楷體" w:hAnsi="Times New Roman" w:cs="Times New Roman"/>
          <w:sz w:val="16"/>
          <w:szCs w:val="16"/>
        </w:rPr>
        <w:footnoteRef/>
      </w:r>
      <w:r w:rsidRPr="003B1CCC">
        <w:rPr>
          <w:rFonts w:eastAsia="標楷體" w:cstheme="minorHAnsi"/>
        </w:rPr>
        <w:t>“</w:t>
      </w:r>
      <w:r w:rsidRPr="003B1CCC">
        <w:rPr>
          <w:rFonts w:eastAsia="標楷體" w:cstheme="minorHAnsi"/>
        </w:rPr>
        <w:t>市值</w:t>
      </w:r>
      <w:r w:rsidRPr="003B1CCC">
        <w:rPr>
          <w:rFonts w:eastAsia="標楷體" w:cstheme="minorHAnsi"/>
        </w:rPr>
        <w:t>”(market cap)</w:t>
      </w:r>
      <w:r w:rsidRPr="003B1CCC">
        <w:rPr>
          <w:rFonts w:eastAsia="標楷體" w:cstheme="minorHAnsi"/>
        </w:rPr>
        <w:t>定義為同一掛牌法人實體或企業集團在全球股票市場發行股票的市場價值總和，其中</w:t>
      </w:r>
      <w:proofErr w:type="gramStart"/>
      <w:r w:rsidRPr="003B1CCC">
        <w:rPr>
          <w:rFonts w:eastAsia="標楷體" w:cstheme="minorHAnsi"/>
        </w:rPr>
        <w:t>採</w:t>
      </w:r>
      <w:proofErr w:type="gramEnd"/>
      <w:r w:rsidRPr="003B1CCC">
        <w:rPr>
          <w:rFonts w:eastAsia="標楷體" w:cstheme="minorHAnsi"/>
        </w:rPr>
        <w:t>企業集團角度合計市值適合用在掛牌法人實體為該企業集團之母公司時。在任何情況下，不應使用多個相關掛牌法人實體的市值總和來決定單一掛牌法人實體是</w:t>
      </w:r>
      <w:r w:rsidRPr="003B1CCC">
        <w:rPr>
          <w:rFonts w:eastAsia="標楷體" w:cstheme="minorHAnsi"/>
        </w:rPr>
        <w:t>“</w:t>
      </w:r>
      <w:r w:rsidRPr="003B1CCC">
        <w:rPr>
          <w:rFonts w:eastAsia="標楷體" w:cstheme="minorHAnsi"/>
        </w:rPr>
        <w:t>大型市值</w:t>
      </w:r>
      <w:r w:rsidRPr="003B1CCC">
        <w:rPr>
          <w:rFonts w:eastAsia="標楷體" w:cstheme="minorHAnsi"/>
        </w:rPr>
        <w:t>”</w:t>
      </w:r>
      <w:r w:rsidRPr="003B1CCC">
        <w:rPr>
          <w:rFonts w:eastAsia="標楷體" w:cstheme="minorHAnsi"/>
        </w:rPr>
        <w:t>還是</w:t>
      </w:r>
      <w:r w:rsidRPr="003B1CCC">
        <w:rPr>
          <w:rFonts w:eastAsia="標楷體" w:cstheme="minorHAnsi"/>
        </w:rPr>
        <w:t>“</w:t>
      </w:r>
      <w:r w:rsidRPr="003B1CCC">
        <w:rPr>
          <w:rFonts w:eastAsia="標楷體" w:cstheme="minorHAnsi"/>
        </w:rPr>
        <w:t>小型市值</w:t>
      </w:r>
      <w:r w:rsidRPr="003B1CCC">
        <w:rPr>
          <w:rFonts w:eastAsia="標楷體" w:cstheme="minorHAnsi"/>
        </w:rPr>
        <w:t>”</w:t>
      </w:r>
      <w:r w:rsidRPr="003B1CCC">
        <w:rPr>
          <w:rFonts w:eastAsia="標楷體" w:cstheme="minorHAnsi"/>
        </w:rPr>
        <w:t>。</w:t>
      </w:r>
    </w:p>
    <w:p w14:paraId="7AF4E6AE" w14:textId="77777777" w:rsidR="00BD20A5" w:rsidRPr="003B1CCC" w:rsidRDefault="00BD20A5" w:rsidP="003B1CCC">
      <w:pPr>
        <w:pStyle w:val="a3"/>
        <w:rPr>
          <w:rFonts w:eastAsia="標楷體" w:cstheme="minorHAnsi"/>
        </w:rPr>
      </w:pPr>
      <w:r w:rsidRPr="003B1CCC">
        <w:rPr>
          <w:rFonts w:eastAsia="標楷體" w:cstheme="minorHAnsi"/>
        </w:rPr>
        <w:t>市值高於或等於</w:t>
      </w:r>
      <w:r w:rsidRPr="003B1CCC">
        <w:rPr>
          <w:rFonts w:eastAsia="標楷體" w:cstheme="minorHAnsi"/>
        </w:rPr>
        <w:t>20</w:t>
      </w:r>
      <w:r w:rsidRPr="003B1CCC">
        <w:rPr>
          <w:rFonts w:eastAsia="標楷體" w:cstheme="minorHAnsi"/>
        </w:rPr>
        <w:t>億美元者定義為大型市值，低於</w:t>
      </w:r>
      <w:r w:rsidRPr="003B1CCC">
        <w:rPr>
          <w:rFonts w:eastAsia="標楷體" w:cstheme="minorHAnsi"/>
        </w:rPr>
        <w:t>20</w:t>
      </w:r>
      <w:r w:rsidRPr="003B1CCC">
        <w:rPr>
          <w:rFonts w:eastAsia="標楷體" w:cstheme="minorHAnsi"/>
        </w:rPr>
        <w:t>億美元者定義為小型市值。</w:t>
      </w:r>
    </w:p>
  </w:footnote>
  <w:footnote w:id="32">
    <w:p w14:paraId="2042A29D" w14:textId="77777777" w:rsidR="00BD20A5" w:rsidRPr="003B1CCC" w:rsidRDefault="00BD20A5" w:rsidP="003B1CCC">
      <w:pPr>
        <w:pStyle w:val="a3"/>
        <w:rPr>
          <w:rFonts w:eastAsia="標楷體" w:cstheme="minorHAnsi"/>
        </w:rPr>
      </w:pPr>
      <w:r w:rsidRPr="003B1CCC">
        <w:rPr>
          <w:rStyle w:val="a5"/>
          <w:rFonts w:ascii="Times New Roman" w:eastAsia="標楷體" w:hAnsi="Times New Roman" w:cs="Times New Roman"/>
          <w:sz w:val="16"/>
          <w:szCs w:val="16"/>
        </w:rPr>
        <w:footnoteRef/>
      </w:r>
      <w:r w:rsidRPr="003B1CCC">
        <w:rPr>
          <w:rFonts w:eastAsia="標楷體" w:cstheme="minorHAnsi"/>
        </w:rPr>
        <w:t>「其他產業」組別</w:t>
      </w:r>
      <w:proofErr w:type="gramStart"/>
      <w:r w:rsidRPr="003B1CCC">
        <w:rPr>
          <w:rFonts w:eastAsia="標楷體" w:cstheme="minorHAnsi"/>
        </w:rPr>
        <w:t>不</w:t>
      </w:r>
      <w:proofErr w:type="gramEnd"/>
      <w:r w:rsidRPr="003B1CCC">
        <w:rPr>
          <w:rFonts w:eastAsia="標楷體" w:cstheme="minorHAnsi"/>
        </w:rPr>
        <w:t>考量市值或經濟體</w:t>
      </w:r>
      <w:r w:rsidRPr="003B1CCC">
        <w:rPr>
          <w:rFonts w:eastAsia="標楷體" w:cstheme="minorHAnsi"/>
        </w:rPr>
        <w:t>(</w:t>
      </w:r>
      <w:r w:rsidRPr="003B1CCC">
        <w:rPr>
          <w:rFonts w:eastAsia="標楷體" w:cstheme="minorHAnsi"/>
        </w:rPr>
        <w:t>即先進國家或新興市場</w:t>
      </w:r>
      <w:r w:rsidRPr="003B1CCC">
        <w:rPr>
          <w:rFonts w:eastAsia="標楷體" w:cstheme="minorHAnsi"/>
        </w:rPr>
        <w:t>)</w:t>
      </w:r>
      <w:r w:rsidRPr="003B1CCC">
        <w:rPr>
          <w:rFonts w:eastAsia="標楷體" w:cstheme="minorHAnsi"/>
        </w:rPr>
        <w:t>之差異。</w:t>
      </w:r>
    </w:p>
  </w:footnote>
  <w:footnote w:id="33">
    <w:p w14:paraId="37652F30" w14:textId="77777777" w:rsidR="00BD20A5" w:rsidRPr="003B1CCC" w:rsidRDefault="00BD20A5" w:rsidP="003B1CCC">
      <w:pPr>
        <w:pStyle w:val="a3"/>
        <w:rPr>
          <w:rFonts w:eastAsia="標楷體" w:cstheme="minorHAnsi"/>
        </w:rPr>
      </w:pPr>
      <w:r w:rsidRPr="003B1CCC">
        <w:rPr>
          <w:rStyle w:val="a5"/>
          <w:rFonts w:ascii="Times New Roman" w:eastAsia="標楷體" w:hAnsi="Times New Roman" w:cs="Times New Roman"/>
          <w:sz w:val="16"/>
          <w:szCs w:val="16"/>
        </w:rPr>
        <w:footnoteRef/>
      </w:r>
      <w:r w:rsidRPr="003B1CCC">
        <w:rPr>
          <w:rFonts w:eastAsia="標楷體" w:cstheme="minorHAnsi"/>
        </w:rPr>
        <w:t>先進國家經濟體包括加拿大、美國、墨西哥、歐元區、非歐元地區西方歐洲國家</w:t>
      </w:r>
      <w:r w:rsidRPr="003B1CCC">
        <w:rPr>
          <w:rFonts w:eastAsia="標楷體" w:cstheme="minorHAnsi"/>
        </w:rPr>
        <w:t>(</w:t>
      </w:r>
      <w:r w:rsidRPr="003B1CCC">
        <w:rPr>
          <w:rFonts w:eastAsia="標楷體" w:cstheme="minorHAnsi"/>
        </w:rPr>
        <w:t>英國、挪威、瑞典、丹麥及瑞士</w:t>
      </w:r>
      <w:r w:rsidRPr="003B1CCC">
        <w:rPr>
          <w:rFonts w:eastAsia="標楷體" w:cstheme="minorHAnsi"/>
        </w:rPr>
        <w:t>)</w:t>
      </w:r>
      <w:r w:rsidRPr="003B1CCC">
        <w:rPr>
          <w:rFonts w:eastAsia="標楷體" w:cstheme="minorHAnsi"/>
        </w:rPr>
        <w:t>、日本、大洋洲</w:t>
      </w:r>
      <w:r w:rsidRPr="003B1CCC">
        <w:rPr>
          <w:rFonts w:eastAsia="標楷體" w:cstheme="minorHAnsi"/>
        </w:rPr>
        <w:t>(</w:t>
      </w:r>
      <w:r w:rsidRPr="003B1CCC">
        <w:rPr>
          <w:rFonts w:eastAsia="標楷體" w:cstheme="minorHAnsi"/>
        </w:rPr>
        <w:t>澳洲及紐西蘭</w:t>
      </w:r>
      <w:r w:rsidRPr="003B1CCC">
        <w:rPr>
          <w:rFonts w:eastAsia="標楷體" w:cstheme="minorHAnsi"/>
        </w:rPr>
        <w:t>)</w:t>
      </w:r>
      <w:r w:rsidRPr="003B1CCC">
        <w:rPr>
          <w:rFonts w:eastAsia="標楷體" w:cstheme="minorHAnsi"/>
        </w:rPr>
        <w:t>、新加坡、香港特別行政區、中華民國。</w:t>
      </w:r>
    </w:p>
  </w:footnote>
  <w:footnote w:id="34">
    <w:p w14:paraId="3FD00939" w14:textId="77777777" w:rsidR="00BD20A5" w:rsidRPr="00CD40BD" w:rsidRDefault="00BD20A5" w:rsidP="00CD40BD">
      <w:pPr>
        <w:pStyle w:val="a3"/>
        <w:rPr>
          <w:rFonts w:eastAsia="標楷體" w:cstheme="minorHAnsi"/>
        </w:rPr>
      </w:pPr>
      <w:r w:rsidRPr="00CD40BD">
        <w:rPr>
          <w:rStyle w:val="a5"/>
          <w:rFonts w:ascii="Times New Roman" w:eastAsia="標楷體" w:hAnsi="Times New Roman" w:cs="Times New Roman"/>
          <w:sz w:val="16"/>
          <w:szCs w:val="16"/>
        </w:rPr>
        <w:footnoteRef/>
      </w:r>
      <w:r w:rsidRPr="00CD40BD">
        <w:rPr>
          <w:rFonts w:eastAsia="標楷體" w:cstheme="minorHAnsi"/>
        </w:rPr>
        <w:t>例如，交割地點為勒阿弗爾</w:t>
      </w:r>
      <w:r w:rsidRPr="00CD40BD">
        <w:rPr>
          <w:rFonts w:eastAsia="標楷體" w:cstheme="minorHAnsi"/>
        </w:rPr>
        <w:t>(Le Havre)</w:t>
      </w:r>
      <w:r w:rsidRPr="00CD40BD">
        <w:rPr>
          <w:rFonts w:eastAsia="標楷體" w:cstheme="minorHAnsi"/>
        </w:rPr>
        <w:t>、期間</w:t>
      </w:r>
      <w:r w:rsidRPr="00CD40BD">
        <w:rPr>
          <w:rFonts w:eastAsia="標楷體" w:cstheme="minorHAnsi"/>
        </w:rPr>
        <w:t>1</w:t>
      </w:r>
      <w:r w:rsidRPr="00CD40BD">
        <w:rPr>
          <w:rFonts w:eastAsia="標楷體" w:cstheme="minorHAnsi"/>
        </w:rPr>
        <w:t>年之布蘭特</w:t>
      </w:r>
      <w:r w:rsidRPr="00CD40BD">
        <w:rPr>
          <w:rFonts w:eastAsia="標楷體" w:cstheme="minorHAnsi"/>
        </w:rPr>
        <w:t>(Brent)</w:t>
      </w:r>
      <w:r w:rsidRPr="00CD40BD">
        <w:rPr>
          <w:rFonts w:eastAsia="標楷體" w:cstheme="minorHAnsi"/>
        </w:rPr>
        <w:t>原油合約與交割地點為俄克拉荷馬</w:t>
      </w:r>
      <w:r w:rsidRPr="00CD40BD">
        <w:rPr>
          <w:rFonts w:eastAsia="標楷體" w:cstheme="minorHAnsi"/>
        </w:rPr>
        <w:t>(Oklahoma)</w:t>
      </w:r>
      <w:r w:rsidRPr="00CD40BD">
        <w:rPr>
          <w:rFonts w:eastAsia="標楷體" w:cstheme="minorHAnsi"/>
        </w:rPr>
        <w:t>、期間</w:t>
      </w:r>
      <w:r w:rsidRPr="00CD40BD">
        <w:rPr>
          <w:rFonts w:eastAsia="標楷體" w:cstheme="minorHAnsi"/>
        </w:rPr>
        <w:t>5</w:t>
      </w:r>
      <w:r w:rsidRPr="00CD40BD">
        <w:rPr>
          <w:rFonts w:eastAsia="標楷體" w:cstheme="minorHAnsi"/>
        </w:rPr>
        <w:t>年之西德州</w:t>
      </w:r>
      <w:r w:rsidRPr="00CD40BD">
        <w:rPr>
          <w:rFonts w:eastAsia="標楷體" w:cstheme="minorHAnsi"/>
        </w:rPr>
        <w:t>(WTI)</w:t>
      </w:r>
      <w:r w:rsidRPr="00CD40BD">
        <w:rPr>
          <w:rFonts w:eastAsia="標楷體" w:cstheme="minorHAnsi"/>
        </w:rPr>
        <w:t>原油合約兩者間相關係數為</w:t>
      </w:r>
      <w:r w:rsidRPr="00CD40BD">
        <w:rPr>
          <w:rFonts w:eastAsia="標楷體" w:cstheme="minorHAnsi"/>
        </w:rPr>
        <w:t>95%*99.00%*99.90%=93.96%</w:t>
      </w:r>
      <w:r w:rsidRPr="00CD40BD">
        <w:rPr>
          <w:rFonts w:eastAsia="標楷體" w:cstheme="minorHAnsi"/>
        </w:rPr>
        <w:t>。</w:t>
      </w:r>
    </w:p>
  </w:footnote>
  <w:footnote w:id="35">
    <w:p w14:paraId="2AFE9FCF" w14:textId="77777777" w:rsidR="00BD20A5" w:rsidRPr="00CD40BD" w:rsidRDefault="00BD20A5" w:rsidP="00CD40BD">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CD40BD">
        <w:rPr>
          <w:rFonts w:eastAsia="標楷體" w:cstheme="minorHAnsi"/>
          <w:sz w:val="20"/>
          <w:szCs w:val="20"/>
        </w:rPr>
        <w:t>當市場上兩契約間唯一差異為交付標的商品不同，則被視為不同商品。例如</w:t>
      </w:r>
      <w:r w:rsidRPr="00CD40BD">
        <w:rPr>
          <w:rFonts w:eastAsia="標楷體" w:cstheme="minorHAnsi" w:hint="eastAsia"/>
          <w:sz w:val="20"/>
          <w:szCs w:val="20"/>
        </w:rPr>
        <w:t>：</w:t>
      </w:r>
    </w:p>
    <w:p w14:paraId="05458259" w14:textId="77777777" w:rsidR="00BD20A5" w:rsidRPr="00CD40BD" w:rsidRDefault="00BD20A5" w:rsidP="00605B1D">
      <w:pPr>
        <w:pStyle w:val="a3"/>
        <w:numPr>
          <w:ilvl w:val="0"/>
          <w:numId w:val="131"/>
        </w:numPr>
        <w:rPr>
          <w:rFonts w:eastAsia="標楷體" w:cstheme="minorHAnsi"/>
        </w:rPr>
      </w:pPr>
      <w:r w:rsidRPr="00CD40BD">
        <w:rPr>
          <w:rFonts w:eastAsia="標楷體" w:cstheme="minorHAnsi"/>
        </w:rPr>
        <w:t>組別</w:t>
      </w:r>
      <w:r w:rsidRPr="00CD40BD">
        <w:rPr>
          <w:rFonts w:eastAsia="標楷體" w:cstheme="minorHAnsi"/>
        </w:rPr>
        <w:t>2(</w:t>
      </w:r>
      <w:r w:rsidRPr="00CD40BD">
        <w:rPr>
          <w:rFonts w:eastAsia="標楷體" w:cstheme="minorHAnsi"/>
        </w:rPr>
        <w:t>即能源</w:t>
      </w:r>
      <w:r w:rsidRPr="00CD40BD">
        <w:rPr>
          <w:rFonts w:eastAsia="標楷體" w:cstheme="minorHAnsi"/>
        </w:rPr>
        <w:t xml:space="preserve"> - </w:t>
      </w:r>
      <w:r w:rsidRPr="00CD40BD">
        <w:rPr>
          <w:rFonts w:eastAsia="標楷體" w:cstheme="minorHAnsi"/>
        </w:rPr>
        <w:t>液態燃料</w:t>
      </w:r>
      <w:r w:rsidRPr="00CD40BD">
        <w:rPr>
          <w:rFonts w:eastAsia="標楷體" w:cstheme="minorHAnsi"/>
        </w:rPr>
        <w:t>)</w:t>
      </w:r>
      <w:r w:rsidRPr="00CD40BD">
        <w:rPr>
          <w:rFonts w:eastAsia="標楷體" w:cstheme="minorHAnsi"/>
        </w:rPr>
        <w:t>之西德州</w:t>
      </w:r>
      <w:r w:rsidRPr="00CD40BD">
        <w:rPr>
          <w:rFonts w:eastAsia="標楷體" w:cstheme="minorHAnsi"/>
        </w:rPr>
        <w:t>(WTI)</w:t>
      </w:r>
      <w:r w:rsidRPr="00CD40BD">
        <w:rPr>
          <w:rFonts w:eastAsia="標楷體" w:cstheme="minorHAnsi"/>
        </w:rPr>
        <w:t>原油及布蘭特</w:t>
      </w:r>
      <w:r w:rsidRPr="00CD40BD">
        <w:rPr>
          <w:rFonts w:eastAsia="標楷體" w:cstheme="minorHAnsi"/>
        </w:rPr>
        <w:t>(Brent)</w:t>
      </w:r>
      <w:r w:rsidRPr="00CD40BD">
        <w:rPr>
          <w:rFonts w:eastAsia="標楷體" w:cstheme="minorHAnsi"/>
        </w:rPr>
        <w:t>原油通常被視為不同商品。</w:t>
      </w:r>
    </w:p>
    <w:p w14:paraId="56A64202" w14:textId="77777777" w:rsidR="00BD20A5" w:rsidRPr="00CD40BD" w:rsidRDefault="00BD20A5" w:rsidP="00605B1D">
      <w:pPr>
        <w:pStyle w:val="a3"/>
        <w:numPr>
          <w:ilvl w:val="0"/>
          <w:numId w:val="131"/>
        </w:numPr>
        <w:rPr>
          <w:rFonts w:eastAsia="標楷體" w:cstheme="minorHAnsi"/>
        </w:rPr>
      </w:pPr>
      <w:r w:rsidRPr="00CD40BD">
        <w:rPr>
          <w:rFonts w:eastAsia="標楷體" w:cstheme="minorHAnsi"/>
        </w:rPr>
        <w:t>關於組別</w:t>
      </w:r>
      <w:r w:rsidRPr="00CD40BD">
        <w:rPr>
          <w:rFonts w:eastAsia="標楷體" w:cstheme="minorHAnsi"/>
        </w:rPr>
        <w:t>3(</w:t>
      </w:r>
      <w:r w:rsidRPr="00CD40BD">
        <w:rPr>
          <w:rFonts w:eastAsia="標楷體" w:cstheme="minorHAnsi"/>
        </w:rPr>
        <w:t>能源</w:t>
      </w:r>
      <w:r w:rsidRPr="00CD40BD">
        <w:rPr>
          <w:rFonts w:eastAsia="標楷體" w:cstheme="minorHAnsi"/>
        </w:rPr>
        <w:t xml:space="preserve"> - </w:t>
      </w:r>
      <w:r w:rsidRPr="00CD40BD">
        <w:rPr>
          <w:rFonts w:eastAsia="標楷體" w:cstheme="minorHAnsi"/>
        </w:rPr>
        <w:t>電力與碳交易</w:t>
      </w:r>
      <w:r w:rsidRPr="00CD40BD">
        <w:rPr>
          <w:rFonts w:eastAsia="標楷體" w:cstheme="minorHAnsi"/>
        </w:rPr>
        <w:t>)</w:t>
      </w:r>
    </w:p>
    <w:p w14:paraId="433F30FA" w14:textId="77777777" w:rsidR="00BD20A5" w:rsidRPr="00CD40BD" w:rsidRDefault="00BD20A5" w:rsidP="00CD40BD">
      <w:pPr>
        <w:ind w:left="737" w:hanging="255"/>
        <w:jc w:val="both"/>
        <w:rPr>
          <w:rFonts w:eastAsia="標楷體" w:cstheme="minorHAnsi"/>
          <w:sz w:val="20"/>
          <w:szCs w:val="20"/>
        </w:rPr>
      </w:pPr>
      <w:proofErr w:type="spellStart"/>
      <w:r w:rsidRPr="00CD40BD">
        <w:rPr>
          <w:rFonts w:eastAsia="標楷體" w:cstheme="minorHAnsi" w:hint="eastAsia"/>
          <w:sz w:val="20"/>
          <w:szCs w:val="20"/>
        </w:rPr>
        <w:t>i</w:t>
      </w:r>
      <w:proofErr w:type="spellEnd"/>
      <w:r w:rsidRPr="00CD40BD">
        <w:rPr>
          <w:rFonts w:eastAsia="標楷體" w:cstheme="minorHAnsi"/>
          <w:sz w:val="20"/>
          <w:szCs w:val="20"/>
        </w:rPr>
        <w:t>. (</w:t>
      </w:r>
      <w:proofErr w:type="spellStart"/>
      <w:r w:rsidRPr="00CD40BD">
        <w:rPr>
          <w:rFonts w:eastAsia="標楷體" w:cstheme="minorHAnsi"/>
          <w:sz w:val="20"/>
          <w:szCs w:val="20"/>
        </w:rPr>
        <w:t>i</w:t>
      </w:r>
      <w:proofErr w:type="spellEnd"/>
      <w:r w:rsidRPr="00CD40BD">
        <w:rPr>
          <w:rFonts w:eastAsia="標楷體" w:cstheme="minorHAnsi"/>
          <w:sz w:val="20"/>
          <w:szCs w:val="20"/>
        </w:rPr>
        <w:t>)</w:t>
      </w:r>
      <w:r w:rsidRPr="00CD40BD">
        <w:rPr>
          <w:rFonts w:eastAsia="標楷體" w:cstheme="minorHAnsi"/>
          <w:sz w:val="20"/>
          <w:szCs w:val="20"/>
        </w:rPr>
        <w:t>電力能交付且</w:t>
      </w:r>
      <w:r w:rsidRPr="00CD40BD">
        <w:rPr>
          <w:rFonts w:eastAsia="標楷體" w:cstheme="minorHAnsi"/>
          <w:sz w:val="20"/>
          <w:szCs w:val="20"/>
        </w:rPr>
        <w:t>(ii)</w:t>
      </w:r>
      <w:r w:rsidRPr="00CD40BD">
        <w:rPr>
          <w:rFonts w:eastAsia="標楷體" w:cstheme="minorHAnsi"/>
          <w:sz w:val="20"/>
          <w:szCs w:val="20"/>
        </w:rPr>
        <w:t>於金融市場上被定義為一個合約之時間間隔，即被視為不同的電力商品</w:t>
      </w:r>
      <w:r w:rsidRPr="00CD40BD">
        <w:rPr>
          <w:rFonts w:eastAsia="標楷體" w:cstheme="minorHAnsi"/>
          <w:sz w:val="20"/>
          <w:szCs w:val="20"/>
        </w:rPr>
        <w:t>(</w:t>
      </w:r>
      <w:r w:rsidRPr="00CD40BD">
        <w:rPr>
          <w:rFonts w:eastAsia="標楷體" w:cstheme="minorHAnsi"/>
          <w:sz w:val="20"/>
          <w:szCs w:val="20"/>
        </w:rPr>
        <w:t>如尖峰和離峰</w:t>
      </w:r>
      <w:r w:rsidRPr="00CD40BD">
        <w:rPr>
          <w:rFonts w:eastAsia="標楷體" w:cstheme="minorHAnsi"/>
          <w:sz w:val="20"/>
          <w:szCs w:val="20"/>
        </w:rPr>
        <w:t>)</w:t>
      </w:r>
      <w:r w:rsidRPr="00CD40BD">
        <w:rPr>
          <w:rFonts w:eastAsia="標楷體" w:cstheme="minorHAnsi"/>
          <w:sz w:val="20"/>
          <w:szCs w:val="20"/>
        </w:rPr>
        <w:t>。</w:t>
      </w:r>
    </w:p>
    <w:p w14:paraId="6A46B006" w14:textId="77777777" w:rsidR="00BD20A5" w:rsidRPr="00CD40BD" w:rsidRDefault="00BD20A5" w:rsidP="00CD40BD">
      <w:pPr>
        <w:ind w:left="737" w:hanging="255"/>
        <w:jc w:val="both"/>
        <w:rPr>
          <w:rFonts w:eastAsia="標楷體" w:cstheme="minorHAnsi"/>
          <w:sz w:val="20"/>
          <w:szCs w:val="20"/>
        </w:rPr>
      </w:pPr>
      <w:r w:rsidRPr="00CD40BD">
        <w:rPr>
          <w:rFonts w:eastAsia="標楷體" w:cstheme="minorHAnsi" w:hint="eastAsia"/>
          <w:sz w:val="20"/>
          <w:szCs w:val="20"/>
        </w:rPr>
        <w:t xml:space="preserve">ii. </w:t>
      </w:r>
      <w:r w:rsidRPr="00CD40BD">
        <w:rPr>
          <w:rFonts w:eastAsia="標楷體" w:cstheme="minorHAnsi"/>
          <w:sz w:val="20"/>
          <w:szCs w:val="20"/>
        </w:rPr>
        <w:t>在特定區域生產的電力</w:t>
      </w:r>
      <w:r w:rsidRPr="00CD40BD">
        <w:rPr>
          <w:rFonts w:eastAsia="標楷體" w:cstheme="minorHAnsi"/>
          <w:sz w:val="20"/>
          <w:szCs w:val="20"/>
        </w:rPr>
        <w:t>(</w:t>
      </w:r>
      <w:r w:rsidRPr="00CD40BD">
        <w:rPr>
          <w:rFonts w:eastAsia="標楷體" w:cstheme="minorHAnsi"/>
          <w:sz w:val="20"/>
          <w:szCs w:val="20"/>
        </w:rPr>
        <w:t>如西北電力、</w:t>
      </w:r>
      <w:proofErr w:type="gramStart"/>
      <w:r w:rsidRPr="00CD40BD">
        <w:rPr>
          <w:rFonts w:eastAsia="標楷體" w:cstheme="minorHAnsi"/>
          <w:sz w:val="20"/>
          <w:szCs w:val="20"/>
        </w:rPr>
        <w:t>東南電力或北方電力</w:t>
      </w:r>
      <w:r w:rsidRPr="00CD40BD">
        <w:rPr>
          <w:rFonts w:eastAsia="標楷體" w:cstheme="minorHAnsi"/>
          <w:sz w:val="20"/>
          <w:szCs w:val="20"/>
        </w:rPr>
        <w:t>)</w:t>
      </w:r>
      <w:r w:rsidRPr="00CD40BD">
        <w:rPr>
          <w:rFonts w:eastAsia="標楷體" w:cstheme="minorHAnsi"/>
          <w:sz w:val="20"/>
          <w:szCs w:val="20"/>
        </w:rPr>
        <w:t>也被視為不同的電力商品</w:t>
      </w:r>
      <w:proofErr w:type="gramEnd"/>
      <w:r w:rsidRPr="00CD40BD">
        <w:rPr>
          <w:rFonts w:eastAsia="標楷體" w:cstheme="minorHAnsi"/>
          <w:sz w:val="20"/>
          <w:szCs w:val="20"/>
        </w:rPr>
        <w:t>。</w:t>
      </w:r>
    </w:p>
    <w:p w14:paraId="34DBC1C7" w14:textId="77777777" w:rsidR="00BD20A5" w:rsidRPr="00CD40BD" w:rsidRDefault="00BD20A5" w:rsidP="00605B1D">
      <w:pPr>
        <w:pStyle w:val="a3"/>
        <w:numPr>
          <w:ilvl w:val="0"/>
          <w:numId w:val="131"/>
        </w:numPr>
        <w:rPr>
          <w:rFonts w:eastAsia="標楷體" w:cstheme="minorHAnsi"/>
        </w:rPr>
      </w:pPr>
      <w:r w:rsidRPr="00CD40BD">
        <w:rPr>
          <w:rFonts w:eastAsia="標楷體" w:cstheme="minorHAnsi"/>
        </w:rPr>
        <w:t>關於組別</w:t>
      </w:r>
      <w:r w:rsidRPr="00CD40BD">
        <w:rPr>
          <w:rFonts w:eastAsia="標楷體" w:cstheme="minorHAnsi"/>
        </w:rPr>
        <w:t>4(</w:t>
      </w:r>
      <w:r w:rsidRPr="00CD40BD">
        <w:rPr>
          <w:rFonts w:eastAsia="標楷體" w:cstheme="minorHAnsi"/>
        </w:rPr>
        <w:t>貨運航班</w:t>
      </w:r>
      <w:r w:rsidRPr="00CD40BD">
        <w:rPr>
          <w:rFonts w:eastAsia="標楷體" w:cstheme="minorHAnsi"/>
        </w:rPr>
        <w:t>)</w:t>
      </w:r>
      <w:r w:rsidRPr="00CD40BD">
        <w:rPr>
          <w:rFonts w:eastAsia="標楷體" w:cstheme="minorHAnsi"/>
        </w:rPr>
        <w:t>：</w:t>
      </w:r>
    </w:p>
    <w:p w14:paraId="6DA5C2D6" w14:textId="77777777" w:rsidR="00BD20A5" w:rsidRPr="00CD40BD" w:rsidRDefault="00BD20A5" w:rsidP="00CD40BD">
      <w:pPr>
        <w:ind w:left="737" w:hanging="255"/>
        <w:jc w:val="both"/>
        <w:rPr>
          <w:rFonts w:eastAsia="標楷體" w:cstheme="minorHAnsi"/>
          <w:sz w:val="20"/>
          <w:szCs w:val="20"/>
        </w:rPr>
      </w:pPr>
      <w:proofErr w:type="spellStart"/>
      <w:r w:rsidRPr="00CD40BD">
        <w:rPr>
          <w:rFonts w:eastAsia="標楷體" w:cstheme="minorHAnsi" w:hint="eastAsia"/>
          <w:sz w:val="20"/>
          <w:szCs w:val="20"/>
        </w:rPr>
        <w:t>i</w:t>
      </w:r>
      <w:proofErr w:type="spellEnd"/>
      <w:r w:rsidRPr="00CD40BD">
        <w:rPr>
          <w:rFonts w:eastAsia="標楷體" w:cstheme="minorHAnsi" w:hint="eastAsia"/>
          <w:sz w:val="20"/>
          <w:szCs w:val="20"/>
        </w:rPr>
        <w:t xml:space="preserve">. </w:t>
      </w:r>
      <w:r w:rsidRPr="00CD40BD">
        <w:rPr>
          <w:rFonts w:eastAsia="標楷體" w:cstheme="minorHAnsi"/>
          <w:sz w:val="20"/>
          <w:szCs w:val="20"/>
        </w:rPr>
        <w:t>每一種貨運類型和路線的組合被視為不同商品。</w:t>
      </w:r>
    </w:p>
    <w:p w14:paraId="0B3079E4" w14:textId="77777777" w:rsidR="00BD20A5" w:rsidRPr="00CD40BD" w:rsidRDefault="00BD20A5" w:rsidP="00CD40BD">
      <w:pPr>
        <w:ind w:left="737" w:hanging="255"/>
        <w:jc w:val="both"/>
        <w:rPr>
          <w:rFonts w:eastAsia="標楷體" w:cstheme="minorHAnsi"/>
          <w:sz w:val="20"/>
          <w:szCs w:val="20"/>
        </w:rPr>
      </w:pPr>
      <w:r w:rsidRPr="00CD40BD">
        <w:rPr>
          <w:rFonts w:eastAsia="標楷體" w:cstheme="minorHAnsi" w:hint="eastAsia"/>
          <w:sz w:val="20"/>
          <w:szCs w:val="20"/>
        </w:rPr>
        <w:t xml:space="preserve">ii. </w:t>
      </w:r>
      <w:r w:rsidRPr="00CD40BD">
        <w:rPr>
          <w:rFonts w:eastAsia="標楷體" w:cstheme="minorHAnsi"/>
          <w:sz w:val="20"/>
          <w:szCs w:val="20"/>
        </w:rPr>
        <w:t>每週交付的商品被視為不同商品。</w:t>
      </w:r>
    </w:p>
  </w:footnote>
  <w:footnote w:id="36">
    <w:p w14:paraId="5DC0D3E7" w14:textId="77777777" w:rsidR="00BD20A5" w:rsidRPr="0079372D" w:rsidRDefault="00BD20A5" w:rsidP="0079372D">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9372D">
        <w:rPr>
          <w:rFonts w:eastAsia="標楷體" w:cstheme="minorHAnsi"/>
          <w:sz w:val="20"/>
          <w:szCs w:val="20"/>
        </w:rPr>
        <w:t>選定之貨幣對包括：</w:t>
      </w:r>
      <w:r w:rsidRPr="0079372D">
        <w:rPr>
          <w:rFonts w:eastAsia="標楷體" w:cstheme="minorHAnsi"/>
          <w:sz w:val="20"/>
          <w:szCs w:val="20"/>
        </w:rPr>
        <w:t>USD/EUR, USD/JPY, USD/GBP, USD/AUD, USD/CAD, USD/CHF, USD/MXN, USD/CNY, USD/NZD, USD/RUB, USD/HKD, USD/SGD, USD/TRY, USD/KRW, USD/SEK, USD/ZAR, USD/INR, USD/NOK, USD/BRL, USD/TWD</w:t>
      </w:r>
      <w:r w:rsidRPr="0079372D">
        <w:rPr>
          <w:rFonts w:eastAsia="標楷體" w:cstheme="minorHAnsi"/>
          <w:sz w:val="20"/>
          <w:szCs w:val="20"/>
        </w:rPr>
        <w:t>。</w:t>
      </w:r>
    </w:p>
  </w:footnote>
  <w:footnote w:id="37">
    <w:p w14:paraId="498E27F9" w14:textId="5EDCC8A8" w:rsidR="00BD20A5" w:rsidRPr="0079372D" w:rsidRDefault="00BD20A5" w:rsidP="0079372D">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9372D">
        <w:rPr>
          <w:rFonts w:eastAsia="標楷體" w:cstheme="minorHAnsi"/>
          <w:sz w:val="20"/>
          <w:szCs w:val="20"/>
        </w:rPr>
        <w:t>EUR/AUD</w:t>
      </w:r>
      <w:r w:rsidRPr="0079372D">
        <w:rPr>
          <w:rFonts w:eastAsia="標楷體" w:cstheme="minorHAnsi"/>
          <w:sz w:val="20"/>
          <w:szCs w:val="20"/>
        </w:rPr>
        <w:t>不屬於選定之貨幣對，但屬於</w:t>
      </w:r>
      <w:r w:rsidRPr="0079372D">
        <w:rPr>
          <w:rFonts w:eastAsia="標楷體" w:cstheme="minorHAnsi"/>
          <w:sz w:val="20"/>
          <w:szCs w:val="20"/>
        </w:rPr>
        <w:t xml:space="preserve"> USD/EUR</w:t>
      </w:r>
      <w:r w:rsidRPr="0079372D">
        <w:rPr>
          <w:rFonts w:eastAsia="標楷體" w:cstheme="minorHAnsi"/>
          <w:sz w:val="20"/>
          <w:szCs w:val="20"/>
        </w:rPr>
        <w:t>和</w:t>
      </w:r>
      <w:r w:rsidRPr="0079372D">
        <w:rPr>
          <w:rFonts w:eastAsia="標楷體" w:cstheme="minorHAnsi"/>
          <w:sz w:val="20"/>
          <w:szCs w:val="20"/>
        </w:rPr>
        <w:t>USD/AUD</w:t>
      </w:r>
      <w:r w:rsidRPr="0079372D">
        <w:rPr>
          <w:rFonts w:eastAsia="標楷體" w:cstheme="minorHAnsi"/>
          <w:sz w:val="20"/>
          <w:szCs w:val="20"/>
        </w:rPr>
        <w:t>的一階交叉。</w:t>
      </w:r>
    </w:p>
  </w:footnote>
  <w:footnote w:id="38">
    <w:p w14:paraId="6DA05A3D" w14:textId="77777777" w:rsidR="00BD20A5" w:rsidRPr="0079372D" w:rsidRDefault="00BD20A5" w:rsidP="0047474C">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47474C">
        <w:rPr>
          <w:rFonts w:eastAsia="標楷體" w:cstheme="minorHAnsi"/>
          <w:sz w:val="20"/>
          <w:szCs w:val="20"/>
        </w:rPr>
        <w:t>給定</w:t>
      </w:r>
      <w:proofErr w:type="spellStart"/>
      <w:r w:rsidRPr="0047474C">
        <w:rPr>
          <w:rFonts w:eastAsia="標楷體" w:cstheme="minorHAnsi"/>
          <w:sz w:val="20"/>
          <w:szCs w:val="20"/>
        </w:rPr>
        <w:t>vega</w:t>
      </w:r>
      <w:proofErr w:type="spellEnd"/>
      <w:r w:rsidRPr="0047474C">
        <w:rPr>
          <w:rFonts w:eastAsia="標楷體" w:cstheme="minorHAnsi"/>
          <w:sz w:val="20"/>
          <w:szCs w:val="20"/>
        </w:rPr>
        <w:t>風險因子</w:t>
      </w:r>
      <w:r w:rsidRPr="0047474C">
        <w:rPr>
          <w:rFonts w:eastAsia="標楷體" w:cstheme="minorHAnsi"/>
          <w:sz w:val="20"/>
          <w:szCs w:val="20"/>
        </w:rPr>
        <w:t>k</w:t>
      </w:r>
      <w:r w:rsidRPr="0047474C">
        <w:rPr>
          <w:rFonts w:eastAsia="標楷體" w:cstheme="minorHAnsi"/>
          <w:sz w:val="20"/>
          <w:szCs w:val="20"/>
        </w:rPr>
        <w:t>之風險權數</w:t>
      </w:r>
      <w:r w:rsidRPr="0047474C">
        <w:rPr>
          <w:rFonts w:eastAsia="標楷體" w:cstheme="minorHAnsi"/>
          <w:sz w:val="20"/>
          <w:szCs w:val="20"/>
        </w:rPr>
        <w:t xml:space="preserve"> (</w:t>
      </w:r>
      <m:oMath>
        <m:sSub>
          <m:sSubPr>
            <m:ctrlPr>
              <w:rPr>
                <w:rFonts w:ascii="Cambria Math" w:eastAsia="標楷體" w:hAnsi="Cambria Math" w:cstheme="minorHAnsi"/>
                <w:sz w:val="20"/>
                <w:szCs w:val="20"/>
              </w:rPr>
            </m:ctrlPr>
          </m:sSubPr>
          <m:e>
            <m:r>
              <m:rPr>
                <m:sty m:val="p"/>
              </m:rPr>
              <w:rPr>
                <w:rFonts w:ascii="Cambria Math" w:eastAsia="標楷體" w:hAnsi="Cambria Math" w:cstheme="minorHAnsi"/>
                <w:sz w:val="20"/>
                <w:szCs w:val="20"/>
              </w:rPr>
              <m:t>RW</m:t>
            </m:r>
          </m:e>
          <m:sub>
            <m:r>
              <m:rPr>
                <m:sty m:val="p"/>
              </m:rPr>
              <w:rPr>
                <w:rFonts w:ascii="Cambria Math" w:eastAsia="標楷體" w:hAnsi="Cambria Math" w:cstheme="minorHAnsi"/>
                <w:sz w:val="20"/>
                <w:szCs w:val="20"/>
              </w:rPr>
              <m:t>k</m:t>
            </m:r>
          </m:sub>
        </m:sSub>
      </m:oMath>
      <w:r w:rsidRPr="0047474C">
        <w:rPr>
          <w:rFonts w:eastAsia="標楷體" w:cstheme="minorHAnsi"/>
          <w:sz w:val="20"/>
          <w:szCs w:val="20"/>
        </w:rPr>
        <w:t>)</w:t>
      </w:r>
      <w:r w:rsidRPr="0047474C">
        <w:rPr>
          <w:rFonts w:eastAsia="標楷體" w:cstheme="minorHAnsi"/>
          <w:sz w:val="20"/>
          <w:szCs w:val="20"/>
        </w:rPr>
        <w:t>計算如下：</w:t>
      </w:r>
      <m:oMath>
        <m:sSub>
          <m:sSubPr>
            <m:ctrlPr>
              <w:rPr>
                <w:rFonts w:ascii="Cambria Math" w:eastAsia="標楷體" w:hAnsi="Cambria Math" w:cstheme="minorHAnsi"/>
                <w:sz w:val="20"/>
                <w:szCs w:val="20"/>
              </w:rPr>
            </m:ctrlPr>
          </m:sSubPr>
          <m:e>
            <m:r>
              <m:rPr>
                <m:sty m:val="p"/>
              </m:rPr>
              <w:rPr>
                <w:rFonts w:ascii="Cambria Math" w:eastAsia="標楷體" w:hAnsi="Cambria Math" w:cstheme="minorHAnsi"/>
                <w:sz w:val="20"/>
                <w:szCs w:val="20"/>
              </w:rPr>
              <m:t>RW</m:t>
            </m:r>
          </m:e>
          <m:sub>
            <m:r>
              <m:rPr>
                <m:sty m:val="p"/>
              </m:rPr>
              <w:rPr>
                <w:rFonts w:ascii="Cambria Math" w:eastAsia="標楷體" w:hAnsi="Cambria Math" w:cstheme="minorHAnsi"/>
                <w:sz w:val="20"/>
                <w:szCs w:val="20"/>
              </w:rPr>
              <m:t>k</m:t>
            </m:r>
          </m:sub>
        </m:sSub>
        <m:r>
          <m:rPr>
            <m:sty m:val="p"/>
          </m:rPr>
          <w:rPr>
            <w:rFonts w:ascii="Cambria Math" w:eastAsia="標楷體" w:hAnsi="Cambria Math" w:cstheme="minorHAnsi"/>
            <w:sz w:val="20"/>
            <w:szCs w:val="20"/>
          </w:rPr>
          <m:t>=min</m:t>
        </m:r>
        <m:d>
          <m:dPr>
            <m:begChr m:val="["/>
            <m:endChr m:val="]"/>
            <m:ctrlPr>
              <w:rPr>
                <w:rFonts w:ascii="Cambria Math" w:eastAsia="標楷體" w:hAnsi="Cambria Math" w:cstheme="minorHAnsi"/>
                <w:sz w:val="20"/>
                <w:szCs w:val="20"/>
              </w:rPr>
            </m:ctrlPr>
          </m:dPr>
          <m:e>
            <m:sSub>
              <m:sSubPr>
                <m:ctrlPr>
                  <w:rPr>
                    <w:rFonts w:ascii="Cambria Math" w:eastAsia="標楷體" w:hAnsi="Cambria Math" w:cstheme="minorHAnsi"/>
                    <w:sz w:val="20"/>
                    <w:szCs w:val="20"/>
                  </w:rPr>
                </m:ctrlPr>
              </m:sSubPr>
              <m:e>
                <m:r>
                  <m:rPr>
                    <m:sty m:val="p"/>
                  </m:rPr>
                  <w:rPr>
                    <w:rFonts w:ascii="Cambria Math" w:eastAsia="標楷體" w:hAnsi="Cambria Math" w:cstheme="minorHAnsi"/>
                    <w:sz w:val="20"/>
                    <w:szCs w:val="20"/>
                  </w:rPr>
                  <m:t>RW</m:t>
                </m:r>
              </m:e>
              <m:sub>
                <m:r>
                  <m:rPr>
                    <m:sty m:val="p"/>
                  </m:rPr>
                  <w:rPr>
                    <w:rFonts w:ascii="Cambria Math" w:eastAsia="標楷體" w:hAnsi="Cambria Math" w:cstheme="minorHAnsi"/>
                    <w:sz w:val="20"/>
                    <w:szCs w:val="20"/>
                  </w:rPr>
                  <m:t>σ</m:t>
                </m:r>
              </m:sub>
            </m:sSub>
            <m:r>
              <m:rPr>
                <m:sty m:val="p"/>
              </m:rPr>
              <w:rPr>
                <w:rFonts w:ascii="Cambria Math" w:eastAsia="標楷體" w:hAnsi="Cambria Math" w:cstheme="minorHAnsi"/>
                <w:sz w:val="20"/>
                <w:szCs w:val="20"/>
              </w:rPr>
              <m:t>∙</m:t>
            </m:r>
            <m:f>
              <m:fPr>
                <m:ctrlPr>
                  <w:rPr>
                    <w:rFonts w:ascii="Cambria Math" w:eastAsia="標楷體" w:hAnsi="Cambria Math" w:cstheme="minorHAnsi"/>
                    <w:sz w:val="20"/>
                    <w:szCs w:val="20"/>
                  </w:rPr>
                </m:ctrlPr>
              </m:fPr>
              <m:num>
                <m:rad>
                  <m:radPr>
                    <m:degHide m:val="1"/>
                    <m:ctrlPr>
                      <w:rPr>
                        <w:rFonts w:ascii="Cambria Math" w:eastAsia="標楷體" w:hAnsi="Cambria Math" w:cstheme="minorHAnsi"/>
                        <w:sz w:val="20"/>
                        <w:szCs w:val="20"/>
                      </w:rPr>
                    </m:ctrlPr>
                  </m:radPr>
                  <m:deg/>
                  <m:e>
                    <m:sSub>
                      <m:sSubPr>
                        <m:ctrlPr>
                          <w:rPr>
                            <w:rFonts w:ascii="Cambria Math" w:eastAsia="標楷體" w:hAnsi="Cambria Math" w:cstheme="minorHAnsi"/>
                            <w:sz w:val="20"/>
                            <w:szCs w:val="20"/>
                          </w:rPr>
                        </m:ctrlPr>
                      </m:sSubPr>
                      <m:e>
                        <m:r>
                          <m:rPr>
                            <m:sty m:val="p"/>
                          </m:rPr>
                          <w:rPr>
                            <w:rFonts w:ascii="Cambria Math" w:eastAsia="標楷體" w:hAnsi="Cambria Math" w:cstheme="minorHAnsi"/>
                            <w:sz w:val="20"/>
                            <w:szCs w:val="20"/>
                          </w:rPr>
                          <m:t>LH</m:t>
                        </m:r>
                      </m:e>
                      <m:sub>
                        <m:r>
                          <m:rPr>
                            <m:sty m:val="p"/>
                          </m:rPr>
                          <w:rPr>
                            <w:rFonts w:ascii="Cambria Math" w:eastAsia="標楷體" w:hAnsi="Cambria Math" w:cstheme="minorHAnsi"/>
                            <w:sz w:val="20"/>
                            <w:szCs w:val="20"/>
                          </w:rPr>
                          <m:t>risk class</m:t>
                        </m:r>
                      </m:sub>
                    </m:sSub>
                  </m:e>
                </m:rad>
              </m:num>
              <m:den>
                <m:rad>
                  <m:radPr>
                    <m:degHide m:val="1"/>
                    <m:ctrlPr>
                      <w:rPr>
                        <w:rFonts w:ascii="Cambria Math" w:eastAsia="標楷體" w:hAnsi="Cambria Math" w:cstheme="minorHAnsi"/>
                        <w:sz w:val="20"/>
                        <w:szCs w:val="20"/>
                      </w:rPr>
                    </m:ctrlPr>
                  </m:radPr>
                  <m:deg/>
                  <m:e>
                    <m:r>
                      <m:rPr>
                        <m:sty m:val="p"/>
                      </m:rPr>
                      <w:rPr>
                        <w:rFonts w:ascii="Cambria Math" w:eastAsia="標楷體" w:hAnsi="Cambria Math" w:cstheme="minorHAnsi"/>
                        <w:sz w:val="20"/>
                        <w:szCs w:val="20"/>
                      </w:rPr>
                      <m:t>10</m:t>
                    </m:r>
                  </m:e>
                </m:rad>
              </m:den>
            </m:f>
            <m:r>
              <m:rPr>
                <m:sty m:val="p"/>
              </m:rPr>
              <w:rPr>
                <w:rFonts w:ascii="Cambria Math" w:eastAsia="標楷體" w:hAnsi="Cambria Math" w:cstheme="minorHAnsi"/>
                <w:sz w:val="20"/>
                <w:szCs w:val="20"/>
              </w:rPr>
              <m:t>;100%</m:t>
            </m:r>
          </m:e>
        </m:d>
      </m:oMath>
      <w:r w:rsidRPr="0047474C">
        <w:rPr>
          <w:rFonts w:eastAsia="標楷體" w:cstheme="minorHAnsi"/>
          <w:sz w:val="20"/>
          <w:szCs w:val="20"/>
        </w:rPr>
        <w:t>，其中</w:t>
      </w:r>
      <m:oMath>
        <m:sSub>
          <m:sSubPr>
            <m:ctrlPr>
              <w:rPr>
                <w:rFonts w:ascii="Cambria Math" w:eastAsia="標楷體" w:hAnsi="Cambria Math" w:cstheme="minorHAnsi"/>
                <w:sz w:val="20"/>
                <w:szCs w:val="20"/>
              </w:rPr>
            </m:ctrlPr>
          </m:sSubPr>
          <m:e>
            <m:r>
              <m:rPr>
                <m:sty m:val="p"/>
              </m:rPr>
              <w:rPr>
                <w:rFonts w:ascii="Cambria Math" w:eastAsia="標楷體" w:hAnsi="Cambria Math" w:cstheme="minorHAnsi"/>
                <w:sz w:val="20"/>
                <w:szCs w:val="20"/>
              </w:rPr>
              <m:t>RW</m:t>
            </m:r>
          </m:e>
          <m:sub>
            <m:r>
              <m:rPr>
                <m:sty m:val="p"/>
              </m:rPr>
              <w:rPr>
                <w:rFonts w:ascii="Cambria Math" w:eastAsia="標楷體" w:hAnsi="Cambria Math" w:cstheme="minorHAnsi"/>
                <w:sz w:val="20"/>
                <w:szCs w:val="20"/>
              </w:rPr>
              <m:t>σ</m:t>
            </m:r>
          </m:sub>
        </m:sSub>
      </m:oMath>
      <w:r w:rsidRPr="0047474C">
        <w:rPr>
          <w:rFonts w:eastAsia="標楷體" w:cstheme="minorHAnsi"/>
          <w:sz w:val="20"/>
          <w:szCs w:val="20"/>
        </w:rPr>
        <w:t>=55%</w:t>
      </w:r>
      <w:r w:rsidRPr="0047474C">
        <w:rPr>
          <w:rFonts w:eastAsia="標楷體" w:cstheme="minorHAnsi"/>
          <w:sz w:val="20"/>
          <w:szCs w:val="20"/>
        </w:rPr>
        <w:t>；而變現</w:t>
      </w:r>
      <w:proofErr w:type="gramStart"/>
      <w:r w:rsidRPr="0047474C">
        <w:rPr>
          <w:rFonts w:eastAsia="標楷體" w:cstheme="minorHAnsi"/>
          <w:sz w:val="20"/>
          <w:szCs w:val="20"/>
        </w:rPr>
        <w:t>期間</w:t>
      </w:r>
      <w:r w:rsidRPr="0047474C">
        <w:rPr>
          <w:rFonts w:eastAsia="標楷體" w:cstheme="minorHAnsi"/>
          <w:sz w:val="20"/>
          <w:szCs w:val="20"/>
        </w:rPr>
        <w:t>(</w:t>
      </w:r>
      <w:proofErr w:type="gramEnd"/>
      <m:oMath>
        <m:sSub>
          <m:sSubPr>
            <m:ctrlPr>
              <w:rPr>
                <w:rFonts w:ascii="Cambria Math" w:eastAsia="標楷體" w:hAnsi="Cambria Math" w:cstheme="minorHAnsi"/>
                <w:sz w:val="20"/>
                <w:szCs w:val="20"/>
              </w:rPr>
            </m:ctrlPr>
          </m:sSubPr>
          <m:e>
            <m:r>
              <m:rPr>
                <m:sty m:val="p"/>
              </m:rPr>
              <w:rPr>
                <w:rFonts w:ascii="Cambria Math" w:eastAsia="標楷體" w:hAnsi="Cambria Math" w:cstheme="minorHAnsi"/>
                <w:sz w:val="20"/>
                <w:szCs w:val="20"/>
              </w:rPr>
              <m:t>LH</m:t>
            </m:r>
          </m:e>
          <m:sub>
            <m:r>
              <m:rPr>
                <m:sty m:val="p"/>
              </m:rPr>
              <w:rPr>
                <w:rFonts w:ascii="Cambria Math" w:eastAsia="標楷體" w:hAnsi="Cambria Math" w:cstheme="minorHAnsi"/>
                <w:sz w:val="20"/>
                <w:szCs w:val="20"/>
              </w:rPr>
              <m:t>risk class</m:t>
            </m:r>
          </m:sub>
        </m:sSub>
      </m:oMath>
      <w:r w:rsidRPr="0047474C">
        <w:rPr>
          <w:rFonts w:eastAsia="標楷體" w:cstheme="minorHAnsi"/>
          <w:sz w:val="20"/>
          <w:szCs w:val="20"/>
        </w:rPr>
        <w:t>)</w:t>
      </w:r>
      <w:r w:rsidRPr="0047474C">
        <w:rPr>
          <w:rFonts w:eastAsia="標楷體" w:cstheme="minorHAnsi"/>
          <w:sz w:val="20"/>
          <w:szCs w:val="20"/>
        </w:rPr>
        <w:t>依風險類別對應至表</w:t>
      </w:r>
      <w:r w:rsidRPr="0047474C">
        <w:rPr>
          <w:rFonts w:eastAsia="標楷體" w:cstheme="minorHAnsi"/>
          <w:sz w:val="20"/>
          <w:szCs w:val="20"/>
        </w:rPr>
        <w:t>13</w:t>
      </w:r>
      <w:r w:rsidRPr="0047474C">
        <w:rPr>
          <w:rFonts w:eastAsia="標楷體" w:cstheme="minorHAnsi"/>
          <w:sz w:val="20"/>
          <w:szCs w:val="20"/>
        </w:rPr>
        <w:t>。</w:t>
      </w:r>
    </w:p>
  </w:footnote>
  <w:footnote w:id="39">
    <w:p w14:paraId="3BB2CDBF" w14:textId="77777777" w:rsidR="00BD20A5" w:rsidRPr="0079372D" w:rsidRDefault="00BD20A5" w:rsidP="003F598D">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3F598D">
        <w:rPr>
          <w:rFonts w:eastAsia="標楷體" w:cstheme="minorHAnsi"/>
          <w:sz w:val="20"/>
          <w:szCs w:val="20"/>
        </w:rPr>
        <w:t>k</w:t>
      </w:r>
      <w:r w:rsidRPr="003F598D">
        <w:rPr>
          <w:rFonts w:eastAsia="標楷體" w:cstheme="minorHAnsi"/>
          <w:sz w:val="20"/>
          <w:szCs w:val="20"/>
        </w:rPr>
        <w:t>是權益證券選擇權</w:t>
      </w:r>
      <w:r w:rsidRPr="003F598D">
        <w:rPr>
          <w:rFonts w:eastAsia="標楷體" w:cstheme="minorHAnsi"/>
          <w:sz w:val="20"/>
          <w:szCs w:val="20"/>
        </w:rPr>
        <w:t>X</w:t>
      </w:r>
      <w:r w:rsidRPr="003F598D">
        <w:rPr>
          <w:rFonts w:eastAsia="標楷體" w:cstheme="minorHAnsi"/>
          <w:sz w:val="20"/>
          <w:szCs w:val="20"/>
        </w:rPr>
        <w:t>的</w:t>
      </w:r>
      <w:proofErr w:type="spellStart"/>
      <w:r w:rsidRPr="003F598D">
        <w:rPr>
          <w:rFonts w:eastAsia="標楷體" w:cstheme="minorHAnsi"/>
          <w:sz w:val="20"/>
          <w:szCs w:val="20"/>
        </w:rPr>
        <w:t>vega</w:t>
      </w:r>
      <w:proofErr w:type="spellEnd"/>
      <w:r w:rsidRPr="003F598D">
        <w:rPr>
          <w:rFonts w:eastAsia="標楷體" w:cstheme="minorHAnsi"/>
          <w:sz w:val="20"/>
          <w:szCs w:val="20"/>
        </w:rPr>
        <w:t>風險因子，</w:t>
      </w:r>
      <w:r w:rsidRPr="003F598D">
        <w:rPr>
          <w:rFonts w:eastAsia="標楷體" w:cstheme="minorHAnsi"/>
          <w:sz w:val="20"/>
          <w:szCs w:val="20"/>
        </w:rPr>
        <w:t>l</w:t>
      </w:r>
      <w:r w:rsidRPr="003F598D">
        <w:rPr>
          <w:rFonts w:eastAsia="標楷體" w:cstheme="minorHAnsi"/>
          <w:sz w:val="20"/>
          <w:szCs w:val="20"/>
        </w:rPr>
        <w:t>是權益證券選擇權</w:t>
      </w:r>
      <w:r w:rsidRPr="003F598D">
        <w:rPr>
          <w:rFonts w:eastAsia="標楷體" w:cstheme="minorHAnsi"/>
          <w:sz w:val="20"/>
          <w:szCs w:val="20"/>
        </w:rPr>
        <w:t>Y</w:t>
      </w:r>
      <w:r w:rsidRPr="003F598D">
        <w:rPr>
          <w:rFonts w:eastAsia="標楷體" w:cstheme="minorHAnsi"/>
          <w:sz w:val="20"/>
          <w:szCs w:val="20"/>
        </w:rPr>
        <w:t>的</w:t>
      </w:r>
      <w:proofErr w:type="spellStart"/>
      <w:r w:rsidRPr="003F598D">
        <w:rPr>
          <w:rFonts w:eastAsia="標楷體" w:cstheme="minorHAnsi"/>
          <w:sz w:val="20"/>
          <w:szCs w:val="20"/>
        </w:rPr>
        <w:t>vega</w:t>
      </w:r>
      <w:proofErr w:type="spellEnd"/>
      <w:r w:rsidRPr="003F598D">
        <w:rPr>
          <w:rFonts w:eastAsia="標楷體" w:cstheme="minorHAnsi"/>
          <w:sz w:val="20"/>
          <w:szCs w:val="20"/>
        </w:rPr>
        <w:t>風險因子，</w:t>
      </w:r>
      <m:oMath>
        <m:sSubSup>
          <m:sSubSupPr>
            <m:ctrlPr>
              <w:rPr>
                <w:rFonts w:ascii="Cambria Math" w:eastAsia="標楷體" w:hAnsi="Cambria Math" w:cstheme="minorHAnsi"/>
                <w:sz w:val="20"/>
                <w:szCs w:val="20"/>
              </w:rPr>
            </m:ctrlPr>
          </m:sSubSupPr>
          <m:e>
            <m:r>
              <w:rPr>
                <w:rFonts w:ascii="Cambria Math" w:eastAsia="標楷體" w:hAnsi="Cambria Math" w:cstheme="minorHAnsi"/>
                <w:sz w:val="20"/>
                <w:szCs w:val="20"/>
              </w:rPr>
              <m:t>ρ</m:t>
            </m:r>
          </m:e>
          <m:sub>
            <m:r>
              <w:rPr>
                <w:rFonts w:ascii="Cambria Math" w:eastAsia="標楷體" w:hAnsi="Cambria Math" w:cstheme="minorHAnsi"/>
                <w:sz w:val="20"/>
                <w:szCs w:val="20"/>
              </w:rPr>
              <m:t>kl</m:t>
            </m:r>
          </m:sub>
          <m:sup>
            <m:r>
              <w:rPr>
                <w:rFonts w:ascii="Cambria Math" w:eastAsia="標楷體" w:hAnsi="Cambria Math" w:cstheme="minorHAnsi"/>
                <w:sz w:val="20"/>
                <w:szCs w:val="20"/>
              </w:rPr>
              <m:t>(DELTA)</m:t>
            </m:r>
          </m:sup>
        </m:sSubSup>
      </m:oMath>
      <w:r w:rsidRPr="003F598D">
        <w:rPr>
          <w:rFonts w:eastAsia="標楷體" w:cstheme="minorHAnsi"/>
          <w:sz w:val="20"/>
          <w:szCs w:val="20"/>
        </w:rPr>
        <w:t>即為兩權益證券選擇權</w:t>
      </w:r>
      <w:r w:rsidRPr="003F598D">
        <w:rPr>
          <w:rFonts w:eastAsia="標楷體" w:cstheme="minorHAnsi"/>
          <w:sz w:val="20"/>
          <w:szCs w:val="20"/>
        </w:rPr>
        <w:t>(X</w:t>
      </w:r>
      <w:r w:rsidRPr="003F598D">
        <w:rPr>
          <w:rFonts w:eastAsia="標楷體" w:cstheme="minorHAnsi"/>
          <w:sz w:val="20"/>
          <w:szCs w:val="20"/>
        </w:rPr>
        <w:t>及</w:t>
      </w:r>
      <w:r w:rsidRPr="003F598D">
        <w:rPr>
          <w:rFonts w:eastAsia="標楷體" w:cstheme="minorHAnsi"/>
          <w:sz w:val="20"/>
          <w:szCs w:val="20"/>
        </w:rPr>
        <w:t>Y)</w:t>
      </w:r>
      <w:proofErr w:type="gramStart"/>
      <w:r w:rsidRPr="003F598D">
        <w:rPr>
          <w:rFonts w:eastAsia="標楷體" w:cstheme="minorHAnsi"/>
          <w:sz w:val="20"/>
          <w:szCs w:val="20"/>
        </w:rPr>
        <w:t>間的</w:t>
      </w:r>
      <w:proofErr w:type="gramEnd"/>
      <w:r w:rsidRPr="003F598D">
        <w:rPr>
          <w:rFonts w:eastAsia="標楷體" w:cstheme="minorHAnsi"/>
          <w:sz w:val="20"/>
          <w:szCs w:val="20"/>
        </w:rPr>
        <w:t>delta</w:t>
      </w:r>
      <w:r w:rsidRPr="003F598D">
        <w:rPr>
          <w:rFonts w:eastAsia="標楷體" w:cstheme="minorHAnsi"/>
          <w:sz w:val="20"/>
          <w:szCs w:val="20"/>
        </w:rPr>
        <w:t>風險相關係數。</w:t>
      </w:r>
    </w:p>
  </w:footnote>
  <w:footnote w:id="40">
    <w:p w14:paraId="558BEE54" w14:textId="77777777" w:rsidR="00BD20A5" w:rsidRPr="0079372D" w:rsidRDefault="00BD20A5" w:rsidP="009B33E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9B33E7">
        <w:rPr>
          <w:rFonts w:eastAsia="標楷體" w:cstheme="minorHAnsi"/>
          <w:sz w:val="20"/>
          <w:szCs w:val="20"/>
        </w:rPr>
        <w:t>跨不同組別</w:t>
      </w:r>
      <w:r w:rsidRPr="009B33E7">
        <w:rPr>
          <w:rFonts w:eastAsia="標楷體" w:cstheme="minorHAnsi"/>
          <w:sz w:val="20"/>
          <w:szCs w:val="20"/>
        </w:rPr>
        <w:t>GIRR</w:t>
      </w:r>
      <w:r w:rsidRPr="009B33E7">
        <w:rPr>
          <w:rFonts w:eastAsia="標楷體" w:cstheme="minorHAnsi"/>
          <w:sz w:val="20"/>
          <w:szCs w:val="20"/>
        </w:rPr>
        <w:t>，加總</w:t>
      </w:r>
      <w:proofErr w:type="spellStart"/>
      <w:r w:rsidRPr="009B33E7">
        <w:rPr>
          <w:rFonts w:eastAsia="標楷體" w:cstheme="minorHAnsi"/>
          <w:sz w:val="20"/>
          <w:szCs w:val="20"/>
        </w:rPr>
        <w:t>vega</w:t>
      </w:r>
      <w:proofErr w:type="spellEnd"/>
      <w:r w:rsidRPr="009B33E7">
        <w:rPr>
          <w:rFonts w:eastAsia="標楷體" w:cstheme="minorHAnsi"/>
          <w:sz w:val="20"/>
          <w:szCs w:val="20"/>
        </w:rPr>
        <w:t>風險敏感性部位時，相關係數</w:t>
      </w:r>
      <m:oMath>
        <m:sSub>
          <m:sSubPr>
            <m:ctrlPr>
              <w:rPr>
                <w:rFonts w:ascii="Cambria Math" w:eastAsia="標楷體" w:hAnsi="Cambria Math" w:cstheme="minorHAnsi"/>
                <w:sz w:val="20"/>
                <w:szCs w:val="20"/>
              </w:rPr>
            </m:ctrlPr>
          </m:sSubPr>
          <m:e>
            <m:r>
              <m:rPr>
                <m:sty m:val="p"/>
              </m:rPr>
              <w:rPr>
                <w:rFonts w:ascii="Cambria Math" w:eastAsia="標楷體" w:hAnsi="Cambria Math" w:cstheme="minorHAnsi"/>
                <w:sz w:val="20"/>
                <w:szCs w:val="20"/>
              </w:rPr>
              <m:t>γ</m:t>
            </m:r>
          </m:e>
          <m:sub>
            <m:r>
              <m:rPr>
                <m:sty m:val="p"/>
              </m:rPr>
              <w:rPr>
                <w:rFonts w:ascii="Cambria Math" w:eastAsia="標楷體" w:hAnsi="Cambria Math" w:cstheme="minorHAnsi"/>
                <w:sz w:val="20"/>
                <w:szCs w:val="20"/>
              </w:rPr>
              <m:t>bc</m:t>
            </m:r>
          </m:sub>
        </m:sSub>
      </m:oMath>
      <w:r w:rsidRPr="009B33E7">
        <w:rPr>
          <w:rFonts w:eastAsia="標楷體" w:cstheme="minorHAnsi"/>
          <w:sz w:val="20"/>
          <w:szCs w:val="20"/>
        </w:rPr>
        <w:t>=50%</w:t>
      </w:r>
      <w:r w:rsidRPr="009B33E7">
        <w:rPr>
          <w:rFonts w:eastAsia="標楷體" w:cstheme="minorHAnsi"/>
          <w:sz w:val="20"/>
          <w:szCs w:val="20"/>
        </w:rPr>
        <w:t>。</w:t>
      </w:r>
    </w:p>
  </w:footnote>
  <w:footnote w:id="41">
    <w:p w14:paraId="7442F377" w14:textId="77777777" w:rsidR="00BD20A5" w:rsidRPr="0079372D" w:rsidRDefault="00BD20A5" w:rsidP="00A9681C">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9681C">
        <w:rPr>
          <w:rFonts w:eastAsia="標楷體" w:cstheme="minorHAnsi"/>
          <w:sz w:val="20"/>
          <w:szCs w:val="20"/>
        </w:rPr>
        <w:t>GIRR curvature</w:t>
      </w:r>
      <w:r w:rsidRPr="00A9681C">
        <w:rPr>
          <w:rFonts w:eastAsia="標楷體" w:cstheme="minorHAnsi"/>
          <w:sz w:val="20"/>
          <w:szCs w:val="20"/>
        </w:rPr>
        <w:t>風險權數指派</w:t>
      </w:r>
      <w:r w:rsidRPr="00A9681C">
        <w:rPr>
          <w:rFonts w:eastAsia="標楷體" w:cstheme="minorHAnsi"/>
          <w:sz w:val="20"/>
          <w:szCs w:val="20"/>
        </w:rPr>
        <w:t>0.25</w:t>
      </w:r>
      <w:r w:rsidRPr="00A9681C">
        <w:rPr>
          <w:rFonts w:eastAsia="標楷體" w:cstheme="minorHAnsi"/>
          <w:sz w:val="20"/>
          <w:szCs w:val="20"/>
        </w:rPr>
        <w:t>年期</w:t>
      </w:r>
      <w:r w:rsidRPr="00A9681C">
        <w:rPr>
          <w:rFonts w:eastAsia="標楷體" w:cstheme="minorHAnsi"/>
          <w:sz w:val="20"/>
          <w:szCs w:val="20"/>
        </w:rPr>
        <w:t>delta</w:t>
      </w:r>
      <w:r w:rsidRPr="00A9681C">
        <w:rPr>
          <w:rFonts w:eastAsia="標楷體" w:cstheme="minorHAnsi"/>
          <w:sz w:val="20"/>
          <w:szCs w:val="20"/>
        </w:rPr>
        <w:t>風險權數</w:t>
      </w:r>
      <w:r w:rsidRPr="00A9681C">
        <w:rPr>
          <w:rFonts w:eastAsia="標楷體" w:cstheme="minorHAnsi"/>
          <w:sz w:val="20"/>
          <w:szCs w:val="20"/>
        </w:rPr>
        <w:t>(</w:t>
      </w:r>
      <w:r w:rsidRPr="00A9681C">
        <w:rPr>
          <w:rFonts w:eastAsia="標楷體" w:cstheme="minorHAnsi"/>
          <w:sz w:val="20"/>
          <w:szCs w:val="20"/>
        </w:rPr>
        <w:t>因</w:t>
      </w:r>
      <w:r w:rsidRPr="00A9681C">
        <w:rPr>
          <w:rFonts w:eastAsia="標楷體" w:cstheme="minorHAnsi"/>
          <w:sz w:val="20"/>
          <w:szCs w:val="20"/>
        </w:rPr>
        <w:t>0.25</w:t>
      </w:r>
      <w:r w:rsidRPr="00A9681C">
        <w:rPr>
          <w:rFonts w:eastAsia="標楷體" w:cstheme="minorHAnsi"/>
          <w:sz w:val="20"/>
          <w:szCs w:val="20"/>
        </w:rPr>
        <w:t>年為最大之</w:t>
      </w:r>
      <w:r w:rsidRPr="00A9681C">
        <w:rPr>
          <w:rFonts w:eastAsia="標楷體" w:cstheme="minorHAnsi"/>
          <w:sz w:val="20"/>
          <w:szCs w:val="20"/>
        </w:rPr>
        <w:t>delta</w:t>
      </w:r>
      <w:r w:rsidRPr="00A9681C">
        <w:rPr>
          <w:rFonts w:eastAsia="標楷體" w:cstheme="minorHAnsi"/>
          <w:sz w:val="20"/>
          <w:szCs w:val="20"/>
        </w:rPr>
        <w:t>風險權數天期</w:t>
      </w:r>
      <w:r w:rsidRPr="00A9681C">
        <w:rPr>
          <w:rFonts w:eastAsia="標楷體" w:cstheme="minorHAnsi"/>
          <w:sz w:val="20"/>
          <w:szCs w:val="20"/>
        </w:rPr>
        <w:t>)</w:t>
      </w:r>
      <w:r w:rsidRPr="00A9681C">
        <w:rPr>
          <w:rFonts w:eastAsia="標楷體" w:cstheme="minorHAnsi"/>
          <w:sz w:val="20"/>
          <w:szCs w:val="20"/>
        </w:rPr>
        <w:t>，任</w:t>
      </w:r>
      <w:proofErr w:type="gramStart"/>
      <w:r w:rsidRPr="00A9681C">
        <w:rPr>
          <w:rFonts w:eastAsia="標楷體" w:cstheme="minorHAnsi"/>
          <w:sz w:val="20"/>
          <w:szCs w:val="20"/>
        </w:rPr>
        <w:t>一</w:t>
      </w:r>
      <w:proofErr w:type="gramEnd"/>
      <w:r w:rsidRPr="00A9681C">
        <w:rPr>
          <w:rFonts w:eastAsia="標楷體" w:cstheme="minorHAnsi"/>
          <w:sz w:val="20"/>
          <w:szCs w:val="20"/>
        </w:rPr>
        <w:t>無風險利率曲線上所有天期利率皆依此幅度平移。</w:t>
      </w:r>
    </w:p>
  </w:footnote>
  <w:footnote w:id="42">
    <w:p w14:paraId="47830C19" w14:textId="77777777" w:rsidR="00BD20A5" w:rsidRPr="0079372D" w:rsidRDefault="00BD20A5" w:rsidP="00A458C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458CA">
        <w:rPr>
          <w:rFonts w:eastAsia="標楷體" w:cstheme="minorHAnsi"/>
          <w:sz w:val="20"/>
          <w:szCs w:val="20"/>
        </w:rPr>
        <w:t>GIRR</w:t>
      </w:r>
      <w:r w:rsidRPr="00A458CA">
        <w:rPr>
          <w:rFonts w:eastAsia="標楷體" w:cstheme="minorHAnsi"/>
          <w:sz w:val="20"/>
          <w:szCs w:val="20"/>
        </w:rPr>
        <w:t>中歐元</w:t>
      </w:r>
      <w:r w:rsidRPr="00A458CA">
        <w:rPr>
          <w:rFonts w:eastAsia="標楷體" w:cstheme="minorHAnsi"/>
          <w:sz w:val="20"/>
          <w:szCs w:val="20"/>
        </w:rPr>
        <w:t>curvature</w:t>
      </w:r>
      <w:r w:rsidRPr="00A458CA">
        <w:rPr>
          <w:rFonts w:eastAsia="標楷體" w:cstheme="minorHAnsi"/>
          <w:sz w:val="20"/>
          <w:szCs w:val="20"/>
        </w:rPr>
        <w:t>風險與美元</w:t>
      </w:r>
      <w:r w:rsidRPr="00A458CA">
        <w:rPr>
          <w:rFonts w:eastAsia="標楷體" w:cstheme="minorHAnsi"/>
          <w:sz w:val="20"/>
          <w:szCs w:val="20"/>
        </w:rPr>
        <w:t xml:space="preserve"> curvature</w:t>
      </w:r>
      <w:r w:rsidRPr="00A458CA">
        <w:rPr>
          <w:rFonts w:eastAsia="標楷體" w:cstheme="minorHAnsi"/>
          <w:sz w:val="20"/>
          <w:szCs w:val="20"/>
        </w:rPr>
        <w:t>風險</w:t>
      </w:r>
      <w:r w:rsidRPr="00A458CA">
        <w:rPr>
          <w:rFonts w:eastAsia="標楷體" w:cstheme="minorHAnsi"/>
          <w:sz w:val="20"/>
          <w:szCs w:val="20"/>
        </w:rPr>
        <w:t>(CVR</w:t>
      </w:r>
      <w:r w:rsidRPr="00A458CA">
        <w:rPr>
          <w:rFonts w:eastAsia="標楷體" w:cstheme="minorHAnsi"/>
          <w:sz w:val="20"/>
          <w:szCs w:val="20"/>
          <w:vertAlign w:val="subscript"/>
        </w:rPr>
        <w:t>EUR</w:t>
      </w:r>
      <w:r w:rsidRPr="00A458CA">
        <w:rPr>
          <w:rFonts w:eastAsia="標楷體" w:cstheme="minorHAnsi"/>
          <w:sz w:val="20"/>
          <w:szCs w:val="20"/>
        </w:rPr>
        <w:t>及</w:t>
      </w:r>
      <w:r w:rsidRPr="00A458CA">
        <w:rPr>
          <w:rFonts w:eastAsia="標楷體" w:cstheme="minorHAnsi"/>
          <w:sz w:val="20"/>
          <w:szCs w:val="20"/>
        </w:rPr>
        <w:t>CVR</w:t>
      </w:r>
      <w:r w:rsidRPr="00A458CA">
        <w:rPr>
          <w:rFonts w:eastAsia="標楷體" w:cstheme="minorHAnsi"/>
          <w:sz w:val="20"/>
          <w:szCs w:val="20"/>
          <w:vertAlign w:val="subscript"/>
        </w:rPr>
        <w:t>USD</w:t>
      </w:r>
      <w:r w:rsidRPr="00A458CA">
        <w:rPr>
          <w:rFonts w:eastAsia="標楷體" w:cstheme="minorHAnsi"/>
          <w:sz w:val="20"/>
          <w:szCs w:val="20"/>
        </w:rPr>
        <w:t>)</w:t>
      </w:r>
      <w:r w:rsidRPr="00A458CA">
        <w:rPr>
          <w:rFonts w:eastAsia="標楷體" w:cstheme="minorHAnsi"/>
          <w:sz w:val="20"/>
          <w:szCs w:val="20"/>
        </w:rPr>
        <w:t>的相關係數為</w:t>
      </w:r>
      <w:r w:rsidRPr="00A458CA">
        <w:rPr>
          <w:rFonts w:eastAsia="標楷體" w:cstheme="minorHAnsi"/>
          <w:sz w:val="20"/>
          <w:szCs w:val="20"/>
        </w:rPr>
        <w:t>25% (50%</w:t>
      </w:r>
      <w:r w:rsidRPr="00A458CA">
        <w:rPr>
          <w:rFonts w:eastAsia="標楷體" w:cstheme="minorHAnsi"/>
          <w:sz w:val="20"/>
          <w:szCs w:val="20"/>
        </w:rPr>
        <w:t>之</w:t>
      </w:r>
      <w:proofErr w:type="gramStart"/>
      <w:r w:rsidRPr="00A458CA">
        <w:rPr>
          <w:rFonts w:eastAsia="標楷體" w:cstheme="minorHAnsi"/>
          <w:sz w:val="20"/>
          <w:szCs w:val="20"/>
        </w:rPr>
        <w:t>平方</w:t>
      </w:r>
      <w:r w:rsidRPr="00A458CA">
        <w:rPr>
          <w:rFonts w:eastAsia="標楷體" w:cstheme="minorHAnsi"/>
          <w:sz w:val="20"/>
          <w:szCs w:val="20"/>
        </w:rPr>
        <w:t>)</w:t>
      </w:r>
      <w:proofErr w:type="gramEnd"/>
      <w:r w:rsidRPr="00A458CA">
        <w:rPr>
          <w:rFonts w:eastAsia="標楷體" w:cstheme="minorHAnsi"/>
          <w:sz w:val="20"/>
          <w:szCs w:val="20"/>
        </w:rPr>
        <w:t>。在計算</w:t>
      </w:r>
      <w:proofErr w:type="gramStart"/>
      <w:r w:rsidRPr="00A458CA">
        <w:rPr>
          <w:rFonts w:eastAsia="標楷體" w:cstheme="minorHAnsi" w:hint="eastAsia"/>
          <w:sz w:val="20"/>
          <w:szCs w:val="20"/>
        </w:rPr>
        <w:t>第二大點第</w:t>
      </w:r>
      <w:proofErr w:type="gramEnd"/>
      <w:r w:rsidRPr="00A458CA">
        <w:rPr>
          <w:rFonts w:eastAsia="標楷體" w:cstheme="minorHAnsi" w:hint="eastAsia"/>
          <w:sz w:val="20"/>
          <w:szCs w:val="20"/>
        </w:rPr>
        <w:t>(</w:t>
      </w:r>
      <w:r w:rsidRPr="00A458CA">
        <w:rPr>
          <w:rFonts w:eastAsia="標楷體" w:cstheme="minorHAnsi" w:hint="eastAsia"/>
          <w:sz w:val="20"/>
          <w:szCs w:val="20"/>
        </w:rPr>
        <w:t>七</w:t>
      </w:r>
      <w:r w:rsidRPr="00A458CA">
        <w:rPr>
          <w:rFonts w:eastAsia="標楷體" w:cstheme="minorHAnsi" w:hint="eastAsia"/>
          <w:sz w:val="20"/>
          <w:szCs w:val="20"/>
        </w:rPr>
        <w:t>)</w:t>
      </w:r>
      <w:r w:rsidRPr="00A458CA">
        <w:rPr>
          <w:rFonts w:eastAsia="標楷體" w:cstheme="minorHAnsi" w:hint="eastAsia"/>
          <w:sz w:val="20"/>
          <w:szCs w:val="20"/>
        </w:rPr>
        <w:t>點第</w:t>
      </w:r>
      <w:r w:rsidRPr="00A458CA">
        <w:rPr>
          <w:rFonts w:eastAsia="標楷體" w:cstheme="minorHAnsi" w:hint="eastAsia"/>
          <w:sz w:val="20"/>
          <w:szCs w:val="20"/>
        </w:rPr>
        <w:t>1</w:t>
      </w:r>
      <w:r w:rsidRPr="00A458CA">
        <w:rPr>
          <w:rFonts w:eastAsia="標楷體" w:cstheme="minorHAnsi" w:hint="eastAsia"/>
          <w:sz w:val="20"/>
          <w:szCs w:val="20"/>
        </w:rPr>
        <w:t>項</w:t>
      </w:r>
      <w:r w:rsidRPr="00A458CA">
        <w:rPr>
          <w:rFonts w:eastAsia="標楷體" w:cstheme="minorHAnsi"/>
          <w:sz w:val="20"/>
          <w:szCs w:val="20"/>
        </w:rPr>
        <w:t>列示之高度及低度相關情境下之資本要求時，需採用本段之</w:t>
      </w:r>
      <w:r w:rsidRPr="00A458CA">
        <w:rPr>
          <w:rFonts w:eastAsia="標楷體" w:cstheme="minorHAnsi"/>
          <w:sz w:val="20"/>
          <w:szCs w:val="20"/>
        </w:rPr>
        <w:t>curvature</w:t>
      </w:r>
      <w:r w:rsidRPr="00A458CA">
        <w:rPr>
          <w:rFonts w:eastAsia="標楷體" w:cstheme="minorHAnsi"/>
          <w:sz w:val="20"/>
          <w:szCs w:val="20"/>
        </w:rPr>
        <w:t>相關係數</w:t>
      </w:r>
      <m:oMath>
        <m:sSub>
          <m:sSubPr>
            <m:ctrlPr>
              <w:rPr>
                <w:rFonts w:ascii="Cambria Math" w:eastAsia="標楷體" w:hAnsi="Cambria Math" w:cstheme="minorHAnsi"/>
                <w:sz w:val="20"/>
                <w:szCs w:val="20"/>
              </w:rPr>
            </m:ctrlPr>
          </m:sSubPr>
          <m:e>
            <m:r>
              <w:rPr>
                <w:rFonts w:ascii="Cambria Math" w:eastAsia="標楷體" w:hAnsi="Cambria Math" w:cstheme="minorHAnsi"/>
                <w:sz w:val="20"/>
                <w:szCs w:val="20"/>
              </w:rPr>
              <m:t>γ</m:t>
            </m:r>
          </m:e>
          <m:sub>
            <m:r>
              <w:rPr>
                <w:rFonts w:ascii="Cambria Math" w:eastAsia="標楷體" w:hAnsi="Cambria Math" w:cstheme="minorHAnsi"/>
                <w:sz w:val="20"/>
                <w:szCs w:val="20"/>
              </w:rPr>
              <m:t>bc</m:t>
            </m:r>
          </m:sub>
        </m:sSub>
      </m:oMath>
      <w:r w:rsidRPr="00A458CA">
        <w:rPr>
          <w:rFonts w:eastAsia="標楷體" w:cstheme="minorHAnsi"/>
          <w:sz w:val="20"/>
          <w:szCs w:val="20"/>
        </w:rPr>
        <w:t>(</w:t>
      </w:r>
      <w:r w:rsidRPr="00A458CA">
        <w:rPr>
          <w:rFonts w:eastAsia="標楷體" w:cstheme="minorHAnsi"/>
          <w:sz w:val="20"/>
          <w:szCs w:val="20"/>
        </w:rPr>
        <w:t>即其</w:t>
      </w:r>
      <w:r w:rsidRPr="00A458CA">
        <w:rPr>
          <w:rFonts w:eastAsia="標楷體" w:cstheme="minorHAnsi"/>
          <w:sz w:val="20"/>
          <w:szCs w:val="20"/>
        </w:rPr>
        <w:t>delta</w:t>
      </w:r>
      <w:r w:rsidRPr="00A458CA">
        <w:rPr>
          <w:rFonts w:eastAsia="標楷體" w:cstheme="minorHAnsi"/>
          <w:sz w:val="20"/>
          <w:szCs w:val="20"/>
        </w:rPr>
        <w:t>風險相關係數之平方值</w:t>
      </w:r>
      <w:r w:rsidRPr="00A458CA">
        <w:rPr>
          <w:rFonts w:eastAsia="標楷體" w:cstheme="minorHAnsi"/>
          <w:sz w:val="20"/>
          <w:szCs w:val="20"/>
        </w:rPr>
        <w:t>)</w:t>
      </w:r>
      <w:r w:rsidRPr="00A458CA">
        <w:rPr>
          <w:rFonts w:eastAsia="標楷體" w:cstheme="minorHAnsi"/>
          <w:sz w:val="20"/>
          <w:szCs w:val="20"/>
        </w:rPr>
        <w:t>。</w:t>
      </w:r>
    </w:p>
  </w:footnote>
  <w:footnote w:id="43">
    <w:p w14:paraId="0973FC45" w14:textId="77777777" w:rsidR="00BD20A5" w:rsidRPr="0079372D" w:rsidRDefault="00BD20A5" w:rsidP="000555A9">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0555A9">
        <w:rPr>
          <w:rFonts w:eastAsia="標楷體" w:cstheme="minorHAnsi"/>
          <w:sz w:val="20"/>
          <w:szCs w:val="20"/>
        </w:rPr>
        <w:t>銀行持有蘋果公司所發行之債券長部位，</w:t>
      </w:r>
      <w:r w:rsidRPr="000555A9">
        <w:rPr>
          <w:rFonts w:eastAsia="標楷體" w:cstheme="minorHAnsi" w:hint="eastAsia"/>
          <w:sz w:val="20"/>
          <w:szCs w:val="20"/>
        </w:rPr>
        <w:t>且</w:t>
      </w:r>
      <w:r w:rsidRPr="000555A9">
        <w:rPr>
          <w:rFonts w:eastAsia="標楷體" w:cstheme="minorHAnsi"/>
          <w:sz w:val="20"/>
          <w:szCs w:val="20"/>
        </w:rPr>
        <w:t>同時持有蘋果公司之債券短部位，必須分別計算個別瞬間</w:t>
      </w:r>
      <w:proofErr w:type="gramStart"/>
      <w:r w:rsidRPr="000555A9">
        <w:rPr>
          <w:rFonts w:eastAsia="標楷體" w:cstheme="minorHAnsi"/>
          <w:sz w:val="20"/>
          <w:szCs w:val="20"/>
        </w:rPr>
        <w:t>違約暴險</w:t>
      </w:r>
      <w:proofErr w:type="gramEnd"/>
      <w:r w:rsidRPr="000555A9">
        <w:rPr>
          <w:rFonts w:eastAsia="標楷體" w:cstheme="minorHAnsi"/>
          <w:sz w:val="20"/>
          <w:szCs w:val="20"/>
        </w:rPr>
        <w:t>。</w:t>
      </w:r>
    </w:p>
  </w:footnote>
  <w:footnote w:id="44">
    <w:p w14:paraId="41A186BC" w14:textId="77777777" w:rsidR="00BD20A5" w:rsidRPr="0079372D" w:rsidRDefault="00BD20A5" w:rsidP="000555A9">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0555A9">
        <w:rPr>
          <w:rFonts w:eastAsia="標楷體" w:cstheme="minorHAnsi"/>
          <w:sz w:val="20"/>
          <w:szCs w:val="20"/>
        </w:rPr>
        <w:t>以衍生性金融商品為例，決定部位長短方向取決於合約是否對標的資產之信用存在</w:t>
      </w:r>
      <w:proofErr w:type="gramStart"/>
      <w:r w:rsidRPr="000555A9">
        <w:rPr>
          <w:rFonts w:eastAsia="標楷體" w:cstheme="minorHAnsi"/>
          <w:sz w:val="20"/>
          <w:szCs w:val="20"/>
        </w:rPr>
        <w:t>長短暴險</w:t>
      </w:r>
      <w:proofErr w:type="gramEnd"/>
      <w:r w:rsidRPr="000555A9">
        <w:rPr>
          <w:rFonts w:eastAsia="標楷體" w:cstheme="minorHAnsi"/>
          <w:sz w:val="20"/>
          <w:szCs w:val="20"/>
        </w:rPr>
        <w:t>。</w:t>
      </w:r>
      <w:r w:rsidRPr="000555A9">
        <w:rPr>
          <w:rFonts w:eastAsia="標楷體" w:cstheme="minorHAnsi"/>
          <w:sz w:val="20"/>
          <w:szCs w:val="20"/>
        </w:rPr>
        <w:t>(</w:t>
      </w:r>
      <w:r w:rsidRPr="000555A9">
        <w:rPr>
          <w:rFonts w:eastAsia="標楷體" w:cstheme="minorHAnsi"/>
          <w:sz w:val="20"/>
          <w:szCs w:val="20"/>
        </w:rPr>
        <w:t>即：長短部位非由選擇權或信用違約交換</w:t>
      </w:r>
      <w:r w:rsidRPr="000555A9">
        <w:rPr>
          <w:rFonts w:eastAsia="標楷體" w:cstheme="minorHAnsi"/>
          <w:sz w:val="20"/>
          <w:szCs w:val="20"/>
        </w:rPr>
        <w:t>(CDS)</w:t>
      </w:r>
      <w:r w:rsidRPr="000555A9">
        <w:rPr>
          <w:rFonts w:eastAsia="標楷體" w:cstheme="minorHAnsi"/>
          <w:sz w:val="20"/>
          <w:szCs w:val="20"/>
        </w:rPr>
        <w:t>被買或賣來決定</w:t>
      </w:r>
      <w:r w:rsidRPr="000555A9">
        <w:rPr>
          <w:rFonts w:eastAsia="標楷體" w:cstheme="minorHAnsi"/>
          <w:sz w:val="20"/>
          <w:szCs w:val="20"/>
        </w:rPr>
        <w:t>)</w:t>
      </w:r>
      <w:r w:rsidRPr="000555A9">
        <w:rPr>
          <w:rFonts w:eastAsia="標楷體" w:cstheme="minorHAnsi"/>
          <w:sz w:val="20"/>
          <w:szCs w:val="20"/>
        </w:rPr>
        <w:t>。因此賣出債券</w:t>
      </w:r>
      <w:proofErr w:type="gramStart"/>
      <w:r w:rsidRPr="000555A9">
        <w:rPr>
          <w:rFonts w:eastAsia="標楷體" w:cstheme="minorHAnsi"/>
          <w:sz w:val="20"/>
          <w:szCs w:val="20"/>
        </w:rPr>
        <w:t>選擇權賣權</w:t>
      </w:r>
      <w:proofErr w:type="gramEnd"/>
      <w:r w:rsidRPr="000555A9">
        <w:rPr>
          <w:rFonts w:eastAsia="標楷體" w:cstheme="minorHAnsi"/>
          <w:sz w:val="20"/>
          <w:szCs w:val="20"/>
        </w:rPr>
        <w:t>為一信用</w:t>
      </w:r>
      <w:proofErr w:type="gramStart"/>
      <w:r w:rsidRPr="000555A9">
        <w:rPr>
          <w:rFonts w:eastAsia="標楷體" w:cstheme="minorHAnsi"/>
          <w:sz w:val="20"/>
          <w:szCs w:val="20"/>
        </w:rPr>
        <w:t>暴險長</w:t>
      </w:r>
      <w:proofErr w:type="gramEnd"/>
      <w:r w:rsidRPr="000555A9">
        <w:rPr>
          <w:rFonts w:eastAsia="標楷體" w:cstheme="minorHAnsi"/>
          <w:sz w:val="20"/>
          <w:szCs w:val="20"/>
        </w:rPr>
        <w:t>部位，因該標的債券違約會使選擇權賣方產生損失。</w:t>
      </w:r>
    </w:p>
  </w:footnote>
  <w:footnote w:id="45">
    <w:p w14:paraId="6CBA9F74" w14:textId="77777777" w:rsidR="00BD20A5" w:rsidRPr="0079372D" w:rsidRDefault="00BD20A5" w:rsidP="00F47FF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F47FF7">
        <w:rPr>
          <w:rFonts w:eastAsia="標楷體" w:cstheme="minorHAnsi"/>
          <w:sz w:val="20"/>
          <w:szCs w:val="20"/>
        </w:rPr>
        <w:t>債券選擇權之履約金額是依據債券價格而言</w:t>
      </w:r>
      <w:r w:rsidRPr="00F47FF7">
        <w:rPr>
          <w:rFonts w:eastAsia="標楷體" w:cstheme="minorHAnsi"/>
          <w:sz w:val="20"/>
          <w:szCs w:val="20"/>
        </w:rPr>
        <w:t>(</w:t>
      </w:r>
      <w:r w:rsidRPr="00F47FF7">
        <w:rPr>
          <w:rFonts w:eastAsia="標楷體" w:cstheme="minorHAnsi"/>
          <w:sz w:val="20"/>
          <w:szCs w:val="20"/>
        </w:rPr>
        <w:t>非</w:t>
      </w:r>
      <w:proofErr w:type="gramStart"/>
      <w:r w:rsidRPr="00F47FF7">
        <w:rPr>
          <w:rFonts w:eastAsia="標楷體" w:cstheme="minorHAnsi"/>
          <w:sz w:val="20"/>
          <w:szCs w:val="20"/>
        </w:rPr>
        <w:t>殖</w:t>
      </w:r>
      <w:proofErr w:type="gramEnd"/>
      <w:r w:rsidRPr="00F47FF7">
        <w:rPr>
          <w:rFonts w:eastAsia="標楷體" w:cstheme="minorHAnsi"/>
          <w:sz w:val="20"/>
          <w:szCs w:val="20"/>
        </w:rPr>
        <w:t>利率</w:t>
      </w:r>
      <w:r w:rsidRPr="00F47FF7">
        <w:rPr>
          <w:rFonts w:eastAsia="標楷體" w:cstheme="minorHAnsi"/>
          <w:sz w:val="20"/>
          <w:szCs w:val="20"/>
        </w:rPr>
        <w:t>)</w:t>
      </w:r>
      <w:r w:rsidRPr="00F47FF7">
        <w:rPr>
          <w:rFonts w:eastAsia="標楷體" w:cstheme="minorHAnsi"/>
          <w:sz w:val="20"/>
          <w:szCs w:val="20"/>
        </w:rPr>
        <w:t>。對於出售賣權之損益，較低的履約價格會使得瞬間違約部位有較少的損失。</w:t>
      </w:r>
    </w:p>
  </w:footnote>
  <w:footnote w:id="46">
    <w:p w14:paraId="4E841814" w14:textId="77777777" w:rsidR="00BD20A5" w:rsidRPr="0079372D" w:rsidRDefault="00BD20A5" w:rsidP="00F47FF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F47FF7">
        <w:rPr>
          <w:rFonts w:eastAsia="標楷體" w:cstheme="minorHAnsi" w:hint="eastAsia"/>
          <w:sz w:val="20"/>
          <w:szCs w:val="20"/>
        </w:rPr>
        <w:t>對於債券</w:t>
      </w:r>
      <w:proofErr w:type="gramStart"/>
      <w:r w:rsidRPr="00F47FF7">
        <w:rPr>
          <w:rFonts w:eastAsia="標楷體" w:cstheme="minorHAnsi" w:hint="eastAsia"/>
          <w:sz w:val="20"/>
          <w:szCs w:val="20"/>
        </w:rPr>
        <w:t>選擇權買權</w:t>
      </w:r>
      <w:proofErr w:type="gramEnd"/>
      <w:r w:rsidRPr="00F47FF7">
        <w:rPr>
          <w:rFonts w:eastAsia="標楷體" w:cstheme="minorHAnsi" w:hint="eastAsia"/>
          <w:sz w:val="20"/>
          <w:szCs w:val="20"/>
        </w:rPr>
        <w:t>而言，因違約事件發生時，買權不會被執行，故於瞬間違約風險總部位等式中，名目本金金額為零。且瞬間違約將使買權之價值消失，在</w:t>
      </w:r>
      <w:r w:rsidRPr="00F47FF7">
        <w:rPr>
          <w:rFonts w:eastAsia="標楷體" w:cstheme="minorHAnsi" w:hint="eastAsia"/>
          <w:sz w:val="20"/>
          <w:szCs w:val="20"/>
        </w:rPr>
        <w:t>JTD</w:t>
      </w:r>
      <w:r w:rsidRPr="00F47FF7">
        <w:rPr>
          <w:rFonts w:eastAsia="標楷體" w:cstheme="minorHAnsi" w:hint="eastAsia"/>
          <w:sz w:val="20"/>
          <w:szCs w:val="20"/>
        </w:rPr>
        <w:t>的計算中，此損失會透過市價評估損益項被捕捉。</w:t>
      </w:r>
    </w:p>
  </w:footnote>
  <w:footnote w:id="47">
    <w:p w14:paraId="3C9CA9AF" w14:textId="77777777" w:rsidR="00BD20A5" w:rsidRPr="0079372D" w:rsidRDefault="00BD20A5" w:rsidP="00F47FF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F47FF7">
        <w:rPr>
          <w:rFonts w:eastAsia="標楷體" w:cstheme="minorHAnsi" w:hint="eastAsia"/>
          <w:sz w:val="20"/>
          <w:szCs w:val="20"/>
        </w:rPr>
        <w:t>六個月到期之部位，其瞬間違約總部位應以</w:t>
      </w:r>
      <w:r w:rsidRPr="00F47FF7">
        <w:rPr>
          <w:rFonts w:eastAsia="標楷體" w:cstheme="minorHAnsi" w:hint="eastAsia"/>
          <w:sz w:val="20"/>
          <w:szCs w:val="20"/>
        </w:rPr>
        <w:t>1/2</w:t>
      </w:r>
      <w:r w:rsidRPr="00F47FF7">
        <w:rPr>
          <w:rFonts w:eastAsia="標楷體" w:cstheme="minorHAnsi" w:hint="eastAsia"/>
          <w:sz w:val="20"/>
          <w:szCs w:val="20"/>
        </w:rPr>
        <w:t>進行加權計算，而一年到期部位則不需進行調整。此段所述為瞬間違約總部位的比例調整，非瞬間違約淨部位。</w:t>
      </w:r>
    </w:p>
  </w:footnote>
  <w:footnote w:id="48">
    <w:p w14:paraId="6126600F" w14:textId="77777777" w:rsidR="00BD20A5" w:rsidRPr="0079372D" w:rsidRDefault="00BD20A5" w:rsidP="00F47FF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F47FF7">
        <w:rPr>
          <w:rFonts w:eastAsia="標楷體" w:cstheme="minorHAnsi" w:hint="eastAsia"/>
          <w:sz w:val="20"/>
          <w:szCs w:val="20"/>
        </w:rPr>
        <w:t>以一個簡單假設的投資組合來解釋標準法如何來計算違約風險資本要求，考慮用一個月到期市場價值為負一千萬歐元之權益證券指數型期貨，來規避一個市場價值為正一千萬歐元之權益證券標的部位。上述兩個部位應考慮三個月到期，需以年化比例對該部位及避險部位進行調整，在上述投資組合交易的</w:t>
      </w:r>
      <w:r w:rsidRPr="00F47FF7">
        <w:rPr>
          <w:rFonts w:eastAsia="標楷體" w:cstheme="minorHAnsi" w:hint="eastAsia"/>
          <w:sz w:val="20"/>
          <w:szCs w:val="20"/>
        </w:rPr>
        <w:t>JTD</w:t>
      </w:r>
      <w:r w:rsidRPr="00F47FF7">
        <w:rPr>
          <w:rFonts w:eastAsia="標楷體" w:cstheme="minorHAnsi" w:hint="eastAsia"/>
          <w:sz w:val="20"/>
          <w:szCs w:val="20"/>
        </w:rPr>
        <w:t>可以用以下方式來計算：</w:t>
      </w:r>
      <w:r>
        <w:rPr>
          <w:rFonts w:eastAsia="標楷體" w:cstheme="minorHAnsi" w:hint="eastAsia"/>
          <w:sz w:val="20"/>
          <w:szCs w:val="20"/>
        </w:rPr>
        <w:t>1/4*10</w:t>
      </w:r>
      <w:proofErr w:type="gramStart"/>
      <w:r w:rsidRPr="00F47FF7">
        <w:rPr>
          <w:rFonts w:eastAsia="標楷體" w:cstheme="minorHAnsi" w:hint="eastAsia"/>
          <w:sz w:val="20"/>
          <w:szCs w:val="20"/>
        </w:rPr>
        <w:t>–</w:t>
      </w:r>
      <w:proofErr w:type="gramEnd"/>
      <w:r>
        <w:rPr>
          <w:rFonts w:eastAsia="標楷體" w:cstheme="minorHAnsi" w:hint="eastAsia"/>
          <w:sz w:val="20"/>
          <w:szCs w:val="20"/>
        </w:rPr>
        <w:t>1/4*10 = 0</w:t>
      </w:r>
      <w:r>
        <w:rPr>
          <w:rFonts w:eastAsia="標楷體" w:cstheme="minorHAnsi" w:hint="eastAsia"/>
          <w:sz w:val="20"/>
          <w:szCs w:val="20"/>
        </w:rPr>
        <w:t>。</w:t>
      </w:r>
    </w:p>
  </w:footnote>
  <w:footnote w:id="49">
    <w:p w14:paraId="18401637" w14:textId="77777777" w:rsidR="00BD20A5" w:rsidRPr="0079372D" w:rsidRDefault="00BD20A5" w:rsidP="0035006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350060">
        <w:rPr>
          <w:rFonts w:eastAsia="標楷體" w:cstheme="minorHAnsi" w:hint="eastAsia"/>
          <w:sz w:val="20"/>
          <w:szCs w:val="20"/>
        </w:rPr>
        <w:t>權益證券短部位應可抵銷債券長部位，但債券短部位不可抵銷權益證券長部位。</w:t>
      </w:r>
    </w:p>
  </w:footnote>
  <w:footnote w:id="50">
    <w:p w14:paraId="6DA0EBA2" w14:textId="77777777" w:rsidR="00BD20A5" w:rsidRPr="00350060" w:rsidRDefault="00BD20A5" w:rsidP="0035006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350060">
        <w:rPr>
          <w:rFonts w:eastAsia="標楷體" w:cstheme="minorHAnsi"/>
          <w:sz w:val="20"/>
          <w:szCs w:val="20"/>
        </w:rPr>
        <w:t>於一年資本期間下三</w:t>
      </w:r>
      <w:proofErr w:type="gramStart"/>
      <w:r w:rsidRPr="00350060">
        <w:rPr>
          <w:rFonts w:eastAsia="標楷體" w:cstheme="minorHAnsi"/>
          <w:sz w:val="20"/>
          <w:szCs w:val="20"/>
        </w:rPr>
        <w:t>個</w:t>
      </w:r>
      <w:proofErr w:type="gramEnd"/>
      <w:r w:rsidRPr="00350060">
        <w:rPr>
          <w:rFonts w:eastAsia="標楷體" w:cstheme="minorHAnsi"/>
          <w:sz w:val="20"/>
          <w:szCs w:val="20"/>
        </w:rPr>
        <w:t>月的</w:t>
      </w:r>
      <w:proofErr w:type="gramStart"/>
      <w:r w:rsidRPr="00350060">
        <w:rPr>
          <w:rFonts w:eastAsia="標楷體" w:cstheme="minorHAnsi"/>
          <w:sz w:val="20"/>
          <w:szCs w:val="20"/>
        </w:rPr>
        <w:t>短暴險</w:t>
      </w:r>
      <w:proofErr w:type="gramEnd"/>
      <w:r w:rsidRPr="00350060">
        <w:rPr>
          <w:rFonts w:eastAsia="標楷體" w:cstheme="minorHAnsi"/>
          <w:sz w:val="20"/>
          <w:szCs w:val="20"/>
        </w:rPr>
        <w:t>部位將被加權計算，故對一年以上之長部位的抵銷效益將被減至該部位的</w:t>
      </w:r>
      <w:r w:rsidRPr="00350060">
        <w:rPr>
          <w:rFonts w:eastAsia="標楷體" w:cstheme="minorHAnsi"/>
          <w:sz w:val="20"/>
          <w:szCs w:val="20"/>
        </w:rPr>
        <w:t>1/4</w:t>
      </w:r>
      <w:r w:rsidRPr="00350060">
        <w:rPr>
          <w:rFonts w:eastAsia="標楷體" w:cstheme="minorHAnsi"/>
          <w:sz w:val="20"/>
          <w:szCs w:val="20"/>
        </w:rPr>
        <w:t>，</w:t>
      </w:r>
      <w:r w:rsidRPr="00350060">
        <w:rPr>
          <w:rFonts w:eastAsia="標楷體" w:cstheme="minorHAnsi" w:hint="eastAsia"/>
          <w:sz w:val="20"/>
          <w:szCs w:val="20"/>
        </w:rPr>
        <w:t>而</w:t>
      </w:r>
      <w:r w:rsidRPr="00350060">
        <w:rPr>
          <w:rFonts w:eastAsia="標楷體" w:cstheme="minorHAnsi"/>
          <w:sz w:val="20"/>
          <w:szCs w:val="20"/>
        </w:rPr>
        <w:t>此比率可被適用於長短</w:t>
      </w:r>
      <w:proofErr w:type="gramStart"/>
      <w:r w:rsidRPr="00350060">
        <w:rPr>
          <w:rFonts w:eastAsia="標楷體" w:cstheme="minorHAnsi" w:hint="eastAsia"/>
          <w:sz w:val="20"/>
          <w:szCs w:val="20"/>
        </w:rPr>
        <w:t>部位</w:t>
      </w:r>
      <w:r w:rsidRPr="00350060">
        <w:rPr>
          <w:rFonts w:eastAsia="標楷體" w:cstheme="minorHAnsi"/>
          <w:sz w:val="20"/>
          <w:szCs w:val="20"/>
        </w:rPr>
        <w:t>暴險</w:t>
      </w:r>
      <w:proofErr w:type="gramEnd"/>
      <w:r w:rsidRPr="00350060">
        <w:rPr>
          <w:rFonts w:eastAsia="標楷體" w:cstheme="minorHAnsi"/>
          <w:sz w:val="20"/>
          <w:szCs w:val="20"/>
        </w:rPr>
        <w:t>。</w:t>
      </w:r>
    </w:p>
  </w:footnote>
  <w:footnote w:id="51">
    <w:p w14:paraId="517C93C5" w14:textId="77777777" w:rsidR="00BD20A5" w:rsidRPr="00350060" w:rsidRDefault="00BD20A5" w:rsidP="00E61183">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E61183">
        <w:rPr>
          <w:rFonts w:eastAsia="標楷體" w:cstheme="minorHAnsi" w:hint="eastAsia"/>
          <w:sz w:val="20"/>
          <w:szCs w:val="20"/>
        </w:rPr>
        <w:t>銀行一經選用某外部信用評等機構及其評等結果，應保持一致性使用，不得任意自不同外部信用評等機構之評等結果中選取對本身有利之評等，亦不得任意變動所使用之信用評等機構，若有兩個評等對應到不同風險權數，應該適用較高的風險權數。若有三個或以上外部信用評等機構之評等，分別對應到不同風險權數，應該要取</w:t>
      </w:r>
      <w:proofErr w:type="gramStart"/>
      <w:r w:rsidRPr="00E61183">
        <w:rPr>
          <w:rFonts w:eastAsia="標楷體" w:cstheme="minorHAnsi" w:hint="eastAsia"/>
          <w:sz w:val="20"/>
          <w:szCs w:val="20"/>
        </w:rPr>
        <w:t>次佳信評</w:t>
      </w:r>
      <w:proofErr w:type="gramEnd"/>
      <w:r w:rsidRPr="00E61183">
        <w:rPr>
          <w:rFonts w:eastAsia="標楷體" w:cstheme="minorHAnsi" w:hint="eastAsia"/>
          <w:sz w:val="20"/>
          <w:szCs w:val="20"/>
        </w:rPr>
        <w:t>對應之風險權數。</w:t>
      </w:r>
    </w:p>
  </w:footnote>
  <w:footnote w:id="52">
    <w:p w14:paraId="333DD864" w14:textId="77777777" w:rsidR="00BD20A5" w:rsidRPr="00350060" w:rsidRDefault="00BD20A5" w:rsidP="00D73351">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D73351">
        <w:rPr>
          <w:rFonts w:eastAsia="標楷體" w:cstheme="minorHAnsi" w:hint="eastAsia"/>
          <w:sz w:val="20"/>
          <w:szCs w:val="20"/>
        </w:rPr>
        <w:t>當證券投資組合發生債務違約，銀行將在證券化</w:t>
      </w:r>
      <w:proofErr w:type="gramStart"/>
      <w:r w:rsidRPr="00D73351">
        <w:rPr>
          <w:rFonts w:eastAsia="標楷體" w:cstheme="minorHAnsi" w:hint="eastAsia"/>
          <w:sz w:val="20"/>
          <w:szCs w:val="20"/>
        </w:rPr>
        <w:t>長暴險</w:t>
      </w:r>
      <w:proofErr w:type="gramEnd"/>
      <w:r w:rsidRPr="00D73351">
        <w:rPr>
          <w:rFonts w:eastAsia="標楷體" w:cstheme="minorHAnsi" w:hint="eastAsia"/>
          <w:sz w:val="20"/>
          <w:szCs w:val="20"/>
        </w:rPr>
        <w:t>部位上產生損失。</w:t>
      </w:r>
    </w:p>
  </w:footnote>
  <w:footnote w:id="53">
    <w:p w14:paraId="66A3366A" w14:textId="77777777" w:rsidR="00BD20A5" w:rsidRPr="00350060" w:rsidRDefault="00BD20A5" w:rsidP="0078640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86400">
        <w:rPr>
          <w:rFonts w:eastAsia="標楷體" w:cstheme="minorHAnsi" w:hint="eastAsia"/>
          <w:sz w:val="20"/>
          <w:szCs w:val="20"/>
        </w:rPr>
        <w:t>針對相同指數</w:t>
      </w:r>
      <w:r w:rsidRPr="00786400">
        <w:rPr>
          <w:rFonts w:eastAsia="標楷體" w:cstheme="minorHAnsi" w:hint="eastAsia"/>
          <w:sz w:val="20"/>
          <w:szCs w:val="20"/>
        </w:rPr>
        <w:t>/</w:t>
      </w:r>
      <w:r w:rsidRPr="00786400">
        <w:rPr>
          <w:rFonts w:eastAsia="標楷體" w:cstheme="minorHAnsi" w:hint="eastAsia"/>
          <w:sz w:val="20"/>
          <w:szCs w:val="20"/>
        </w:rPr>
        <w:t>序列之</w:t>
      </w:r>
      <w:r w:rsidRPr="00786400">
        <w:rPr>
          <w:rFonts w:eastAsia="標楷體" w:cstheme="minorHAnsi" w:hint="eastAsia"/>
          <w:sz w:val="20"/>
          <w:szCs w:val="20"/>
        </w:rPr>
        <w:t>10-15%</w:t>
      </w:r>
      <w:r w:rsidRPr="00786400">
        <w:rPr>
          <w:rFonts w:eastAsia="標楷體" w:cstheme="minorHAnsi" w:hint="eastAsia"/>
          <w:sz w:val="20"/>
          <w:szCs w:val="20"/>
        </w:rPr>
        <w:t>分</w:t>
      </w:r>
      <w:proofErr w:type="gramStart"/>
      <w:r w:rsidRPr="00786400">
        <w:rPr>
          <w:rFonts w:eastAsia="標楷體" w:cstheme="minorHAnsi" w:hint="eastAsia"/>
          <w:sz w:val="20"/>
          <w:szCs w:val="20"/>
        </w:rPr>
        <w:t>券證券化暴險長</w:t>
      </w:r>
      <w:proofErr w:type="gramEnd"/>
      <w:r w:rsidRPr="00786400">
        <w:rPr>
          <w:rFonts w:eastAsia="標楷體" w:cstheme="minorHAnsi" w:hint="eastAsia"/>
          <w:sz w:val="20"/>
          <w:szCs w:val="20"/>
        </w:rPr>
        <w:t>部位和結合</w:t>
      </w:r>
      <w:r w:rsidRPr="00786400">
        <w:rPr>
          <w:rFonts w:eastAsia="標楷體" w:cstheme="minorHAnsi" w:hint="eastAsia"/>
          <w:sz w:val="20"/>
          <w:szCs w:val="20"/>
        </w:rPr>
        <w:t>10-12%</w:t>
      </w:r>
      <w:r w:rsidRPr="00786400">
        <w:rPr>
          <w:rFonts w:eastAsia="標楷體" w:cstheme="minorHAnsi" w:hint="eastAsia"/>
          <w:sz w:val="20"/>
          <w:szCs w:val="20"/>
        </w:rPr>
        <w:t>及</w:t>
      </w:r>
      <w:r w:rsidRPr="00786400">
        <w:rPr>
          <w:rFonts w:eastAsia="標楷體" w:cstheme="minorHAnsi" w:hint="eastAsia"/>
          <w:sz w:val="20"/>
          <w:szCs w:val="20"/>
        </w:rPr>
        <w:t>12-15%</w:t>
      </w:r>
      <w:r w:rsidRPr="00786400">
        <w:rPr>
          <w:rFonts w:eastAsia="標楷體" w:cstheme="minorHAnsi" w:hint="eastAsia"/>
          <w:sz w:val="20"/>
          <w:szCs w:val="20"/>
        </w:rPr>
        <w:t>之分</w:t>
      </w:r>
      <w:proofErr w:type="gramStart"/>
      <w:r w:rsidRPr="00786400">
        <w:rPr>
          <w:rFonts w:eastAsia="標楷體" w:cstheme="minorHAnsi" w:hint="eastAsia"/>
          <w:sz w:val="20"/>
          <w:szCs w:val="20"/>
        </w:rPr>
        <w:t>券證券化暴險短</w:t>
      </w:r>
      <w:proofErr w:type="gramEnd"/>
      <w:r w:rsidRPr="00786400">
        <w:rPr>
          <w:rFonts w:eastAsia="標楷體" w:cstheme="minorHAnsi" w:hint="eastAsia"/>
          <w:sz w:val="20"/>
          <w:szCs w:val="20"/>
        </w:rPr>
        <w:t>部位，可進行互抵。</w:t>
      </w:r>
    </w:p>
  </w:footnote>
  <w:footnote w:id="54">
    <w:p w14:paraId="1E6B624B" w14:textId="77777777" w:rsidR="00BD20A5" w:rsidRPr="00350060" w:rsidRDefault="00BD20A5" w:rsidP="0078640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86400">
        <w:rPr>
          <w:rFonts w:eastAsia="標楷體" w:cstheme="minorHAnsi" w:hint="eastAsia"/>
          <w:sz w:val="20"/>
          <w:szCs w:val="20"/>
        </w:rPr>
        <w:t>可完美複製</w:t>
      </w:r>
      <w:proofErr w:type="gramStart"/>
      <w:r w:rsidRPr="00786400">
        <w:rPr>
          <w:rFonts w:eastAsia="標楷體" w:cstheme="minorHAnsi" w:hint="eastAsia"/>
          <w:sz w:val="20"/>
          <w:szCs w:val="20"/>
        </w:rPr>
        <w:t>一</w:t>
      </w:r>
      <w:proofErr w:type="gramEnd"/>
      <w:r w:rsidRPr="00786400">
        <w:rPr>
          <w:rFonts w:eastAsia="標楷體" w:cstheme="minorHAnsi" w:hint="eastAsia"/>
          <w:sz w:val="20"/>
          <w:szCs w:val="20"/>
        </w:rPr>
        <w:t>指數之單一名稱</w:t>
      </w:r>
      <w:proofErr w:type="gramStart"/>
      <w:r w:rsidRPr="00786400">
        <w:rPr>
          <w:rFonts w:eastAsia="標楷體" w:cstheme="minorHAnsi" w:hint="eastAsia"/>
          <w:sz w:val="20"/>
          <w:szCs w:val="20"/>
        </w:rPr>
        <w:t>證券化暴險長</w:t>
      </w:r>
      <w:proofErr w:type="gramEnd"/>
      <w:r w:rsidRPr="00786400">
        <w:rPr>
          <w:rFonts w:eastAsia="標楷體" w:cstheme="minorHAnsi" w:hint="eastAsia"/>
          <w:sz w:val="20"/>
          <w:szCs w:val="20"/>
        </w:rPr>
        <w:t>部位，可與指數內</w:t>
      </w:r>
      <w:proofErr w:type="gramStart"/>
      <w:r w:rsidRPr="00786400">
        <w:rPr>
          <w:rFonts w:eastAsia="標楷體" w:cstheme="minorHAnsi" w:hint="eastAsia"/>
          <w:sz w:val="20"/>
          <w:szCs w:val="20"/>
        </w:rPr>
        <w:t>證券化暴險短</w:t>
      </w:r>
      <w:proofErr w:type="gramEnd"/>
      <w:r w:rsidRPr="00786400">
        <w:rPr>
          <w:rFonts w:eastAsia="標楷體" w:cstheme="minorHAnsi" w:hint="eastAsia"/>
          <w:sz w:val="20"/>
          <w:szCs w:val="20"/>
        </w:rPr>
        <w:t>部位進行互抵。</w:t>
      </w:r>
    </w:p>
  </w:footnote>
  <w:footnote w:id="55">
    <w:p w14:paraId="18A68C4C" w14:textId="77777777" w:rsidR="00BD20A5" w:rsidRPr="00350060" w:rsidRDefault="00BD20A5" w:rsidP="0078640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86400">
        <w:rPr>
          <w:rFonts w:eastAsia="標楷體" w:cstheme="minorHAnsi" w:hint="eastAsia"/>
          <w:sz w:val="20"/>
          <w:szCs w:val="20"/>
        </w:rPr>
        <w:t>持有</w:t>
      </w:r>
      <w:proofErr w:type="gramStart"/>
      <w:r w:rsidRPr="00786400">
        <w:rPr>
          <w:rFonts w:eastAsia="標楷體" w:cstheme="minorHAnsi" w:hint="eastAsia"/>
          <w:sz w:val="20"/>
          <w:szCs w:val="20"/>
        </w:rPr>
        <w:t>一</w:t>
      </w:r>
      <w:proofErr w:type="gramEnd"/>
      <w:r w:rsidRPr="00786400">
        <w:rPr>
          <w:rFonts w:eastAsia="標楷體" w:cstheme="minorHAnsi" w:hint="eastAsia"/>
          <w:sz w:val="20"/>
          <w:szCs w:val="20"/>
        </w:rPr>
        <w:t>包含</w:t>
      </w:r>
      <w:r w:rsidRPr="00786400">
        <w:rPr>
          <w:rFonts w:eastAsia="標楷體" w:cstheme="minorHAnsi" w:hint="eastAsia"/>
          <w:sz w:val="20"/>
          <w:szCs w:val="20"/>
        </w:rPr>
        <w:t>125</w:t>
      </w:r>
      <w:r w:rsidRPr="00786400">
        <w:rPr>
          <w:rFonts w:eastAsia="標楷體" w:cstheme="minorHAnsi" w:hint="eastAsia"/>
          <w:sz w:val="20"/>
          <w:szCs w:val="20"/>
        </w:rPr>
        <w:t>個名稱之指數</w:t>
      </w:r>
      <w:proofErr w:type="gramStart"/>
      <w:r w:rsidRPr="00786400">
        <w:rPr>
          <w:rFonts w:eastAsia="標楷體" w:cstheme="minorHAnsi" w:hint="eastAsia"/>
          <w:sz w:val="20"/>
          <w:szCs w:val="20"/>
        </w:rPr>
        <w:t>證券化暴險長</w:t>
      </w:r>
      <w:proofErr w:type="gramEnd"/>
      <w:r w:rsidRPr="00786400">
        <w:rPr>
          <w:rFonts w:eastAsia="標楷體" w:cstheme="minorHAnsi" w:hint="eastAsia"/>
          <w:sz w:val="20"/>
          <w:szCs w:val="20"/>
        </w:rPr>
        <w:t>部位，和複製其中相同之</w:t>
      </w:r>
      <w:r w:rsidRPr="00786400">
        <w:rPr>
          <w:rFonts w:eastAsia="標楷體" w:cstheme="minorHAnsi" w:hint="eastAsia"/>
          <w:sz w:val="20"/>
          <w:szCs w:val="20"/>
        </w:rPr>
        <w:t>124</w:t>
      </w:r>
      <w:r w:rsidRPr="00786400">
        <w:rPr>
          <w:rFonts w:eastAsia="標楷體" w:cstheme="minorHAnsi" w:hint="eastAsia"/>
          <w:sz w:val="20"/>
          <w:szCs w:val="20"/>
        </w:rPr>
        <w:t>個名稱之</w:t>
      </w:r>
      <w:proofErr w:type="gramStart"/>
      <w:r w:rsidRPr="00786400">
        <w:rPr>
          <w:rFonts w:eastAsia="標楷體" w:cstheme="minorHAnsi" w:hint="eastAsia"/>
          <w:sz w:val="20"/>
          <w:szCs w:val="20"/>
        </w:rPr>
        <w:t>證券化暴險短</w:t>
      </w:r>
      <w:proofErr w:type="gramEnd"/>
      <w:r w:rsidRPr="00786400">
        <w:rPr>
          <w:rFonts w:eastAsia="標楷體" w:cstheme="minorHAnsi" w:hint="eastAsia"/>
          <w:sz w:val="20"/>
          <w:szCs w:val="20"/>
        </w:rPr>
        <w:t>部位，其將產生</w:t>
      </w:r>
      <w:proofErr w:type="gramStart"/>
      <w:r w:rsidRPr="00786400">
        <w:rPr>
          <w:rFonts w:eastAsia="標楷體" w:cstheme="minorHAnsi" w:hint="eastAsia"/>
          <w:sz w:val="20"/>
          <w:szCs w:val="20"/>
        </w:rPr>
        <w:t>一</w:t>
      </w:r>
      <w:proofErr w:type="gramEnd"/>
      <w:r w:rsidRPr="00786400">
        <w:rPr>
          <w:rFonts w:eastAsia="標楷體" w:cstheme="minorHAnsi" w:hint="eastAsia"/>
          <w:sz w:val="20"/>
          <w:szCs w:val="20"/>
        </w:rPr>
        <w:t>未被複製之第</w:t>
      </w:r>
      <w:r w:rsidRPr="00786400">
        <w:rPr>
          <w:rFonts w:eastAsia="標楷體" w:cstheme="minorHAnsi" w:hint="eastAsia"/>
          <w:sz w:val="20"/>
          <w:szCs w:val="20"/>
        </w:rPr>
        <w:t>125</w:t>
      </w:r>
      <w:r w:rsidRPr="00786400">
        <w:rPr>
          <w:rFonts w:eastAsia="標楷體" w:cstheme="minorHAnsi" w:hint="eastAsia"/>
          <w:sz w:val="20"/>
          <w:szCs w:val="20"/>
        </w:rPr>
        <w:t>個名稱之</w:t>
      </w:r>
      <w:proofErr w:type="gramStart"/>
      <w:r w:rsidRPr="00786400">
        <w:rPr>
          <w:rFonts w:eastAsia="標楷體" w:cstheme="minorHAnsi" w:hint="eastAsia"/>
          <w:sz w:val="20"/>
          <w:szCs w:val="20"/>
        </w:rPr>
        <w:t>證券化暴險淨長</w:t>
      </w:r>
      <w:proofErr w:type="gramEnd"/>
      <w:r w:rsidRPr="00786400">
        <w:rPr>
          <w:rFonts w:eastAsia="標楷體" w:cstheme="minorHAnsi" w:hint="eastAsia"/>
          <w:sz w:val="20"/>
          <w:szCs w:val="20"/>
        </w:rPr>
        <w:t>部位。</w:t>
      </w:r>
    </w:p>
  </w:footnote>
  <w:footnote w:id="56">
    <w:p w14:paraId="48610A2A" w14:textId="77777777" w:rsidR="00BD20A5" w:rsidRPr="00350060" w:rsidRDefault="00BD20A5" w:rsidP="003F2CC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3F2CCF">
        <w:rPr>
          <w:rFonts w:eastAsia="標楷體" w:cstheme="minorHAnsi" w:hint="eastAsia"/>
          <w:sz w:val="20"/>
          <w:szCs w:val="20"/>
        </w:rPr>
        <w:t>針對</w:t>
      </w:r>
      <w:r w:rsidRPr="003F2CCF">
        <w:rPr>
          <w:rFonts w:eastAsia="標楷體" w:cstheme="minorHAnsi" w:hint="eastAsia"/>
          <w:sz w:val="20"/>
          <w:szCs w:val="20"/>
        </w:rPr>
        <w:t xml:space="preserve"> CDX North America IG </w:t>
      </w:r>
      <w:r w:rsidRPr="003F2CCF">
        <w:rPr>
          <w:rFonts w:eastAsia="標楷體" w:cstheme="minorHAnsi" w:hint="eastAsia"/>
          <w:sz w:val="20"/>
          <w:szCs w:val="20"/>
        </w:rPr>
        <w:t>指數之違約風險資本要求</w:t>
      </w:r>
      <w:r w:rsidRPr="003F2CCF">
        <w:rPr>
          <w:rFonts w:eastAsia="標楷體" w:cstheme="minorHAnsi" w:hint="eastAsia"/>
          <w:sz w:val="20"/>
          <w:szCs w:val="20"/>
        </w:rPr>
        <w:t>(DRC)</w:t>
      </w:r>
      <w:r w:rsidRPr="003F2CCF">
        <w:rPr>
          <w:rFonts w:eastAsia="標楷體" w:cstheme="minorHAnsi" w:hint="eastAsia"/>
          <w:sz w:val="20"/>
          <w:szCs w:val="20"/>
        </w:rPr>
        <w:t>為</w:t>
      </w:r>
      <w:r w:rsidRPr="003F2CCF">
        <w:rPr>
          <w:rFonts w:eastAsia="標楷體" w:cstheme="minorHAnsi" w:hint="eastAsia"/>
          <w:sz w:val="20"/>
          <w:szCs w:val="20"/>
        </w:rPr>
        <w:t>+100</w:t>
      </w:r>
      <w:r w:rsidRPr="003F2CCF">
        <w:rPr>
          <w:rFonts w:eastAsia="標楷體" w:cstheme="minorHAnsi" w:hint="eastAsia"/>
          <w:sz w:val="20"/>
          <w:szCs w:val="20"/>
        </w:rPr>
        <w:t>及</w:t>
      </w:r>
      <w:r w:rsidRPr="003F2CCF">
        <w:rPr>
          <w:rFonts w:eastAsia="標楷體" w:cstheme="minorHAnsi" w:hint="eastAsia"/>
          <w:sz w:val="20"/>
          <w:szCs w:val="20"/>
        </w:rPr>
        <w:t xml:space="preserve">Major Sovereign (G7 and Western Europe) </w:t>
      </w:r>
      <w:r w:rsidRPr="003F2CCF">
        <w:rPr>
          <w:rFonts w:eastAsia="標楷體" w:cstheme="minorHAnsi" w:hint="eastAsia"/>
          <w:sz w:val="20"/>
          <w:szCs w:val="20"/>
        </w:rPr>
        <w:t>指數之違約風險資本要求</w:t>
      </w:r>
      <w:r w:rsidRPr="003F2CCF">
        <w:rPr>
          <w:rFonts w:eastAsia="標楷體" w:cstheme="minorHAnsi" w:hint="eastAsia"/>
          <w:sz w:val="20"/>
          <w:szCs w:val="20"/>
        </w:rPr>
        <w:t>(DRC)</w:t>
      </w:r>
      <w:r w:rsidRPr="003F2CCF">
        <w:rPr>
          <w:rFonts w:eastAsia="標楷體" w:cstheme="minorHAnsi" w:hint="eastAsia"/>
          <w:sz w:val="20"/>
          <w:szCs w:val="20"/>
        </w:rPr>
        <w:t>為</w:t>
      </w:r>
      <w:r w:rsidRPr="003F2CCF">
        <w:rPr>
          <w:rFonts w:eastAsia="標楷體" w:cstheme="minorHAnsi" w:hint="eastAsia"/>
          <w:sz w:val="20"/>
          <w:szCs w:val="20"/>
        </w:rPr>
        <w:t>-100</w:t>
      </w:r>
      <w:r w:rsidRPr="003F2CCF">
        <w:rPr>
          <w:rFonts w:eastAsia="標楷體" w:cstheme="minorHAnsi" w:hint="eastAsia"/>
          <w:sz w:val="20"/>
          <w:szCs w:val="20"/>
        </w:rPr>
        <w:t>，則相關性投資組合之總違約風險資本要求</w:t>
      </w:r>
      <w:r w:rsidRPr="003F2CCF">
        <w:rPr>
          <w:rFonts w:eastAsia="標楷體" w:cstheme="minorHAnsi" w:hint="eastAsia"/>
          <w:sz w:val="20"/>
          <w:szCs w:val="20"/>
        </w:rPr>
        <w:t>(DRC)</w:t>
      </w:r>
      <w:r w:rsidRPr="003F2CCF">
        <w:rPr>
          <w:rFonts w:eastAsia="標楷體" w:cstheme="minorHAnsi" w:hint="eastAsia"/>
          <w:sz w:val="20"/>
          <w:szCs w:val="20"/>
        </w:rPr>
        <w:t>為</w:t>
      </w:r>
      <w:r w:rsidRPr="003F2CCF">
        <w:rPr>
          <w:rFonts w:eastAsia="標楷體" w:cstheme="minorHAnsi" w:hint="eastAsia"/>
          <w:sz w:val="20"/>
          <w:szCs w:val="20"/>
        </w:rPr>
        <w:t>100-0.5</w:t>
      </w:r>
      <w:r w:rsidRPr="003F2CCF">
        <w:rPr>
          <w:rFonts w:eastAsia="標楷體" w:cstheme="minorHAnsi" w:hint="eastAsia"/>
          <w:sz w:val="20"/>
          <w:szCs w:val="20"/>
        </w:rPr>
        <w:t>×</w:t>
      </w:r>
      <w:r w:rsidRPr="003F2CCF">
        <w:rPr>
          <w:rFonts w:eastAsia="標楷體" w:cstheme="minorHAnsi" w:hint="eastAsia"/>
          <w:sz w:val="20"/>
          <w:szCs w:val="20"/>
        </w:rPr>
        <w:t>100=50</w:t>
      </w:r>
      <w:r w:rsidRPr="003F2CCF">
        <w:rPr>
          <w:rFonts w:eastAsia="標楷體" w:cstheme="minorHAnsi" w:hint="eastAsia"/>
          <w:sz w:val="20"/>
          <w:szCs w:val="20"/>
        </w:rPr>
        <w:t>。針對跨指數避險</w:t>
      </w:r>
      <w:proofErr w:type="gramStart"/>
      <w:r w:rsidRPr="003F2CCF">
        <w:rPr>
          <w:rFonts w:eastAsia="標楷體" w:cstheme="minorHAnsi" w:hint="eastAsia"/>
          <w:sz w:val="20"/>
          <w:szCs w:val="20"/>
        </w:rPr>
        <w:t>之基差風險</w:t>
      </w:r>
      <w:proofErr w:type="gramEnd"/>
      <w:r w:rsidRPr="003F2CCF">
        <w:rPr>
          <w:rFonts w:eastAsia="標楷體" w:cstheme="minorHAnsi" w:hint="eastAsia"/>
          <w:sz w:val="20"/>
          <w:szCs w:val="20"/>
        </w:rPr>
        <w:t>於</w:t>
      </w:r>
      <w:proofErr w:type="spellStart"/>
      <w:r w:rsidRPr="003F2CCF">
        <w:rPr>
          <w:rFonts w:eastAsia="標楷體" w:cstheme="minorHAnsi" w:hint="eastAsia"/>
          <w:sz w:val="20"/>
          <w:szCs w:val="20"/>
        </w:rPr>
        <w:t>DRC</w:t>
      </w:r>
      <w:r w:rsidRPr="003F2CCF">
        <w:rPr>
          <w:rFonts w:eastAsia="標楷體" w:cstheme="minorHAnsi" w:hint="eastAsia"/>
          <w:sz w:val="20"/>
          <w:szCs w:val="20"/>
          <w:vertAlign w:val="subscript"/>
        </w:rPr>
        <w:t>b</w:t>
      </w:r>
      <w:proofErr w:type="spellEnd"/>
      <w:r w:rsidRPr="003F2CCF">
        <w:rPr>
          <w:rFonts w:eastAsia="標楷體" w:cstheme="minorHAnsi" w:hint="eastAsia"/>
          <w:sz w:val="20"/>
          <w:szCs w:val="20"/>
        </w:rPr>
        <w:t>和</w:t>
      </w:r>
      <w:r w:rsidRPr="003F2CCF">
        <w:rPr>
          <w:rFonts w:eastAsia="標楷體" w:cstheme="minorHAnsi" w:hint="eastAsia"/>
          <w:sz w:val="20"/>
          <w:szCs w:val="20"/>
        </w:rPr>
        <w:t>DRC</w:t>
      </w:r>
      <w:r w:rsidRPr="003F2CCF">
        <w:rPr>
          <w:rFonts w:eastAsia="標楷體" w:cstheme="minorHAnsi" w:hint="eastAsia"/>
          <w:sz w:val="20"/>
          <w:szCs w:val="20"/>
          <w:vertAlign w:val="subscript"/>
        </w:rPr>
        <w:t>CTP</w:t>
      </w:r>
      <w:r w:rsidRPr="003F2CCF">
        <w:rPr>
          <w:rFonts w:eastAsia="標楷體" w:cstheme="minorHAnsi" w:hint="eastAsia"/>
          <w:sz w:val="20"/>
          <w:szCs w:val="20"/>
        </w:rPr>
        <w:t>項之計算時，其跨指數短部位之避險效益將被折扣兩次。第一次於</w:t>
      </w:r>
      <w:proofErr w:type="spellStart"/>
      <w:r w:rsidRPr="003F2CCF">
        <w:rPr>
          <w:rFonts w:eastAsia="標楷體" w:cstheme="minorHAnsi" w:hint="eastAsia"/>
          <w:sz w:val="20"/>
          <w:szCs w:val="20"/>
        </w:rPr>
        <w:t>DRCb</w:t>
      </w:r>
      <w:proofErr w:type="spellEnd"/>
      <w:proofErr w:type="gramStart"/>
      <w:r w:rsidRPr="003F2CCF">
        <w:rPr>
          <w:rFonts w:eastAsia="標楷體" w:cstheme="minorHAnsi" w:hint="eastAsia"/>
          <w:sz w:val="20"/>
          <w:szCs w:val="20"/>
        </w:rPr>
        <w:t>中避險</w:t>
      </w:r>
      <w:proofErr w:type="gramEnd"/>
      <w:r w:rsidRPr="003F2CCF">
        <w:rPr>
          <w:rFonts w:eastAsia="標楷體" w:cstheme="minorHAnsi" w:hint="eastAsia"/>
          <w:sz w:val="20"/>
          <w:szCs w:val="20"/>
        </w:rPr>
        <w:t>效益比率</w:t>
      </w:r>
      <w:r w:rsidRPr="003F2CCF">
        <w:rPr>
          <w:rFonts w:eastAsia="標楷體" w:cstheme="minorHAnsi" w:hint="eastAsia"/>
          <w:sz w:val="20"/>
          <w:szCs w:val="20"/>
        </w:rPr>
        <w:t>(HBR)</w:t>
      </w:r>
      <w:r w:rsidRPr="003F2CCF">
        <w:rPr>
          <w:rFonts w:eastAsia="標楷體" w:cstheme="minorHAnsi" w:hint="eastAsia"/>
          <w:sz w:val="20"/>
          <w:szCs w:val="20"/>
        </w:rPr>
        <w:t>，並於</w:t>
      </w:r>
      <w:r w:rsidRPr="003F2CCF">
        <w:rPr>
          <w:rFonts w:eastAsia="標楷體" w:cstheme="minorHAnsi" w:hint="eastAsia"/>
          <w:sz w:val="20"/>
          <w:szCs w:val="20"/>
        </w:rPr>
        <w:t>DRC</w:t>
      </w:r>
      <w:r w:rsidRPr="003F2CCF">
        <w:rPr>
          <w:rFonts w:eastAsia="標楷體" w:cstheme="minorHAnsi" w:hint="eastAsia"/>
          <w:sz w:val="20"/>
          <w:szCs w:val="20"/>
          <w:vertAlign w:val="subscript"/>
        </w:rPr>
        <w:t>CTP</w:t>
      </w:r>
      <w:r w:rsidRPr="003F2CCF">
        <w:rPr>
          <w:rFonts w:eastAsia="標楷體" w:cstheme="minorHAnsi" w:hint="eastAsia"/>
          <w:sz w:val="20"/>
          <w:szCs w:val="20"/>
        </w:rPr>
        <w:t>中再以</w:t>
      </w:r>
      <w:r w:rsidRPr="003F2CCF">
        <w:rPr>
          <w:rFonts w:eastAsia="標楷體" w:cstheme="minorHAnsi" w:hint="eastAsia"/>
          <w:sz w:val="20"/>
          <w:szCs w:val="20"/>
        </w:rPr>
        <w:t>0.5</w:t>
      </w:r>
      <w:r w:rsidRPr="003F2CCF">
        <w:rPr>
          <w:rFonts w:eastAsia="標楷體" w:cstheme="minorHAnsi" w:hint="eastAsia"/>
          <w:sz w:val="20"/>
          <w:szCs w:val="20"/>
        </w:rPr>
        <w:t>進行折扣。</w:t>
      </w:r>
    </w:p>
  </w:footnote>
  <w:footnote w:id="57">
    <w:p w14:paraId="4DCFBCD5" w14:textId="77777777" w:rsidR="00BD20A5" w:rsidRPr="00350060" w:rsidRDefault="00BD20A5" w:rsidP="00AE6EFC">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E6EFC">
        <w:rPr>
          <w:rFonts w:eastAsia="標楷體" w:cstheme="minorHAnsi" w:hint="eastAsia"/>
          <w:sz w:val="20"/>
          <w:szCs w:val="20"/>
        </w:rPr>
        <w:t>新奇標的</w:t>
      </w:r>
      <w:proofErr w:type="gramStart"/>
      <w:r w:rsidRPr="00AE6EFC">
        <w:rPr>
          <w:rFonts w:eastAsia="標楷體" w:cstheme="minorHAnsi" w:hint="eastAsia"/>
          <w:sz w:val="20"/>
          <w:szCs w:val="20"/>
        </w:rPr>
        <w:t>物暴險</w:t>
      </w:r>
      <w:proofErr w:type="gramEnd"/>
      <w:r w:rsidRPr="00AE6EFC">
        <w:rPr>
          <w:rFonts w:eastAsia="標楷體" w:cstheme="minorHAnsi" w:hint="eastAsia"/>
          <w:sz w:val="20"/>
          <w:szCs w:val="20"/>
        </w:rPr>
        <w:t>範例包含：長壽風險、天氣、天然災害、未來實現波動度</w:t>
      </w:r>
      <w:r w:rsidRPr="00AE6EFC">
        <w:rPr>
          <w:rFonts w:eastAsia="標楷體" w:cstheme="minorHAnsi" w:hint="eastAsia"/>
          <w:sz w:val="20"/>
          <w:szCs w:val="20"/>
        </w:rPr>
        <w:t>(</w:t>
      </w:r>
      <w:r w:rsidRPr="00AE6EFC">
        <w:rPr>
          <w:rFonts w:eastAsia="標楷體" w:cstheme="minorHAnsi" w:hint="eastAsia"/>
          <w:sz w:val="20"/>
          <w:szCs w:val="20"/>
        </w:rPr>
        <w:t>為</w:t>
      </w:r>
      <w:r w:rsidRPr="00AE6EFC">
        <w:rPr>
          <w:rFonts w:eastAsia="標楷體" w:cstheme="minorHAnsi" w:hint="eastAsia"/>
          <w:sz w:val="20"/>
          <w:szCs w:val="20"/>
        </w:rPr>
        <w:t>Swap</w:t>
      </w:r>
      <w:r w:rsidRPr="00AE6EFC">
        <w:rPr>
          <w:rFonts w:eastAsia="標楷體" w:cstheme="minorHAnsi" w:hint="eastAsia"/>
          <w:sz w:val="20"/>
          <w:szCs w:val="20"/>
        </w:rPr>
        <w:t>之標的</w:t>
      </w:r>
      <w:proofErr w:type="gramStart"/>
      <w:r w:rsidRPr="00AE6EFC">
        <w:rPr>
          <w:rFonts w:eastAsia="標楷體" w:cstheme="minorHAnsi" w:hint="eastAsia"/>
          <w:sz w:val="20"/>
          <w:szCs w:val="20"/>
        </w:rPr>
        <w:t>物暴險</w:t>
      </w:r>
      <w:proofErr w:type="gramEnd"/>
      <w:r w:rsidRPr="00AE6EFC">
        <w:rPr>
          <w:rFonts w:eastAsia="標楷體" w:cstheme="minorHAnsi" w:hint="eastAsia"/>
          <w:sz w:val="20"/>
          <w:szCs w:val="20"/>
        </w:rPr>
        <w:t>)</w:t>
      </w:r>
      <w:r w:rsidRPr="003F2CCF">
        <w:rPr>
          <w:rFonts w:eastAsia="標楷體" w:cstheme="minorHAnsi" w:hint="eastAsia"/>
          <w:sz w:val="20"/>
          <w:szCs w:val="20"/>
        </w:rPr>
        <w:t>。</w:t>
      </w:r>
    </w:p>
  </w:footnote>
  <w:footnote w:id="58">
    <w:p w14:paraId="358C0D79" w14:textId="77777777" w:rsidR="00BD20A5" w:rsidRPr="00350060" w:rsidRDefault="00BD20A5" w:rsidP="00F805C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F805C0">
        <w:rPr>
          <w:rFonts w:eastAsia="標楷體" w:cstheme="minorHAnsi" w:hint="eastAsia"/>
          <w:sz w:val="20"/>
          <w:szCs w:val="20"/>
        </w:rPr>
        <w:t>若銀行不能符合主管機關提列足夠的殘餘風險附加金額應計提資本之要求，主管機關為防止任何潛在資本計提不足的風險，將在第二支柱規範下施予額外的資本要求。</w:t>
      </w:r>
    </w:p>
  </w:footnote>
  <w:footnote w:id="59">
    <w:p w14:paraId="58EDA97B" w14:textId="77777777" w:rsidR="00BD20A5" w:rsidRPr="00350060" w:rsidRDefault="00BD20A5" w:rsidP="007D07B2">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D07B2">
        <w:rPr>
          <w:rFonts w:eastAsia="標楷體" w:cstheme="minorHAnsi" w:hint="eastAsia"/>
          <w:sz w:val="20"/>
          <w:szCs w:val="20"/>
        </w:rPr>
        <w:t>抵押擔保證券及抵押擔保衍生性金融商品，具提前償還風險的獨特性。因此，目前這些產品不適用一般處理方法，將由本會裁量處理。有附買回協議或有價證券借貸協議之有價證券，被視為有價證券借出者所持有，即與其他持有之有價證券部位處理方式相同。</w:t>
      </w:r>
    </w:p>
  </w:footnote>
  <w:footnote w:id="60">
    <w:p w14:paraId="308BBB50" w14:textId="77777777" w:rsidR="00BD20A5" w:rsidRPr="00350060" w:rsidRDefault="00BD20A5" w:rsidP="007D07B2">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D07B2">
        <w:rPr>
          <w:rFonts w:eastAsia="標楷體" w:cstheme="minorHAnsi" w:hint="eastAsia"/>
          <w:sz w:val="20"/>
          <w:szCs w:val="20"/>
        </w:rPr>
        <w:t>意即依規定價格轉換為發行人普通股的債務有價證券或特別股，當交易特性類似於債務性質，則視為債務有價證券；若交易特性類似於權益性質，則被視為權益證券。</w:t>
      </w:r>
    </w:p>
  </w:footnote>
  <w:footnote w:id="61">
    <w:p w14:paraId="7B9DA78D" w14:textId="77777777" w:rsidR="00BD20A5" w:rsidRPr="00350060" w:rsidRDefault="00BD20A5" w:rsidP="00DF57DC">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DF57DC">
        <w:rPr>
          <w:rFonts w:eastAsia="標楷體" w:cstheme="minorHAnsi" w:hint="eastAsia"/>
          <w:sz w:val="20"/>
          <w:szCs w:val="20"/>
        </w:rPr>
        <w:t>依各本會裁量判定，包含在信用風險框架下的地方與中央政府發行之信用風險權數為零之證券。</w:t>
      </w:r>
    </w:p>
  </w:footnote>
  <w:footnote w:id="62">
    <w:p w14:paraId="6A31D4F7" w14:textId="77777777" w:rsidR="00BD20A5" w:rsidRPr="00350060" w:rsidRDefault="00BD20A5" w:rsidP="00BE609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BE609F">
        <w:rPr>
          <w:rFonts w:eastAsia="標楷體" w:cstheme="minorHAnsi" w:hint="eastAsia"/>
          <w:sz w:val="20"/>
          <w:szCs w:val="20"/>
        </w:rPr>
        <w:t>該交換協議的到期日可能與標</w:t>
      </w:r>
      <w:proofErr w:type="gramStart"/>
      <w:r w:rsidRPr="00BE609F">
        <w:rPr>
          <w:rFonts w:eastAsia="標楷體" w:cstheme="minorHAnsi" w:hint="eastAsia"/>
          <w:sz w:val="20"/>
          <w:szCs w:val="20"/>
        </w:rPr>
        <w:t>的暴險的</w:t>
      </w:r>
      <w:proofErr w:type="gramEnd"/>
      <w:r w:rsidRPr="00BE609F">
        <w:rPr>
          <w:rFonts w:eastAsia="標楷體" w:cstheme="minorHAnsi" w:hint="eastAsia"/>
          <w:sz w:val="20"/>
          <w:szCs w:val="20"/>
        </w:rPr>
        <w:t>到期日不同。</w:t>
      </w:r>
    </w:p>
  </w:footnote>
  <w:footnote w:id="63">
    <w:p w14:paraId="14C3F49B" w14:textId="77777777" w:rsidR="00BD20A5" w:rsidRPr="00350060" w:rsidRDefault="00BD20A5" w:rsidP="00BE609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BE609F">
        <w:rPr>
          <w:rFonts w:eastAsia="標楷體" w:cstheme="minorHAnsi" w:hint="eastAsia"/>
          <w:sz w:val="20"/>
          <w:szCs w:val="20"/>
        </w:rPr>
        <w:t>幣別</w:t>
      </w:r>
      <w:proofErr w:type="gramStart"/>
      <w:r w:rsidRPr="00BE609F">
        <w:rPr>
          <w:rFonts w:eastAsia="標楷體" w:cstheme="minorHAnsi" w:hint="eastAsia"/>
          <w:sz w:val="20"/>
          <w:szCs w:val="20"/>
        </w:rPr>
        <w:t>錯配應</w:t>
      </w:r>
      <w:proofErr w:type="gramEnd"/>
      <w:r w:rsidRPr="00BE609F">
        <w:rPr>
          <w:rFonts w:eastAsia="標楷體" w:cstheme="minorHAnsi" w:hint="eastAsia"/>
          <w:sz w:val="20"/>
          <w:szCs w:val="20"/>
        </w:rPr>
        <w:t>涵蓋於外匯風險報告內。</w:t>
      </w:r>
    </w:p>
  </w:footnote>
  <w:footnote w:id="64">
    <w:p w14:paraId="3C8B8EDD" w14:textId="77777777" w:rsidR="00BD20A5" w:rsidRPr="00350060" w:rsidRDefault="00BD20A5" w:rsidP="00DD645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DD645F">
        <w:rPr>
          <w:rFonts w:eastAsia="標楷體" w:cstheme="minorHAnsi" w:hint="eastAsia"/>
          <w:sz w:val="20"/>
          <w:szCs w:val="20"/>
        </w:rPr>
        <w:t>在一時間帶內，若加權長部位總和為美金</w:t>
      </w:r>
      <w:r w:rsidRPr="00DD645F">
        <w:rPr>
          <w:rFonts w:eastAsia="標楷體" w:cstheme="minorHAnsi" w:hint="eastAsia"/>
          <w:sz w:val="20"/>
          <w:szCs w:val="20"/>
        </w:rPr>
        <w:t>100</w:t>
      </w:r>
      <w:r w:rsidRPr="00DD645F">
        <w:rPr>
          <w:rFonts w:eastAsia="標楷體" w:cstheme="minorHAnsi" w:hint="eastAsia"/>
          <w:sz w:val="20"/>
          <w:szCs w:val="20"/>
        </w:rPr>
        <w:t>百萬元且加權短部位總和為美金</w:t>
      </w:r>
      <w:r w:rsidRPr="00DD645F">
        <w:rPr>
          <w:rFonts w:eastAsia="標楷體" w:cstheme="minorHAnsi" w:hint="eastAsia"/>
          <w:sz w:val="20"/>
          <w:szCs w:val="20"/>
        </w:rPr>
        <w:t>90</w:t>
      </w:r>
      <w:r w:rsidRPr="00DD645F">
        <w:rPr>
          <w:rFonts w:eastAsia="標楷體" w:cstheme="minorHAnsi" w:hint="eastAsia"/>
          <w:sz w:val="20"/>
          <w:szCs w:val="20"/>
        </w:rPr>
        <w:t>百萬元，則此時間帶之垂直非抵銷部分為美金</w:t>
      </w:r>
      <w:r w:rsidRPr="00DD645F">
        <w:rPr>
          <w:rFonts w:eastAsia="標楷體" w:cstheme="minorHAnsi" w:hint="eastAsia"/>
          <w:sz w:val="20"/>
          <w:szCs w:val="20"/>
        </w:rPr>
        <w:t>90</w:t>
      </w:r>
      <w:r w:rsidRPr="00DD645F">
        <w:rPr>
          <w:rFonts w:eastAsia="標楷體" w:cstheme="minorHAnsi" w:hint="eastAsia"/>
          <w:sz w:val="20"/>
          <w:szCs w:val="20"/>
        </w:rPr>
        <w:t>百萬元的</w:t>
      </w:r>
      <w:r w:rsidRPr="00DD645F">
        <w:rPr>
          <w:rFonts w:eastAsia="標楷體" w:cstheme="minorHAnsi" w:hint="eastAsia"/>
          <w:sz w:val="20"/>
          <w:szCs w:val="20"/>
        </w:rPr>
        <w:t>10%(</w:t>
      </w:r>
      <w:r w:rsidRPr="00DD645F">
        <w:rPr>
          <w:rFonts w:eastAsia="標楷體" w:cstheme="minorHAnsi" w:hint="eastAsia"/>
          <w:sz w:val="20"/>
          <w:szCs w:val="20"/>
        </w:rPr>
        <w:t>相當於美金</w:t>
      </w:r>
      <w:r w:rsidRPr="00DD645F">
        <w:rPr>
          <w:rFonts w:eastAsia="標楷體" w:cstheme="minorHAnsi" w:hint="eastAsia"/>
          <w:sz w:val="20"/>
          <w:szCs w:val="20"/>
        </w:rPr>
        <w:t>9</w:t>
      </w:r>
      <w:r w:rsidRPr="00DD645F">
        <w:rPr>
          <w:rFonts w:eastAsia="標楷體" w:cstheme="minorHAnsi" w:hint="eastAsia"/>
          <w:sz w:val="20"/>
          <w:szCs w:val="20"/>
        </w:rPr>
        <w:t>百萬元</w:t>
      </w:r>
      <w:r w:rsidRPr="00DD645F">
        <w:rPr>
          <w:rFonts w:eastAsia="標楷體" w:cstheme="minorHAnsi" w:hint="eastAsia"/>
          <w:sz w:val="20"/>
          <w:szCs w:val="20"/>
        </w:rPr>
        <w:t>)</w:t>
      </w:r>
      <w:r w:rsidRPr="00DD645F">
        <w:rPr>
          <w:rFonts w:eastAsia="標楷體" w:cstheme="minorHAnsi" w:hint="eastAsia"/>
          <w:sz w:val="20"/>
          <w:szCs w:val="20"/>
        </w:rPr>
        <w:t>。</w:t>
      </w:r>
    </w:p>
  </w:footnote>
  <w:footnote w:id="65">
    <w:p w14:paraId="50F482BC" w14:textId="7178DB59" w:rsidR="00BD20A5" w:rsidRPr="00350060" w:rsidRDefault="00BD20A5" w:rsidP="009331C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9331C0">
        <w:rPr>
          <w:rFonts w:eastAsia="標楷體" w:cstheme="minorHAnsi" w:hint="eastAsia"/>
          <w:sz w:val="20"/>
          <w:szCs w:val="20"/>
        </w:rPr>
        <w:t>對於票息利率低於</w:t>
      </w:r>
      <w:r w:rsidRPr="009331C0">
        <w:rPr>
          <w:rFonts w:eastAsia="標楷體" w:cstheme="minorHAnsi" w:hint="eastAsia"/>
          <w:sz w:val="20"/>
          <w:szCs w:val="20"/>
        </w:rPr>
        <w:t>3%</w:t>
      </w:r>
      <w:r w:rsidRPr="009331C0">
        <w:rPr>
          <w:rFonts w:eastAsia="標楷體" w:cstheme="minorHAnsi" w:hint="eastAsia"/>
          <w:sz w:val="20"/>
          <w:szCs w:val="20"/>
        </w:rPr>
        <w:t>之</w:t>
      </w:r>
      <w:r w:rsidRPr="00050EA7">
        <w:rPr>
          <w:rFonts w:eastAsia="標楷體" w:cstheme="minorHAnsi" w:hint="eastAsia"/>
          <w:sz w:val="20"/>
          <w:szCs w:val="20"/>
        </w:rPr>
        <w:t>工具</w:t>
      </w:r>
      <w:r w:rsidRPr="009331C0">
        <w:rPr>
          <w:rFonts w:eastAsia="標楷體" w:cstheme="minorHAnsi" w:hint="eastAsia"/>
          <w:sz w:val="20"/>
          <w:szCs w:val="20"/>
        </w:rPr>
        <w:t>，第一區為</w:t>
      </w:r>
      <w:r w:rsidRPr="009331C0">
        <w:rPr>
          <w:rFonts w:eastAsia="標楷體" w:cstheme="minorHAnsi" w:hint="eastAsia"/>
          <w:sz w:val="20"/>
          <w:szCs w:val="20"/>
        </w:rPr>
        <w:t>0</w:t>
      </w:r>
      <w:r w:rsidRPr="009331C0">
        <w:rPr>
          <w:rFonts w:eastAsia="標楷體" w:cstheme="minorHAnsi" w:hint="eastAsia"/>
          <w:sz w:val="20"/>
          <w:szCs w:val="20"/>
        </w:rPr>
        <w:t>至</w:t>
      </w:r>
      <w:r w:rsidRPr="009331C0">
        <w:rPr>
          <w:rFonts w:eastAsia="標楷體" w:cstheme="minorHAnsi" w:hint="eastAsia"/>
          <w:sz w:val="20"/>
          <w:szCs w:val="20"/>
        </w:rPr>
        <w:t>1</w:t>
      </w:r>
      <w:r w:rsidRPr="009331C0">
        <w:rPr>
          <w:rFonts w:eastAsia="標楷體" w:cstheme="minorHAnsi" w:hint="eastAsia"/>
          <w:sz w:val="20"/>
          <w:szCs w:val="20"/>
        </w:rPr>
        <w:t>年，第二區為</w:t>
      </w:r>
      <w:r w:rsidRPr="009331C0">
        <w:rPr>
          <w:rFonts w:eastAsia="標楷體" w:cstheme="minorHAnsi" w:hint="eastAsia"/>
          <w:sz w:val="20"/>
          <w:szCs w:val="20"/>
        </w:rPr>
        <w:t>1</w:t>
      </w:r>
      <w:r w:rsidRPr="009331C0">
        <w:rPr>
          <w:rFonts w:eastAsia="標楷體" w:cstheme="minorHAnsi" w:hint="eastAsia"/>
          <w:sz w:val="20"/>
          <w:szCs w:val="20"/>
        </w:rPr>
        <w:t>至</w:t>
      </w:r>
      <w:r w:rsidRPr="009331C0">
        <w:rPr>
          <w:rFonts w:eastAsia="標楷體" w:cstheme="minorHAnsi" w:hint="eastAsia"/>
          <w:sz w:val="20"/>
          <w:szCs w:val="20"/>
        </w:rPr>
        <w:t>3.6</w:t>
      </w:r>
      <w:r w:rsidRPr="009331C0">
        <w:rPr>
          <w:rFonts w:eastAsia="標楷體" w:cstheme="minorHAnsi" w:hint="eastAsia"/>
          <w:sz w:val="20"/>
          <w:szCs w:val="20"/>
        </w:rPr>
        <w:t>年，第三區為</w:t>
      </w:r>
      <w:r w:rsidRPr="009331C0">
        <w:rPr>
          <w:rFonts w:eastAsia="標楷體" w:cstheme="minorHAnsi" w:hint="eastAsia"/>
          <w:sz w:val="20"/>
          <w:szCs w:val="20"/>
        </w:rPr>
        <w:t>3.6</w:t>
      </w:r>
      <w:r w:rsidRPr="009331C0">
        <w:rPr>
          <w:rFonts w:eastAsia="標楷體" w:cstheme="minorHAnsi" w:hint="eastAsia"/>
          <w:sz w:val="20"/>
          <w:szCs w:val="20"/>
        </w:rPr>
        <w:t>年以上。</w:t>
      </w:r>
    </w:p>
  </w:footnote>
  <w:footnote w:id="66">
    <w:p w14:paraId="4F4846F4" w14:textId="5A77B5AD" w:rsidR="00BD20A5" w:rsidRPr="00350060" w:rsidRDefault="00BD20A5" w:rsidP="00641694">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641694">
        <w:rPr>
          <w:rFonts w:eastAsia="標楷體" w:cstheme="minorHAnsi" w:hint="eastAsia"/>
          <w:sz w:val="20"/>
          <w:szCs w:val="20"/>
        </w:rPr>
        <w:t>若</w:t>
      </w:r>
      <w:r w:rsidRPr="00F72955">
        <w:rPr>
          <w:rFonts w:eastAsia="標楷體" w:cstheme="minorHAnsi" w:hint="eastAsia"/>
          <w:sz w:val="20"/>
          <w:szCs w:val="20"/>
        </w:rPr>
        <w:t>工具之</w:t>
      </w:r>
      <w:r w:rsidRPr="00641694">
        <w:rPr>
          <w:rFonts w:eastAsia="標楷體" w:cstheme="minorHAnsi" w:hint="eastAsia"/>
          <w:sz w:val="20"/>
          <w:szCs w:val="20"/>
        </w:rPr>
        <w:t>名目本金與有效名目本金不同，銀行必須使用有效名目本金。</w:t>
      </w:r>
    </w:p>
  </w:footnote>
  <w:footnote w:id="67">
    <w:p w14:paraId="22D6E49F" w14:textId="77777777" w:rsidR="00BD20A5" w:rsidRPr="00350060" w:rsidRDefault="00BD20A5" w:rsidP="00641694">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641694">
        <w:rPr>
          <w:rFonts w:eastAsia="標楷體" w:cstheme="minorHAnsi" w:hint="eastAsia"/>
          <w:sz w:val="20"/>
          <w:szCs w:val="20"/>
        </w:rPr>
        <w:t>代表期貨合約到期日的部位仍應被計入。</w:t>
      </w:r>
    </w:p>
  </w:footnote>
  <w:footnote w:id="68">
    <w:p w14:paraId="290D6368" w14:textId="77777777" w:rsidR="00BD20A5" w:rsidRPr="00350060" w:rsidRDefault="00BD20A5" w:rsidP="000240A6">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0240A6">
        <w:rPr>
          <w:rFonts w:eastAsia="標楷體" w:cstheme="minorHAnsi" w:hint="eastAsia"/>
          <w:sz w:val="20"/>
          <w:szCs w:val="20"/>
        </w:rPr>
        <w:t>包含選擇權之</w:t>
      </w:r>
      <w:r w:rsidRPr="000240A6">
        <w:rPr>
          <w:rFonts w:eastAsia="標楷體" w:cstheme="minorHAnsi" w:hint="eastAsia"/>
          <w:sz w:val="20"/>
          <w:szCs w:val="20"/>
        </w:rPr>
        <w:t>Delta</w:t>
      </w:r>
      <w:r w:rsidRPr="000240A6">
        <w:rPr>
          <w:rFonts w:eastAsia="標楷體" w:cstheme="minorHAnsi" w:hint="eastAsia"/>
          <w:sz w:val="20"/>
          <w:szCs w:val="20"/>
        </w:rPr>
        <w:t>約當價值。以敏感性分析</w:t>
      </w:r>
      <w:r w:rsidRPr="000240A6">
        <w:rPr>
          <w:rFonts w:eastAsia="標楷體" w:cstheme="minorHAnsi" w:hint="eastAsia"/>
          <w:sz w:val="20"/>
          <w:szCs w:val="20"/>
        </w:rPr>
        <w:t>(Delta-Plus)</w:t>
      </w:r>
      <w:r w:rsidRPr="000240A6">
        <w:rPr>
          <w:rFonts w:eastAsia="標楷體" w:cstheme="minorHAnsi" w:hint="eastAsia"/>
          <w:sz w:val="20"/>
          <w:szCs w:val="20"/>
        </w:rPr>
        <w:t>法所述利率上界及利率下界處理方法而產生之</w:t>
      </w:r>
      <w:r w:rsidRPr="000240A6">
        <w:rPr>
          <w:rFonts w:eastAsia="標楷體" w:cstheme="minorHAnsi" w:hint="eastAsia"/>
          <w:sz w:val="20"/>
          <w:szCs w:val="20"/>
        </w:rPr>
        <w:t>Delta</w:t>
      </w:r>
      <w:r w:rsidRPr="000240A6">
        <w:rPr>
          <w:rFonts w:eastAsia="標楷體" w:cstheme="minorHAnsi" w:hint="eastAsia"/>
          <w:sz w:val="20"/>
          <w:szCs w:val="20"/>
        </w:rPr>
        <w:t>約當價值亦能按此段所制定之規則互抵。</w:t>
      </w:r>
    </w:p>
  </w:footnote>
  <w:footnote w:id="69">
    <w:p w14:paraId="01AB56BD" w14:textId="77777777" w:rsidR="00BD20A5" w:rsidRPr="00350060" w:rsidRDefault="00BD20A5" w:rsidP="000240A6">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0240A6">
        <w:rPr>
          <w:rFonts w:eastAsia="標楷體" w:cstheme="minorHAnsi" w:hint="eastAsia"/>
          <w:sz w:val="20"/>
          <w:szCs w:val="20"/>
        </w:rPr>
        <w:t>不同交換的兩端在相同條件下亦可相互搭配。</w:t>
      </w:r>
    </w:p>
  </w:footnote>
  <w:footnote w:id="70">
    <w:p w14:paraId="252B4EDA" w14:textId="7819B2EE" w:rsidR="00BD20A5" w:rsidRPr="00350060" w:rsidRDefault="00BD20A5" w:rsidP="00B02C5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B02C5A">
        <w:rPr>
          <w:rFonts w:eastAsia="標楷體" w:cstheme="minorHAnsi" w:hint="eastAsia"/>
          <w:sz w:val="20"/>
          <w:szCs w:val="20"/>
        </w:rPr>
        <w:t>此為</w:t>
      </w:r>
      <w:r w:rsidRPr="0042546D">
        <w:rPr>
          <w:rFonts w:eastAsia="標楷體" w:cstheme="minorHAnsi" w:hint="eastAsia"/>
          <w:sz w:val="20"/>
          <w:szCs w:val="20"/>
        </w:rPr>
        <w:t>工具發</w:t>
      </w:r>
      <w:r w:rsidRPr="00B02C5A">
        <w:rPr>
          <w:rFonts w:eastAsia="標楷體" w:cstheme="minorHAnsi" w:hint="eastAsia"/>
          <w:sz w:val="20"/>
          <w:szCs w:val="20"/>
        </w:rPr>
        <w:t>行人的個別風險計提，在信用風險的規則下，另外適用的交易對手信用風險資本要求。</w:t>
      </w:r>
    </w:p>
  </w:footnote>
  <w:footnote w:id="71">
    <w:p w14:paraId="097CD1E6" w14:textId="36CE0D79" w:rsidR="00BD20A5" w:rsidRPr="00350060" w:rsidRDefault="00BD20A5" w:rsidP="00B02C5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B02C5A">
        <w:rPr>
          <w:rFonts w:eastAsia="標楷體" w:cstheme="minorHAnsi" w:hint="eastAsia"/>
          <w:sz w:val="20"/>
          <w:szCs w:val="20"/>
        </w:rPr>
        <w:t>個別風險資本要求僅適用政府債務證券評等低於</w:t>
      </w:r>
      <w:r w:rsidRPr="00B02C5A">
        <w:rPr>
          <w:rFonts w:eastAsia="標楷體" w:cstheme="minorHAnsi" w:hint="eastAsia"/>
          <w:sz w:val="20"/>
          <w:szCs w:val="20"/>
        </w:rPr>
        <w:t>AA-</w:t>
      </w:r>
      <w:r w:rsidRPr="00B02C5A">
        <w:rPr>
          <w:rFonts w:eastAsia="標楷體" w:cstheme="minorHAnsi" w:hint="eastAsia"/>
          <w:sz w:val="20"/>
          <w:szCs w:val="20"/>
        </w:rPr>
        <w:t>。</w:t>
      </w:r>
      <w:r w:rsidRPr="00B02C5A">
        <w:rPr>
          <w:rFonts w:eastAsia="標楷體" w:cstheme="minorHAnsi" w:hint="eastAsia"/>
          <w:sz w:val="20"/>
          <w:szCs w:val="20"/>
        </w:rPr>
        <w:t>(</w:t>
      </w:r>
      <w:r w:rsidRPr="00B02C5A">
        <w:rPr>
          <w:rFonts w:eastAsia="標楷體" w:cstheme="minorHAnsi" w:hint="eastAsia"/>
          <w:sz w:val="20"/>
          <w:szCs w:val="20"/>
        </w:rPr>
        <w:t>參考前述個別風險規定表</w:t>
      </w:r>
      <w:r>
        <w:rPr>
          <w:rFonts w:eastAsia="標楷體" w:cstheme="minorHAnsi" w:hint="eastAsia"/>
          <w:sz w:val="20"/>
          <w:szCs w:val="20"/>
        </w:rPr>
        <w:t>16</w:t>
      </w:r>
      <w:r w:rsidRPr="00B02C5A">
        <w:rPr>
          <w:rFonts w:eastAsia="標楷體" w:cstheme="minorHAnsi" w:hint="eastAsia"/>
          <w:sz w:val="20"/>
          <w:szCs w:val="20"/>
        </w:rPr>
        <w:t>資本要求</w:t>
      </w:r>
      <w:r w:rsidRPr="00B02C5A">
        <w:rPr>
          <w:rFonts w:eastAsia="標楷體" w:cstheme="minorHAnsi" w:hint="eastAsia"/>
          <w:sz w:val="20"/>
          <w:szCs w:val="20"/>
        </w:rPr>
        <w:t>)</w:t>
      </w:r>
    </w:p>
  </w:footnote>
  <w:footnote w:id="72">
    <w:p w14:paraId="148D20BA" w14:textId="77777777" w:rsidR="00BD20A5" w:rsidRPr="00350060" w:rsidRDefault="00BD20A5" w:rsidP="00D57443">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B7B3E">
        <w:rPr>
          <w:rFonts w:eastAsia="標楷體" w:cstheme="minorHAnsi" w:hint="eastAsia"/>
          <w:sz w:val="20"/>
          <w:szCs w:val="20"/>
        </w:rPr>
        <w:t>當權益證券是遠期契約、期貨或選擇權</w:t>
      </w:r>
      <w:r w:rsidRPr="00AB7B3E">
        <w:rPr>
          <w:rFonts w:eastAsia="標楷體" w:cstheme="minorHAnsi" w:hint="eastAsia"/>
          <w:sz w:val="20"/>
          <w:szCs w:val="20"/>
        </w:rPr>
        <w:t>(</w:t>
      </w:r>
      <w:r w:rsidRPr="00AB7B3E">
        <w:rPr>
          <w:rFonts w:eastAsia="標楷體" w:cstheme="minorHAnsi" w:hint="eastAsia"/>
          <w:sz w:val="20"/>
          <w:szCs w:val="20"/>
        </w:rPr>
        <w:t>取得或支付權益證券數量</w:t>
      </w:r>
      <w:r w:rsidRPr="00AB7B3E">
        <w:rPr>
          <w:rFonts w:eastAsia="標楷體" w:cstheme="minorHAnsi" w:hint="eastAsia"/>
          <w:sz w:val="20"/>
          <w:szCs w:val="20"/>
        </w:rPr>
        <w:t>)</w:t>
      </w:r>
      <w:r w:rsidRPr="00AB7B3E">
        <w:rPr>
          <w:rFonts w:eastAsia="標楷體" w:cstheme="minorHAnsi" w:hint="eastAsia"/>
          <w:sz w:val="20"/>
          <w:szCs w:val="20"/>
        </w:rPr>
        <w:t>的一部分，而契約另一端為利率或</w:t>
      </w:r>
      <w:proofErr w:type="gramStart"/>
      <w:r w:rsidRPr="00AB7B3E">
        <w:rPr>
          <w:rFonts w:eastAsia="標楷體" w:cstheme="minorHAnsi" w:hint="eastAsia"/>
          <w:sz w:val="20"/>
          <w:szCs w:val="20"/>
        </w:rPr>
        <w:t>外匯暴險</w:t>
      </w:r>
      <w:proofErr w:type="gramEnd"/>
      <w:r w:rsidRPr="00AB7B3E">
        <w:rPr>
          <w:rFonts w:eastAsia="標楷體" w:cstheme="minorHAnsi" w:hint="eastAsia"/>
          <w:sz w:val="20"/>
          <w:szCs w:val="20"/>
        </w:rPr>
        <w:t>，則應依利率風險資本計提與外匯風險資本計提規定計算。</w:t>
      </w:r>
    </w:p>
  </w:footnote>
  <w:footnote w:id="73">
    <w:p w14:paraId="052D2D95" w14:textId="06F83763" w:rsidR="00BD20A5" w:rsidRPr="00350060" w:rsidRDefault="00BD20A5" w:rsidP="00017FA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017FA5">
        <w:rPr>
          <w:rFonts w:eastAsia="標楷體" w:cstheme="minorHAnsi" w:hint="eastAsia"/>
          <w:sz w:val="20"/>
          <w:szCs w:val="20"/>
        </w:rPr>
        <w:t>一個權益證券交換係指銀行所收取的數量係基於一個特定的權益證券或股價指數的價值變動與支付一個不同指數之價值變動，前者將以長部位來處理而後者是短部位，當一端包含收</w:t>
      </w:r>
      <w:r w:rsidRPr="00017FA5">
        <w:rPr>
          <w:rFonts w:eastAsia="標楷體" w:cstheme="minorHAnsi" w:hint="eastAsia"/>
          <w:sz w:val="20"/>
          <w:szCs w:val="20"/>
        </w:rPr>
        <w:t>/</w:t>
      </w:r>
      <w:r w:rsidRPr="00017FA5">
        <w:rPr>
          <w:rFonts w:eastAsia="標楷體" w:cstheme="minorHAnsi" w:hint="eastAsia"/>
          <w:sz w:val="20"/>
          <w:szCs w:val="20"/>
        </w:rPr>
        <w:t>付一個固定或浮動利率，此利率相關</w:t>
      </w:r>
      <w:r w:rsidRPr="005834C8">
        <w:rPr>
          <w:rFonts w:eastAsia="標楷體" w:cstheme="minorHAnsi" w:hint="eastAsia"/>
          <w:sz w:val="20"/>
          <w:szCs w:val="20"/>
        </w:rPr>
        <w:t>工具</w:t>
      </w:r>
      <w:r w:rsidRPr="00017FA5">
        <w:rPr>
          <w:rFonts w:eastAsia="標楷體" w:cstheme="minorHAnsi" w:hint="eastAsia"/>
          <w:sz w:val="20"/>
          <w:szCs w:val="20"/>
        </w:rPr>
        <w:t>的</w:t>
      </w:r>
      <w:proofErr w:type="gramStart"/>
      <w:r w:rsidRPr="00017FA5">
        <w:rPr>
          <w:rFonts w:eastAsia="標楷體" w:cstheme="minorHAnsi" w:hint="eastAsia"/>
          <w:sz w:val="20"/>
          <w:szCs w:val="20"/>
        </w:rPr>
        <w:t>暴險應</w:t>
      </w:r>
      <w:proofErr w:type="gramEnd"/>
      <w:r w:rsidRPr="00017FA5">
        <w:rPr>
          <w:rFonts w:eastAsia="標楷體" w:cstheme="minorHAnsi" w:hint="eastAsia"/>
          <w:sz w:val="20"/>
          <w:szCs w:val="20"/>
        </w:rPr>
        <w:t>被歸入適當的重訂價時間帶，陳述於第三大點，股價指數應涵蓋於權益證券處理。</w:t>
      </w:r>
    </w:p>
  </w:footnote>
  <w:footnote w:id="74">
    <w:p w14:paraId="313A4E79" w14:textId="77777777" w:rsidR="00BD20A5" w:rsidRPr="00350060" w:rsidRDefault="00BD20A5" w:rsidP="00762E2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62E2A">
        <w:rPr>
          <w:rFonts w:eastAsia="標楷體" w:cstheme="minorHAnsi" w:hint="eastAsia"/>
          <w:sz w:val="20"/>
          <w:szCs w:val="20"/>
        </w:rPr>
        <w:t>這隱含以相同比例持有指數涵蓋的所有股票。任何</w:t>
      </w:r>
      <w:proofErr w:type="gramStart"/>
      <w:r w:rsidRPr="00762E2A">
        <w:rPr>
          <w:rFonts w:eastAsia="標楷體" w:cstheme="minorHAnsi" w:hint="eastAsia"/>
          <w:sz w:val="20"/>
          <w:szCs w:val="20"/>
        </w:rPr>
        <w:t>一</w:t>
      </w:r>
      <w:proofErr w:type="gramEnd"/>
      <w:r w:rsidRPr="00762E2A">
        <w:rPr>
          <w:rFonts w:eastAsia="標楷體" w:cstheme="minorHAnsi" w:hint="eastAsia"/>
          <w:sz w:val="20"/>
          <w:szCs w:val="20"/>
        </w:rPr>
        <w:t>籃子股票組成超過期貨合約的超額價值，或期貨合約超過</w:t>
      </w:r>
      <w:proofErr w:type="gramStart"/>
      <w:r w:rsidRPr="00762E2A">
        <w:rPr>
          <w:rFonts w:eastAsia="標楷體" w:cstheme="minorHAnsi" w:hint="eastAsia"/>
          <w:sz w:val="20"/>
          <w:szCs w:val="20"/>
        </w:rPr>
        <w:t>一</w:t>
      </w:r>
      <w:proofErr w:type="gramEnd"/>
      <w:r w:rsidRPr="00762E2A">
        <w:rPr>
          <w:rFonts w:eastAsia="標楷體" w:cstheme="minorHAnsi" w:hint="eastAsia"/>
          <w:sz w:val="20"/>
          <w:szCs w:val="20"/>
        </w:rPr>
        <w:t>籃子股票的超額價值，將被視為開放長或短部位來處理。</w:t>
      </w:r>
    </w:p>
  </w:footnote>
  <w:footnote w:id="75">
    <w:p w14:paraId="24E14B47" w14:textId="6CA80F68" w:rsidR="00BD20A5" w:rsidRPr="00350060" w:rsidRDefault="00BD20A5" w:rsidP="002B22E6">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2B22E6">
        <w:rPr>
          <w:rFonts w:eastAsia="標楷體" w:cstheme="minorHAnsi" w:hint="eastAsia"/>
          <w:sz w:val="20"/>
          <w:szCs w:val="20"/>
        </w:rPr>
        <w:t>此為</w:t>
      </w:r>
      <w:r w:rsidRPr="005834C8">
        <w:rPr>
          <w:rFonts w:eastAsia="標楷體" w:cstheme="minorHAnsi" w:hint="eastAsia"/>
          <w:sz w:val="20"/>
          <w:szCs w:val="20"/>
        </w:rPr>
        <w:t>工具</w:t>
      </w:r>
      <w:r w:rsidRPr="002B22E6">
        <w:rPr>
          <w:rFonts w:eastAsia="標楷體" w:cstheme="minorHAnsi" w:hint="eastAsia"/>
          <w:sz w:val="20"/>
          <w:szCs w:val="20"/>
        </w:rPr>
        <w:t>發行人的個別風險計提，在信用風險的規則下，另外適用的交易對手信用風險資本要求。</w:t>
      </w:r>
    </w:p>
  </w:footnote>
  <w:footnote w:id="76">
    <w:p w14:paraId="7211BC08" w14:textId="77777777" w:rsidR="00BD20A5" w:rsidRPr="00350060" w:rsidRDefault="00BD20A5" w:rsidP="002410C6">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2410C6">
        <w:rPr>
          <w:rFonts w:eastAsia="標楷體" w:cstheme="minorHAnsi" w:hint="eastAsia"/>
          <w:sz w:val="20"/>
          <w:szCs w:val="20"/>
        </w:rPr>
        <w:t>依敏感性分析</w:t>
      </w:r>
      <w:r w:rsidRPr="002410C6">
        <w:rPr>
          <w:rFonts w:eastAsia="標楷體" w:cstheme="minorHAnsi" w:hint="eastAsia"/>
          <w:sz w:val="20"/>
          <w:szCs w:val="20"/>
        </w:rPr>
        <w:t>(delta plus)</w:t>
      </w:r>
      <w:r w:rsidRPr="002410C6">
        <w:rPr>
          <w:rFonts w:eastAsia="標楷體" w:cstheme="minorHAnsi" w:hint="eastAsia"/>
          <w:sz w:val="20"/>
          <w:szCs w:val="20"/>
        </w:rPr>
        <w:t>法所述，分開計算</w:t>
      </w:r>
      <w:r w:rsidRPr="002410C6">
        <w:rPr>
          <w:rFonts w:eastAsia="標楷體" w:cstheme="minorHAnsi" w:hint="eastAsia"/>
          <w:sz w:val="20"/>
          <w:szCs w:val="20"/>
        </w:rPr>
        <w:t>gamma</w:t>
      </w:r>
      <w:r w:rsidRPr="002410C6">
        <w:rPr>
          <w:rFonts w:eastAsia="標楷體" w:cstheme="minorHAnsi" w:hint="eastAsia"/>
          <w:sz w:val="20"/>
          <w:szCs w:val="20"/>
        </w:rPr>
        <w:t>與</w:t>
      </w:r>
      <w:proofErr w:type="spellStart"/>
      <w:r w:rsidRPr="002410C6">
        <w:rPr>
          <w:rFonts w:eastAsia="標楷體" w:cstheme="minorHAnsi" w:hint="eastAsia"/>
          <w:sz w:val="20"/>
          <w:szCs w:val="20"/>
        </w:rPr>
        <w:t>vega</w:t>
      </w:r>
      <w:proofErr w:type="spellEnd"/>
      <w:r w:rsidRPr="002410C6">
        <w:rPr>
          <w:rFonts w:eastAsia="標楷體" w:cstheme="minorHAnsi" w:hint="eastAsia"/>
          <w:sz w:val="20"/>
          <w:szCs w:val="20"/>
        </w:rPr>
        <w:t>的資本要求。或者，選擇權和其相關標的係依選擇權處理所述的其中一種方法</w:t>
      </w:r>
      <w:r w:rsidRPr="002410C6">
        <w:rPr>
          <w:rFonts w:eastAsia="標楷體" w:cstheme="minorHAnsi" w:hint="eastAsia"/>
          <w:sz w:val="20"/>
          <w:szCs w:val="20"/>
        </w:rPr>
        <w:t>(</w:t>
      </w:r>
      <w:r w:rsidRPr="002410C6">
        <w:rPr>
          <w:rFonts w:eastAsia="標楷體" w:cstheme="minorHAnsi" w:hint="eastAsia"/>
          <w:sz w:val="20"/>
          <w:szCs w:val="20"/>
        </w:rPr>
        <w:t>簡易法、敏感性分析法或情境法</w:t>
      </w:r>
      <w:r w:rsidRPr="002410C6">
        <w:rPr>
          <w:rFonts w:eastAsia="標楷體" w:cstheme="minorHAnsi" w:hint="eastAsia"/>
          <w:sz w:val="20"/>
          <w:szCs w:val="20"/>
        </w:rPr>
        <w:t>)</w:t>
      </w:r>
      <w:r w:rsidRPr="002410C6">
        <w:rPr>
          <w:rFonts w:eastAsia="標楷體" w:cstheme="minorHAnsi" w:hint="eastAsia"/>
          <w:sz w:val="20"/>
          <w:szCs w:val="20"/>
        </w:rPr>
        <w:t>計算。</w:t>
      </w:r>
    </w:p>
  </w:footnote>
  <w:footnote w:id="77">
    <w:p w14:paraId="2D67658F" w14:textId="77777777" w:rsidR="00BD20A5" w:rsidRPr="00350060" w:rsidRDefault="00BD20A5" w:rsidP="009B4AF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9B4AFF">
        <w:rPr>
          <w:rFonts w:eastAsia="標楷體" w:cstheme="minorHAnsi" w:hint="eastAsia"/>
          <w:sz w:val="20"/>
          <w:szCs w:val="20"/>
        </w:rPr>
        <w:t>當銀行以整合性基礎評估外匯風險，包含銀行國外分行或子公司外匯部位，可能有一些作業是技術上無法執行的。當銀行可適當對實際部位的限額事後監控，每一幣別的內部限額可使用為部位的替代變數，該限額不考慮方向可被加至每一幣別的淨開放部位。</w:t>
      </w:r>
    </w:p>
  </w:footnote>
  <w:footnote w:id="78">
    <w:p w14:paraId="72AFF317" w14:textId="77777777" w:rsidR="00BD20A5" w:rsidRPr="00350060" w:rsidRDefault="00BD20A5" w:rsidP="009B4AF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9B4AFF">
        <w:rPr>
          <w:rFonts w:eastAsia="標楷體" w:cstheme="minorHAnsi" w:hint="eastAsia"/>
          <w:sz w:val="20"/>
          <w:szCs w:val="20"/>
        </w:rPr>
        <w:t>另一種計算提供相同的結果，是納入本國貨幣做為殘值，且加總所有的短</w:t>
      </w:r>
      <w:r w:rsidRPr="009B4AFF">
        <w:rPr>
          <w:rFonts w:eastAsia="標楷體" w:cstheme="minorHAnsi" w:hint="eastAsia"/>
          <w:sz w:val="20"/>
          <w:szCs w:val="20"/>
        </w:rPr>
        <w:t>(</w:t>
      </w:r>
      <w:r w:rsidRPr="009B4AFF">
        <w:rPr>
          <w:rFonts w:eastAsia="標楷體" w:cstheme="minorHAnsi" w:hint="eastAsia"/>
          <w:sz w:val="20"/>
          <w:szCs w:val="20"/>
        </w:rPr>
        <w:t>或長</w:t>
      </w:r>
      <w:r w:rsidRPr="009B4AFF">
        <w:rPr>
          <w:rFonts w:eastAsia="標楷體" w:cstheme="minorHAnsi" w:hint="eastAsia"/>
          <w:sz w:val="20"/>
          <w:szCs w:val="20"/>
        </w:rPr>
        <w:t>)</w:t>
      </w:r>
      <w:r w:rsidRPr="009B4AFF">
        <w:rPr>
          <w:rFonts w:eastAsia="標楷體" w:cstheme="minorHAnsi" w:hint="eastAsia"/>
          <w:sz w:val="20"/>
          <w:szCs w:val="20"/>
        </w:rPr>
        <w:t>部位。</w:t>
      </w:r>
    </w:p>
  </w:footnote>
  <w:footnote w:id="79">
    <w:p w14:paraId="630DB8E2" w14:textId="77777777" w:rsidR="00BD20A5" w:rsidRPr="00350060" w:rsidRDefault="00BD20A5" w:rsidP="00C75FD6">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C75FD6">
        <w:rPr>
          <w:rFonts w:eastAsia="標楷體" w:cstheme="minorHAnsi" w:hint="eastAsia"/>
          <w:sz w:val="20"/>
          <w:szCs w:val="20"/>
        </w:rPr>
        <w:t>當商品是遠期契約的一部分</w:t>
      </w:r>
      <w:r w:rsidRPr="00C75FD6">
        <w:rPr>
          <w:rFonts w:eastAsia="標楷體" w:cstheme="minorHAnsi" w:hint="eastAsia"/>
          <w:sz w:val="20"/>
          <w:szCs w:val="20"/>
        </w:rPr>
        <w:t>(</w:t>
      </w:r>
      <w:r w:rsidRPr="00C75FD6">
        <w:rPr>
          <w:rFonts w:eastAsia="標楷體" w:cstheme="minorHAnsi" w:hint="eastAsia"/>
          <w:sz w:val="20"/>
          <w:szCs w:val="20"/>
        </w:rPr>
        <w:t>收到或支付商品數量</w:t>
      </w:r>
      <w:r w:rsidRPr="00C75FD6">
        <w:rPr>
          <w:rFonts w:eastAsia="標楷體" w:cstheme="minorHAnsi" w:hint="eastAsia"/>
          <w:sz w:val="20"/>
          <w:szCs w:val="20"/>
        </w:rPr>
        <w:t>)</w:t>
      </w:r>
      <w:r w:rsidRPr="00C75FD6">
        <w:rPr>
          <w:rFonts w:eastAsia="標楷體" w:cstheme="minorHAnsi" w:hint="eastAsia"/>
          <w:sz w:val="20"/>
          <w:szCs w:val="20"/>
        </w:rPr>
        <w:t>，來自契約另一端的任何利率與外匯</w:t>
      </w:r>
      <w:proofErr w:type="gramStart"/>
      <w:r w:rsidRPr="00C75FD6">
        <w:rPr>
          <w:rFonts w:eastAsia="標楷體" w:cstheme="minorHAnsi" w:hint="eastAsia"/>
          <w:sz w:val="20"/>
          <w:szCs w:val="20"/>
        </w:rPr>
        <w:t>暴險應</w:t>
      </w:r>
      <w:proofErr w:type="gramEnd"/>
      <w:r w:rsidRPr="00C75FD6">
        <w:rPr>
          <w:rFonts w:eastAsia="標楷體" w:cstheme="minorHAnsi" w:hint="eastAsia"/>
          <w:sz w:val="20"/>
          <w:szCs w:val="20"/>
        </w:rPr>
        <w:t>依利率風險資本計提與外匯風險資本計提規定，單純存貨融資的部位</w:t>
      </w:r>
      <w:r w:rsidRPr="00C75FD6">
        <w:rPr>
          <w:rFonts w:eastAsia="標楷體" w:cstheme="minorHAnsi" w:hint="eastAsia"/>
          <w:sz w:val="20"/>
          <w:szCs w:val="20"/>
        </w:rPr>
        <w:t>(</w:t>
      </w:r>
      <w:r w:rsidRPr="00C75FD6">
        <w:rPr>
          <w:rFonts w:eastAsia="標楷體" w:cstheme="minorHAnsi" w:hint="eastAsia"/>
          <w:sz w:val="20"/>
          <w:szCs w:val="20"/>
        </w:rPr>
        <w:t>即實體存貨已於遠期出售與融資成本已被</w:t>
      </w:r>
      <w:proofErr w:type="gramStart"/>
      <w:r w:rsidRPr="00C75FD6">
        <w:rPr>
          <w:rFonts w:eastAsia="標楷體" w:cstheme="minorHAnsi" w:hint="eastAsia"/>
          <w:sz w:val="20"/>
          <w:szCs w:val="20"/>
        </w:rPr>
        <w:t>鎖住直至</w:t>
      </w:r>
      <w:proofErr w:type="gramEnd"/>
      <w:r w:rsidRPr="00C75FD6">
        <w:rPr>
          <w:rFonts w:eastAsia="標楷體" w:cstheme="minorHAnsi" w:hint="eastAsia"/>
          <w:sz w:val="20"/>
          <w:szCs w:val="20"/>
        </w:rPr>
        <w:t>遠期出售的日期</w:t>
      </w:r>
      <w:r w:rsidRPr="00C75FD6">
        <w:rPr>
          <w:rFonts w:eastAsia="標楷體" w:cstheme="minorHAnsi" w:hint="eastAsia"/>
          <w:sz w:val="20"/>
          <w:szCs w:val="20"/>
        </w:rPr>
        <w:t xml:space="preserve">) </w:t>
      </w:r>
      <w:r w:rsidRPr="00C75FD6">
        <w:rPr>
          <w:rFonts w:eastAsia="標楷體" w:cstheme="minorHAnsi" w:hint="eastAsia"/>
          <w:sz w:val="20"/>
          <w:szCs w:val="20"/>
        </w:rPr>
        <w:t>可被忽略於商品風險計算，但仍需計算利率與交易對手風險要求。</w:t>
      </w:r>
    </w:p>
  </w:footnote>
  <w:footnote w:id="80">
    <w:p w14:paraId="207A95F0" w14:textId="77777777" w:rsidR="00BD20A5" w:rsidRPr="00350060" w:rsidRDefault="00BD20A5" w:rsidP="00C23903">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C23903">
        <w:rPr>
          <w:rFonts w:eastAsia="標楷體" w:cstheme="minorHAnsi" w:hint="eastAsia"/>
          <w:sz w:val="20"/>
          <w:szCs w:val="20"/>
        </w:rPr>
        <w:t>商品可被分類為氏族、家族、次群與個別商品，例如，氏族可以是能源商品、碳氫化合物是家族、原油是次群，西德州中級原油、阿拉伯輕原油、布蘭</w:t>
      </w:r>
      <w:proofErr w:type="gramStart"/>
      <w:r w:rsidRPr="00C23903">
        <w:rPr>
          <w:rFonts w:eastAsia="標楷體" w:cstheme="minorHAnsi" w:hint="eastAsia"/>
          <w:sz w:val="20"/>
          <w:szCs w:val="20"/>
        </w:rPr>
        <w:t>特</w:t>
      </w:r>
      <w:proofErr w:type="gramEnd"/>
      <w:r w:rsidRPr="00C23903">
        <w:rPr>
          <w:rFonts w:eastAsia="標楷體" w:cstheme="minorHAnsi" w:hint="eastAsia"/>
          <w:sz w:val="20"/>
          <w:szCs w:val="20"/>
        </w:rPr>
        <w:t>原油是個別商品。</w:t>
      </w:r>
    </w:p>
  </w:footnote>
  <w:footnote w:id="81">
    <w:p w14:paraId="19D6D7E1" w14:textId="77777777" w:rsidR="00BD20A5" w:rsidRPr="00350060" w:rsidRDefault="00BD20A5" w:rsidP="00FF2428">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FF2428">
        <w:rPr>
          <w:rFonts w:eastAsia="標楷體" w:cstheme="minorHAnsi" w:hint="eastAsia"/>
          <w:sz w:val="20"/>
          <w:szCs w:val="20"/>
        </w:rPr>
        <w:t>對於每日有交付的市場，在</w:t>
      </w:r>
      <w:r w:rsidRPr="00FF2428">
        <w:rPr>
          <w:rFonts w:eastAsia="標楷體" w:cstheme="minorHAnsi" w:hint="eastAsia"/>
          <w:sz w:val="20"/>
          <w:szCs w:val="20"/>
        </w:rPr>
        <w:t>10</w:t>
      </w:r>
      <w:r w:rsidRPr="00FF2428">
        <w:rPr>
          <w:rFonts w:eastAsia="標楷體" w:cstheme="minorHAnsi" w:hint="eastAsia"/>
          <w:sz w:val="20"/>
          <w:szCs w:val="20"/>
        </w:rPr>
        <w:t>天內到期的合約將可相互被沖銷。</w:t>
      </w:r>
    </w:p>
  </w:footnote>
  <w:footnote w:id="82">
    <w:p w14:paraId="62249559" w14:textId="77777777" w:rsidR="00BD20A5" w:rsidRPr="00350060" w:rsidRDefault="00BD20A5" w:rsidP="00B32FB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B32FBA">
        <w:rPr>
          <w:rFonts w:eastAsia="標楷體" w:cstheme="minorHAnsi" w:hint="eastAsia"/>
          <w:sz w:val="20"/>
          <w:szCs w:val="20"/>
        </w:rPr>
        <w:t>對於使用其他方法來衡量選擇權風險的銀行，所有選擇權與相關標的應被排除於到期法與簡易法。</w:t>
      </w:r>
    </w:p>
  </w:footnote>
  <w:footnote w:id="83">
    <w:p w14:paraId="30826388" w14:textId="2DC7D92B" w:rsidR="00BD20A5" w:rsidRPr="00350060" w:rsidRDefault="00BD20A5" w:rsidP="00B32FB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B32FBA">
        <w:rPr>
          <w:rFonts w:eastAsia="標楷體" w:cstheme="minorHAnsi" w:hint="eastAsia"/>
          <w:sz w:val="20"/>
          <w:szCs w:val="20"/>
        </w:rPr>
        <w:t>如果一端涉及收</w:t>
      </w:r>
      <w:r w:rsidRPr="00B32FBA">
        <w:rPr>
          <w:rFonts w:eastAsia="標楷體" w:cstheme="minorHAnsi" w:hint="eastAsia"/>
          <w:sz w:val="20"/>
          <w:szCs w:val="20"/>
        </w:rPr>
        <w:t>/</w:t>
      </w:r>
      <w:r w:rsidRPr="00B32FBA">
        <w:rPr>
          <w:rFonts w:eastAsia="標楷體" w:cstheme="minorHAnsi" w:hint="eastAsia"/>
          <w:sz w:val="20"/>
          <w:szCs w:val="20"/>
        </w:rPr>
        <w:t>付固定或浮動利率，該部位應被歸入適用利率相關</w:t>
      </w:r>
      <w:r w:rsidRPr="00B75418">
        <w:rPr>
          <w:rFonts w:eastAsia="標楷體" w:cstheme="minorHAnsi" w:hint="eastAsia"/>
          <w:sz w:val="20"/>
          <w:szCs w:val="20"/>
        </w:rPr>
        <w:t>工具之時</w:t>
      </w:r>
      <w:r w:rsidRPr="00B32FBA">
        <w:rPr>
          <w:rFonts w:eastAsia="標楷體" w:cstheme="minorHAnsi" w:hint="eastAsia"/>
          <w:sz w:val="20"/>
          <w:szCs w:val="20"/>
        </w:rPr>
        <w:t>間帶。</w:t>
      </w:r>
    </w:p>
  </w:footnote>
  <w:footnote w:id="84">
    <w:p w14:paraId="153116F9" w14:textId="77777777" w:rsidR="00BD20A5" w:rsidRPr="00350060" w:rsidRDefault="00BD20A5" w:rsidP="00AB431C">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B431C">
        <w:rPr>
          <w:rFonts w:eastAsia="標楷體" w:cstheme="minorHAnsi" w:hint="eastAsia"/>
          <w:sz w:val="20"/>
          <w:szCs w:val="20"/>
        </w:rPr>
        <w:t>除非所有賣出選擇權部位被完全搭配相同的長</w:t>
      </w:r>
      <w:proofErr w:type="gramStart"/>
      <w:r w:rsidRPr="00AB431C">
        <w:rPr>
          <w:rFonts w:eastAsia="標楷體" w:cstheme="minorHAnsi" w:hint="eastAsia"/>
          <w:sz w:val="20"/>
          <w:szCs w:val="20"/>
        </w:rPr>
        <w:t>部位所避險</w:t>
      </w:r>
      <w:proofErr w:type="gramEnd"/>
      <w:r w:rsidRPr="00AB431C">
        <w:rPr>
          <w:rFonts w:eastAsia="標楷體" w:cstheme="minorHAnsi" w:hint="eastAsia"/>
          <w:sz w:val="20"/>
          <w:szCs w:val="20"/>
        </w:rPr>
        <w:t>，於此情況下無須計提市場風險資本。</w:t>
      </w:r>
    </w:p>
  </w:footnote>
  <w:footnote w:id="85">
    <w:p w14:paraId="174B1BA3" w14:textId="0FE90990" w:rsidR="00BD20A5" w:rsidRPr="00350060" w:rsidRDefault="00BD20A5" w:rsidP="006E748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6E7485">
        <w:rPr>
          <w:rFonts w:eastAsia="標楷體" w:cstheme="minorHAnsi" w:hint="eastAsia"/>
          <w:sz w:val="20"/>
          <w:szCs w:val="20"/>
        </w:rPr>
        <w:t>在某些情況像是外匯交易，哪一邊是標的有價證券也許是不</w:t>
      </w:r>
      <w:proofErr w:type="gramStart"/>
      <w:r w:rsidRPr="006E7485">
        <w:rPr>
          <w:rFonts w:eastAsia="標楷體" w:cstheme="minorHAnsi" w:hint="eastAsia"/>
          <w:sz w:val="20"/>
          <w:szCs w:val="20"/>
        </w:rPr>
        <w:t>清楚的</w:t>
      </w:r>
      <w:proofErr w:type="gramEnd"/>
      <w:r w:rsidRPr="006E7485">
        <w:rPr>
          <w:rFonts w:eastAsia="標楷體" w:cstheme="minorHAnsi" w:hint="eastAsia"/>
          <w:sz w:val="20"/>
          <w:szCs w:val="20"/>
        </w:rPr>
        <w:t>，如果選擇權被執行，收到的部位應被視為資產，</w:t>
      </w:r>
      <w:proofErr w:type="gramStart"/>
      <w:r w:rsidRPr="006E7485">
        <w:rPr>
          <w:rFonts w:eastAsia="標楷體" w:cstheme="minorHAnsi" w:hint="eastAsia"/>
          <w:sz w:val="20"/>
          <w:szCs w:val="20"/>
        </w:rPr>
        <w:t>此外，應就標</w:t>
      </w:r>
      <w:proofErr w:type="gramEnd"/>
      <w:r w:rsidRPr="006E7485">
        <w:rPr>
          <w:rFonts w:eastAsia="標楷體" w:cstheme="minorHAnsi" w:hint="eastAsia"/>
          <w:sz w:val="20"/>
          <w:szCs w:val="20"/>
        </w:rPr>
        <w:t>的</w:t>
      </w:r>
      <w:r w:rsidRPr="00B75418">
        <w:rPr>
          <w:rFonts w:eastAsia="標楷體" w:cstheme="minorHAnsi" w:hint="eastAsia"/>
          <w:sz w:val="20"/>
          <w:szCs w:val="20"/>
        </w:rPr>
        <w:t>工具</w:t>
      </w:r>
      <w:r w:rsidRPr="006E7485">
        <w:rPr>
          <w:rFonts w:eastAsia="標楷體" w:cstheme="minorHAnsi" w:hint="eastAsia"/>
          <w:sz w:val="20"/>
          <w:szCs w:val="20"/>
        </w:rPr>
        <w:t>的市場價值為零之項目使用名目價值，例如利率上限、利率下限與利率交換選擇權等。</w:t>
      </w:r>
    </w:p>
  </w:footnote>
  <w:footnote w:id="86">
    <w:p w14:paraId="376FF323" w14:textId="2E9F9D7F" w:rsidR="00BD20A5" w:rsidRPr="00350060" w:rsidRDefault="00BD20A5" w:rsidP="006E748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6E7485">
        <w:rPr>
          <w:rFonts w:eastAsia="標楷體" w:cstheme="minorHAnsi" w:hint="eastAsia"/>
          <w:sz w:val="20"/>
          <w:szCs w:val="20"/>
        </w:rPr>
        <w:t>選擇權</w:t>
      </w:r>
      <w:r w:rsidRPr="006E7485">
        <w:rPr>
          <w:rFonts w:eastAsia="標楷體" w:cstheme="minorHAnsi" w:hint="eastAsia"/>
          <w:sz w:val="20"/>
          <w:szCs w:val="20"/>
        </w:rPr>
        <w:t>(</w:t>
      </w:r>
      <w:r w:rsidRPr="006E7485">
        <w:rPr>
          <w:rFonts w:eastAsia="標楷體" w:cstheme="minorHAnsi" w:hint="eastAsia"/>
          <w:sz w:val="20"/>
          <w:szCs w:val="20"/>
        </w:rPr>
        <w:t>例如標的是利率、匯率與商品</w:t>
      </w:r>
      <w:r w:rsidRPr="006E7485">
        <w:rPr>
          <w:rFonts w:eastAsia="標楷體" w:cstheme="minorHAnsi" w:hint="eastAsia"/>
          <w:sz w:val="20"/>
          <w:szCs w:val="20"/>
        </w:rPr>
        <w:t>)</w:t>
      </w:r>
      <w:r w:rsidRPr="006E7485">
        <w:rPr>
          <w:rFonts w:eastAsia="標楷體" w:cstheme="minorHAnsi" w:hint="eastAsia"/>
          <w:sz w:val="20"/>
          <w:szCs w:val="20"/>
        </w:rPr>
        <w:t>沒有承擔個別風險。但某些利率相關</w:t>
      </w:r>
      <w:r w:rsidRPr="00B75418">
        <w:rPr>
          <w:rFonts w:eastAsia="標楷體" w:cstheme="minorHAnsi" w:hint="eastAsia"/>
          <w:sz w:val="20"/>
          <w:szCs w:val="20"/>
        </w:rPr>
        <w:t>工具的選</w:t>
      </w:r>
      <w:r w:rsidRPr="006E7485">
        <w:rPr>
          <w:rFonts w:eastAsia="標楷體" w:cstheme="minorHAnsi" w:hint="eastAsia"/>
          <w:sz w:val="20"/>
          <w:szCs w:val="20"/>
        </w:rPr>
        <w:t>擇權具有個別風險</w:t>
      </w:r>
      <w:r w:rsidRPr="006E7485">
        <w:rPr>
          <w:rFonts w:eastAsia="標楷體" w:cstheme="minorHAnsi" w:hint="eastAsia"/>
          <w:sz w:val="20"/>
          <w:szCs w:val="20"/>
        </w:rPr>
        <w:t xml:space="preserve"> (</w:t>
      </w:r>
      <w:r w:rsidRPr="006E7485">
        <w:rPr>
          <w:rFonts w:eastAsia="標楷體" w:cstheme="minorHAnsi" w:hint="eastAsia"/>
          <w:sz w:val="20"/>
          <w:szCs w:val="20"/>
        </w:rPr>
        <w:t>例如公司債務有價證券或公司債指數的選擇權</w:t>
      </w:r>
      <w:r w:rsidRPr="006E7485">
        <w:rPr>
          <w:rFonts w:eastAsia="標楷體" w:cstheme="minorHAnsi" w:hint="eastAsia"/>
          <w:sz w:val="20"/>
          <w:szCs w:val="20"/>
        </w:rPr>
        <w:t>)</w:t>
      </w:r>
      <w:r w:rsidRPr="006E7485">
        <w:rPr>
          <w:rFonts w:eastAsia="標楷體" w:cstheme="minorHAnsi" w:hint="eastAsia"/>
          <w:sz w:val="20"/>
          <w:szCs w:val="20"/>
        </w:rPr>
        <w:t>，其相關資本要求請參考利率風險資本計提規定；權益證券及股價指數選擇權之資本要求，請參考權益證券資本計提規定。外匯選擇權計提</w:t>
      </w:r>
      <w:r w:rsidRPr="006E7485">
        <w:rPr>
          <w:rFonts w:eastAsia="標楷體" w:cstheme="minorHAnsi" w:hint="eastAsia"/>
          <w:sz w:val="20"/>
          <w:szCs w:val="20"/>
        </w:rPr>
        <w:t>8%</w:t>
      </w:r>
      <w:r w:rsidRPr="006E7485">
        <w:rPr>
          <w:rFonts w:eastAsia="標楷體" w:cstheme="minorHAnsi" w:hint="eastAsia"/>
          <w:sz w:val="20"/>
          <w:szCs w:val="20"/>
        </w:rPr>
        <w:t>而商品選擇權是計提</w:t>
      </w:r>
      <w:r w:rsidRPr="006E7485">
        <w:rPr>
          <w:rFonts w:eastAsia="標楷體" w:cstheme="minorHAnsi" w:hint="eastAsia"/>
          <w:sz w:val="20"/>
          <w:szCs w:val="20"/>
        </w:rPr>
        <w:t>15%</w:t>
      </w:r>
      <w:r w:rsidRPr="006E7485">
        <w:rPr>
          <w:rFonts w:eastAsia="標楷體" w:cstheme="minorHAnsi" w:hint="eastAsia"/>
          <w:sz w:val="20"/>
          <w:szCs w:val="20"/>
        </w:rPr>
        <w:t>。</w:t>
      </w:r>
    </w:p>
  </w:footnote>
  <w:footnote w:id="87">
    <w:p w14:paraId="5CCF6506" w14:textId="77777777" w:rsidR="00BD20A5" w:rsidRPr="00350060" w:rsidRDefault="00BD20A5" w:rsidP="006E748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6E7485">
        <w:rPr>
          <w:rFonts w:eastAsia="標楷體" w:cstheme="minorHAnsi" w:hint="eastAsia"/>
          <w:sz w:val="20"/>
          <w:szCs w:val="20"/>
        </w:rPr>
        <w:t>就殘存期限超過六個月的選擇權，履約價格應是與遠期價格做比較而非即期價格，無法如此做的銀行必須將</w:t>
      </w:r>
      <w:proofErr w:type="gramStart"/>
      <w:r w:rsidRPr="006E7485">
        <w:rPr>
          <w:rFonts w:eastAsia="標楷體" w:cstheme="minorHAnsi" w:hint="eastAsia"/>
          <w:sz w:val="20"/>
          <w:szCs w:val="20"/>
        </w:rPr>
        <w:t>價內值視為</w:t>
      </w:r>
      <w:proofErr w:type="gramEnd"/>
      <w:r w:rsidRPr="006E7485">
        <w:rPr>
          <w:rFonts w:eastAsia="標楷體" w:cstheme="minorHAnsi" w:hint="eastAsia"/>
          <w:sz w:val="20"/>
          <w:szCs w:val="20"/>
        </w:rPr>
        <w:t>零。</w:t>
      </w:r>
    </w:p>
  </w:footnote>
  <w:footnote w:id="88">
    <w:p w14:paraId="1B6372D2" w14:textId="77777777" w:rsidR="00BD20A5" w:rsidRPr="00350060" w:rsidRDefault="00BD20A5" w:rsidP="006E748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6E7485">
        <w:rPr>
          <w:rFonts w:eastAsia="標楷體" w:cstheme="minorHAnsi" w:hint="eastAsia"/>
          <w:sz w:val="20"/>
          <w:szCs w:val="20"/>
        </w:rPr>
        <w:t>非屬交易簿的部位</w:t>
      </w:r>
      <w:r w:rsidRPr="006E7485">
        <w:rPr>
          <w:rFonts w:eastAsia="標楷體" w:cstheme="minorHAnsi" w:hint="eastAsia"/>
          <w:sz w:val="20"/>
          <w:szCs w:val="20"/>
        </w:rPr>
        <w:t>(</w:t>
      </w:r>
      <w:r w:rsidRPr="006E7485">
        <w:rPr>
          <w:rFonts w:eastAsia="標楷體" w:cstheme="minorHAnsi" w:hint="eastAsia"/>
          <w:sz w:val="20"/>
          <w:szCs w:val="20"/>
        </w:rPr>
        <w:t>即某些不屬於交易簿的外匯或商品選擇權</w:t>
      </w:r>
      <w:r w:rsidRPr="006E7485">
        <w:rPr>
          <w:rFonts w:eastAsia="標楷體" w:cstheme="minorHAnsi" w:hint="eastAsia"/>
          <w:sz w:val="20"/>
          <w:szCs w:val="20"/>
        </w:rPr>
        <w:t>)</w:t>
      </w:r>
      <w:r w:rsidRPr="006E7485">
        <w:rPr>
          <w:rFonts w:eastAsia="標楷體" w:cstheme="minorHAnsi" w:hint="eastAsia"/>
          <w:sz w:val="20"/>
          <w:szCs w:val="20"/>
        </w:rPr>
        <w:t>，可使用</w:t>
      </w:r>
      <w:proofErr w:type="gramStart"/>
      <w:r w:rsidRPr="006E7485">
        <w:rPr>
          <w:rFonts w:eastAsia="標楷體" w:cstheme="minorHAnsi" w:hint="eastAsia"/>
          <w:sz w:val="20"/>
          <w:szCs w:val="20"/>
        </w:rPr>
        <w:t>帳面</w:t>
      </w:r>
      <w:proofErr w:type="gramEnd"/>
      <w:r w:rsidRPr="006E7485">
        <w:rPr>
          <w:rFonts w:eastAsia="標楷體" w:cstheme="minorHAnsi" w:hint="eastAsia"/>
          <w:sz w:val="20"/>
          <w:szCs w:val="20"/>
        </w:rPr>
        <w:t>價值來替代。</w:t>
      </w:r>
    </w:p>
  </w:footnote>
  <w:footnote w:id="89">
    <w:p w14:paraId="51389B62" w14:textId="77777777" w:rsidR="00BD20A5" w:rsidRPr="00350060" w:rsidRDefault="00BD20A5" w:rsidP="00290B61">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290B61">
        <w:rPr>
          <w:rFonts w:eastAsia="標楷體" w:cstheme="minorHAnsi" w:hint="eastAsia"/>
          <w:sz w:val="20"/>
          <w:szCs w:val="20"/>
        </w:rPr>
        <w:t>此部位適用利率風險資本計提規範搭配部位准予互抵之處理。</w:t>
      </w:r>
    </w:p>
  </w:footnote>
  <w:footnote w:id="90">
    <w:p w14:paraId="03ADE82E" w14:textId="77777777" w:rsidR="00BD20A5" w:rsidRPr="00350060" w:rsidRDefault="00BD20A5" w:rsidP="00711373">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11373">
        <w:rPr>
          <w:rFonts w:eastAsia="標楷體" w:cstheme="minorHAnsi" w:hint="eastAsia"/>
          <w:sz w:val="20"/>
          <w:szCs w:val="20"/>
        </w:rPr>
        <w:t>可衡量市價者，亦得以市價代替。</w:t>
      </w:r>
    </w:p>
  </w:footnote>
  <w:footnote w:id="91">
    <w:p w14:paraId="41B0DD90" w14:textId="77777777" w:rsidR="00BD20A5" w:rsidRPr="00350060" w:rsidRDefault="00BD20A5" w:rsidP="00EB365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3635E9">
        <w:rPr>
          <w:rFonts w:eastAsia="標楷體" w:cstheme="minorHAnsi" w:hint="eastAsia"/>
          <w:sz w:val="20"/>
          <w:szCs w:val="20"/>
        </w:rPr>
        <w:t>本會可要求特定銀行增提個別風險之資本要求。</w:t>
      </w:r>
    </w:p>
  </w:footnote>
  <w:footnote w:id="92">
    <w:p w14:paraId="3930C7A3" w14:textId="77777777" w:rsidR="00BD20A5" w:rsidRPr="00350060" w:rsidRDefault="00BD20A5" w:rsidP="00EB365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11373">
        <w:rPr>
          <w:rFonts w:eastAsia="標楷體" w:cstheme="minorHAnsi" w:hint="eastAsia"/>
          <w:sz w:val="20"/>
          <w:szCs w:val="20"/>
        </w:rPr>
        <w:t>可衡量市價者，亦得以市價代替。</w:t>
      </w:r>
    </w:p>
  </w:footnote>
  <w:footnote w:id="93">
    <w:p w14:paraId="1F678864" w14:textId="77777777" w:rsidR="00BD20A5" w:rsidRPr="00350060" w:rsidRDefault="00BD20A5" w:rsidP="00DE217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DE2175">
        <w:rPr>
          <w:rFonts w:eastAsia="標楷體" w:cstheme="minorHAnsi" w:hint="eastAsia"/>
          <w:sz w:val="20"/>
          <w:szCs w:val="20"/>
        </w:rPr>
        <w:t>任</w:t>
      </w:r>
      <w:proofErr w:type="gramStart"/>
      <w:r w:rsidRPr="00DE2175">
        <w:rPr>
          <w:rFonts w:eastAsia="標楷體" w:cstheme="minorHAnsi" w:hint="eastAsia"/>
          <w:sz w:val="20"/>
          <w:szCs w:val="20"/>
        </w:rPr>
        <w:t>一</w:t>
      </w:r>
      <w:proofErr w:type="gramEnd"/>
      <w:r w:rsidRPr="00DE2175">
        <w:rPr>
          <w:rFonts w:eastAsia="標楷體" w:cstheme="minorHAnsi" w:hint="eastAsia"/>
          <w:sz w:val="20"/>
          <w:szCs w:val="20"/>
        </w:rPr>
        <w:t>特定銀行使用情境分析法須提出該分析建構方法符合內部</w:t>
      </w:r>
      <w:proofErr w:type="gramStart"/>
      <w:r w:rsidRPr="00DE2175">
        <w:rPr>
          <w:rFonts w:eastAsia="標楷體" w:cstheme="minorHAnsi" w:hint="eastAsia"/>
          <w:sz w:val="20"/>
          <w:szCs w:val="20"/>
        </w:rPr>
        <w:t>模型法質化</w:t>
      </w:r>
      <w:proofErr w:type="gramEnd"/>
      <w:r w:rsidRPr="00DE2175">
        <w:rPr>
          <w:rFonts w:eastAsia="標楷體" w:cstheme="minorHAnsi" w:hint="eastAsia"/>
          <w:sz w:val="20"/>
          <w:szCs w:val="20"/>
        </w:rPr>
        <w:t>標準之證明文件給予本會審查。</w:t>
      </w:r>
    </w:p>
  </w:footnote>
  <w:footnote w:id="94">
    <w:p w14:paraId="61E82570" w14:textId="77777777" w:rsidR="00BD20A5" w:rsidRDefault="00BD20A5" w:rsidP="00A5488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5488F">
        <w:rPr>
          <w:rFonts w:eastAsia="標楷體" w:cstheme="minorHAnsi" w:hint="eastAsia"/>
          <w:sz w:val="20"/>
          <w:szCs w:val="20"/>
        </w:rPr>
        <w:t>假設將到期</w:t>
      </w:r>
      <w:proofErr w:type="gramStart"/>
      <w:r w:rsidRPr="00A5488F">
        <w:rPr>
          <w:rFonts w:eastAsia="標楷體" w:cstheme="minorHAnsi" w:hint="eastAsia"/>
          <w:sz w:val="20"/>
          <w:szCs w:val="20"/>
        </w:rPr>
        <w:t>時間帶依下列</w:t>
      </w:r>
      <w:proofErr w:type="gramEnd"/>
      <w:r w:rsidRPr="00A5488F">
        <w:rPr>
          <w:rFonts w:eastAsia="標楷體" w:cstheme="minorHAnsi" w:hint="eastAsia"/>
          <w:sz w:val="20"/>
          <w:szCs w:val="20"/>
        </w:rPr>
        <w:t>方式分為</w:t>
      </w:r>
      <w:r w:rsidRPr="00A5488F">
        <w:rPr>
          <w:rFonts w:eastAsia="標楷體" w:cstheme="minorHAnsi" w:hint="eastAsia"/>
          <w:sz w:val="20"/>
          <w:szCs w:val="20"/>
        </w:rPr>
        <w:t>6</w:t>
      </w:r>
      <w:r w:rsidRPr="00A5488F">
        <w:rPr>
          <w:rFonts w:eastAsia="標楷體" w:cstheme="minorHAnsi" w:hint="eastAsia"/>
          <w:sz w:val="20"/>
          <w:szCs w:val="20"/>
        </w:rPr>
        <w:t>組，其假設收益率變動如下：</w:t>
      </w:r>
    </w:p>
    <w:p w14:paraId="21F133F9" w14:textId="77777777" w:rsidR="00BD20A5" w:rsidRPr="00A5488F" w:rsidRDefault="00BD20A5" w:rsidP="00A5488F">
      <w:pPr>
        <w:autoSpaceDE w:val="0"/>
        <w:autoSpaceDN w:val="0"/>
        <w:adjustRightInd w:val="0"/>
        <w:ind w:left="556" w:hangingChars="278" w:hanging="556"/>
        <w:rPr>
          <w:rFonts w:eastAsia="標楷體" w:cstheme="minorHAnsi"/>
          <w:kern w:val="0"/>
          <w:sz w:val="20"/>
          <w:szCs w:val="20"/>
        </w:rPr>
      </w:pPr>
      <w:r w:rsidRPr="00A5488F">
        <w:rPr>
          <w:rFonts w:eastAsia="標楷體" w:cstheme="minorHAnsi" w:hint="eastAsia"/>
          <w:kern w:val="0"/>
          <w:sz w:val="20"/>
          <w:szCs w:val="20"/>
        </w:rPr>
        <w:t>到期時間帶假設收益率變動</w:t>
      </w:r>
      <w:r w:rsidRPr="00A5488F">
        <w:rPr>
          <w:rFonts w:eastAsia="標楷體" w:cstheme="minorHAnsi"/>
          <w:sz w:val="20"/>
          <w:szCs w:val="20"/>
        </w:rPr>
        <w:t>(</w:t>
      </w:r>
      <w:r w:rsidRPr="00A5488F">
        <w:rPr>
          <w:rFonts w:eastAsia="標楷體" w:cstheme="minorHAnsi" w:hint="eastAsia"/>
          <w:kern w:val="0"/>
          <w:sz w:val="20"/>
          <w:szCs w:val="20"/>
        </w:rPr>
        <w:t>基本點</w:t>
      </w:r>
      <w:r w:rsidRPr="00A5488F">
        <w:rPr>
          <w:rFonts w:eastAsia="標楷體" w:cstheme="minorHAnsi"/>
          <w:sz w:val="20"/>
          <w:szCs w:val="20"/>
        </w:rPr>
        <w:t>)</w:t>
      </w:r>
    </w:p>
    <w:p w14:paraId="3D639BB8" w14:textId="77777777" w:rsidR="00BD20A5" w:rsidRPr="00A5488F" w:rsidRDefault="00BD20A5" w:rsidP="003943D0">
      <w:pPr>
        <w:autoSpaceDE w:val="0"/>
        <w:autoSpaceDN w:val="0"/>
        <w:adjustRightInd w:val="0"/>
        <w:ind w:firstLine="284"/>
        <w:rPr>
          <w:rFonts w:eastAsia="標楷體" w:cstheme="minorHAnsi"/>
          <w:kern w:val="0"/>
          <w:sz w:val="20"/>
          <w:szCs w:val="20"/>
        </w:rPr>
      </w:pPr>
      <w:r w:rsidRPr="00A5488F">
        <w:rPr>
          <w:rFonts w:eastAsia="標楷體" w:cstheme="minorHAnsi"/>
          <w:kern w:val="0"/>
          <w:sz w:val="20"/>
          <w:szCs w:val="20"/>
        </w:rPr>
        <w:t>(1)</w:t>
      </w:r>
      <w:r>
        <w:rPr>
          <w:rFonts w:eastAsia="標楷體" w:cstheme="minorHAnsi" w:hint="eastAsia"/>
          <w:kern w:val="0"/>
          <w:sz w:val="20"/>
          <w:szCs w:val="20"/>
        </w:rPr>
        <w:t xml:space="preserve"> </w:t>
      </w:r>
      <w:r w:rsidRPr="00A5488F">
        <w:rPr>
          <w:rFonts w:eastAsia="標楷體" w:cstheme="minorHAnsi" w:hint="eastAsia"/>
          <w:kern w:val="0"/>
          <w:sz w:val="20"/>
          <w:szCs w:val="20"/>
        </w:rPr>
        <w:t>三個月以內</w:t>
      </w:r>
      <w:r>
        <w:rPr>
          <w:rFonts w:eastAsia="標楷體" w:cstheme="minorHAnsi" w:hint="eastAsia"/>
          <w:kern w:val="0"/>
          <w:sz w:val="20"/>
          <w:szCs w:val="20"/>
        </w:rPr>
        <w:t xml:space="preserve">           </w:t>
      </w:r>
      <w:r w:rsidRPr="00A5488F">
        <w:rPr>
          <w:rFonts w:eastAsia="標楷體" w:cstheme="minorHAnsi"/>
          <w:kern w:val="0"/>
          <w:sz w:val="20"/>
          <w:szCs w:val="20"/>
        </w:rPr>
        <w:t>100</w:t>
      </w:r>
    </w:p>
    <w:p w14:paraId="3159A787" w14:textId="77777777" w:rsidR="00BD20A5" w:rsidRPr="00A5488F" w:rsidRDefault="00BD20A5" w:rsidP="003943D0">
      <w:pPr>
        <w:autoSpaceDE w:val="0"/>
        <w:autoSpaceDN w:val="0"/>
        <w:adjustRightInd w:val="0"/>
        <w:ind w:firstLine="284"/>
        <w:rPr>
          <w:rFonts w:eastAsia="標楷體" w:cstheme="minorHAnsi"/>
          <w:kern w:val="0"/>
          <w:sz w:val="20"/>
          <w:szCs w:val="20"/>
        </w:rPr>
      </w:pPr>
      <w:r w:rsidRPr="00A5488F">
        <w:rPr>
          <w:rFonts w:eastAsia="標楷體" w:cstheme="minorHAnsi"/>
          <w:kern w:val="0"/>
          <w:sz w:val="20"/>
          <w:szCs w:val="20"/>
        </w:rPr>
        <w:t>(2)</w:t>
      </w:r>
      <w:r>
        <w:rPr>
          <w:rFonts w:eastAsia="標楷體" w:cstheme="minorHAnsi" w:hint="eastAsia"/>
          <w:kern w:val="0"/>
          <w:sz w:val="20"/>
          <w:szCs w:val="20"/>
        </w:rPr>
        <w:t xml:space="preserve"> </w:t>
      </w:r>
      <w:r w:rsidRPr="00A5488F">
        <w:rPr>
          <w:rFonts w:eastAsia="標楷體" w:cstheme="minorHAnsi" w:hint="eastAsia"/>
          <w:kern w:val="0"/>
          <w:sz w:val="20"/>
          <w:szCs w:val="20"/>
        </w:rPr>
        <w:t>三個月至六個月到期</w:t>
      </w:r>
      <w:r>
        <w:rPr>
          <w:rFonts w:eastAsia="標楷體" w:cstheme="minorHAnsi" w:hint="eastAsia"/>
          <w:kern w:val="0"/>
          <w:sz w:val="20"/>
          <w:szCs w:val="20"/>
        </w:rPr>
        <w:t xml:space="preserve">   </w:t>
      </w:r>
      <w:r w:rsidRPr="00A5488F">
        <w:rPr>
          <w:rFonts w:eastAsia="標楷體" w:cstheme="minorHAnsi"/>
          <w:kern w:val="0"/>
          <w:sz w:val="20"/>
          <w:szCs w:val="20"/>
        </w:rPr>
        <w:t>100</w:t>
      </w:r>
    </w:p>
    <w:p w14:paraId="577CBD09" w14:textId="77777777" w:rsidR="00BD20A5" w:rsidRPr="00A5488F" w:rsidRDefault="00BD20A5" w:rsidP="003943D0">
      <w:pPr>
        <w:autoSpaceDE w:val="0"/>
        <w:autoSpaceDN w:val="0"/>
        <w:adjustRightInd w:val="0"/>
        <w:ind w:firstLine="284"/>
        <w:rPr>
          <w:rFonts w:eastAsia="標楷體" w:cstheme="minorHAnsi"/>
          <w:kern w:val="0"/>
          <w:sz w:val="20"/>
          <w:szCs w:val="20"/>
        </w:rPr>
      </w:pPr>
      <w:r w:rsidRPr="00A5488F">
        <w:rPr>
          <w:rFonts w:eastAsia="標楷體" w:cstheme="minorHAnsi"/>
          <w:kern w:val="0"/>
          <w:sz w:val="20"/>
          <w:szCs w:val="20"/>
        </w:rPr>
        <w:t>(3)</w:t>
      </w:r>
      <w:r>
        <w:rPr>
          <w:rFonts w:eastAsia="標楷體" w:cstheme="minorHAnsi" w:hint="eastAsia"/>
          <w:kern w:val="0"/>
          <w:sz w:val="20"/>
          <w:szCs w:val="20"/>
        </w:rPr>
        <w:t xml:space="preserve"> </w:t>
      </w:r>
      <w:r w:rsidRPr="00A5488F">
        <w:rPr>
          <w:rFonts w:eastAsia="標楷體" w:cstheme="minorHAnsi" w:hint="eastAsia"/>
          <w:kern w:val="0"/>
          <w:sz w:val="20"/>
          <w:szCs w:val="20"/>
        </w:rPr>
        <w:t>六個月至十二</w:t>
      </w:r>
      <w:proofErr w:type="gramStart"/>
      <w:r w:rsidRPr="00A5488F">
        <w:rPr>
          <w:rFonts w:eastAsia="標楷體" w:cstheme="minorHAnsi" w:hint="eastAsia"/>
          <w:kern w:val="0"/>
          <w:sz w:val="20"/>
          <w:szCs w:val="20"/>
        </w:rPr>
        <w:t>個</w:t>
      </w:r>
      <w:proofErr w:type="gramEnd"/>
      <w:r w:rsidRPr="00A5488F">
        <w:rPr>
          <w:rFonts w:eastAsia="標楷體" w:cstheme="minorHAnsi" w:hint="eastAsia"/>
          <w:kern w:val="0"/>
          <w:sz w:val="20"/>
          <w:szCs w:val="20"/>
        </w:rPr>
        <w:t>月到期</w:t>
      </w:r>
      <w:r>
        <w:rPr>
          <w:rFonts w:eastAsia="標楷體" w:cstheme="minorHAnsi" w:hint="eastAsia"/>
          <w:kern w:val="0"/>
          <w:sz w:val="20"/>
          <w:szCs w:val="20"/>
        </w:rPr>
        <w:t xml:space="preserve"> </w:t>
      </w:r>
      <w:r w:rsidRPr="00A5488F">
        <w:rPr>
          <w:rFonts w:eastAsia="標楷體" w:cstheme="minorHAnsi"/>
          <w:kern w:val="0"/>
          <w:sz w:val="20"/>
          <w:szCs w:val="20"/>
        </w:rPr>
        <w:t>100</w:t>
      </w:r>
    </w:p>
    <w:p w14:paraId="676CD7B0" w14:textId="77777777" w:rsidR="00BD20A5" w:rsidRPr="00A5488F" w:rsidRDefault="00BD20A5" w:rsidP="003943D0">
      <w:pPr>
        <w:autoSpaceDE w:val="0"/>
        <w:autoSpaceDN w:val="0"/>
        <w:adjustRightInd w:val="0"/>
        <w:ind w:firstLine="284"/>
        <w:rPr>
          <w:rFonts w:eastAsia="標楷體" w:cstheme="minorHAnsi"/>
          <w:kern w:val="0"/>
          <w:sz w:val="20"/>
          <w:szCs w:val="20"/>
        </w:rPr>
      </w:pPr>
      <w:r w:rsidRPr="00A5488F">
        <w:rPr>
          <w:rFonts w:eastAsia="標楷體" w:cstheme="minorHAnsi"/>
          <w:kern w:val="0"/>
          <w:sz w:val="20"/>
          <w:szCs w:val="20"/>
        </w:rPr>
        <w:t>(4)</w:t>
      </w:r>
      <w:r>
        <w:rPr>
          <w:rFonts w:eastAsia="標楷體" w:cstheme="minorHAnsi" w:hint="eastAsia"/>
          <w:kern w:val="0"/>
          <w:sz w:val="20"/>
          <w:szCs w:val="20"/>
        </w:rPr>
        <w:t xml:space="preserve"> </w:t>
      </w:r>
      <w:r w:rsidRPr="00A5488F">
        <w:rPr>
          <w:rFonts w:eastAsia="標楷體" w:cstheme="minorHAnsi" w:hint="eastAsia"/>
          <w:kern w:val="0"/>
          <w:sz w:val="20"/>
          <w:szCs w:val="20"/>
        </w:rPr>
        <w:t>一年至四年到期</w:t>
      </w:r>
      <w:r>
        <w:rPr>
          <w:rFonts w:eastAsia="標楷體" w:cstheme="minorHAnsi" w:hint="eastAsia"/>
          <w:kern w:val="0"/>
          <w:sz w:val="20"/>
          <w:szCs w:val="20"/>
        </w:rPr>
        <w:t xml:space="preserve">        </w:t>
      </w:r>
      <w:r w:rsidRPr="00A5488F">
        <w:rPr>
          <w:rFonts w:eastAsia="標楷體" w:cstheme="minorHAnsi"/>
          <w:kern w:val="0"/>
          <w:sz w:val="20"/>
          <w:szCs w:val="20"/>
        </w:rPr>
        <w:t>90</w:t>
      </w:r>
    </w:p>
    <w:p w14:paraId="559B5779" w14:textId="77777777" w:rsidR="00BD20A5" w:rsidRPr="00A5488F" w:rsidRDefault="00BD20A5" w:rsidP="003943D0">
      <w:pPr>
        <w:autoSpaceDE w:val="0"/>
        <w:autoSpaceDN w:val="0"/>
        <w:adjustRightInd w:val="0"/>
        <w:ind w:firstLine="284"/>
        <w:rPr>
          <w:rFonts w:eastAsia="標楷體" w:cstheme="minorHAnsi"/>
          <w:kern w:val="0"/>
          <w:sz w:val="20"/>
          <w:szCs w:val="20"/>
        </w:rPr>
      </w:pPr>
      <w:r>
        <w:rPr>
          <w:rFonts w:eastAsia="標楷體" w:cstheme="minorHAnsi"/>
          <w:kern w:val="0"/>
          <w:sz w:val="20"/>
          <w:szCs w:val="20"/>
        </w:rPr>
        <w:t>(5)</w:t>
      </w:r>
      <w:r>
        <w:rPr>
          <w:rFonts w:eastAsia="標楷體" w:cstheme="minorHAnsi" w:hint="eastAsia"/>
          <w:kern w:val="0"/>
          <w:sz w:val="20"/>
          <w:szCs w:val="20"/>
        </w:rPr>
        <w:t xml:space="preserve"> </w:t>
      </w:r>
      <w:r w:rsidRPr="00A5488F">
        <w:rPr>
          <w:rFonts w:eastAsia="標楷體" w:cstheme="minorHAnsi" w:hint="eastAsia"/>
          <w:kern w:val="0"/>
          <w:sz w:val="20"/>
          <w:szCs w:val="20"/>
        </w:rPr>
        <w:t>四年至十年到期</w:t>
      </w:r>
      <w:r>
        <w:rPr>
          <w:rFonts w:eastAsia="標楷體" w:cstheme="minorHAnsi" w:hint="eastAsia"/>
          <w:kern w:val="0"/>
          <w:sz w:val="20"/>
          <w:szCs w:val="20"/>
        </w:rPr>
        <w:t xml:space="preserve">        </w:t>
      </w:r>
      <w:r w:rsidRPr="00A5488F">
        <w:rPr>
          <w:rFonts w:eastAsia="標楷體" w:cstheme="minorHAnsi"/>
          <w:kern w:val="0"/>
          <w:sz w:val="20"/>
          <w:szCs w:val="20"/>
        </w:rPr>
        <w:t>75</w:t>
      </w:r>
    </w:p>
    <w:p w14:paraId="4377A34F" w14:textId="77777777" w:rsidR="00BD20A5" w:rsidRPr="00A5488F" w:rsidRDefault="00BD20A5" w:rsidP="003943D0">
      <w:pPr>
        <w:autoSpaceDE w:val="0"/>
        <w:autoSpaceDN w:val="0"/>
        <w:adjustRightInd w:val="0"/>
        <w:ind w:firstLine="284"/>
        <w:rPr>
          <w:rFonts w:eastAsia="標楷體" w:cstheme="minorHAnsi"/>
          <w:kern w:val="0"/>
          <w:sz w:val="20"/>
          <w:szCs w:val="20"/>
        </w:rPr>
      </w:pPr>
      <w:r w:rsidRPr="00A5488F">
        <w:rPr>
          <w:rFonts w:eastAsia="標楷體" w:cstheme="minorHAnsi"/>
          <w:kern w:val="0"/>
          <w:sz w:val="20"/>
          <w:szCs w:val="20"/>
        </w:rPr>
        <w:t xml:space="preserve">(6) </w:t>
      </w:r>
      <w:r w:rsidRPr="00A5488F">
        <w:rPr>
          <w:rFonts w:eastAsia="標楷體" w:cstheme="minorHAnsi" w:hint="eastAsia"/>
          <w:kern w:val="0"/>
          <w:sz w:val="20"/>
          <w:szCs w:val="20"/>
        </w:rPr>
        <w:t>十年以上</w:t>
      </w:r>
      <w:r>
        <w:rPr>
          <w:rFonts w:eastAsia="標楷體" w:cstheme="minorHAnsi" w:hint="eastAsia"/>
          <w:kern w:val="0"/>
          <w:sz w:val="20"/>
          <w:szCs w:val="20"/>
        </w:rPr>
        <w:t xml:space="preserve">              </w:t>
      </w:r>
      <w:r w:rsidRPr="00A5488F">
        <w:rPr>
          <w:rFonts w:eastAsia="標楷體" w:cstheme="minorHAnsi"/>
          <w:kern w:val="0"/>
          <w:sz w:val="20"/>
          <w:szCs w:val="20"/>
        </w:rPr>
        <w:t>60</w:t>
      </w:r>
    </w:p>
    <w:p w14:paraId="5FC0EC2F" w14:textId="77777777" w:rsidR="00BD20A5" w:rsidRPr="00A5488F" w:rsidRDefault="00BD20A5" w:rsidP="00A5488F">
      <w:pPr>
        <w:jc w:val="both"/>
        <w:rPr>
          <w:rFonts w:eastAsia="標楷體" w:cstheme="minorHAnsi"/>
          <w:sz w:val="20"/>
          <w:szCs w:val="20"/>
        </w:rPr>
      </w:pPr>
      <w:r w:rsidRPr="00A5488F">
        <w:rPr>
          <w:rFonts w:eastAsia="標楷體" w:cstheme="minorHAnsi" w:hint="eastAsia"/>
          <w:sz w:val="20"/>
          <w:szCs w:val="20"/>
          <w:lang w:eastAsia="zh-HK"/>
        </w:rPr>
        <w:t>如果三至四年、四至五年、五至七年的時間帶被合併，就這三</w:t>
      </w:r>
      <w:proofErr w:type="gramStart"/>
      <w:r w:rsidRPr="00A5488F">
        <w:rPr>
          <w:rFonts w:eastAsia="標楷體" w:cstheme="minorHAnsi" w:hint="eastAsia"/>
          <w:sz w:val="20"/>
          <w:szCs w:val="20"/>
          <w:lang w:eastAsia="zh-HK"/>
        </w:rPr>
        <w:t>個</w:t>
      </w:r>
      <w:proofErr w:type="gramEnd"/>
      <w:r w:rsidRPr="00A5488F">
        <w:rPr>
          <w:rFonts w:eastAsia="標楷體" w:cstheme="minorHAnsi" w:hint="eastAsia"/>
          <w:sz w:val="20"/>
          <w:szCs w:val="20"/>
          <w:lang w:eastAsia="zh-HK"/>
        </w:rPr>
        <w:t>時間帶之最高假定</w:t>
      </w:r>
      <w:proofErr w:type="gramStart"/>
      <w:r w:rsidRPr="00A5488F">
        <w:rPr>
          <w:rFonts w:eastAsia="標楷體" w:cstheme="minorHAnsi" w:hint="eastAsia"/>
          <w:sz w:val="20"/>
          <w:szCs w:val="20"/>
          <w:lang w:eastAsia="zh-HK"/>
        </w:rPr>
        <w:t>殖</w:t>
      </w:r>
      <w:proofErr w:type="gramEnd"/>
      <w:r w:rsidRPr="00A5488F">
        <w:rPr>
          <w:rFonts w:eastAsia="標楷體" w:cstheme="minorHAnsi" w:hint="eastAsia"/>
          <w:sz w:val="20"/>
          <w:szCs w:val="20"/>
          <w:lang w:eastAsia="zh-HK"/>
        </w:rPr>
        <w:t>利率變動會是</w:t>
      </w:r>
      <w:r w:rsidRPr="00A5488F">
        <w:rPr>
          <w:rFonts w:eastAsia="標楷體" w:cstheme="minorHAnsi"/>
          <w:sz w:val="20"/>
          <w:szCs w:val="20"/>
          <w:lang w:eastAsia="zh-HK"/>
        </w:rPr>
        <w:t>0.75</w:t>
      </w:r>
      <w:r w:rsidRPr="00A5488F">
        <w:rPr>
          <w:rFonts w:eastAsia="標楷體" w:cstheme="minorHAnsi" w:hint="eastAsia"/>
          <w:sz w:val="20"/>
          <w:szCs w:val="20"/>
          <w:lang w:eastAsia="zh-HK"/>
        </w:rPr>
        <w:t>。</w:t>
      </w:r>
    </w:p>
  </w:footnote>
  <w:footnote w:id="95">
    <w:p w14:paraId="0731A2CA" w14:textId="77777777" w:rsidR="00BD20A5" w:rsidRPr="00A5488F" w:rsidRDefault="00BD20A5" w:rsidP="009F302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9F302A">
        <w:rPr>
          <w:rFonts w:eastAsia="標楷體" w:cstheme="minorHAnsi" w:hint="eastAsia"/>
          <w:sz w:val="20"/>
          <w:szCs w:val="20"/>
        </w:rPr>
        <w:t>便利收益率反應直接持有實體商品的好處，亦即能從暫時性市場短缺獲利的能力。便利收益率同時被市場狀況與實體商品的庫存成本等因素影響。</w:t>
      </w:r>
    </w:p>
  </w:footnote>
  <w:footnote w:id="96">
    <w:p w14:paraId="163EDF73" w14:textId="77777777" w:rsidR="00BD20A5" w:rsidRPr="00A5488F" w:rsidRDefault="00BD20A5" w:rsidP="005341AE">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5341AE">
        <w:rPr>
          <w:rFonts w:eastAsia="標楷體" w:cstheme="minorHAnsi" w:hint="eastAsia"/>
          <w:sz w:val="20"/>
          <w:szCs w:val="20"/>
        </w:rPr>
        <w:t>承諾報價是一個公平交易對手買賣金融商品的價格，將有順序的交易且大量符合條件的承諾報價與銀行一般的交易規模作比較，一般市場的反應通常被認為是有效的。</w:t>
      </w:r>
    </w:p>
  </w:footnote>
  <w:footnote w:id="97">
    <w:p w14:paraId="050EFDDF" w14:textId="77777777" w:rsidR="00BD20A5" w:rsidRPr="00A5488F" w:rsidRDefault="00BD20A5" w:rsidP="00254F76">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254F76">
        <w:rPr>
          <w:rFonts w:eastAsia="標楷體" w:cstheme="minorHAnsi" w:hint="eastAsia"/>
          <w:sz w:val="20"/>
          <w:szCs w:val="20"/>
        </w:rPr>
        <w:t>當銀行使用的實際價格觀察值來自外部資料源，且這些觀察值具有時間差</w:t>
      </w:r>
      <w:r w:rsidRPr="00254F76">
        <w:rPr>
          <w:rFonts w:eastAsia="標楷體" w:cstheme="minorHAnsi" w:hint="eastAsia"/>
          <w:sz w:val="20"/>
          <w:szCs w:val="20"/>
        </w:rPr>
        <w:t>(</w:t>
      </w:r>
      <w:r w:rsidRPr="00254F76">
        <w:rPr>
          <w:rFonts w:eastAsia="標楷體" w:cstheme="minorHAnsi" w:hint="eastAsia"/>
          <w:sz w:val="20"/>
          <w:szCs w:val="20"/>
        </w:rPr>
        <w:t>如：特定日期所提供的數據僅在幾</w:t>
      </w:r>
      <w:proofErr w:type="gramStart"/>
      <w:r w:rsidRPr="00254F76">
        <w:rPr>
          <w:rFonts w:eastAsia="標楷體" w:cstheme="minorHAnsi" w:hint="eastAsia"/>
          <w:sz w:val="20"/>
          <w:szCs w:val="20"/>
        </w:rPr>
        <w:t>週</w:t>
      </w:r>
      <w:proofErr w:type="gramEnd"/>
      <w:r w:rsidRPr="00254F76">
        <w:rPr>
          <w:rFonts w:eastAsia="標楷體" w:cstheme="minorHAnsi" w:hint="eastAsia"/>
          <w:sz w:val="20"/>
          <w:szCs w:val="20"/>
        </w:rPr>
        <w:t>後提供</w:t>
      </w:r>
      <w:r w:rsidRPr="00254F76">
        <w:rPr>
          <w:rFonts w:eastAsia="標楷體" w:cstheme="minorHAnsi" w:hint="eastAsia"/>
          <w:sz w:val="20"/>
          <w:szCs w:val="20"/>
        </w:rPr>
        <w:t>)</w:t>
      </w:r>
      <w:r w:rsidRPr="00254F76">
        <w:rPr>
          <w:rFonts w:eastAsia="標楷體" w:cstheme="minorHAnsi" w:hint="eastAsia"/>
          <w:sz w:val="20"/>
          <w:szCs w:val="20"/>
        </w:rPr>
        <w:t>，風險因子資格測試</w:t>
      </w:r>
      <w:r w:rsidRPr="00254F76">
        <w:rPr>
          <w:rFonts w:eastAsia="標楷體" w:cstheme="minorHAnsi" w:hint="eastAsia"/>
          <w:sz w:val="20"/>
          <w:szCs w:val="20"/>
        </w:rPr>
        <w:t>(RFET)</w:t>
      </w:r>
      <w:r w:rsidRPr="00254F76">
        <w:rPr>
          <w:rFonts w:eastAsia="標楷體" w:cstheme="minorHAnsi" w:hint="eastAsia"/>
          <w:sz w:val="20"/>
          <w:szCs w:val="20"/>
        </w:rPr>
        <w:t>期間可能與校準當前預期短缺</w:t>
      </w:r>
      <w:r w:rsidRPr="00254F76">
        <w:rPr>
          <w:rFonts w:eastAsia="標楷體" w:cstheme="minorHAnsi" w:hint="eastAsia"/>
          <w:sz w:val="20"/>
          <w:szCs w:val="20"/>
        </w:rPr>
        <w:t>(ES)</w:t>
      </w:r>
      <w:r w:rsidRPr="00254F76">
        <w:rPr>
          <w:rFonts w:eastAsia="標楷體" w:cstheme="minorHAnsi" w:hint="eastAsia"/>
          <w:sz w:val="20"/>
          <w:szCs w:val="20"/>
        </w:rPr>
        <w:t>模型期間不同，但風險因子資格測試</w:t>
      </w:r>
      <w:r w:rsidRPr="00254F76">
        <w:rPr>
          <w:rFonts w:eastAsia="標楷體" w:cstheme="minorHAnsi" w:hint="eastAsia"/>
          <w:sz w:val="20"/>
          <w:szCs w:val="20"/>
        </w:rPr>
        <w:t>(RFET)</w:t>
      </w:r>
      <w:r w:rsidRPr="00254F76">
        <w:rPr>
          <w:rFonts w:eastAsia="標楷體" w:cstheme="minorHAnsi" w:hint="eastAsia"/>
          <w:sz w:val="20"/>
          <w:szCs w:val="20"/>
        </w:rPr>
        <w:t>與預期短缺</w:t>
      </w:r>
      <w:r w:rsidRPr="00254F76">
        <w:rPr>
          <w:rFonts w:eastAsia="標楷體" w:cstheme="minorHAnsi" w:hint="eastAsia"/>
          <w:sz w:val="20"/>
          <w:szCs w:val="20"/>
        </w:rPr>
        <w:t>(ES)</w:t>
      </w:r>
      <w:r w:rsidRPr="00254F76">
        <w:rPr>
          <w:rFonts w:eastAsia="標楷體" w:cstheme="minorHAnsi" w:hint="eastAsia"/>
          <w:sz w:val="20"/>
          <w:szCs w:val="20"/>
        </w:rPr>
        <w:t>模型校準期間不應相差超過一個月，也就是銀行針對每</w:t>
      </w:r>
      <w:proofErr w:type="gramStart"/>
      <w:r w:rsidRPr="00254F76">
        <w:rPr>
          <w:rFonts w:eastAsia="標楷體" w:cstheme="minorHAnsi" w:hint="eastAsia"/>
          <w:sz w:val="20"/>
          <w:szCs w:val="20"/>
        </w:rPr>
        <w:t>個</w:t>
      </w:r>
      <w:proofErr w:type="gramEnd"/>
      <w:r w:rsidRPr="00254F76">
        <w:rPr>
          <w:rFonts w:eastAsia="標楷體" w:cstheme="minorHAnsi" w:hint="eastAsia"/>
          <w:sz w:val="20"/>
          <w:szCs w:val="20"/>
        </w:rPr>
        <w:t>風險因子能使用一個一年</w:t>
      </w:r>
      <w:proofErr w:type="gramStart"/>
      <w:r w:rsidRPr="00254F76">
        <w:rPr>
          <w:rFonts w:eastAsia="標楷體" w:cstheme="minorHAnsi" w:hint="eastAsia"/>
          <w:sz w:val="20"/>
          <w:szCs w:val="20"/>
        </w:rPr>
        <w:t>期間，</w:t>
      </w:r>
      <w:proofErr w:type="gramEnd"/>
      <w:r w:rsidRPr="00254F76">
        <w:rPr>
          <w:rFonts w:eastAsia="標楷體" w:cstheme="minorHAnsi" w:hint="eastAsia"/>
          <w:sz w:val="20"/>
          <w:szCs w:val="20"/>
        </w:rPr>
        <w:t>使其能於風險因子資格測試</w:t>
      </w:r>
      <w:r w:rsidRPr="00254F76">
        <w:rPr>
          <w:rFonts w:eastAsia="標楷體" w:cstheme="minorHAnsi" w:hint="eastAsia"/>
          <w:sz w:val="20"/>
          <w:szCs w:val="20"/>
        </w:rPr>
        <w:t>(RFET)</w:t>
      </w:r>
      <w:r w:rsidRPr="00254F76">
        <w:rPr>
          <w:rFonts w:eastAsia="標楷體" w:cstheme="minorHAnsi" w:hint="eastAsia"/>
          <w:sz w:val="20"/>
          <w:szCs w:val="20"/>
        </w:rPr>
        <w:t>評估的一個月前結束，而非使用校準當前預期短缺</w:t>
      </w:r>
      <w:r w:rsidRPr="00254F76">
        <w:rPr>
          <w:rFonts w:eastAsia="標楷體" w:cstheme="minorHAnsi" w:hint="eastAsia"/>
          <w:sz w:val="20"/>
          <w:szCs w:val="20"/>
        </w:rPr>
        <w:t>(ES)</w:t>
      </w:r>
      <w:r w:rsidRPr="00254F76">
        <w:rPr>
          <w:rFonts w:eastAsia="標楷體" w:cstheme="minorHAnsi" w:hint="eastAsia"/>
          <w:sz w:val="20"/>
          <w:szCs w:val="20"/>
        </w:rPr>
        <w:t>模型的期間。</w:t>
      </w:r>
    </w:p>
  </w:footnote>
  <w:footnote w:id="98">
    <w:p w14:paraId="2B2E053E" w14:textId="77777777" w:rsidR="00BD20A5" w:rsidRPr="00A5488F" w:rsidRDefault="00BD20A5" w:rsidP="007A73E9">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7A73E9">
        <w:rPr>
          <w:rFonts w:eastAsia="標楷體" w:cstheme="minorHAnsi" w:hint="eastAsia"/>
          <w:sz w:val="20"/>
          <w:szCs w:val="20"/>
        </w:rPr>
        <w:t>對損益歸因測試</w:t>
      </w:r>
      <w:r w:rsidRPr="007A73E9">
        <w:rPr>
          <w:rFonts w:eastAsia="標楷體" w:cstheme="minorHAnsi" w:hint="eastAsia"/>
          <w:sz w:val="20"/>
          <w:szCs w:val="20"/>
        </w:rPr>
        <w:t>(PLA)</w:t>
      </w:r>
      <w:r w:rsidRPr="007A73E9">
        <w:rPr>
          <w:rFonts w:eastAsia="標楷體" w:cstheme="minorHAnsi" w:hint="eastAsia"/>
          <w:sz w:val="20"/>
          <w:szCs w:val="20"/>
        </w:rPr>
        <w:t>及風險因子資格測試</w:t>
      </w:r>
      <w:r w:rsidRPr="007A73E9">
        <w:rPr>
          <w:rFonts w:eastAsia="標楷體" w:cstheme="minorHAnsi" w:hint="eastAsia"/>
          <w:sz w:val="20"/>
          <w:szCs w:val="20"/>
        </w:rPr>
        <w:t>(RFET)</w:t>
      </w:r>
      <w:r w:rsidRPr="007A73E9">
        <w:rPr>
          <w:rFonts w:eastAsia="標楷體" w:cstheme="minorHAnsi" w:hint="eastAsia"/>
          <w:sz w:val="20"/>
          <w:szCs w:val="20"/>
        </w:rPr>
        <w:t>使用相同組別或風險因子區隔之要求係認定在決定預期短缺</w:t>
      </w:r>
      <w:r w:rsidRPr="007A73E9">
        <w:rPr>
          <w:rFonts w:eastAsia="標楷體" w:cstheme="minorHAnsi" w:hint="eastAsia"/>
          <w:sz w:val="20"/>
          <w:szCs w:val="20"/>
        </w:rPr>
        <w:t>(ES)</w:t>
      </w:r>
      <w:r w:rsidRPr="007A73E9">
        <w:rPr>
          <w:rFonts w:eastAsia="標楷體" w:cstheme="minorHAnsi" w:hint="eastAsia"/>
          <w:sz w:val="20"/>
          <w:szCs w:val="20"/>
        </w:rPr>
        <w:t>模型的組別存在著取捨。</w:t>
      </w:r>
      <w:proofErr w:type="gramStart"/>
      <w:r w:rsidRPr="007A73E9">
        <w:rPr>
          <w:rFonts w:eastAsia="標楷體" w:cstheme="minorHAnsi" w:hint="eastAsia"/>
          <w:sz w:val="20"/>
          <w:szCs w:val="20"/>
        </w:rPr>
        <w:t>使用切分更</w:t>
      </w:r>
      <w:proofErr w:type="gramEnd"/>
      <w:r w:rsidRPr="007A73E9">
        <w:rPr>
          <w:rFonts w:eastAsia="標楷體" w:cstheme="minorHAnsi" w:hint="eastAsia"/>
          <w:sz w:val="20"/>
          <w:szCs w:val="20"/>
        </w:rPr>
        <w:t>細的組可促進交易台成功滿足損益歸因</w:t>
      </w:r>
      <w:r w:rsidRPr="007A73E9">
        <w:rPr>
          <w:rFonts w:eastAsia="標楷體" w:cstheme="minorHAnsi" w:hint="eastAsia"/>
          <w:sz w:val="20"/>
          <w:szCs w:val="20"/>
        </w:rPr>
        <w:t>(PLA)</w:t>
      </w:r>
      <w:r w:rsidRPr="007A73E9">
        <w:rPr>
          <w:rFonts w:eastAsia="標楷體" w:cstheme="minorHAnsi" w:hint="eastAsia"/>
          <w:sz w:val="20"/>
          <w:szCs w:val="20"/>
        </w:rPr>
        <w:t>測試的要求，但額外更細的分組對銀行取得對應分組充足次數之真實觀察價格能力以滿足風險因子資格測試</w:t>
      </w:r>
      <w:r w:rsidRPr="007A73E9">
        <w:rPr>
          <w:rFonts w:eastAsia="標楷體" w:cstheme="minorHAnsi" w:hint="eastAsia"/>
          <w:sz w:val="20"/>
          <w:szCs w:val="20"/>
        </w:rPr>
        <w:t>(RFET)</w:t>
      </w:r>
      <w:r w:rsidRPr="007A73E9">
        <w:rPr>
          <w:rFonts w:eastAsia="標楷體" w:cstheme="minorHAnsi" w:hint="eastAsia"/>
          <w:sz w:val="20"/>
          <w:szCs w:val="20"/>
        </w:rPr>
        <w:t>要求形成挑戰。當設計預期短缺</w:t>
      </w:r>
      <w:r w:rsidRPr="007A73E9">
        <w:rPr>
          <w:rFonts w:eastAsia="標楷體" w:cstheme="minorHAnsi" w:hint="eastAsia"/>
          <w:sz w:val="20"/>
          <w:szCs w:val="20"/>
        </w:rPr>
        <w:t>(ES)</w:t>
      </w:r>
      <w:r w:rsidRPr="007A73E9">
        <w:rPr>
          <w:rFonts w:eastAsia="標楷體" w:cstheme="minorHAnsi" w:hint="eastAsia"/>
          <w:sz w:val="20"/>
          <w:szCs w:val="20"/>
        </w:rPr>
        <w:t>模型時，銀行應該要將上述的取捨列入考量。</w:t>
      </w:r>
    </w:p>
  </w:footnote>
  <w:footnote w:id="99">
    <w:p w14:paraId="1F8BDBF7" w14:textId="77777777" w:rsidR="00BD20A5" w:rsidRPr="00A5488F" w:rsidRDefault="00BD20A5" w:rsidP="003B595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3B5955">
        <w:rPr>
          <w:rFonts w:eastAsia="標楷體" w:cstheme="minorHAnsi" w:hint="eastAsia"/>
          <w:sz w:val="20"/>
          <w:szCs w:val="20"/>
        </w:rPr>
        <w:t>對於價內外程度之替代定義具有標準化的選擇權市場，銀行使用自行已核准之評價模型，應將法定的</w:t>
      </w:r>
      <w:r w:rsidRPr="003B5955">
        <w:rPr>
          <w:rFonts w:eastAsia="標楷體" w:cstheme="minorHAnsi" w:hint="eastAsia"/>
          <w:sz w:val="20"/>
          <w:szCs w:val="20"/>
        </w:rPr>
        <w:t xml:space="preserve"> delta</w:t>
      </w:r>
      <w:r w:rsidRPr="003B5955">
        <w:rPr>
          <w:rFonts w:eastAsia="標楷體" w:cstheme="minorHAnsi" w:hint="eastAsia"/>
          <w:sz w:val="20"/>
          <w:szCs w:val="20"/>
        </w:rPr>
        <w:t>分組轉換成市場標準慣例。</w:t>
      </w:r>
    </w:p>
  </w:footnote>
  <w:footnote w:id="100">
    <w:p w14:paraId="53824E4C" w14:textId="77777777" w:rsidR="00BD20A5" w:rsidRPr="00A5488F" w:rsidRDefault="00BD20A5" w:rsidP="003B595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3B5955">
        <w:rPr>
          <w:rFonts w:eastAsia="標楷體" w:cstheme="minorHAnsi" w:hint="eastAsia"/>
          <w:sz w:val="20"/>
          <w:szCs w:val="20"/>
        </w:rPr>
        <w:t>例如，如果原始有效期限四年的債券在八個月前的發行日期有實際價格觀察值，銀行可以選擇將實際價格觀察值分配至</w:t>
      </w:r>
      <w:r w:rsidRPr="003B5955">
        <w:rPr>
          <w:rFonts w:eastAsia="標楷體" w:cstheme="minorHAnsi" w:hint="eastAsia"/>
          <w:sz w:val="20"/>
          <w:szCs w:val="20"/>
        </w:rPr>
        <w:t>1.5</w:t>
      </w:r>
      <w:r w:rsidRPr="003B5955">
        <w:rPr>
          <w:rFonts w:eastAsia="標楷體" w:cstheme="minorHAnsi" w:hint="eastAsia"/>
          <w:sz w:val="20"/>
          <w:szCs w:val="20"/>
        </w:rPr>
        <w:t>到</w:t>
      </w:r>
      <w:r w:rsidRPr="003B5955">
        <w:rPr>
          <w:rFonts w:eastAsia="標楷體" w:cstheme="minorHAnsi" w:hint="eastAsia"/>
          <w:sz w:val="20"/>
          <w:szCs w:val="20"/>
        </w:rPr>
        <w:t>3.5</w:t>
      </w:r>
      <w:r w:rsidRPr="003B5955">
        <w:rPr>
          <w:rFonts w:eastAsia="標楷體" w:cstheme="minorHAnsi" w:hint="eastAsia"/>
          <w:sz w:val="20"/>
          <w:szCs w:val="20"/>
        </w:rPr>
        <w:t>年相關的到期日組中，而不是如往常分配至</w:t>
      </w:r>
      <w:r w:rsidRPr="003B5955">
        <w:rPr>
          <w:rFonts w:eastAsia="標楷體" w:cstheme="minorHAnsi" w:hint="eastAsia"/>
          <w:sz w:val="20"/>
          <w:szCs w:val="20"/>
        </w:rPr>
        <w:t>3.5</w:t>
      </w:r>
      <w:r w:rsidRPr="003B5955">
        <w:rPr>
          <w:rFonts w:eastAsia="標楷體" w:cstheme="minorHAnsi" w:hint="eastAsia"/>
          <w:sz w:val="20"/>
          <w:szCs w:val="20"/>
        </w:rPr>
        <w:t>到</w:t>
      </w:r>
      <w:r w:rsidRPr="003B5955">
        <w:rPr>
          <w:rFonts w:eastAsia="標楷體" w:cstheme="minorHAnsi" w:hint="eastAsia"/>
          <w:sz w:val="20"/>
          <w:szCs w:val="20"/>
        </w:rPr>
        <w:t>7.5</w:t>
      </w:r>
      <w:r w:rsidRPr="003B5955">
        <w:rPr>
          <w:rFonts w:eastAsia="標楷體" w:cstheme="minorHAnsi" w:hint="eastAsia"/>
          <w:sz w:val="20"/>
          <w:szCs w:val="20"/>
        </w:rPr>
        <w:t>年的到期日組中。</w:t>
      </w:r>
    </w:p>
  </w:footnote>
  <w:footnote w:id="101">
    <w:p w14:paraId="4902A2F5" w14:textId="77777777" w:rsidR="00BD20A5" w:rsidRPr="00A5488F" w:rsidRDefault="00BD20A5" w:rsidP="008D2959">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8D2959">
        <w:rPr>
          <w:rFonts w:eastAsia="標楷體" w:cstheme="minorHAnsi" w:hint="eastAsia"/>
          <w:sz w:val="20"/>
          <w:szCs w:val="20"/>
        </w:rPr>
        <w:t>例如銀行採用</w:t>
      </w:r>
      <w:r w:rsidRPr="008D2959">
        <w:rPr>
          <w:rFonts w:eastAsia="標楷體" w:cstheme="minorHAnsi" w:hint="eastAsia"/>
          <w:sz w:val="20"/>
          <w:szCs w:val="20"/>
        </w:rPr>
        <w:t>Beta</w:t>
      </w:r>
      <w:r w:rsidRPr="008D2959">
        <w:rPr>
          <w:rFonts w:eastAsia="標楷體" w:cstheme="minorHAnsi" w:hint="eastAsia"/>
          <w:sz w:val="20"/>
          <w:szCs w:val="20"/>
        </w:rPr>
        <w:t>基礎之多因子指數模型計算事件風險時，可能納入替代資料</w:t>
      </w:r>
      <w:proofErr w:type="gramStart"/>
      <w:r w:rsidRPr="008D2959">
        <w:rPr>
          <w:rFonts w:eastAsia="標楷體" w:cstheme="minorHAnsi" w:hint="eastAsia"/>
          <w:sz w:val="20"/>
          <w:szCs w:val="20"/>
        </w:rPr>
        <w:t>於殘差</w:t>
      </w:r>
      <w:proofErr w:type="gramEnd"/>
      <w:r w:rsidRPr="008D2959">
        <w:rPr>
          <w:rFonts w:eastAsia="標楷體" w:cstheme="minorHAnsi" w:hint="eastAsia"/>
          <w:sz w:val="20"/>
          <w:szCs w:val="20"/>
        </w:rPr>
        <w:t>部分之校準，以反映在特定標的之歷史時間序列中，未被觀察到的潛在事件。在多因子模型環境，該特定標的仍需視為</w:t>
      </w:r>
      <w:proofErr w:type="gramStart"/>
      <w:r w:rsidRPr="008D2959">
        <w:rPr>
          <w:rFonts w:eastAsia="標楷體" w:cstheme="minorHAnsi" w:hint="eastAsia"/>
          <w:sz w:val="20"/>
          <w:szCs w:val="20"/>
        </w:rPr>
        <w:t>一</w:t>
      </w:r>
      <w:proofErr w:type="gramEnd"/>
      <w:r w:rsidRPr="008D2959">
        <w:rPr>
          <w:rFonts w:eastAsia="標楷體" w:cstheme="minorHAnsi" w:hint="eastAsia"/>
          <w:sz w:val="20"/>
          <w:szCs w:val="20"/>
        </w:rPr>
        <w:t>風險因子，銀行應在風險理論損益</w:t>
      </w:r>
      <w:r w:rsidRPr="008D2959">
        <w:rPr>
          <w:rFonts w:eastAsia="標楷體" w:cstheme="minorHAnsi" w:hint="eastAsia"/>
          <w:sz w:val="20"/>
          <w:szCs w:val="20"/>
        </w:rPr>
        <w:t>(RTPL)</w:t>
      </w:r>
      <w:r w:rsidRPr="008D2959">
        <w:rPr>
          <w:rFonts w:eastAsia="標楷體" w:cstheme="minorHAnsi" w:hint="eastAsia"/>
          <w:sz w:val="20"/>
          <w:szCs w:val="20"/>
        </w:rPr>
        <w:t>及假設損益</w:t>
      </w:r>
      <w:r w:rsidRPr="008D2959">
        <w:rPr>
          <w:rFonts w:eastAsia="標楷體" w:cstheme="minorHAnsi" w:hint="eastAsia"/>
          <w:sz w:val="20"/>
          <w:szCs w:val="20"/>
        </w:rPr>
        <w:t>(HPL)</w:t>
      </w:r>
      <w:r>
        <w:rPr>
          <w:rFonts w:eastAsia="標楷體" w:cstheme="minorHAnsi" w:hint="eastAsia"/>
          <w:sz w:val="20"/>
          <w:szCs w:val="20"/>
        </w:rPr>
        <w:t>中包含該特定風險因子之實際報酬，並認定其為該模型涵蓋之風險因子</w:t>
      </w:r>
      <w:r w:rsidRPr="003B5955">
        <w:rPr>
          <w:rFonts w:eastAsia="標楷體" w:cstheme="minorHAnsi" w:hint="eastAsia"/>
          <w:sz w:val="20"/>
          <w:szCs w:val="20"/>
        </w:rPr>
        <w:t>。</w:t>
      </w:r>
    </w:p>
  </w:footnote>
  <w:footnote w:id="102">
    <w:p w14:paraId="053279AF" w14:textId="77777777" w:rsidR="00BD20A5" w:rsidRPr="0002416C" w:rsidRDefault="00BD20A5" w:rsidP="0002416C">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02416C">
        <w:rPr>
          <w:rFonts w:eastAsia="標楷體" w:cstheme="minorHAnsi" w:hint="eastAsia"/>
          <w:sz w:val="20"/>
          <w:szCs w:val="20"/>
        </w:rPr>
        <w:t>如果交易台層級之回溯測試例外情況與不可模型化風險因子相關，且該不可模型化風險因子的壓力預期短缺</w:t>
      </w:r>
      <w:r w:rsidRPr="0002416C">
        <w:rPr>
          <w:rFonts w:eastAsia="標楷體" w:cstheme="minorHAnsi" w:hint="eastAsia"/>
          <w:sz w:val="20"/>
          <w:szCs w:val="20"/>
        </w:rPr>
        <w:t>(SES)</w:t>
      </w:r>
      <w:r w:rsidRPr="0002416C">
        <w:rPr>
          <w:rFonts w:eastAsia="標楷體" w:cstheme="minorHAnsi" w:hint="eastAsia"/>
          <w:sz w:val="20"/>
          <w:szCs w:val="20"/>
        </w:rPr>
        <w:t>資本要求超逾當日實際或假設損失之最大值，則可忽略該交易台層級回溯測試之例外情況。銀行必須能夠計算特定交易台之不可模型化風險因子資本計提，而不僅是計算所有交易台之個別風險因子資本要求。</w:t>
      </w:r>
    </w:p>
    <w:p w14:paraId="7C72D888" w14:textId="77777777" w:rsidR="00BD20A5" w:rsidRPr="00A5488F" w:rsidRDefault="00BD20A5" w:rsidP="0002416C">
      <w:pPr>
        <w:jc w:val="both"/>
        <w:rPr>
          <w:rFonts w:eastAsia="標楷體" w:cstheme="minorHAnsi"/>
          <w:sz w:val="20"/>
          <w:szCs w:val="20"/>
        </w:rPr>
      </w:pPr>
      <w:r w:rsidRPr="0002416C">
        <w:rPr>
          <w:rFonts w:eastAsia="標楷體" w:cstheme="minorHAnsi" w:hint="eastAsia"/>
          <w:sz w:val="20"/>
          <w:szCs w:val="20"/>
        </w:rPr>
        <w:t>例如，若一個交易台之損益為新臺幣負一百五十萬元，且風險值為新臺幣</w:t>
      </w:r>
      <w:proofErr w:type="gramStart"/>
      <w:r w:rsidRPr="0002416C">
        <w:rPr>
          <w:rFonts w:eastAsia="標楷體" w:cstheme="minorHAnsi" w:hint="eastAsia"/>
          <w:sz w:val="20"/>
          <w:szCs w:val="20"/>
        </w:rPr>
        <w:t>一</w:t>
      </w:r>
      <w:proofErr w:type="gramEnd"/>
      <w:r w:rsidRPr="0002416C">
        <w:rPr>
          <w:rFonts w:eastAsia="標楷體" w:cstheme="minorHAnsi" w:hint="eastAsia"/>
          <w:sz w:val="20"/>
          <w:szCs w:val="20"/>
        </w:rPr>
        <w:t>百萬元，則在不可模型化風險因子資本要求</w:t>
      </w:r>
      <w:r w:rsidRPr="0002416C">
        <w:rPr>
          <w:rFonts w:eastAsia="標楷體" w:cstheme="minorHAnsi" w:hint="eastAsia"/>
          <w:sz w:val="20"/>
          <w:szCs w:val="20"/>
        </w:rPr>
        <w:t>(</w:t>
      </w:r>
      <w:r w:rsidRPr="0002416C">
        <w:rPr>
          <w:rFonts w:eastAsia="標楷體" w:cstheme="minorHAnsi" w:hint="eastAsia"/>
          <w:sz w:val="20"/>
          <w:szCs w:val="20"/>
        </w:rPr>
        <w:t>在交易台層級</w:t>
      </w:r>
      <w:r w:rsidRPr="0002416C">
        <w:rPr>
          <w:rFonts w:eastAsia="標楷體" w:cstheme="minorHAnsi" w:hint="eastAsia"/>
          <w:sz w:val="20"/>
          <w:szCs w:val="20"/>
        </w:rPr>
        <w:t>)</w:t>
      </w:r>
      <w:r w:rsidRPr="0002416C">
        <w:rPr>
          <w:rFonts w:eastAsia="標楷體" w:cstheme="minorHAnsi" w:hint="eastAsia"/>
          <w:sz w:val="20"/>
          <w:szCs w:val="20"/>
        </w:rPr>
        <w:t>為新臺幣八十萬元的情況下，交易台層級回溯測試之例外情況是不可被忽略的。為了可忽略交易台層級回溯測試之例外情況，個別獨立交易台層級</w:t>
      </w:r>
      <w:r w:rsidRPr="0002416C">
        <w:rPr>
          <w:rFonts w:eastAsia="標楷體" w:cstheme="minorHAnsi" w:hint="eastAsia"/>
          <w:sz w:val="20"/>
          <w:szCs w:val="20"/>
        </w:rPr>
        <w:t>(</w:t>
      </w:r>
      <w:r w:rsidRPr="0002416C">
        <w:rPr>
          <w:rFonts w:eastAsia="標楷體" w:cstheme="minorHAnsi" w:hint="eastAsia"/>
          <w:sz w:val="20"/>
          <w:szCs w:val="20"/>
        </w:rPr>
        <w:t>無風險值</w:t>
      </w:r>
      <w:r w:rsidRPr="0002416C">
        <w:rPr>
          <w:rFonts w:eastAsia="標楷體" w:cstheme="minorHAnsi" w:hint="eastAsia"/>
          <w:sz w:val="20"/>
          <w:szCs w:val="20"/>
        </w:rPr>
        <w:t>)</w:t>
      </w:r>
      <w:r w:rsidRPr="0002416C">
        <w:rPr>
          <w:rFonts w:eastAsia="標楷體" w:cstheme="minorHAnsi" w:hint="eastAsia"/>
          <w:sz w:val="20"/>
          <w:szCs w:val="20"/>
        </w:rPr>
        <w:t>之不可模型化風險因子資本計提，必須要大於新臺幣一百五十萬元的損失。</w:t>
      </w:r>
    </w:p>
  </w:footnote>
  <w:footnote w:id="103">
    <w:p w14:paraId="5CE9CED1" w14:textId="77777777" w:rsidR="00BD20A5" w:rsidRPr="00A5488F" w:rsidRDefault="00BD20A5" w:rsidP="00CE5DBE">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CE5DBE">
        <w:rPr>
          <w:rFonts w:eastAsia="標楷體" w:cstheme="minorHAnsi" w:hint="eastAsia"/>
          <w:sz w:val="20"/>
          <w:szCs w:val="20"/>
        </w:rPr>
        <w:t>在較短的觀察期間內，銀行使用報酬的波動度</w:t>
      </w:r>
      <w:r w:rsidRPr="00CE5DBE">
        <w:rPr>
          <w:rFonts w:eastAsia="標楷體" w:cstheme="minorHAnsi" w:hint="eastAsia"/>
          <w:sz w:val="20"/>
          <w:szCs w:val="20"/>
        </w:rPr>
        <w:t>(volatility scaling of returns)</w:t>
      </w:r>
      <w:r w:rsidRPr="00CE5DBE">
        <w:rPr>
          <w:rFonts w:eastAsia="標楷體" w:cstheme="minorHAnsi" w:hint="eastAsia"/>
          <w:sz w:val="20"/>
          <w:szCs w:val="20"/>
        </w:rPr>
        <w:t>計算風險值是不被允許的。為了反應近期的壓力</w:t>
      </w:r>
      <w:proofErr w:type="gramStart"/>
      <w:r w:rsidRPr="00CE5DBE">
        <w:rPr>
          <w:rFonts w:eastAsia="標楷體" w:cstheme="minorHAnsi" w:hint="eastAsia"/>
          <w:sz w:val="20"/>
          <w:szCs w:val="20"/>
        </w:rPr>
        <w:t>期間，</w:t>
      </w:r>
      <w:proofErr w:type="gramEnd"/>
      <w:r w:rsidRPr="00CE5DBE">
        <w:rPr>
          <w:rFonts w:eastAsia="標楷體" w:cstheme="minorHAnsi" w:hint="eastAsia"/>
          <w:sz w:val="20"/>
          <w:szCs w:val="20"/>
        </w:rPr>
        <w:t>在一個選定的風險因子</w:t>
      </w:r>
      <w:r w:rsidRPr="00CE5DBE">
        <w:rPr>
          <w:rFonts w:eastAsia="標楷體" w:cstheme="minorHAnsi" w:hint="eastAsia"/>
          <w:sz w:val="20"/>
          <w:szCs w:val="20"/>
        </w:rPr>
        <w:t>(</w:t>
      </w:r>
      <w:r w:rsidRPr="00CE5DBE">
        <w:rPr>
          <w:rFonts w:eastAsia="標楷體" w:cstheme="minorHAnsi" w:hint="eastAsia"/>
          <w:sz w:val="20"/>
          <w:szCs w:val="20"/>
        </w:rPr>
        <w:t>或一組風險因子</w:t>
      </w:r>
      <w:r w:rsidRPr="00CE5DBE">
        <w:rPr>
          <w:rFonts w:eastAsia="標楷體" w:cstheme="minorHAnsi" w:hint="eastAsia"/>
          <w:sz w:val="20"/>
          <w:szCs w:val="20"/>
        </w:rPr>
        <w:t>)</w:t>
      </w:r>
      <w:r w:rsidRPr="00CE5DBE">
        <w:rPr>
          <w:rFonts w:eastAsia="標楷體" w:cstheme="minorHAnsi" w:hint="eastAsia"/>
          <w:sz w:val="20"/>
          <w:szCs w:val="20"/>
        </w:rPr>
        <w:t>下，銀行應該按比例增加所有觀測值的波動度。</w:t>
      </w:r>
      <w:proofErr w:type="gramStart"/>
      <w:r w:rsidRPr="00CE5DBE">
        <w:rPr>
          <w:rFonts w:eastAsia="標楷體" w:cstheme="minorHAnsi" w:hint="eastAsia"/>
          <w:sz w:val="20"/>
          <w:szCs w:val="20"/>
        </w:rPr>
        <w:t>惟</w:t>
      </w:r>
      <w:proofErr w:type="gramEnd"/>
      <w:r w:rsidRPr="00CE5DBE">
        <w:rPr>
          <w:rFonts w:eastAsia="標楷體" w:cstheme="minorHAnsi" w:hint="eastAsia"/>
          <w:sz w:val="20"/>
          <w:szCs w:val="20"/>
        </w:rPr>
        <w:t>事前先通知本會下，銀行才可以使用此比例調整過之數據計算未來之風險值及預期短缺。</w:t>
      </w:r>
    </w:p>
  </w:footnote>
  <w:footnote w:id="104">
    <w:p w14:paraId="10B01A0B" w14:textId="77777777" w:rsidR="00BD20A5" w:rsidRPr="00A5488F" w:rsidRDefault="00BD20A5" w:rsidP="00B762FF">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B762FF">
        <w:rPr>
          <w:rFonts w:eastAsia="標楷體" w:cstheme="minorHAnsi" w:hint="eastAsia"/>
          <w:sz w:val="20"/>
          <w:szCs w:val="20"/>
        </w:rPr>
        <w:t>當交易台已</w:t>
      </w:r>
      <w:proofErr w:type="gramStart"/>
      <w:r w:rsidRPr="00B762FF">
        <w:rPr>
          <w:rFonts w:eastAsia="標楷體" w:cstheme="minorHAnsi" w:hint="eastAsia"/>
          <w:sz w:val="20"/>
          <w:szCs w:val="20"/>
        </w:rPr>
        <w:t>暴險於</w:t>
      </w:r>
      <w:proofErr w:type="gramEnd"/>
      <w:r w:rsidRPr="00B762FF">
        <w:rPr>
          <w:rFonts w:eastAsia="標楷體" w:cstheme="minorHAnsi" w:hint="eastAsia"/>
          <w:sz w:val="20"/>
          <w:szCs w:val="20"/>
        </w:rPr>
        <w:t>發行人違約風險時，必須通過兩階段的核准程序。首先，市場風險模型必須通過回溯測試及損益歸因</w:t>
      </w:r>
      <w:r w:rsidRPr="00B762FF">
        <w:rPr>
          <w:rFonts w:eastAsia="標楷體" w:cstheme="minorHAnsi"/>
          <w:sz w:val="20"/>
          <w:szCs w:val="20"/>
        </w:rPr>
        <w:t>(PLA)</w:t>
      </w:r>
      <w:r w:rsidRPr="00B762FF">
        <w:rPr>
          <w:rFonts w:eastAsia="標楷體" w:cstheme="minorHAnsi" w:hint="eastAsia"/>
          <w:sz w:val="20"/>
          <w:szCs w:val="20"/>
        </w:rPr>
        <w:t>。其次，市場風險模型獲得核准的條件為交易台將違約風險納入核准的模型中。未通過測試的交易台，必須以標準法計算資本。</w:t>
      </w:r>
    </w:p>
  </w:footnote>
  <w:footnote w:id="105">
    <w:p w14:paraId="4EE3E3F9" w14:textId="77777777" w:rsidR="00BD20A5" w:rsidRPr="00A5488F" w:rsidRDefault="00BD20A5" w:rsidP="00893750">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893750">
        <w:rPr>
          <w:rFonts w:eastAsia="標楷體" w:cstheme="minorHAnsi" w:hint="eastAsia"/>
          <w:sz w:val="20"/>
          <w:szCs w:val="20"/>
        </w:rPr>
        <w:t>其餘作業問題包含因不同系統在不同時間計算的假設損益</w:t>
      </w:r>
      <w:r w:rsidRPr="00893750">
        <w:rPr>
          <w:rFonts w:eastAsia="標楷體" w:cstheme="minorHAnsi" w:hint="eastAsia"/>
          <w:sz w:val="20"/>
          <w:szCs w:val="20"/>
        </w:rPr>
        <w:t>(HPL)</w:t>
      </w:r>
      <w:r w:rsidRPr="00893750">
        <w:rPr>
          <w:rFonts w:eastAsia="標楷體" w:cstheme="minorHAnsi" w:hint="eastAsia"/>
          <w:sz w:val="20"/>
          <w:szCs w:val="20"/>
        </w:rPr>
        <w:t>及風險理論損益</w:t>
      </w:r>
      <w:r w:rsidRPr="00893750">
        <w:rPr>
          <w:rFonts w:eastAsia="標楷體" w:cstheme="minorHAnsi" w:hint="eastAsia"/>
          <w:sz w:val="20"/>
          <w:szCs w:val="20"/>
        </w:rPr>
        <w:t>(RTPL)</w:t>
      </w:r>
      <w:r w:rsidRPr="00893750">
        <w:rPr>
          <w:rFonts w:eastAsia="標楷體" w:cstheme="minorHAnsi" w:hint="eastAsia"/>
          <w:sz w:val="20"/>
          <w:szCs w:val="20"/>
        </w:rPr>
        <w:t>所導致之差異、因大量資料跨系統轉移或數據合併所產生之差異、或是因靜態</w:t>
      </w:r>
      <w:r w:rsidRPr="00893750">
        <w:rPr>
          <w:rFonts w:eastAsia="標楷體" w:cstheme="minorHAnsi" w:hint="eastAsia"/>
          <w:sz w:val="20"/>
          <w:szCs w:val="20"/>
        </w:rPr>
        <w:t>/</w:t>
      </w:r>
      <w:r w:rsidRPr="00893750">
        <w:rPr>
          <w:rFonts w:eastAsia="標楷體" w:cstheme="minorHAnsi" w:hint="eastAsia"/>
          <w:sz w:val="20"/>
          <w:szCs w:val="20"/>
        </w:rPr>
        <w:t>參考資料和系統設定產生的微小差異。</w:t>
      </w:r>
    </w:p>
  </w:footnote>
  <w:footnote w:id="106">
    <w:p w14:paraId="6F2A1007" w14:textId="1BA10956" w:rsidR="00AC3B45" w:rsidRPr="00A5488F" w:rsidRDefault="00AC3B45" w:rsidP="00AC3B45">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proofErr w:type="gramStart"/>
      <w:r w:rsidRPr="00AC3B45">
        <w:rPr>
          <w:rFonts w:eastAsia="標楷體" w:cstheme="minorHAnsi"/>
          <w:color w:val="FF0000"/>
          <w:sz w:val="20"/>
          <w:szCs w:val="20"/>
        </w:rPr>
        <w:t>綠區</w:t>
      </w:r>
      <w:r>
        <w:rPr>
          <w:rFonts w:eastAsia="標楷體" w:cstheme="minorHAnsi" w:hint="eastAsia"/>
          <w:color w:val="FF0000"/>
          <w:sz w:val="20"/>
          <w:szCs w:val="20"/>
        </w:rPr>
        <w:t>須</w:t>
      </w:r>
      <w:proofErr w:type="gramEnd"/>
      <w:r w:rsidRPr="00AC3B45">
        <w:rPr>
          <w:rFonts w:eastAsia="標楷體" w:cstheme="minorHAnsi"/>
          <w:color w:val="FF0000"/>
          <w:sz w:val="20"/>
          <w:szCs w:val="20"/>
        </w:rPr>
        <w:t>兩個測試指標同時符合門檻；</w:t>
      </w:r>
      <w:proofErr w:type="gramStart"/>
      <w:r w:rsidRPr="00AC3B45">
        <w:rPr>
          <w:rFonts w:eastAsia="標楷體" w:cstheme="minorHAnsi"/>
          <w:color w:val="FF0000"/>
          <w:sz w:val="20"/>
          <w:szCs w:val="20"/>
        </w:rPr>
        <w:t>紅區則</w:t>
      </w:r>
      <w:proofErr w:type="gramEnd"/>
      <w:r w:rsidRPr="00AC3B45">
        <w:rPr>
          <w:rFonts w:eastAsia="標楷體" w:cstheme="minorHAnsi"/>
          <w:color w:val="FF0000"/>
          <w:sz w:val="20"/>
          <w:szCs w:val="20"/>
        </w:rPr>
        <w:t>其一測試指標符合門檻即可。</w:t>
      </w:r>
    </w:p>
  </w:footnote>
  <w:footnote w:id="107">
    <w:p w14:paraId="17ADA858" w14:textId="77777777" w:rsidR="00BD20A5" w:rsidRPr="00A5488F" w:rsidRDefault="00BD20A5" w:rsidP="00215C4A">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215C4A">
        <w:rPr>
          <w:rFonts w:eastAsia="標楷體" w:cstheme="minorHAnsi" w:hint="eastAsia"/>
          <w:sz w:val="20"/>
          <w:szCs w:val="20"/>
        </w:rPr>
        <w:t>例如：顯著跨境金融市場壓力影響多家銀行，或金融市場受制於重大的機制轉變等，可能發生不同銀行的一連串準確的交易台層級模型都發生回溯測試多次穿透或無法適當地追蹤前台評價模型損益的情形。</w:t>
      </w:r>
    </w:p>
  </w:footnote>
  <w:footnote w:id="108">
    <w:p w14:paraId="7C1FE61F" w14:textId="77777777" w:rsidR="00BD20A5" w:rsidRPr="00A5488F" w:rsidRDefault="00BD20A5" w:rsidP="00AA5C6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A5C67">
        <w:rPr>
          <w:rFonts w:eastAsia="標楷體" w:cstheme="minorHAnsi" w:hint="eastAsia"/>
          <w:sz w:val="20"/>
          <w:szCs w:val="20"/>
        </w:rPr>
        <w:t>單一幣別與交叉幣</w:t>
      </w:r>
      <w:proofErr w:type="gramStart"/>
      <w:r w:rsidRPr="00AA5C67">
        <w:rPr>
          <w:rFonts w:eastAsia="標楷體" w:cstheme="minorHAnsi" w:hint="eastAsia"/>
          <w:sz w:val="20"/>
          <w:szCs w:val="20"/>
        </w:rPr>
        <w:t>別基差風險</w:t>
      </w:r>
      <w:proofErr w:type="gramEnd"/>
      <w:r w:rsidRPr="00AA5C67">
        <w:rPr>
          <w:rFonts w:eastAsia="標楷體" w:cstheme="minorHAnsi" w:hint="eastAsia"/>
          <w:sz w:val="20"/>
          <w:szCs w:val="20"/>
        </w:rPr>
        <w:t>與通貨膨脹風險因子之變現</w:t>
      </w:r>
      <w:proofErr w:type="gramStart"/>
      <w:r w:rsidRPr="00AA5C67">
        <w:rPr>
          <w:rFonts w:eastAsia="標楷體" w:cstheme="minorHAnsi" w:hint="eastAsia"/>
          <w:sz w:val="20"/>
          <w:szCs w:val="20"/>
        </w:rPr>
        <w:t>期間，</w:t>
      </w:r>
      <w:proofErr w:type="gramEnd"/>
      <w:r w:rsidRPr="00AA5C67">
        <w:rPr>
          <w:rFonts w:eastAsia="標楷體" w:cstheme="minorHAnsi" w:hint="eastAsia"/>
          <w:sz w:val="20"/>
          <w:szCs w:val="20"/>
        </w:rPr>
        <w:t>比照特定幣別或非特定幣別</w:t>
      </w:r>
      <w:proofErr w:type="gramStart"/>
      <w:r w:rsidRPr="00AA5C67">
        <w:rPr>
          <w:rFonts w:eastAsia="標楷體" w:cstheme="minorHAnsi" w:hint="eastAsia"/>
          <w:sz w:val="20"/>
          <w:szCs w:val="20"/>
        </w:rPr>
        <w:t>之</w:t>
      </w:r>
      <w:proofErr w:type="gramEnd"/>
      <w:r w:rsidRPr="00AA5C67">
        <w:rPr>
          <w:rFonts w:eastAsia="標楷體" w:cstheme="minorHAnsi" w:hint="eastAsia"/>
          <w:sz w:val="20"/>
          <w:szCs w:val="20"/>
        </w:rPr>
        <w:t>利率類別。</w:t>
      </w:r>
    </w:p>
  </w:footnote>
  <w:footnote w:id="109">
    <w:p w14:paraId="6ECC2F44" w14:textId="77777777" w:rsidR="00BD20A5" w:rsidRPr="00A5488F" w:rsidRDefault="00BD20A5" w:rsidP="0051447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514477">
        <w:rPr>
          <w:rFonts w:eastAsia="標楷體" w:cstheme="minorHAnsi" w:hint="eastAsia"/>
          <w:sz w:val="20"/>
          <w:szCs w:val="20"/>
        </w:rPr>
        <w:t>USD/TWD</w:t>
      </w:r>
      <w:r w:rsidRPr="00514477">
        <w:rPr>
          <w:rFonts w:eastAsia="標楷體" w:cstheme="minorHAnsi" w:hint="eastAsia"/>
          <w:sz w:val="20"/>
          <w:szCs w:val="20"/>
        </w:rPr>
        <w:t>、</w:t>
      </w:r>
      <w:r w:rsidRPr="00514477">
        <w:rPr>
          <w:rFonts w:eastAsia="標楷體" w:cstheme="minorHAnsi" w:hint="eastAsia"/>
          <w:sz w:val="20"/>
          <w:szCs w:val="20"/>
        </w:rPr>
        <w:t xml:space="preserve">USD/EUR, USD/JPY, USD/GBP, USD/AUD, USD/CAD, USD/CHF, USD/MXN, USD/CNY, USD/NZD, USD/RUB, USD/HKD, USD/SGD, USD/TRY, USD/KRW, USD/SEK, USD/ZAR, USD/INR, USD/NOK, USD/BRL, EUR/JPY, EUR/GBP, EUR/CHF </w:t>
      </w:r>
      <w:r w:rsidRPr="00514477">
        <w:rPr>
          <w:rFonts w:eastAsia="標楷體" w:cstheme="minorHAnsi" w:hint="eastAsia"/>
          <w:sz w:val="20"/>
          <w:szCs w:val="20"/>
        </w:rPr>
        <w:t>和</w:t>
      </w:r>
      <w:r w:rsidRPr="00514477">
        <w:rPr>
          <w:rFonts w:eastAsia="標楷體" w:cstheme="minorHAnsi" w:hint="eastAsia"/>
          <w:sz w:val="20"/>
          <w:szCs w:val="20"/>
        </w:rPr>
        <w:t xml:space="preserve"> JPY/AUD</w:t>
      </w:r>
      <w:r w:rsidRPr="00514477">
        <w:rPr>
          <w:rFonts w:eastAsia="標楷體" w:cstheme="minorHAnsi" w:hint="eastAsia"/>
          <w:sz w:val="20"/>
          <w:szCs w:val="20"/>
        </w:rPr>
        <w:t>。這些特定貨幣對所構成之一階交叉貨幣對也可採用相同的變現期間。</w:t>
      </w:r>
    </w:p>
  </w:footnote>
  <w:footnote w:id="110">
    <w:p w14:paraId="2A3E3539" w14:textId="77777777" w:rsidR="00BD20A5" w:rsidRPr="00A5488F" w:rsidRDefault="00BD20A5" w:rsidP="00AA5C67">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AA5C67">
        <w:rPr>
          <w:rFonts w:eastAsia="標楷體" w:cstheme="minorHAnsi" w:hint="eastAsia"/>
          <w:sz w:val="20"/>
          <w:szCs w:val="20"/>
        </w:rPr>
        <w:t>大型資本權益證券附買回協議與股息風險因子之變現期間為</w:t>
      </w:r>
      <w:r w:rsidRPr="00AA5C67">
        <w:rPr>
          <w:rFonts w:eastAsia="標楷體" w:cstheme="minorHAnsi" w:hint="eastAsia"/>
          <w:sz w:val="20"/>
          <w:szCs w:val="20"/>
        </w:rPr>
        <w:t>20</w:t>
      </w:r>
      <w:r w:rsidRPr="00AA5C67">
        <w:rPr>
          <w:rFonts w:eastAsia="標楷體" w:cstheme="minorHAnsi" w:hint="eastAsia"/>
          <w:sz w:val="20"/>
          <w:szCs w:val="20"/>
        </w:rPr>
        <w:t>日。而所有其他權益證券附買回協議與股息風險因子之變現期間為</w:t>
      </w:r>
      <w:r w:rsidRPr="00AA5C67">
        <w:rPr>
          <w:rFonts w:eastAsia="標楷體" w:cstheme="minorHAnsi" w:hint="eastAsia"/>
          <w:sz w:val="20"/>
          <w:szCs w:val="20"/>
        </w:rPr>
        <w:t>60</w:t>
      </w:r>
      <w:r w:rsidRPr="00AA5C67">
        <w:rPr>
          <w:rFonts w:eastAsia="標楷體" w:cstheme="minorHAnsi" w:hint="eastAsia"/>
          <w:sz w:val="20"/>
          <w:szCs w:val="20"/>
        </w:rPr>
        <w:t>日。</w:t>
      </w:r>
    </w:p>
  </w:footnote>
  <w:footnote w:id="111">
    <w:p w14:paraId="2F8C8661" w14:textId="77777777" w:rsidR="00BD20A5" w:rsidRPr="00A5488F" w:rsidRDefault="00BD20A5" w:rsidP="00F95E78">
      <w:pPr>
        <w:jc w:val="both"/>
        <w:rPr>
          <w:rFonts w:eastAsia="標楷體" w:cstheme="minorHAnsi"/>
          <w:sz w:val="20"/>
          <w:szCs w:val="20"/>
        </w:rPr>
      </w:pPr>
      <w:r w:rsidRPr="0079372D">
        <w:rPr>
          <w:rStyle w:val="a5"/>
          <w:rFonts w:ascii="Times New Roman" w:eastAsia="標楷體" w:hAnsi="Times New Roman" w:cs="Times New Roman"/>
          <w:sz w:val="16"/>
          <w:szCs w:val="16"/>
        </w:rPr>
        <w:footnoteRef/>
      </w:r>
      <w:r w:rsidRPr="00F95E78">
        <w:rPr>
          <w:rFonts w:eastAsia="標楷體" w:cstheme="minorHAnsi" w:hint="eastAsia"/>
          <w:sz w:val="20"/>
          <w:szCs w:val="20"/>
        </w:rPr>
        <w:t>可模型風險因子加總之資本要求如同第</w:t>
      </w:r>
      <w:r w:rsidRPr="00F95E78">
        <w:rPr>
          <w:rFonts w:eastAsia="標楷體" w:cstheme="minorHAnsi" w:hint="eastAsia"/>
          <w:sz w:val="20"/>
          <w:szCs w:val="20"/>
        </w:rPr>
        <w:t>(</w:t>
      </w:r>
      <w:r w:rsidRPr="00F95E78">
        <w:rPr>
          <w:rFonts w:eastAsia="標楷體" w:cstheme="minorHAnsi" w:hint="eastAsia"/>
          <w:sz w:val="20"/>
          <w:szCs w:val="20"/>
        </w:rPr>
        <w:t>二</w:t>
      </w:r>
      <w:r w:rsidRPr="00F95E78">
        <w:rPr>
          <w:rFonts w:eastAsia="標楷體" w:cstheme="minorHAnsi" w:hint="eastAsia"/>
          <w:sz w:val="20"/>
          <w:szCs w:val="20"/>
        </w:rPr>
        <w:t>)</w:t>
      </w:r>
      <w:r w:rsidRPr="00F95E78">
        <w:rPr>
          <w:rFonts w:eastAsia="標楷體" w:cstheme="minorHAnsi" w:hint="eastAsia"/>
          <w:sz w:val="20"/>
          <w:szCs w:val="20"/>
        </w:rPr>
        <w:t>點第</w:t>
      </w:r>
      <w:r w:rsidRPr="00F95E78">
        <w:rPr>
          <w:rFonts w:eastAsia="標楷體" w:cstheme="minorHAnsi" w:hint="eastAsia"/>
          <w:sz w:val="20"/>
          <w:szCs w:val="20"/>
        </w:rPr>
        <w:t>4</w:t>
      </w:r>
      <w:r w:rsidRPr="00F95E78">
        <w:rPr>
          <w:rFonts w:eastAsia="標楷體" w:cstheme="minorHAnsi" w:hint="eastAsia"/>
          <w:sz w:val="20"/>
          <w:szCs w:val="20"/>
        </w:rPr>
        <w:t>項可模型風險因子需被最大化，意指</w:t>
      </w:r>
      <w:r w:rsidRPr="00F95E78">
        <w:rPr>
          <w:rFonts w:eastAsia="標楷體" w:cstheme="minorHAnsi" w:hint="eastAsia"/>
          <w:sz w:val="20"/>
          <w:szCs w:val="20"/>
        </w:rPr>
        <w:t>ES</w:t>
      </w:r>
      <w:r w:rsidRPr="00F95E78">
        <w:rPr>
          <w:rFonts w:eastAsia="標楷體" w:cstheme="minorHAnsi" w:hint="eastAsia"/>
          <w:sz w:val="20"/>
          <w:szCs w:val="20"/>
          <w:vertAlign w:val="subscript"/>
        </w:rPr>
        <w:t>R,S</w:t>
      </w:r>
      <w:r w:rsidRPr="00F95E78">
        <w:rPr>
          <w:rFonts w:eastAsia="標楷體" w:cstheme="minorHAnsi" w:hint="eastAsia"/>
          <w:sz w:val="20"/>
          <w:szCs w:val="20"/>
        </w:rPr>
        <w:t>被最大化，如同本項。</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602"/>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 w15:restartNumberingAfterBreak="0">
    <w:nsid w:val="0050188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09A32F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0F60F17"/>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13574C6"/>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170509B"/>
    <w:multiLevelType w:val="hybridMultilevel"/>
    <w:tmpl w:val="99084F5E"/>
    <w:lvl w:ilvl="0" w:tplc="3780956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182025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2214F5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22C7414"/>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9" w15:restartNumberingAfterBreak="0">
    <w:nsid w:val="02C453D0"/>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0" w15:restartNumberingAfterBreak="0">
    <w:nsid w:val="02F9373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3200A9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4607ED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59D0E77"/>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4" w15:restartNumberingAfterBreak="0">
    <w:nsid w:val="05AA0D93"/>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5" w15:restartNumberingAfterBreak="0">
    <w:nsid w:val="05EF4A49"/>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6" w15:restartNumberingAfterBreak="0">
    <w:nsid w:val="061E6073"/>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7" w15:restartNumberingAfterBreak="0">
    <w:nsid w:val="06384C38"/>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18" w15:restartNumberingAfterBreak="0">
    <w:nsid w:val="06A46F5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06F756E9"/>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7560F2A"/>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1" w15:restartNumberingAfterBreak="0">
    <w:nsid w:val="07C95810"/>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07F45CCA"/>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087A6EE7"/>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090E02CD"/>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25" w15:restartNumberingAfterBreak="0">
    <w:nsid w:val="093A2776"/>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26" w15:restartNumberingAfterBreak="0">
    <w:nsid w:val="09814F0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09B75301"/>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09C747D5"/>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09E53DDD"/>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0A44026F"/>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0A64502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0B2B156D"/>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3" w15:restartNumberingAfterBreak="0">
    <w:nsid w:val="0B8F1845"/>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4" w15:restartNumberingAfterBreak="0">
    <w:nsid w:val="0C067371"/>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5" w15:restartNumberingAfterBreak="0">
    <w:nsid w:val="0C6C3800"/>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6" w15:restartNumberingAfterBreak="0">
    <w:nsid w:val="0CFF4064"/>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0D396FFF"/>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0D6F113D"/>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9" w15:restartNumberingAfterBreak="0">
    <w:nsid w:val="0D71526D"/>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0D831029"/>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0DE13154"/>
    <w:multiLevelType w:val="hybridMultilevel"/>
    <w:tmpl w:val="4D2E7732"/>
    <w:lvl w:ilvl="0" w:tplc="A0460C5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0E6A2C2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0F1D0E6C"/>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44" w15:restartNumberingAfterBreak="0">
    <w:nsid w:val="0F5F561B"/>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0FE61B9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0FF600E0"/>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10000F68"/>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48" w15:restartNumberingAfterBreak="0">
    <w:nsid w:val="102D3BD7"/>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49" w15:restartNumberingAfterBreak="0">
    <w:nsid w:val="102F0FE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119666C9"/>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11C97D72"/>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11D262C1"/>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12CD0948"/>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133924E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14873AF2"/>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14D4382D"/>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150E6DA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15557FE6"/>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59" w15:restartNumberingAfterBreak="0">
    <w:nsid w:val="15A807A1"/>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15E658B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165A3150"/>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16A3323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16E3362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16FA2A43"/>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65" w15:restartNumberingAfterBreak="0">
    <w:nsid w:val="16FD25E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17804496"/>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67" w15:restartNumberingAfterBreak="0">
    <w:nsid w:val="178B5392"/>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68" w15:restartNumberingAfterBreak="0">
    <w:nsid w:val="17DB5662"/>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18116DF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183B4ED8"/>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71" w15:restartNumberingAfterBreak="0">
    <w:nsid w:val="18727BA6"/>
    <w:multiLevelType w:val="hybridMultilevel"/>
    <w:tmpl w:val="039A93EC"/>
    <w:lvl w:ilvl="0" w:tplc="28328BBC">
      <w:start w:val="1"/>
      <w:numFmt w:val="decimal"/>
      <w:lvlText w:val="%1."/>
      <w:lvlJc w:val="left"/>
      <w:pPr>
        <w:ind w:left="360" w:hanging="360"/>
      </w:pPr>
      <w:rPr>
        <w:rFonts w:asciiTheme="minorHAnsi" w:hAnsiTheme="minorHAnsi" w:cstheme="minorHAnsi" w:hint="default"/>
        <w:b w:val="0"/>
        <w: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190F7C24"/>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73" w15:restartNumberingAfterBreak="0">
    <w:nsid w:val="1AF14B11"/>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74" w15:restartNumberingAfterBreak="0">
    <w:nsid w:val="1BA40F50"/>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75" w15:restartNumberingAfterBreak="0">
    <w:nsid w:val="1BA7796D"/>
    <w:multiLevelType w:val="hybridMultilevel"/>
    <w:tmpl w:val="99084F5E"/>
    <w:lvl w:ilvl="0" w:tplc="3780956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1BAF44CA"/>
    <w:multiLevelType w:val="hybridMultilevel"/>
    <w:tmpl w:val="039A93EC"/>
    <w:lvl w:ilvl="0" w:tplc="28328BBC">
      <w:start w:val="1"/>
      <w:numFmt w:val="decimal"/>
      <w:lvlText w:val="%1."/>
      <w:lvlJc w:val="left"/>
      <w:pPr>
        <w:ind w:left="360" w:hanging="360"/>
      </w:pPr>
      <w:rPr>
        <w:rFonts w:asciiTheme="minorHAnsi" w:hAnsiTheme="minorHAnsi" w:cstheme="minorHAnsi" w:hint="default"/>
        <w:b w:val="0"/>
        <w: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1BD4577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1D5A2AA8"/>
    <w:multiLevelType w:val="hybridMultilevel"/>
    <w:tmpl w:val="4DAE911A"/>
    <w:lvl w:ilvl="0" w:tplc="3C9479E2">
      <w:start w:val="1"/>
      <w:numFmt w:val="taiwaneseCountingThousand"/>
      <w:lvlText w:val="(%1)"/>
      <w:lvlJc w:val="left"/>
      <w:pPr>
        <w:ind w:left="390" w:hanging="390"/>
      </w:pPr>
      <w:rPr>
        <w:rFonts w:asciiTheme="minorHAnsi" w:eastAsia="標楷體"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1DDC35F4"/>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80" w15:restartNumberingAfterBreak="0">
    <w:nsid w:val="1E6534C2"/>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81" w15:restartNumberingAfterBreak="0">
    <w:nsid w:val="1F0F3719"/>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82" w15:restartNumberingAfterBreak="0">
    <w:nsid w:val="1F2C036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20673E39"/>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20D36C3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21451D7A"/>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86" w15:restartNumberingAfterBreak="0">
    <w:nsid w:val="22985FEF"/>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22AC60B9"/>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23093AAC"/>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89" w15:restartNumberingAfterBreak="0">
    <w:nsid w:val="23150B6A"/>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237A29D4"/>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24050505"/>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92" w15:restartNumberingAfterBreak="0">
    <w:nsid w:val="24337CF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25561241"/>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94" w15:restartNumberingAfterBreak="0">
    <w:nsid w:val="255D2824"/>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95" w15:restartNumberingAfterBreak="0">
    <w:nsid w:val="2565543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26D612A2"/>
    <w:multiLevelType w:val="hybridMultilevel"/>
    <w:tmpl w:val="C6BCA74C"/>
    <w:lvl w:ilvl="0" w:tplc="39167D64">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2708180E"/>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98" w15:restartNumberingAfterBreak="0">
    <w:nsid w:val="27372DAC"/>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273C55A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2901516B"/>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2919529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292A7664"/>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03" w15:restartNumberingAfterBreak="0">
    <w:nsid w:val="297C3E8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29C65B40"/>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29E2714F"/>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06" w15:restartNumberingAfterBreak="0">
    <w:nsid w:val="2A6D5AC3"/>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2A775588"/>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2AB236F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2ABB0D60"/>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2BAD4C3E"/>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11" w15:restartNumberingAfterBreak="0">
    <w:nsid w:val="2C0610F9"/>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15:restartNumberingAfterBreak="0">
    <w:nsid w:val="2CB13901"/>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2D03074C"/>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14" w15:restartNumberingAfterBreak="0">
    <w:nsid w:val="2D55447B"/>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2D832558"/>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2DE7389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2E7446A4"/>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8" w15:restartNumberingAfterBreak="0">
    <w:nsid w:val="2F8D6BE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30B95CE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30C35BEB"/>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21" w15:restartNumberingAfterBreak="0">
    <w:nsid w:val="30F67EDF"/>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31925EA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31AA0308"/>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24" w15:restartNumberingAfterBreak="0">
    <w:nsid w:val="31B35220"/>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32227973"/>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26" w15:restartNumberingAfterBreak="0">
    <w:nsid w:val="3387043A"/>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27" w15:restartNumberingAfterBreak="0">
    <w:nsid w:val="33BD11A9"/>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8" w15:restartNumberingAfterBreak="0">
    <w:nsid w:val="33CD03DE"/>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29" w15:restartNumberingAfterBreak="0">
    <w:nsid w:val="33F047FB"/>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341A1317"/>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1" w15:restartNumberingAfterBreak="0">
    <w:nsid w:val="34573BA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2" w15:restartNumberingAfterBreak="0">
    <w:nsid w:val="35746E0F"/>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33" w15:restartNumberingAfterBreak="0">
    <w:nsid w:val="358911DB"/>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34" w15:restartNumberingAfterBreak="0">
    <w:nsid w:val="35926B4E"/>
    <w:multiLevelType w:val="hybridMultilevel"/>
    <w:tmpl w:val="F26A7FDA"/>
    <w:lvl w:ilvl="0" w:tplc="4168B070">
      <w:start w:val="1"/>
      <w:numFmt w:val="decimal"/>
      <w:lvlText w:val="%1."/>
      <w:lvlJc w:val="left"/>
      <w:pPr>
        <w:ind w:left="360" w:hanging="36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5" w15:restartNumberingAfterBreak="0">
    <w:nsid w:val="367E3B43"/>
    <w:multiLevelType w:val="hybridMultilevel"/>
    <w:tmpl w:val="0DE20C80"/>
    <w:lvl w:ilvl="0" w:tplc="A5A0686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6" w15:restartNumberingAfterBreak="0">
    <w:nsid w:val="378F351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7" w15:restartNumberingAfterBreak="0">
    <w:nsid w:val="379A3D49"/>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8" w15:restartNumberingAfterBreak="0">
    <w:nsid w:val="37A03623"/>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9" w15:restartNumberingAfterBreak="0">
    <w:nsid w:val="37FA387B"/>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40" w15:restartNumberingAfterBreak="0">
    <w:nsid w:val="38597F5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1" w15:restartNumberingAfterBreak="0">
    <w:nsid w:val="39176AB1"/>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2" w15:restartNumberingAfterBreak="0">
    <w:nsid w:val="392B5D05"/>
    <w:multiLevelType w:val="hybridMultilevel"/>
    <w:tmpl w:val="3EC44BC2"/>
    <w:lvl w:ilvl="0" w:tplc="D9B6DCC0">
      <w:start w:val="1"/>
      <w:numFmt w:val="decimal"/>
      <w:pStyle w:val="2"/>
      <w:lvlText w:val="%1."/>
      <w:lvlJc w:val="left"/>
      <w:pPr>
        <w:ind w:left="360" w:hanging="360"/>
      </w:pPr>
      <w:rPr>
        <w:rFonts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3" w15:restartNumberingAfterBreak="0">
    <w:nsid w:val="3A2C680C"/>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4" w15:restartNumberingAfterBreak="0">
    <w:nsid w:val="3A2D7F43"/>
    <w:multiLevelType w:val="hybridMultilevel"/>
    <w:tmpl w:val="F1F612D0"/>
    <w:lvl w:ilvl="0" w:tplc="AD5AFDB6">
      <w:start w:val="1"/>
      <w:numFmt w:val="lowerRoman"/>
      <w:pStyle w:val="3"/>
      <w:lvlText w:val="(%1)"/>
      <w:lvlJc w:val="center"/>
      <w:pPr>
        <w:ind w:left="1462" w:hanging="480"/>
      </w:pPr>
      <w:rPr>
        <w:rFonts w:asci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1942" w:hanging="480"/>
      </w:pPr>
    </w:lvl>
    <w:lvl w:ilvl="2" w:tplc="0409001B" w:tentative="1">
      <w:start w:val="1"/>
      <w:numFmt w:val="lowerRoman"/>
      <w:lvlText w:val="%3."/>
      <w:lvlJc w:val="right"/>
      <w:pPr>
        <w:ind w:left="2422" w:hanging="480"/>
      </w:pPr>
    </w:lvl>
    <w:lvl w:ilvl="3" w:tplc="0409000F" w:tentative="1">
      <w:start w:val="1"/>
      <w:numFmt w:val="decimal"/>
      <w:lvlText w:val="%4."/>
      <w:lvlJc w:val="left"/>
      <w:pPr>
        <w:ind w:left="2902" w:hanging="480"/>
      </w:pPr>
    </w:lvl>
    <w:lvl w:ilvl="4" w:tplc="04090019" w:tentative="1">
      <w:start w:val="1"/>
      <w:numFmt w:val="ideographTraditional"/>
      <w:lvlText w:val="%5、"/>
      <w:lvlJc w:val="left"/>
      <w:pPr>
        <w:ind w:left="3382" w:hanging="480"/>
      </w:pPr>
    </w:lvl>
    <w:lvl w:ilvl="5" w:tplc="0409001B" w:tentative="1">
      <w:start w:val="1"/>
      <w:numFmt w:val="lowerRoman"/>
      <w:lvlText w:val="%6."/>
      <w:lvlJc w:val="right"/>
      <w:pPr>
        <w:ind w:left="3862" w:hanging="480"/>
      </w:pPr>
    </w:lvl>
    <w:lvl w:ilvl="6" w:tplc="0409000F" w:tentative="1">
      <w:start w:val="1"/>
      <w:numFmt w:val="decimal"/>
      <w:lvlText w:val="%7."/>
      <w:lvlJc w:val="left"/>
      <w:pPr>
        <w:ind w:left="4342" w:hanging="480"/>
      </w:pPr>
    </w:lvl>
    <w:lvl w:ilvl="7" w:tplc="04090019" w:tentative="1">
      <w:start w:val="1"/>
      <w:numFmt w:val="ideographTraditional"/>
      <w:lvlText w:val="%8、"/>
      <w:lvlJc w:val="left"/>
      <w:pPr>
        <w:ind w:left="4822" w:hanging="480"/>
      </w:pPr>
    </w:lvl>
    <w:lvl w:ilvl="8" w:tplc="0409001B" w:tentative="1">
      <w:start w:val="1"/>
      <w:numFmt w:val="lowerRoman"/>
      <w:lvlText w:val="%9."/>
      <w:lvlJc w:val="right"/>
      <w:pPr>
        <w:ind w:left="5302" w:hanging="480"/>
      </w:pPr>
    </w:lvl>
  </w:abstractNum>
  <w:abstractNum w:abstractNumId="145" w15:restartNumberingAfterBreak="0">
    <w:nsid w:val="3A587BB8"/>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6" w15:restartNumberingAfterBreak="0">
    <w:nsid w:val="3A691657"/>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47" w15:restartNumberingAfterBreak="0">
    <w:nsid w:val="3A7554D8"/>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48" w15:restartNumberingAfterBreak="0">
    <w:nsid w:val="3A77275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3A85529E"/>
    <w:multiLevelType w:val="hybridMultilevel"/>
    <w:tmpl w:val="ED92C378"/>
    <w:lvl w:ilvl="0" w:tplc="6ABE7AF6">
      <w:start w:val="1"/>
      <w:numFmt w:val="taiwaneseCountingThousand"/>
      <w:lvlText w:val="(%1)"/>
      <w:lvlJc w:val="left"/>
      <w:pPr>
        <w:ind w:left="480" w:hanging="480"/>
      </w:pPr>
      <w:rPr>
        <w:rFonts w:asciiTheme="minorHAnsi" w:eastAsia="標楷體"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0" w15:restartNumberingAfterBreak="0">
    <w:nsid w:val="3AA03FB3"/>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1" w15:restartNumberingAfterBreak="0">
    <w:nsid w:val="3AA62911"/>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52" w15:restartNumberingAfterBreak="0">
    <w:nsid w:val="3B085E75"/>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3" w15:restartNumberingAfterBreak="0">
    <w:nsid w:val="3B49204A"/>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54" w15:restartNumberingAfterBreak="0">
    <w:nsid w:val="3BB67C6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5" w15:restartNumberingAfterBreak="0">
    <w:nsid w:val="3CB41842"/>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6" w15:restartNumberingAfterBreak="0">
    <w:nsid w:val="3CCE7720"/>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3D3B32A1"/>
    <w:multiLevelType w:val="hybridMultilevel"/>
    <w:tmpl w:val="336C1BC6"/>
    <w:lvl w:ilvl="0" w:tplc="BCB40056">
      <w:start w:val="1"/>
      <w:numFmt w:val="decimal"/>
      <w:lvlText w:val="%1."/>
      <w:lvlJc w:val="left"/>
      <w:pPr>
        <w:ind w:left="269" w:hanging="181"/>
      </w:pPr>
      <w:rPr>
        <w:rFonts w:ascii="Times New Roman" w:eastAsia="Times New Roman" w:hAnsi="Times New Roman" w:cs="Times New Roman" w:hint="default"/>
        <w:w w:val="100"/>
        <w:sz w:val="22"/>
        <w:szCs w:val="22"/>
      </w:rPr>
    </w:lvl>
    <w:lvl w:ilvl="1" w:tplc="51EAF872">
      <w:numFmt w:val="bullet"/>
      <w:lvlText w:val="•"/>
      <w:lvlJc w:val="left"/>
      <w:pPr>
        <w:ind w:left="685" w:hanging="181"/>
      </w:pPr>
      <w:rPr>
        <w:rFonts w:hint="default"/>
      </w:rPr>
    </w:lvl>
    <w:lvl w:ilvl="2" w:tplc="E196EE3C">
      <w:numFmt w:val="bullet"/>
      <w:lvlText w:val="•"/>
      <w:lvlJc w:val="left"/>
      <w:pPr>
        <w:ind w:left="1111" w:hanging="181"/>
      </w:pPr>
      <w:rPr>
        <w:rFonts w:hint="default"/>
      </w:rPr>
    </w:lvl>
    <w:lvl w:ilvl="3" w:tplc="2354A1BC">
      <w:numFmt w:val="bullet"/>
      <w:lvlText w:val="•"/>
      <w:lvlJc w:val="left"/>
      <w:pPr>
        <w:ind w:left="1537" w:hanging="181"/>
      </w:pPr>
      <w:rPr>
        <w:rFonts w:hint="default"/>
      </w:rPr>
    </w:lvl>
    <w:lvl w:ilvl="4" w:tplc="2F36A258">
      <w:numFmt w:val="bullet"/>
      <w:lvlText w:val="•"/>
      <w:lvlJc w:val="left"/>
      <w:pPr>
        <w:ind w:left="1963" w:hanging="181"/>
      </w:pPr>
      <w:rPr>
        <w:rFonts w:hint="default"/>
      </w:rPr>
    </w:lvl>
    <w:lvl w:ilvl="5" w:tplc="7918348A">
      <w:numFmt w:val="bullet"/>
      <w:lvlText w:val="•"/>
      <w:lvlJc w:val="left"/>
      <w:pPr>
        <w:ind w:left="2389" w:hanging="181"/>
      </w:pPr>
      <w:rPr>
        <w:rFonts w:hint="default"/>
      </w:rPr>
    </w:lvl>
    <w:lvl w:ilvl="6" w:tplc="2168D7F2">
      <w:numFmt w:val="bullet"/>
      <w:lvlText w:val="•"/>
      <w:lvlJc w:val="left"/>
      <w:pPr>
        <w:ind w:left="2815" w:hanging="181"/>
      </w:pPr>
      <w:rPr>
        <w:rFonts w:hint="default"/>
      </w:rPr>
    </w:lvl>
    <w:lvl w:ilvl="7" w:tplc="12B40B4E">
      <w:numFmt w:val="bullet"/>
      <w:lvlText w:val="•"/>
      <w:lvlJc w:val="left"/>
      <w:pPr>
        <w:ind w:left="3241" w:hanging="181"/>
      </w:pPr>
      <w:rPr>
        <w:rFonts w:hint="default"/>
      </w:rPr>
    </w:lvl>
    <w:lvl w:ilvl="8" w:tplc="125814DE">
      <w:numFmt w:val="bullet"/>
      <w:lvlText w:val="•"/>
      <w:lvlJc w:val="left"/>
      <w:pPr>
        <w:ind w:left="3667" w:hanging="181"/>
      </w:pPr>
      <w:rPr>
        <w:rFonts w:hint="default"/>
      </w:rPr>
    </w:lvl>
  </w:abstractNum>
  <w:abstractNum w:abstractNumId="158" w15:restartNumberingAfterBreak="0">
    <w:nsid w:val="3D3D1F8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9" w15:restartNumberingAfterBreak="0">
    <w:nsid w:val="3D9379CC"/>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60" w15:restartNumberingAfterBreak="0">
    <w:nsid w:val="3DC15E6D"/>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1" w15:restartNumberingAfterBreak="0">
    <w:nsid w:val="3DC55C82"/>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2" w15:restartNumberingAfterBreak="0">
    <w:nsid w:val="3E6857DD"/>
    <w:multiLevelType w:val="hybridMultilevel"/>
    <w:tmpl w:val="039A93EC"/>
    <w:lvl w:ilvl="0" w:tplc="28328BBC">
      <w:start w:val="1"/>
      <w:numFmt w:val="decimal"/>
      <w:lvlText w:val="%1."/>
      <w:lvlJc w:val="left"/>
      <w:pPr>
        <w:ind w:left="360" w:hanging="360"/>
      </w:pPr>
      <w:rPr>
        <w:rFonts w:asciiTheme="minorHAnsi" w:hAnsiTheme="minorHAnsi" w:cstheme="minorHAnsi" w:hint="default"/>
        <w:b w:val="0"/>
        <w: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3E8C363D"/>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64" w15:restartNumberingAfterBreak="0">
    <w:nsid w:val="3EAB6BFF"/>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5" w15:restartNumberingAfterBreak="0">
    <w:nsid w:val="3EF6199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6" w15:restartNumberingAfterBreak="0">
    <w:nsid w:val="3F707275"/>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67" w15:restartNumberingAfterBreak="0">
    <w:nsid w:val="3FE20706"/>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8" w15:restartNumberingAfterBreak="0">
    <w:nsid w:val="402D4241"/>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9" w15:restartNumberingAfterBreak="0">
    <w:nsid w:val="403270FF"/>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70" w15:restartNumberingAfterBreak="0">
    <w:nsid w:val="4093145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1" w15:restartNumberingAfterBreak="0">
    <w:nsid w:val="40BD637E"/>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2" w15:restartNumberingAfterBreak="0">
    <w:nsid w:val="419812F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3" w15:restartNumberingAfterBreak="0">
    <w:nsid w:val="41B0444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4" w15:restartNumberingAfterBreak="0">
    <w:nsid w:val="4201520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5" w15:restartNumberingAfterBreak="0">
    <w:nsid w:val="42062D37"/>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6" w15:restartNumberingAfterBreak="0">
    <w:nsid w:val="420F7EBB"/>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77" w15:restartNumberingAfterBreak="0">
    <w:nsid w:val="423B1D58"/>
    <w:multiLevelType w:val="hybridMultilevel"/>
    <w:tmpl w:val="0DE20C80"/>
    <w:lvl w:ilvl="0" w:tplc="A5A0686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8" w15:restartNumberingAfterBreak="0">
    <w:nsid w:val="42464C06"/>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179" w15:restartNumberingAfterBreak="0">
    <w:nsid w:val="42E80E4E"/>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80" w15:restartNumberingAfterBreak="0">
    <w:nsid w:val="439E46B6"/>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1" w15:restartNumberingAfterBreak="0">
    <w:nsid w:val="43BF3EE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2" w15:restartNumberingAfterBreak="0">
    <w:nsid w:val="44E371A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3" w15:restartNumberingAfterBreak="0">
    <w:nsid w:val="44FE7851"/>
    <w:multiLevelType w:val="hybridMultilevel"/>
    <w:tmpl w:val="99084F5E"/>
    <w:lvl w:ilvl="0" w:tplc="3780956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4" w15:restartNumberingAfterBreak="0">
    <w:nsid w:val="4504745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5" w15:restartNumberingAfterBreak="0">
    <w:nsid w:val="4508015F"/>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86" w15:restartNumberingAfterBreak="0">
    <w:nsid w:val="45DF3D9E"/>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7" w15:restartNumberingAfterBreak="0">
    <w:nsid w:val="460F7978"/>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8" w15:restartNumberingAfterBreak="0">
    <w:nsid w:val="463230E4"/>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189" w15:restartNumberingAfterBreak="0">
    <w:nsid w:val="468818F2"/>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0" w15:restartNumberingAfterBreak="0">
    <w:nsid w:val="46A32D3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1" w15:restartNumberingAfterBreak="0">
    <w:nsid w:val="46B84AEA"/>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2" w15:restartNumberingAfterBreak="0">
    <w:nsid w:val="472C2090"/>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3" w15:restartNumberingAfterBreak="0">
    <w:nsid w:val="47415A07"/>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94" w15:restartNumberingAfterBreak="0">
    <w:nsid w:val="476D6312"/>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95" w15:restartNumberingAfterBreak="0">
    <w:nsid w:val="48F05CAF"/>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6" w15:restartNumberingAfterBreak="0">
    <w:nsid w:val="48F358D7"/>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97" w15:restartNumberingAfterBreak="0">
    <w:nsid w:val="491C0BA6"/>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8" w15:restartNumberingAfterBreak="0">
    <w:nsid w:val="497A0603"/>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199" w15:restartNumberingAfterBreak="0">
    <w:nsid w:val="49AA55E9"/>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00" w15:restartNumberingAfterBreak="0">
    <w:nsid w:val="4AD060D8"/>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01" w15:restartNumberingAfterBreak="0">
    <w:nsid w:val="4AEB6549"/>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02" w15:restartNumberingAfterBreak="0">
    <w:nsid w:val="4B0002B8"/>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03" w15:restartNumberingAfterBreak="0">
    <w:nsid w:val="4B3F6E8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4" w15:restartNumberingAfterBreak="0">
    <w:nsid w:val="4B4F6BB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5" w15:restartNumberingAfterBreak="0">
    <w:nsid w:val="4C0C3AE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4C105586"/>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07" w15:restartNumberingAfterBreak="0">
    <w:nsid w:val="4C1B7510"/>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8" w15:restartNumberingAfterBreak="0">
    <w:nsid w:val="4C330B0D"/>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9" w15:restartNumberingAfterBreak="0">
    <w:nsid w:val="4C8133B0"/>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0" w15:restartNumberingAfterBreak="0">
    <w:nsid w:val="4CDC631A"/>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1" w15:restartNumberingAfterBreak="0">
    <w:nsid w:val="4D0D38D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2" w15:restartNumberingAfterBreak="0">
    <w:nsid w:val="4DA211F3"/>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4E2D65F9"/>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4" w15:restartNumberingAfterBreak="0">
    <w:nsid w:val="4E380EF4"/>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215" w15:restartNumberingAfterBreak="0">
    <w:nsid w:val="4E4C77B7"/>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6" w15:restartNumberingAfterBreak="0">
    <w:nsid w:val="4E815FC5"/>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217" w15:restartNumberingAfterBreak="0">
    <w:nsid w:val="4EAC5D19"/>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8" w15:restartNumberingAfterBreak="0">
    <w:nsid w:val="4F984864"/>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50341AAB"/>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0" w15:restartNumberingAfterBreak="0">
    <w:nsid w:val="506321DE"/>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21" w15:restartNumberingAfterBreak="0">
    <w:nsid w:val="51C12D89"/>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2" w15:restartNumberingAfterBreak="0">
    <w:nsid w:val="52C21C7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3" w15:restartNumberingAfterBreak="0">
    <w:nsid w:val="53785C62"/>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4" w15:restartNumberingAfterBreak="0">
    <w:nsid w:val="5404690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54823998"/>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6" w15:restartNumberingAfterBreak="0">
    <w:nsid w:val="54C30348"/>
    <w:multiLevelType w:val="hybridMultilevel"/>
    <w:tmpl w:val="07A6A480"/>
    <w:lvl w:ilvl="0" w:tplc="2E32C37C">
      <w:start w:val="1"/>
      <w:numFmt w:val="taiwaneseCountingThousand"/>
      <w:lvlText w:val="(%1)"/>
      <w:lvlJc w:val="left"/>
      <w:pPr>
        <w:ind w:left="480" w:hanging="480"/>
      </w:pPr>
      <w:rPr>
        <w:rFonts w:asciiTheme="minorHAnsi" w:eastAsia="標楷體"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7" w15:restartNumberingAfterBreak="0">
    <w:nsid w:val="54CB415D"/>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55556028"/>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29" w15:restartNumberingAfterBreak="0">
    <w:nsid w:val="55607F4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55E20724"/>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31" w15:restartNumberingAfterBreak="0">
    <w:nsid w:val="5671698C"/>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32" w15:restartNumberingAfterBreak="0">
    <w:nsid w:val="56956D44"/>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33" w15:restartNumberingAfterBreak="0">
    <w:nsid w:val="56AA0619"/>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4" w15:restartNumberingAfterBreak="0">
    <w:nsid w:val="57175550"/>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5" w15:restartNumberingAfterBreak="0">
    <w:nsid w:val="57BA386C"/>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36" w15:restartNumberingAfterBreak="0">
    <w:nsid w:val="587F47DF"/>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7" w15:restartNumberingAfterBreak="0">
    <w:nsid w:val="58916CC6"/>
    <w:multiLevelType w:val="hybridMultilevel"/>
    <w:tmpl w:val="C6541188"/>
    <w:lvl w:ilvl="0" w:tplc="1564FAA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8" w15:restartNumberingAfterBreak="0">
    <w:nsid w:val="58C0153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9" w15:restartNumberingAfterBreak="0">
    <w:nsid w:val="591716EE"/>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40" w15:restartNumberingAfterBreak="0">
    <w:nsid w:val="591720BF"/>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1" w15:restartNumberingAfterBreak="0">
    <w:nsid w:val="59F854C3"/>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2" w15:restartNumberingAfterBreak="0">
    <w:nsid w:val="5A2B6C17"/>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3" w15:restartNumberingAfterBreak="0">
    <w:nsid w:val="5A733F26"/>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44" w15:restartNumberingAfterBreak="0">
    <w:nsid w:val="5A9D7A9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5" w15:restartNumberingAfterBreak="0">
    <w:nsid w:val="5AAE18A4"/>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46" w15:restartNumberingAfterBreak="0">
    <w:nsid w:val="5AF36870"/>
    <w:multiLevelType w:val="hybridMultilevel"/>
    <w:tmpl w:val="99084F5E"/>
    <w:lvl w:ilvl="0" w:tplc="3780956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7" w15:restartNumberingAfterBreak="0">
    <w:nsid w:val="5B866351"/>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8" w15:restartNumberingAfterBreak="0">
    <w:nsid w:val="5BAA5623"/>
    <w:multiLevelType w:val="hybridMultilevel"/>
    <w:tmpl w:val="26805E50"/>
    <w:lvl w:ilvl="0" w:tplc="88CEBDF0">
      <w:start w:val="1"/>
      <w:numFmt w:val="decimal"/>
      <w:lvlText w:val="%1."/>
      <w:lvlJc w:val="left"/>
      <w:pPr>
        <w:ind w:left="360" w:hanging="360"/>
      </w:pPr>
      <w:rPr>
        <w:rFonts w:asciiTheme="minorHAnsi" w:hAnsiTheme="minorHAnsi" w:cstheme="minorHAnsi" w:hint="default"/>
        <w:b w:val="0"/>
        <w:strike w:val="0"/>
        <w:color w:val="auto"/>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9" w15:restartNumberingAfterBreak="0">
    <w:nsid w:val="5BDC5AE7"/>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0" w15:restartNumberingAfterBreak="0">
    <w:nsid w:val="5BE22B53"/>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5BF9279D"/>
    <w:multiLevelType w:val="hybridMultilevel"/>
    <w:tmpl w:val="3EE0ACD4"/>
    <w:lvl w:ilvl="0" w:tplc="EDEC173E">
      <w:start w:val="1"/>
      <w:numFmt w:val="upperLetter"/>
      <w:pStyle w:val="20"/>
      <w:lvlText w:val="%1."/>
      <w:lvlJc w:val="left"/>
      <w:pPr>
        <w:ind w:left="360" w:hanging="360"/>
      </w:pPr>
      <w:rPr>
        <w:rFonts w:hint="default"/>
      </w:rPr>
    </w:lvl>
    <w:lvl w:ilvl="1" w:tplc="AE8A8ADE">
      <w:start w:val="1"/>
      <w:numFmt w:val="decimal"/>
      <w:lvlText w:val="%2."/>
      <w:lvlJc w:val="left"/>
      <w:pPr>
        <w:ind w:left="840" w:hanging="360"/>
      </w:pPr>
      <w:rPr>
        <w:rFonts w:hAnsi="標楷體"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2" w15:restartNumberingAfterBreak="0">
    <w:nsid w:val="5C671876"/>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3" w15:restartNumberingAfterBreak="0">
    <w:nsid w:val="5CFE5828"/>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4" w15:restartNumberingAfterBreak="0">
    <w:nsid w:val="5D195C41"/>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55" w15:restartNumberingAfterBreak="0">
    <w:nsid w:val="5D641220"/>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6" w15:restartNumberingAfterBreak="0">
    <w:nsid w:val="5D9151C2"/>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57" w15:restartNumberingAfterBreak="0">
    <w:nsid w:val="5D960FE1"/>
    <w:multiLevelType w:val="hybridMultilevel"/>
    <w:tmpl w:val="DE6213D2"/>
    <w:lvl w:ilvl="0" w:tplc="E4A07C3A">
      <w:start w:val="1"/>
      <w:numFmt w:val="lowerLetter"/>
      <w:lvlText w:val="(%1)"/>
      <w:lvlJc w:val="left"/>
      <w:pPr>
        <w:ind w:left="1931" w:hanging="360"/>
      </w:pPr>
      <w:rPr>
        <w:rFonts w:cstheme="minorBidi" w:hint="default"/>
        <w:b w:val="0"/>
        <w:i w:val="0"/>
        <w:color w:val="auto"/>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258" w15:restartNumberingAfterBreak="0">
    <w:nsid w:val="5DF54B68"/>
    <w:multiLevelType w:val="hybridMultilevel"/>
    <w:tmpl w:val="4DAE911A"/>
    <w:lvl w:ilvl="0" w:tplc="3C9479E2">
      <w:start w:val="1"/>
      <w:numFmt w:val="taiwaneseCountingThousand"/>
      <w:lvlText w:val="(%1)"/>
      <w:lvlJc w:val="left"/>
      <w:pPr>
        <w:ind w:left="390" w:hanging="390"/>
      </w:pPr>
      <w:rPr>
        <w:rFonts w:asciiTheme="minorHAnsi" w:eastAsia="標楷體"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9" w15:restartNumberingAfterBreak="0">
    <w:nsid w:val="5E0240AF"/>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0" w15:restartNumberingAfterBreak="0">
    <w:nsid w:val="5E0D74C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1" w15:restartNumberingAfterBreak="0">
    <w:nsid w:val="5E2D2505"/>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2" w15:restartNumberingAfterBreak="0">
    <w:nsid w:val="5F080126"/>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3" w15:restartNumberingAfterBreak="0">
    <w:nsid w:val="5F086F3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4" w15:restartNumberingAfterBreak="0">
    <w:nsid w:val="5F3415F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5" w15:restartNumberingAfterBreak="0">
    <w:nsid w:val="5F5F0AD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61F6708B"/>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623E1FB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8" w15:restartNumberingAfterBreak="0">
    <w:nsid w:val="6288527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9" w15:restartNumberingAfterBreak="0">
    <w:nsid w:val="62C3246A"/>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0" w15:restartNumberingAfterBreak="0">
    <w:nsid w:val="63EA569F"/>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71" w15:restartNumberingAfterBreak="0">
    <w:nsid w:val="641D08A7"/>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72" w15:restartNumberingAfterBreak="0">
    <w:nsid w:val="64392A4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3" w15:restartNumberingAfterBreak="0">
    <w:nsid w:val="64567995"/>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4" w15:restartNumberingAfterBreak="0">
    <w:nsid w:val="64A569BD"/>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5" w15:restartNumberingAfterBreak="0">
    <w:nsid w:val="64FF568F"/>
    <w:multiLevelType w:val="hybridMultilevel"/>
    <w:tmpl w:val="4DAE911A"/>
    <w:lvl w:ilvl="0" w:tplc="3C9479E2">
      <w:start w:val="1"/>
      <w:numFmt w:val="taiwaneseCountingThousand"/>
      <w:lvlText w:val="(%1)"/>
      <w:lvlJc w:val="left"/>
      <w:pPr>
        <w:ind w:left="390" w:hanging="390"/>
      </w:pPr>
      <w:rPr>
        <w:rFonts w:asciiTheme="minorHAnsi" w:eastAsia="標楷體"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6" w15:restartNumberingAfterBreak="0">
    <w:nsid w:val="651641C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7" w15:restartNumberingAfterBreak="0">
    <w:nsid w:val="65594BD1"/>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8" w15:restartNumberingAfterBreak="0">
    <w:nsid w:val="65B2361B"/>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9" w15:restartNumberingAfterBreak="0">
    <w:nsid w:val="65CF0B43"/>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0" w15:restartNumberingAfterBreak="0">
    <w:nsid w:val="67347ACD"/>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81" w15:restartNumberingAfterBreak="0">
    <w:nsid w:val="6816671B"/>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2" w15:restartNumberingAfterBreak="0">
    <w:nsid w:val="68B4096E"/>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83" w15:restartNumberingAfterBreak="0">
    <w:nsid w:val="6A591983"/>
    <w:multiLevelType w:val="hybridMultilevel"/>
    <w:tmpl w:val="99084F5E"/>
    <w:lvl w:ilvl="0" w:tplc="3780956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4" w15:restartNumberingAfterBreak="0">
    <w:nsid w:val="6AA2066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5" w15:restartNumberingAfterBreak="0">
    <w:nsid w:val="6AB32F7F"/>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86" w15:restartNumberingAfterBreak="0">
    <w:nsid w:val="6ADC438F"/>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7" w15:restartNumberingAfterBreak="0">
    <w:nsid w:val="6B52726F"/>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88" w15:restartNumberingAfterBreak="0">
    <w:nsid w:val="6CB77C5B"/>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89" w15:restartNumberingAfterBreak="0">
    <w:nsid w:val="6D896C19"/>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0" w15:restartNumberingAfterBreak="0">
    <w:nsid w:val="6E562480"/>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1" w15:restartNumberingAfterBreak="0">
    <w:nsid w:val="6E8774A1"/>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2" w15:restartNumberingAfterBreak="0">
    <w:nsid w:val="6EDC3DB5"/>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3" w15:restartNumberingAfterBreak="0">
    <w:nsid w:val="70D857A0"/>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4" w15:restartNumberingAfterBreak="0">
    <w:nsid w:val="70DF6303"/>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95" w15:restartNumberingAfterBreak="0">
    <w:nsid w:val="70EC695F"/>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96" w15:restartNumberingAfterBreak="0">
    <w:nsid w:val="71577647"/>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7" w15:restartNumberingAfterBreak="0">
    <w:nsid w:val="7204473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8" w15:restartNumberingAfterBreak="0">
    <w:nsid w:val="73682FD9"/>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299" w15:restartNumberingAfterBreak="0">
    <w:nsid w:val="736F3ACC"/>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74164EF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744F3D8E"/>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2" w15:restartNumberingAfterBreak="0">
    <w:nsid w:val="74942DB7"/>
    <w:multiLevelType w:val="hybridMultilevel"/>
    <w:tmpl w:val="DA244FDA"/>
    <w:lvl w:ilvl="0" w:tplc="D57C9778">
      <w:start w:val="1"/>
      <w:numFmt w:val="taiwaneseCountingThousand"/>
      <w:lvlText w:val="(%1)"/>
      <w:lvlJc w:val="left"/>
      <w:pPr>
        <w:ind w:left="390" w:hanging="39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3" w15:restartNumberingAfterBreak="0">
    <w:nsid w:val="761C6FB2"/>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4" w15:restartNumberingAfterBreak="0">
    <w:nsid w:val="7712472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5" w15:restartNumberingAfterBreak="0">
    <w:nsid w:val="773041FC"/>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06" w15:restartNumberingAfterBreak="0">
    <w:nsid w:val="77AB222B"/>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7" w15:restartNumberingAfterBreak="0">
    <w:nsid w:val="77DE53A1"/>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8" w15:restartNumberingAfterBreak="0">
    <w:nsid w:val="77E84918"/>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9" w15:restartNumberingAfterBreak="0">
    <w:nsid w:val="782A3A25"/>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10" w15:restartNumberingAfterBreak="0">
    <w:nsid w:val="787D14BD"/>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1" w15:restartNumberingAfterBreak="0">
    <w:nsid w:val="78B041D8"/>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12" w15:restartNumberingAfterBreak="0">
    <w:nsid w:val="78CA1E4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3" w15:restartNumberingAfterBreak="0">
    <w:nsid w:val="79366D5C"/>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4" w15:restartNumberingAfterBreak="0">
    <w:nsid w:val="799B13EE"/>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7A346BBD"/>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6" w15:restartNumberingAfterBreak="0">
    <w:nsid w:val="7B2620E4"/>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7" w15:restartNumberingAfterBreak="0">
    <w:nsid w:val="7B5C470E"/>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8" w15:restartNumberingAfterBreak="0">
    <w:nsid w:val="7BE562EA"/>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9" w15:restartNumberingAfterBreak="0">
    <w:nsid w:val="7D184E93"/>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7E623CC6"/>
    <w:multiLevelType w:val="hybridMultilevel"/>
    <w:tmpl w:val="0BCE1F5A"/>
    <w:lvl w:ilvl="0" w:tplc="1CEC0712">
      <w:start w:val="1"/>
      <w:numFmt w:val="decimal"/>
      <w:lvlText w:val="%1."/>
      <w:lvlJc w:val="left"/>
      <w:pPr>
        <w:ind w:left="360" w:hanging="360"/>
      </w:pPr>
      <w:rPr>
        <w:rFonts w:asciiTheme="minorHAnsi" w:hAnsiTheme="minorHAnsi" w:cstheme="minorHAnsi" w:hint="default"/>
        <w:b w:val="0"/>
        <w:strike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1" w15:restartNumberingAfterBreak="0">
    <w:nsid w:val="7EEA1CA6"/>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2" w15:restartNumberingAfterBreak="0">
    <w:nsid w:val="7F3E2FD4"/>
    <w:multiLevelType w:val="hybridMultilevel"/>
    <w:tmpl w:val="DD3A919C"/>
    <w:lvl w:ilvl="0" w:tplc="B7E4465C">
      <w:start w:val="1"/>
      <w:numFmt w:val="lowerLetter"/>
      <w:lvlText w:val="%1."/>
      <w:lvlJc w:val="left"/>
      <w:pPr>
        <w:ind w:left="1941" w:hanging="495"/>
      </w:pPr>
      <w:rPr>
        <w:rFonts w:asciiTheme="minorHAnsi" w:hAnsiTheme="minorHAnsi" w:cstheme="minorHAnsi" w:hint="default"/>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abstractNum w:abstractNumId="323" w15:restartNumberingAfterBreak="0">
    <w:nsid w:val="7FC740A9"/>
    <w:multiLevelType w:val="hybridMultilevel"/>
    <w:tmpl w:val="B8181B48"/>
    <w:lvl w:ilvl="0" w:tplc="EAFC87CC">
      <w:start w:val="1"/>
      <w:numFmt w:val="decimal"/>
      <w:lvlText w:val="(%1)"/>
      <w:lvlJc w:val="left"/>
      <w:pPr>
        <w:ind w:left="480" w:hanging="48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4" w15:restartNumberingAfterBreak="0">
    <w:nsid w:val="7FDC6D92"/>
    <w:multiLevelType w:val="hybridMultilevel"/>
    <w:tmpl w:val="741E3168"/>
    <w:lvl w:ilvl="0" w:tplc="D286F114">
      <w:start w:val="1"/>
      <w:numFmt w:val="lowerLetter"/>
      <w:lvlText w:val="%1."/>
      <w:lvlJc w:val="left"/>
      <w:pPr>
        <w:ind w:left="1941" w:hanging="495"/>
      </w:pPr>
      <w:rPr>
        <w:rFonts w:asciiTheme="minorHAnsi" w:hAnsiTheme="minorHAnsi" w:cstheme="minorHAnsi" w:hint="default"/>
        <w:b w:val="0"/>
        <w:i w:val="0"/>
        <w:sz w:val="24"/>
        <w:szCs w:val="24"/>
      </w:rPr>
    </w:lvl>
    <w:lvl w:ilvl="1" w:tplc="04090019" w:tentative="1">
      <w:start w:val="1"/>
      <w:numFmt w:val="ideographTraditional"/>
      <w:lvlText w:val="%2、"/>
      <w:lvlJc w:val="left"/>
      <w:pPr>
        <w:ind w:left="2406" w:hanging="480"/>
      </w:pPr>
    </w:lvl>
    <w:lvl w:ilvl="2" w:tplc="0409001B" w:tentative="1">
      <w:start w:val="1"/>
      <w:numFmt w:val="lowerRoman"/>
      <w:lvlText w:val="%3."/>
      <w:lvlJc w:val="right"/>
      <w:pPr>
        <w:ind w:left="2886" w:hanging="480"/>
      </w:pPr>
    </w:lvl>
    <w:lvl w:ilvl="3" w:tplc="0409000F" w:tentative="1">
      <w:start w:val="1"/>
      <w:numFmt w:val="decimal"/>
      <w:lvlText w:val="%4."/>
      <w:lvlJc w:val="left"/>
      <w:pPr>
        <w:ind w:left="3366" w:hanging="480"/>
      </w:pPr>
    </w:lvl>
    <w:lvl w:ilvl="4" w:tplc="04090019" w:tentative="1">
      <w:start w:val="1"/>
      <w:numFmt w:val="ideographTraditional"/>
      <w:lvlText w:val="%5、"/>
      <w:lvlJc w:val="left"/>
      <w:pPr>
        <w:ind w:left="3846" w:hanging="480"/>
      </w:pPr>
    </w:lvl>
    <w:lvl w:ilvl="5" w:tplc="0409001B" w:tentative="1">
      <w:start w:val="1"/>
      <w:numFmt w:val="lowerRoman"/>
      <w:lvlText w:val="%6."/>
      <w:lvlJc w:val="right"/>
      <w:pPr>
        <w:ind w:left="4326" w:hanging="480"/>
      </w:pPr>
    </w:lvl>
    <w:lvl w:ilvl="6" w:tplc="0409000F" w:tentative="1">
      <w:start w:val="1"/>
      <w:numFmt w:val="decimal"/>
      <w:lvlText w:val="%7."/>
      <w:lvlJc w:val="left"/>
      <w:pPr>
        <w:ind w:left="4806" w:hanging="480"/>
      </w:pPr>
    </w:lvl>
    <w:lvl w:ilvl="7" w:tplc="04090019" w:tentative="1">
      <w:start w:val="1"/>
      <w:numFmt w:val="ideographTraditional"/>
      <w:lvlText w:val="%8、"/>
      <w:lvlJc w:val="left"/>
      <w:pPr>
        <w:ind w:left="5286" w:hanging="480"/>
      </w:pPr>
    </w:lvl>
    <w:lvl w:ilvl="8" w:tplc="0409001B" w:tentative="1">
      <w:start w:val="1"/>
      <w:numFmt w:val="lowerRoman"/>
      <w:lvlText w:val="%9."/>
      <w:lvlJc w:val="right"/>
      <w:pPr>
        <w:ind w:left="5766" w:hanging="480"/>
      </w:pPr>
    </w:lvl>
  </w:abstractNum>
  <w:num w:numId="1">
    <w:abstractNumId w:val="142"/>
  </w:num>
  <w:num w:numId="2">
    <w:abstractNumId w:val="251"/>
  </w:num>
  <w:num w:numId="3">
    <w:abstractNumId w:val="144"/>
  </w:num>
  <w:num w:numId="4">
    <w:abstractNumId w:val="75"/>
  </w:num>
  <w:num w:numId="5">
    <w:abstractNumId w:val="177"/>
  </w:num>
  <w:num w:numId="6">
    <w:abstractNumId w:val="135"/>
  </w:num>
  <w:num w:numId="7">
    <w:abstractNumId w:val="134"/>
  </w:num>
  <w:num w:numId="8">
    <w:abstractNumId w:val="237"/>
  </w:num>
  <w:num w:numId="9">
    <w:abstractNumId w:val="140"/>
  </w:num>
  <w:num w:numId="10">
    <w:abstractNumId w:val="227"/>
  </w:num>
  <w:num w:numId="11">
    <w:abstractNumId w:val="168"/>
  </w:num>
  <w:num w:numId="12">
    <w:abstractNumId w:val="223"/>
  </w:num>
  <w:num w:numId="13">
    <w:abstractNumId w:val="187"/>
  </w:num>
  <w:num w:numId="14">
    <w:abstractNumId w:val="149"/>
  </w:num>
  <w:num w:numId="15">
    <w:abstractNumId w:val="30"/>
  </w:num>
  <w:num w:numId="16">
    <w:abstractNumId w:val="22"/>
  </w:num>
  <w:num w:numId="17">
    <w:abstractNumId w:val="195"/>
  </w:num>
  <w:num w:numId="18">
    <w:abstractNumId w:val="269"/>
  </w:num>
  <w:num w:numId="19">
    <w:abstractNumId w:val="56"/>
  </w:num>
  <w:num w:numId="20">
    <w:abstractNumId w:val="84"/>
  </w:num>
  <w:num w:numId="21">
    <w:abstractNumId w:val="264"/>
  </w:num>
  <w:num w:numId="22">
    <w:abstractNumId w:val="175"/>
  </w:num>
  <w:num w:numId="23">
    <w:abstractNumId w:val="226"/>
  </w:num>
  <w:num w:numId="24">
    <w:abstractNumId w:val="4"/>
  </w:num>
  <w:num w:numId="25">
    <w:abstractNumId w:val="189"/>
  </w:num>
  <w:num w:numId="26">
    <w:abstractNumId w:val="281"/>
  </w:num>
  <w:num w:numId="27">
    <w:abstractNumId w:val="271"/>
  </w:num>
  <w:num w:numId="28">
    <w:abstractNumId w:val="129"/>
  </w:num>
  <w:num w:numId="29">
    <w:abstractNumId w:val="239"/>
  </w:num>
  <w:num w:numId="30">
    <w:abstractNumId w:val="184"/>
  </w:num>
  <w:num w:numId="31">
    <w:abstractNumId w:val="110"/>
  </w:num>
  <w:num w:numId="32">
    <w:abstractNumId w:val="102"/>
  </w:num>
  <w:num w:numId="33">
    <w:abstractNumId w:val="7"/>
  </w:num>
  <w:num w:numId="34">
    <w:abstractNumId w:val="263"/>
  </w:num>
  <w:num w:numId="35">
    <w:abstractNumId w:val="90"/>
  </w:num>
  <w:num w:numId="36">
    <w:abstractNumId w:val="191"/>
  </w:num>
  <w:num w:numId="37">
    <w:abstractNumId w:val="312"/>
  </w:num>
  <w:num w:numId="38">
    <w:abstractNumId w:val="294"/>
  </w:num>
  <w:num w:numId="39">
    <w:abstractNumId w:val="298"/>
  </w:num>
  <w:num w:numId="40">
    <w:abstractNumId w:val="103"/>
  </w:num>
  <w:num w:numId="41">
    <w:abstractNumId w:val="268"/>
  </w:num>
  <w:num w:numId="42">
    <w:abstractNumId w:val="96"/>
  </w:num>
  <w:num w:numId="43">
    <w:abstractNumId w:val="180"/>
  </w:num>
  <w:num w:numId="44">
    <w:abstractNumId w:val="141"/>
  </w:num>
  <w:num w:numId="45">
    <w:abstractNumId w:val="23"/>
  </w:num>
  <w:num w:numId="46">
    <w:abstractNumId w:val="155"/>
  </w:num>
  <w:num w:numId="47">
    <w:abstractNumId w:val="313"/>
  </w:num>
  <w:num w:numId="48">
    <w:abstractNumId w:val="5"/>
  </w:num>
  <w:num w:numId="49">
    <w:abstractNumId w:val="259"/>
  </w:num>
  <w:num w:numId="50">
    <w:abstractNumId w:val="115"/>
  </w:num>
  <w:num w:numId="51">
    <w:abstractNumId w:val="211"/>
  </w:num>
  <w:num w:numId="52">
    <w:abstractNumId w:val="127"/>
  </w:num>
  <w:num w:numId="53">
    <w:abstractNumId w:val="200"/>
  </w:num>
  <w:num w:numId="54">
    <w:abstractNumId w:val="150"/>
  </w:num>
  <w:num w:numId="55">
    <w:abstractNumId w:val="201"/>
  </w:num>
  <w:num w:numId="56">
    <w:abstractNumId w:val="305"/>
  </w:num>
  <w:num w:numId="57">
    <w:abstractNumId w:val="308"/>
  </w:num>
  <w:num w:numId="58">
    <w:abstractNumId w:val="65"/>
  </w:num>
  <w:num w:numId="59">
    <w:abstractNumId w:val="66"/>
  </w:num>
  <w:num w:numId="60">
    <w:abstractNumId w:val="137"/>
  </w:num>
  <w:num w:numId="61">
    <w:abstractNumId w:val="70"/>
  </w:num>
  <w:num w:numId="62">
    <w:abstractNumId w:val="213"/>
  </w:num>
  <w:num w:numId="63">
    <w:abstractNumId w:val="105"/>
  </w:num>
  <w:num w:numId="64">
    <w:abstractNumId w:val="222"/>
  </w:num>
  <w:num w:numId="65">
    <w:abstractNumId w:val="72"/>
  </w:num>
  <w:num w:numId="66">
    <w:abstractNumId w:val="322"/>
  </w:num>
  <w:num w:numId="67">
    <w:abstractNumId w:val="139"/>
  </w:num>
  <w:num w:numId="68">
    <w:abstractNumId w:val="12"/>
  </w:num>
  <w:num w:numId="69">
    <w:abstractNumId w:val="185"/>
  </w:num>
  <w:num w:numId="70">
    <w:abstractNumId w:val="1"/>
  </w:num>
  <w:num w:numId="71">
    <w:abstractNumId w:val="280"/>
  </w:num>
  <w:num w:numId="72">
    <w:abstractNumId w:val="113"/>
  </w:num>
  <w:num w:numId="73">
    <w:abstractNumId w:val="89"/>
  </w:num>
  <w:num w:numId="74">
    <w:abstractNumId w:val="212"/>
  </w:num>
  <w:num w:numId="75">
    <w:abstractNumId w:val="120"/>
  </w:num>
  <w:num w:numId="76">
    <w:abstractNumId w:val="13"/>
  </w:num>
  <w:num w:numId="77">
    <w:abstractNumId w:val="243"/>
  </w:num>
  <w:num w:numId="78">
    <w:abstractNumId w:val="20"/>
  </w:num>
  <w:num w:numId="79">
    <w:abstractNumId w:val="287"/>
  </w:num>
  <w:num w:numId="80">
    <w:abstractNumId w:val="206"/>
  </w:num>
  <w:num w:numId="81">
    <w:abstractNumId w:val="61"/>
  </w:num>
  <w:num w:numId="82">
    <w:abstractNumId w:val="16"/>
  </w:num>
  <w:num w:numId="83">
    <w:abstractNumId w:val="55"/>
  </w:num>
  <w:num w:numId="84">
    <w:abstractNumId w:val="64"/>
  </w:num>
  <w:num w:numId="85">
    <w:abstractNumId w:val="266"/>
  </w:num>
  <w:num w:numId="86">
    <w:abstractNumId w:val="234"/>
  </w:num>
  <w:num w:numId="87">
    <w:abstractNumId w:val="93"/>
  </w:num>
  <w:num w:numId="88">
    <w:abstractNumId w:val="39"/>
  </w:num>
  <w:num w:numId="89">
    <w:abstractNumId w:val="316"/>
  </w:num>
  <w:num w:numId="90">
    <w:abstractNumId w:val="176"/>
  </w:num>
  <w:num w:numId="91">
    <w:abstractNumId w:val="125"/>
  </w:num>
  <w:num w:numId="92">
    <w:abstractNumId w:val="288"/>
  </w:num>
  <w:num w:numId="93">
    <w:abstractNumId w:val="310"/>
  </w:num>
  <w:num w:numId="94">
    <w:abstractNumId w:val="45"/>
  </w:num>
  <w:num w:numId="95">
    <w:abstractNumId w:val="44"/>
  </w:num>
  <w:num w:numId="96">
    <w:abstractNumId w:val="50"/>
  </w:num>
  <w:num w:numId="97">
    <w:abstractNumId w:val="108"/>
  </w:num>
  <w:num w:numId="98">
    <w:abstractNumId w:val="26"/>
  </w:num>
  <w:num w:numId="99">
    <w:abstractNumId w:val="119"/>
  </w:num>
  <w:num w:numId="100">
    <w:abstractNumId w:val="156"/>
  </w:num>
  <w:num w:numId="101">
    <w:abstractNumId w:val="173"/>
  </w:num>
  <w:num w:numId="102">
    <w:abstractNumId w:val="229"/>
  </w:num>
  <w:num w:numId="103">
    <w:abstractNumId w:val="32"/>
  </w:num>
  <w:num w:numId="104">
    <w:abstractNumId w:val="317"/>
  </w:num>
  <w:num w:numId="105">
    <w:abstractNumId w:val="73"/>
  </w:num>
  <w:num w:numId="106">
    <w:abstractNumId w:val="218"/>
  </w:num>
  <w:num w:numId="107">
    <w:abstractNumId w:val="87"/>
  </w:num>
  <w:num w:numId="108">
    <w:abstractNumId w:val="293"/>
  </w:num>
  <w:num w:numId="109">
    <w:abstractNumId w:val="58"/>
  </w:num>
  <w:num w:numId="110">
    <w:abstractNumId w:val="69"/>
  </w:num>
  <w:num w:numId="111">
    <w:abstractNumId w:val="48"/>
  </w:num>
  <w:num w:numId="112">
    <w:abstractNumId w:val="282"/>
  </w:num>
  <w:num w:numId="113">
    <w:abstractNumId w:val="133"/>
  </w:num>
  <w:num w:numId="114">
    <w:abstractNumId w:val="270"/>
  </w:num>
  <w:num w:numId="115">
    <w:abstractNumId w:val="265"/>
  </w:num>
  <w:num w:numId="116">
    <w:abstractNumId w:val="74"/>
  </w:num>
  <w:num w:numId="117">
    <w:abstractNumId w:val="99"/>
  </w:num>
  <w:num w:numId="118">
    <w:abstractNumId w:val="146"/>
  </w:num>
  <w:num w:numId="119">
    <w:abstractNumId w:val="285"/>
  </w:num>
  <w:num w:numId="120">
    <w:abstractNumId w:val="43"/>
  </w:num>
  <w:num w:numId="121">
    <w:abstractNumId w:val="181"/>
  </w:num>
  <w:num w:numId="122">
    <w:abstractNumId w:val="309"/>
  </w:num>
  <w:num w:numId="123">
    <w:abstractNumId w:val="230"/>
  </w:num>
  <w:num w:numId="124">
    <w:abstractNumId w:val="188"/>
  </w:num>
  <w:num w:numId="125">
    <w:abstractNumId w:val="257"/>
  </w:num>
  <w:num w:numId="126">
    <w:abstractNumId w:val="25"/>
  </w:num>
  <w:num w:numId="127">
    <w:abstractNumId w:val="199"/>
  </w:num>
  <w:num w:numId="128">
    <w:abstractNumId w:val="194"/>
  </w:num>
  <w:num w:numId="129">
    <w:abstractNumId w:val="77"/>
  </w:num>
  <w:num w:numId="130">
    <w:abstractNumId w:val="81"/>
  </w:num>
  <w:num w:numId="131">
    <w:abstractNumId w:val="41"/>
  </w:num>
  <w:num w:numId="132">
    <w:abstractNumId w:val="132"/>
  </w:num>
  <w:num w:numId="133">
    <w:abstractNumId w:val="118"/>
  </w:num>
  <w:num w:numId="134">
    <w:abstractNumId w:val="68"/>
  </w:num>
  <w:num w:numId="135">
    <w:abstractNumId w:val="15"/>
  </w:num>
  <w:num w:numId="136">
    <w:abstractNumId w:val="307"/>
  </w:num>
  <w:num w:numId="137">
    <w:abstractNumId w:val="315"/>
  </w:num>
  <w:num w:numId="138">
    <w:abstractNumId w:val="190"/>
  </w:num>
  <w:num w:numId="139">
    <w:abstractNumId w:val="94"/>
  </w:num>
  <w:num w:numId="140">
    <w:abstractNumId w:val="31"/>
  </w:num>
  <w:num w:numId="141">
    <w:abstractNumId w:val="192"/>
  </w:num>
  <w:num w:numId="142">
    <w:abstractNumId w:val="300"/>
  </w:num>
  <w:num w:numId="143">
    <w:abstractNumId w:val="131"/>
  </w:num>
  <w:num w:numId="144">
    <w:abstractNumId w:val="117"/>
  </w:num>
  <w:num w:numId="145">
    <w:abstractNumId w:val="59"/>
  </w:num>
  <w:num w:numId="146">
    <w:abstractNumId w:val="2"/>
  </w:num>
  <w:num w:numId="147">
    <w:abstractNumId w:val="295"/>
  </w:num>
  <w:num w:numId="148">
    <w:abstractNumId w:val="179"/>
  </w:num>
  <w:num w:numId="149">
    <w:abstractNumId w:val="217"/>
  </w:num>
  <w:num w:numId="150">
    <w:abstractNumId w:val="170"/>
  </w:num>
  <w:num w:numId="151">
    <w:abstractNumId w:val="153"/>
  </w:num>
  <w:num w:numId="152">
    <w:abstractNumId w:val="225"/>
  </w:num>
  <w:num w:numId="153">
    <w:abstractNumId w:val="193"/>
  </w:num>
  <w:num w:numId="154">
    <w:abstractNumId w:val="34"/>
  </w:num>
  <w:num w:numId="155">
    <w:abstractNumId w:val="242"/>
  </w:num>
  <w:num w:numId="156">
    <w:abstractNumId w:val="158"/>
  </w:num>
  <w:num w:numId="157">
    <w:abstractNumId w:val="233"/>
  </w:num>
  <w:num w:numId="158">
    <w:abstractNumId w:val="235"/>
  </w:num>
  <w:num w:numId="159">
    <w:abstractNumId w:val="159"/>
  </w:num>
  <w:num w:numId="160">
    <w:abstractNumId w:val="284"/>
  </w:num>
  <w:num w:numId="161">
    <w:abstractNumId w:val="67"/>
  </w:num>
  <w:num w:numId="162">
    <w:abstractNumId w:val="24"/>
  </w:num>
  <w:num w:numId="163">
    <w:abstractNumId w:val="311"/>
  </w:num>
  <w:num w:numId="164">
    <w:abstractNumId w:val="196"/>
  </w:num>
  <w:num w:numId="165">
    <w:abstractNumId w:val="151"/>
  </w:num>
  <w:num w:numId="166">
    <w:abstractNumId w:val="267"/>
  </w:num>
  <w:num w:numId="167">
    <w:abstractNumId w:val="128"/>
  </w:num>
  <w:num w:numId="168">
    <w:abstractNumId w:val="314"/>
  </w:num>
  <w:num w:numId="169">
    <w:abstractNumId w:val="166"/>
  </w:num>
  <w:num w:numId="170">
    <w:abstractNumId w:val="321"/>
  </w:num>
  <w:num w:numId="171">
    <w:abstractNumId w:val="63"/>
  </w:num>
  <w:num w:numId="172">
    <w:abstractNumId w:val="33"/>
  </w:num>
  <w:num w:numId="173">
    <w:abstractNumId w:val="247"/>
  </w:num>
  <w:num w:numId="174">
    <w:abstractNumId w:val="291"/>
  </w:num>
  <w:num w:numId="175">
    <w:abstractNumId w:val="224"/>
  </w:num>
  <w:num w:numId="176">
    <w:abstractNumId w:val="236"/>
  </w:num>
  <w:num w:numId="177">
    <w:abstractNumId w:val="136"/>
  </w:num>
  <w:num w:numId="178">
    <w:abstractNumId w:val="304"/>
  </w:num>
  <w:num w:numId="179">
    <w:abstractNumId w:val="0"/>
  </w:num>
  <w:num w:numId="180">
    <w:abstractNumId w:val="246"/>
  </w:num>
  <w:num w:numId="181">
    <w:abstractNumId w:val="296"/>
  </w:num>
  <w:num w:numId="182">
    <w:abstractNumId w:val="10"/>
  </w:num>
  <w:num w:numId="183">
    <w:abstractNumId w:val="186"/>
  </w:num>
  <w:num w:numId="184">
    <w:abstractNumId w:val="21"/>
  </w:num>
  <w:num w:numId="185">
    <w:abstractNumId w:val="162"/>
  </w:num>
  <w:num w:numId="186">
    <w:abstractNumId w:val="157"/>
  </w:num>
  <w:num w:numId="187">
    <w:abstractNumId w:val="116"/>
  </w:num>
  <w:num w:numId="188">
    <w:abstractNumId w:val="138"/>
  </w:num>
  <w:num w:numId="189">
    <w:abstractNumId w:val="318"/>
  </w:num>
  <w:num w:numId="190">
    <w:abstractNumId w:val="49"/>
  </w:num>
  <w:num w:numId="191">
    <w:abstractNumId w:val="231"/>
  </w:num>
  <w:num w:numId="192">
    <w:abstractNumId w:val="114"/>
  </w:num>
  <w:num w:numId="193">
    <w:abstractNumId w:val="91"/>
  </w:num>
  <w:num w:numId="194">
    <w:abstractNumId w:val="220"/>
  </w:num>
  <w:num w:numId="195">
    <w:abstractNumId w:val="82"/>
  </w:num>
  <w:num w:numId="196">
    <w:abstractNumId w:val="71"/>
  </w:num>
  <w:num w:numId="197">
    <w:abstractNumId w:val="154"/>
  </w:num>
  <w:num w:numId="198">
    <w:abstractNumId w:val="76"/>
  </w:num>
  <w:num w:numId="199">
    <w:abstractNumId w:val="299"/>
  </w:num>
  <w:num w:numId="200">
    <w:abstractNumId w:val="320"/>
  </w:num>
  <w:num w:numId="201">
    <w:abstractNumId w:val="323"/>
  </w:num>
  <w:num w:numId="202">
    <w:abstractNumId w:val="79"/>
  </w:num>
  <w:num w:numId="203">
    <w:abstractNumId w:val="172"/>
  </w:num>
  <w:num w:numId="204">
    <w:abstractNumId w:val="254"/>
  </w:num>
  <w:num w:numId="205">
    <w:abstractNumId w:val="261"/>
  </w:num>
  <w:num w:numId="206">
    <w:abstractNumId w:val="123"/>
  </w:num>
  <w:num w:numId="207">
    <w:abstractNumId w:val="178"/>
  </w:num>
  <w:num w:numId="208">
    <w:abstractNumId w:val="214"/>
  </w:num>
  <w:num w:numId="209">
    <w:abstractNumId w:val="198"/>
  </w:num>
  <w:num w:numId="210">
    <w:abstractNumId w:val="111"/>
  </w:num>
  <w:num w:numId="211">
    <w:abstractNumId w:val="57"/>
  </w:num>
  <w:num w:numId="212">
    <w:abstractNumId w:val="35"/>
  </w:num>
  <w:num w:numId="213">
    <w:abstractNumId w:val="85"/>
  </w:num>
  <w:num w:numId="214">
    <w:abstractNumId w:val="252"/>
  </w:num>
  <w:num w:numId="215">
    <w:abstractNumId w:val="143"/>
  </w:num>
  <w:num w:numId="216">
    <w:abstractNumId w:val="27"/>
  </w:num>
  <w:num w:numId="217">
    <w:abstractNumId w:val="250"/>
  </w:num>
  <w:num w:numId="218">
    <w:abstractNumId w:val="163"/>
  </w:num>
  <w:num w:numId="219">
    <w:abstractNumId w:val="297"/>
  </w:num>
  <w:num w:numId="220">
    <w:abstractNumId w:val="28"/>
  </w:num>
  <w:num w:numId="221">
    <w:abstractNumId w:val="277"/>
  </w:num>
  <w:num w:numId="222">
    <w:abstractNumId w:val="42"/>
  </w:num>
  <w:num w:numId="223">
    <w:abstractNumId w:val="209"/>
  </w:num>
  <w:num w:numId="224">
    <w:abstractNumId w:val="324"/>
  </w:num>
  <w:num w:numId="225">
    <w:abstractNumId w:val="51"/>
  </w:num>
  <w:num w:numId="226">
    <w:abstractNumId w:val="244"/>
  </w:num>
  <w:num w:numId="227">
    <w:abstractNumId w:val="167"/>
  </w:num>
  <w:num w:numId="228">
    <w:abstractNumId w:val="112"/>
  </w:num>
  <w:num w:numId="229">
    <w:abstractNumId w:val="19"/>
  </w:num>
  <w:num w:numId="230">
    <w:abstractNumId w:val="245"/>
  </w:num>
  <w:num w:numId="231">
    <w:abstractNumId w:val="17"/>
  </w:num>
  <w:num w:numId="232">
    <w:abstractNumId w:val="62"/>
  </w:num>
  <w:num w:numId="233">
    <w:abstractNumId w:val="152"/>
  </w:num>
  <w:num w:numId="234">
    <w:abstractNumId w:val="202"/>
  </w:num>
  <w:num w:numId="235">
    <w:abstractNumId w:val="216"/>
  </w:num>
  <w:num w:numId="236">
    <w:abstractNumId w:val="204"/>
  </w:num>
  <w:num w:numId="237">
    <w:abstractNumId w:val="169"/>
  </w:num>
  <w:num w:numId="238">
    <w:abstractNumId w:val="8"/>
  </w:num>
  <w:num w:numId="239">
    <w:abstractNumId w:val="303"/>
  </w:num>
  <w:num w:numId="240">
    <w:abstractNumId w:val="100"/>
  </w:num>
  <w:num w:numId="241">
    <w:abstractNumId w:val="262"/>
  </w:num>
  <w:num w:numId="242">
    <w:abstractNumId w:val="273"/>
  </w:num>
  <w:num w:numId="243">
    <w:abstractNumId w:val="148"/>
  </w:num>
  <w:num w:numId="244">
    <w:abstractNumId w:val="174"/>
  </w:num>
  <w:num w:numId="245">
    <w:abstractNumId w:val="97"/>
  </w:num>
  <w:num w:numId="246">
    <w:abstractNumId w:val="183"/>
  </w:num>
  <w:num w:numId="247">
    <w:abstractNumId w:val="121"/>
  </w:num>
  <w:num w:numId="248">
    <w:abstractNumId w:val="306"/>
  </w:num>
  <w:num w:numId="249">
    <w:abstractNumId w:val="289"/>
  </w:num>
  <w:num w:numId="250">
    <w:abstractNumId w:val="302"/>
  </w:num>
  <w:num w:numId="251">
    <w:abstractNumId w:val="290"/>
  </w:num>
  <w:num w:numId="252">
    <w:abstractNumId w:val="29"/>
  </w:num>
  <w:num w:numId="253">
    <w:abstractNumId w:val="86"/>
  </w:num>
  <w:num w:numId="254">
    <w:abstractNumId w:val="286"/>
  </w:num>
  <w:num w:numId="255">
    <w:abstractNumId w:val="197"/>
  </w:num>
  <w:num w:numId="256">
    <w:abstractNumId w:val="240"/>
  </w:num>
  <w:num w:numId="257">
    <w:abstractNumId w:val="107"/>
  </w:num>
  <w:num w:numId="258">
    <w:abstractNumId w:val="319"/>
  </w:num>
  <w:num w:numId="259">
    <w:abstractNumId w:val="221"/>
  </w:num>
  <w:num w:numId="260">
    <w:abstractNumId w:val="40"/>
  </w:num>
  <w:num w:numId="261">
    <w:abstractNumId w:val="106"/>
  </w:num>
  <w:num w:numId="262">
    <w:abstractNumId w:val="11"/>
  </w:num>
  <w:num w:numId="263">
    <w:abstractNumId w:val="292"/>
  </w:num>
  <w:num w:numId="264">
    <w:abstractNumId w:val="98"/>
  </w:num>
  <w:num w:numId="265">
    <w:abstractNumId w:val="301"/>
  </w:num>
  <w:num w:numId="266">
    <w:abstractNumId w:val="109"/>
  </w:num>
  <w:num w:numId="267">
    <w:abstractNumId w:val="60"/>
  </w:num>
  <w:num w:numId="268">
    <w:abstractNumId w:val="260"/>
  </w:num>
  <w:num w:numId="269">
    <w:abstractNumId w:val="160"/>
  </w:num>
  <w:num w:numId="270">
    <w:abstractNumId w:val="219"/>
  </w:num>
  <w:num w:numId="271">
    <w:abstractNumId w:val="253"/>
  </w:num>
  <w:num w:numId="272">
    <w:abstractNumId w:val="203"/>
  </w:num>
  <w:num w:numId="273">
    <w:abstractNumId w:val="272"/>
  </w:num>
  <w:num w:numId="274">
    <w:abstractNumId w:val="9"/>
  </w:num>
  <w:num w:numId="275">
    <w:abstractNumId w:val="208"/>
  </w:num>
  <w:num w:numId="276">
    <w:abstractNumId w:val="145"/>
  </w:num>
  <w:num w:numId="277">
    <w:abstractNumId w:val="83"/>
  </w:num>
  <w:num w:numId="278">
    <w:abstractNumId w:val="241"/>
  </w:num>
  <w:num w:numId="279">
    <w:abstractNumId w:val="3"/>
  </w:num>
  <w:num w:numId="280">
    <w:abstractNumId w:val="238"/>
  </w:num>
  <w:num w:numId="281">
    <w:abstractNumId w:val="210"/>
  </w:num>
  <w:num w:numId="282">
    <w:abstractNumId w:val="215"/>
  </w:num>
  <w:num w:numId="283">
    <w:abstractNumId w:val="255"/>
  </w:num>
  <w:num w:numId="284">
    <w:abstractNumId w:val="54"/>
  </w:num>
  <w:num w:numId="285">
    <w:abstractNumId w:val="126"/>
  </w:num>
  <w:num w:numId="286">
    <w:abstractNumId w:val="38"/>
  </w:num>
  <w:num w:numId="287">
    <w:abstractNumId w:val="171"/>
  </w:num>
  <w:num w:numId="288">
    <w:abstractNumId w:val="256"/>
  </w:num>
  <w:num w:numId="289">
    <w:abstractNumId w:val="122"/>
  </w:num>
  <w:num w:numId="290">
    <w:abstractNumId w:val="80"/>
  </w:num>
  <w:num w:numId="291">
    <w:abstractNumId w:val="6"/>
  </w:num>
  <w:num w:numId="292">
    <w:abstractNumId w:val="53"/>
  </w:num>
  <w:num w:numId="293">
    <w:abstractNumId w:val="92"/>
  </w:num>
  <w:num w:numId="294">
    <w:abstractNumId w:val="101"/>
  </w:num>
  <w:num w:numId="295">
    <w:abstractNumId w:val="228"/>
  </w:num>
  <w:num w:numId="296">
    <w:abstractNumId w:val="276"/>
  </w:num>
  <w:num w:numId="297">
    <w:abstractNumId w:val="95"/>
  </w:num>
  <w:num w:numId="298">
    <w:abstractNumId w:val="88"/>
  </w:num>
  <w:num w:numId="299">
    <w:abstractNumId w:val="46"/>
  </w:num>
  <w:num w:numId="300">
    <w:abstractNumId w:val="124"/>
  </w:num>
  <w:num w:numId="301">
    <w:abstractNumId w:val="205"/>
  </w:num>
  <w:num w:numId="302">
    <w:abstractNumId w:val="249"/>
  </w:num>
  <w:num w:numId="303">
    <w:abstractNumId w:val="279"/>
  </w:num>
  <w:num w:numId="304">
    <w:abstractNumId w:val="36"/>
  </w:num>
  <w:num w:numId="305">
    <w:abstractNumId w:val="161"/>
  </w:num>
  <w:num w:numId="306">
    <w:abstractNumId w:val="37"/>
  </w:num>
  <w:num w:numId="307">
    <w:abstractNumId w:val="232"/>
  </w:num>
  <w:num w:numId="308">
    <w:abstractNumId w:val="52"/>
  </w:num>
  <w:num w:numId="309">
    <w:abstractNumId w:val="14"/>
  </w:num>
  <w:num w:numId="310">
    <w:abstractNumId w:val="18"/>
  </w:num>
  <w:num w:numId="311">
    <w:abstractNumId w:val="165"/>
  </w:num>
  <w:num w:numId="312">
    <w:abstractNumId w:val="130"/>
  </w:num>
  <w:num w:numId="313">
    <w:abstractNumId w:val="278"/>
  </w:num>
  <w:num w:numId="314">
    <w:abstractNumId w:val="207"/>
  </w:num>
  <w:num w:numId="315">
    <w:abstractNumId w:val="47"/>
  </w:num>
  <w:num w:numId="316">
    <w:abstractNumId w:val="182"/>
  </w:num>
  <w:num w:numId="317">
    <w:abstractNumId w:val="147"/>
  </w:num>
  <w:num w:numId="318">
    <w:abstractNumId w:val="248"/>
  </w:num>
  <w:num w:numId="319">
    <w:abstractNumId w:val="283"/>
  </w:num>
  <w:num w:numId="320">
    <w:abstractNumId w:val="275"/>
  </w:num>
  <w:num w:numId="321">
    <w:abstractNumId w:val="274"/>
  </w:num>
  <w:num w:numId="322">
    <w:abstractNumId w:val="258"/>
  </w:num>
  <w:num w:numId="323">
    <w:abstractNumId w:val="104"/>
  </w:num>
  <w:num w:numId="324">
    <w:abstractNumId w:val="78"/>
  </w:num>
  <w:num w:numId="325">
    <w:abstractNumId w:val="164"/>
  </w:num>
  <w:numIdMacAtCleanup w:val="3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8193"/>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DB"/>
    <w:rsid w:val="00001E77"/>
    <w:rsid w:val="000020B4"/>
    <w:rsid w:val="0000362D"/>
    <w:rsid w:val="00005087"/>
    <w:rsid w:val="00006D4E"/>
    <w:rsid w:val="00011068"/>
    <w:rsid w:val="00013716"/>
    <w:rsid w:val="00015F88"/>
    <w:rsid w:val="0001623E"/>
    <w:rsid w:val="00016428"/>
    <w:rsid w:val="00017FA5"/>
    <w:rsid w:val="0002122A"/>
    <w:rsid w:val="00021D3C"/>
    <w:rsid w:val="000240A6"/>
    <w:rsid w:val="0002416C"/>
    <w:rsid w:val="000269E1"/>
    <w:rsid w:val="00030CE5"/>
    <w:rsid w:val="000318CF"/>
    <w:rsid w:val="00033206"/>
    <w:rsid w:val="0003417A"/>
    <w:rsid w:val="00035B52"/>
    <w:rsid w:val="000407BA"/>
    <w:rsid w:val="00042A09"/>
    <w:rsid w:val="00043DD0"/>
    <w:rsid w:val="00044492"/>
    <w:rsid w:val="000451E5"/>
    <w:rsid w:val="0004749A"/>
    <w:rsid w:val="00050199"/>
    <w:rsid w:val="00050A3F"/>
    <w:rsid w:val="00050EA7"/>
    <w:rsid w:val="00051D67"/>
    <w:rsid w:val="00052BF0"/>
    <w:rsid w:val="000530B1"/>
    <w:rsid w:val="000544B5"/>
    <w:rsid w:val="00054893"/>
    <w:rsid w:val="000555A9"/>
    <w:rsid w:val="00060D76"/>
    <w:rsid w:val="0006437D"/>
    <w:rsid w:val="00067AD5"/>
    <w:rsid w:val="00072FF2"/>
    <w:rsid w:val="0007321C"/>
    <w:rsid w:val="00073BF2"/>
    <w:rsid w:val="000763CA"/>
    <w:rsid w:val="0007711C"/>
    <w:rsid w:val="00077437"/>
    <w:rsid w:val="00080FE9"/>
    <w:rsid w:val="0008358F"/>
    <w:rsid w:val="00083BD5"/>
    <w:rsid w:val="0008533A"/>
    <w:rsid w:val="00090339"/>
    <w:rsid w:val="0009164F"/>
    <w:rsid w:val="000938E8"/>
    <w:rsid w:val="00096CD1"/>
    <w:rsid w:val="00097218"/>
    <w:rsid w:val="000978A2"/>
    <w:rsid w:val="000A054F"/>
    <w:rsid w:val="000A0BB5"/>
    <w:rsid w:val="000A2D49"/>
    <w:rsid w:val="000A5F5B"/>
    <w:rsid w:val="000B05BA"/>
    <w:rsid w:val="000B0E31"/>
    <w:rsid w:val="000B1E30"/>
    <w:rsid w:val="000B34A7"/>
    <w:rsid w:val="000B4455"/>
    <w:rsid w:val="000B50BF"/>
    <w:rsid w:val="000B5806"/>
    <w:rsid w:val="000B787A"/>
    <w:rsid w:val="000C1636"/>
    <w:rsid w:val="000C1724"/>
    <w:rsid w:val="000C240D"/>
    <w:rsid w:val="000C458C"/>
    <w:rsid w:val="000C4E00"/>
    <w:rsid w:val="000C7F78"/>
    <w:rsid w:val="000D0FA2"/>
    <w:rsid w:val="000D58AA"/>
    <w:rsid w:val="000D6F82"/>
    <w:rsid w:val="000D797C"/>
    <w:rsid w:val="000D7BC5"/>
    <w:rsid w:val="000E022B"/>
    <w:rsid w:val="000E0B15"/>
    <w:rsid w:val="000E0D53"/>
    <w:rsid w:val="000E11DD"/>
    <w:rsid w:val="000E2165"/>
    <w:rsid w:val="000E3153"/>
    <w:rsid w:val="000E3BC1"/>
    <w:rsid w:val="000E5716"/>
    <w:rsid w:val="000E60C2"/>
    <w:rsid w:val="000F015B"/>
    <w:rsid w:val="000F02C9"/>
    <w:rsid w:val="000F1707"/>
    <w:rsid w:val="000F2E81"/>
    <w:rsid w:val="000F3008"/>
    <w:rsid w:val="000F3B4F"/>
    <w:rsid w:val="000F4D2C"/>
    <w:rsid w:val="000F504D"/>
    <w:rsid w:val="000F52AC"/>
    <w:rsid w:val="000F5625"/>
    <w:rsid w:val="000F5961"/>
    <w:rsid w:val="000F59E2"/>
    <w:rsid w:val="000F609F"/>
    <w:rsid w:val="000F6981"/>
    <w:rsid w:val="000F7259"/>
    <w:rsid w:val="00104264"/>
    <w:rsid w:val="00106638"/>
    <w:rsid w:val="0010729B"/>
    <w:rsid w:val="001111EE"/>
    <w:rsid w:val="001115C1"/>
    <w:rsid w:val="00111C84"/>
    <w:rsid w:val="00114844"/>
    <w:rsid w:val="00114DB1"/>
    <w:rsid w:val="00115289"/>
    <w:rsid w:val="00116BCA"/>
    <w:rsid w:val="001173A7"/>
    <w:rsid w:val="00117DBA"/>
    <w:rsid w:val="00120280"/>
    <w:rsid w:val="00122216"/>
    <w:rsid w:val="00124E07"/>
    <w:rsid w:val="00125CDB"/>
    <w:rsid w:val="00125FB9"/>
    <w:rsid w:val="00127158"/>
    <w:rsid w:val="00127CB1"/>
    <w:rsid w:val="00130275"/>
    <w:rsid w:val="0013300E"/>
    <w:rsid w:val="001355F4"/>
    <w:rsid w:val="00136953"/>
    <w:rsid w:val="00136E5B"/>
    <w:rsid w:val="0013729A"/>
    <w:rsid w:val="0014055F"/>
    <w:rsid w:val="001406AF"/>
    <w:rsid w:val="00141579"/>
    <w:rsid w:val="00142470"/>
    <w:rsid w:val="00142B54"/>
    <w:rsid w:val="001437B7"/>
    <w:rsid w:val="00144003"/>
    <w:rsid w:val="00144099"/>
    <w:rsid w:val="00145000"/>
    <w:rsid w:val="001454BA"/>
    <w:rsid w:val="00145DCF"/>
    <w:rsid w:val="001509C4"/>
    <w:rsid w:val="00156E27"/>
    <w:rsid w:val="00157CE5"/>
    <w:rsid w:val="00160A12"/>
    <w:rsid w:val="0016476D"/>
    <w:rsid w:val="00165875"/>
    <w:rsid w:val="00166348"/>
    <w:rsid w:val="00167CB8"/>
    <w:rsid w:val="00170754"/>
    <w:rsid w:val="001715A2"/>
    <w:rsid w:val="001729CD"/>
    <w:rsid w:val="00172ECF"/>
    <w:rsid w:val="00174B8C"/>
    <w:rsid w:val="00175C43"/>
    <w:rsid w:val="001768C4"/>
    <w:rsid w:val="00177E99"/>
    <w:rsid w:val="00181F5A"/>
    <w:rsid w:val="0018277D"/>
    <w:rsid w:val="00184830"/>
    <w:rsid w:val="0018781A"/>
    <w:rsid w:val="00187D19"/>
    <w:rsid w:val="001915A2"/>
    <w:rsid w:val="00192304"/>
    <w:rsid w:val="00192310"/>
    <w:rsid w:val="001938BE"/>
    <w:rsid w:val="00193BFB"/>
    <w:rsid w:val="00193F7C"/>
    <w:rsid w:val="00194F0E"/>
    <w:rsid w:val="0019738E"/>
    <w:rsid w:val="001A16FB"/>
    <w:rsid w:val="001A437F"/>
    <w:rsid w:val="001A59DF"/>
    <w:rsid w:val="001A6C60"/>
    <w:rsid w:val="001A758E"/>
    <w:rsid w:val="001B2661"/>
    <w:rsid w:val="001B369D"/>
    <w:rsid w:val="001B48D8"/>
    <w:rsid w:val="001B620A"/>
    <w:rsid w:val="001B644E"/>
    <w:rsid w:val="001C0EF3"/>
    <w:rsid w:val="001C156E"/>
    <w:rsid w:val="001C212C"/>
    <w:rsid w:val="001C605B"/>
    <w:rsid w:val="001C6662"/>
    <w:rsid w:val="001C7FC9"/>
    <w:rsid w:val="001D0477"/>
    <w:rsid w:val="001D3056"/>
    <w:rsid w:val="001D3069"/>
    <w:rsid w:val="001D3299"/>
    <w:rsid w:val="001D58DC"/>
    <w:rsid w:val="001D5E9B"/>
    <w:rsid w:val="001D70A5"/>
    <w:rsid w:val="001E1275"/>
    <w:rsid w:val="001E32EE"/>
    <w:rsid w:val="001E3B79"/>
    <w:rsid w:val="001E4EDD"/>
    <w:rsid w:val="001E691F"/>
    <w:rsid w:val="001F1226"/>
    <w:rsid w:val="001F5B3E"/>
    <w:rsid w:val="001F7689"/>
    <w:rsid w:val="00202E81"/>
    <w:rsid w:val="002050CE"/>
    <w:rsid w:val="00206E3E"/>
    <w:rsid w:val="002106A3"/>
    <w:rsid w:val="0021284D"/>
    <w:rsid w:val="00215C4A"/>
    <w:rsid w:val="00216892"/>
    <w:rsid w:val="002168DB"/>
    <w:rsid w:val="002173A3"/>
    <w:rsid w:val="00222C1C"/>
    <w:rsid w:val="00222C67"/>
    <w:rsid w:val="00224381"/>
    <w:rsid w:val="00225E83"/>
    <w:rsid w:val="00225F0D"/>
    <w:rsid w:val="00226784"/>
    <w:rsid w:val="002276A3"/>
    <w:rsid w:val="00227FCB"/>
    <w:rsid w:val="00230314"/>
    <w:rsid w:val="00233180"/>
    <w:rsid w:val="0023337A"/>
    <w:rsid w:val="00233DB4"/>
    <w:rsid w:val="00233F98"/>
    <w:rsid w:val="00235594"/>
    <w:rsid w:val="00235909"/>
    <w:rsid w:val="002376F9"/>
    <w:rsid w:val="002410C6"/>
    <w:rsid w:val="00242985"/>
    <w:rsid w:val="002432D7"/>
    <w:rsid w:val="00243CF1"/>
    <w:rsid w:val="002460B6"/>
    <w:rsid w:val="0024791D"/>
    <w:rsid w:val="00250F36"/>
    <w:rsid w:val="00251403"/>
    <w:rsid w:val="00252454"/>
    <w:rsid w:val="00254F76"/>
    <w:rsid w:val="002575FE"/>
    <w:rsid w:val="00260F57"/>
    <w:rsid w:val="00261264"/>
    <w:rsid w:val="00264C54"/>
    <w:rsid w:val="002665C5"/>
    <w:rsid w:val="00266E92"/>
    <w:rsid w:val="00267C74"/>
    <w:rsid w:val="00271242"/>
    <w:rsid w:val="002714A1"/>
    <w:rsid w:val="00273455"/>
    <w:rsid w:val="00273817"/>
    <w:rsid w:val="00273DA7"/>
    <w:rsid w:val="00274036"/>
    <w:rsid w:val="00275A12"/>
    <w:rsid w:val="002760DF"/>
    <w:rsid w:val="00277DDA"/>
    <w:rsid w:val="0028168B"/>
    <w:rsid w:val="00284826"/>
    <w:rsid w:val="00285B3D"/>
    <w:rsid w:val="0028605C"/>
    <w:rsid w:val="0028701A"/>
    <w:rsid w:val="002900ED"/>
    <w:rsid w:val="00290794"/>
    <w:rsid w:val="00290B61"/>
    <w:rsid w:val="002922C4"/>
    <w:rsid w:val="002923DF"/>
    <w:rsid w:val="00293746"/>
    <w:rsid w:val="00294FEA"/>
    <w:rsid w:val="0029561E"/>
    <w:rsid w:val="00296FEE"/>
    <w:rsid w:val="002A0DA5"/>
    <w:rsid w:val="002A229C"/>
    <w:rsid w:val="002A233C"/>
    <w:rsid w:val="002A29D2"/>
    <w:rsid w:val="002A6672"/>
    <w:rsid w:val="002A6AAF"/>
    <w:rsid w:val="002A7576"/>
    <w:rsid w:val="002B04A8"/>
    <w:rsid w:val="002B12AA"/>
    <w:rsid w:val="002B1E43"/>
    <w:rsid w:val="002B22E6"/>
    <w:rsid w:val="002B2518"/>
    <w:rsid w:val="002B3307"/>
    <w:rsid w:val="002B38ED"/>
    <w:rsid w:val="002B4830"/>
    <w:rsid w:val="002B589C"/>
    <w:rsid w:val="002B6731"/>
    <w:rsid w:val="002C0BAE"/>
    <w:rsid w:val="002C16F8"/>
    <w:rsid w:val="002C2FB2"/>
    <w:rsid w:val="002C55DE"/>
    <w:rsid w:val="002C7F36"/>
    <w:rsid w:val="002D0ADF"/>
    <w:rsid w:val="002D3B32"/>
    <w:rsid w:val="002D3CA9"/>
    <w:rsid w:val="002D3E04"/>
    <w:rsid w:val="002D4FC9"/>
    <w:rsid w:val="002D7C83"/>
    <w:rsid w:val="002E1BC1"/>
    <w:rsid w:val="002E235E"/>
    <w:rsid w:val="002E63ED"/>
    <w:rsid w:val="002E6B4B"/>
    <w:rsid w:val="002E7E44"/>
    <w:rsid w:val="002F2D3D"/>
    <w:rsid w:val="002F2E85"/>
    <w:rsid w:val="002F3B7F"/>
    <w:rsid w:val="002F482D"/>
    <w:rsid w:val="002F48F1"/>
    <w:rsid w:val="002F6813"/>
    <w:rsid w:val="002F7211"/>
    <w:rsid w:val="002F78B6"/>
    <w:rsid w:val="00302E0E"/>
    <w:rsid w:val="00303185"/>
    <w:rsid w:val="00303DA6"/>
    <w:rsid w:val="0030653D"/>
    <w:rsid w:val="003070A3"/>
    <w:rsid w:val="0030754E"/>
    <w:rsid w:val="00312843"/>
    <w:rsid w:val="00314D30"/>
    <w:rsid w:val="00316C83"/>
    <w:rsid w:val="00320CE7"/>
    <w:rsid w:val="0032172D"/>
    <w:rsid w:val="00322CF5"/>
    <w:rsid w:val="00323059"/>
    <w:rsid w:val="003247B6"/>
    <w:rsid w:val="00326E37"/>
    <w:rsid w:val="00327B79"/>
    <w:rsid w:val="0033148C"/>
    <w:rsid w:val="003327DD"/>
    <w:rsid w:val="00333D3E"/>
    <w:rsid w:val="00334A68"/>
    <w:rsid w:val="00335B47"/>
    <w:rsid w:val="00335F97"/>
    <w:rsid w:val="00336384"/>
    <w:rsid w:val="00336F38"/>
    <w:rsid w:val="00337957"/>
    <w:rsid w:val="00340BDF"/>
    <w:rsid w:val="0034231B"/>
    <w:rsid w:val="00342DAB"/>
    <w:rsid w:val="00342EE0"/>
    <w:rsid w:val="00344373"/>
    <w:rsid w:val="003462AC"/>
    <w:rsid w:val="003468AF"/>
    <w:rsid w:val="00350060"/>
    <w:rsid w:val="003518D2"/>
    <w:rsid w:val="00351929"/>
    <w:rsid w:val="00352BDC"/>
    <w:rsid w:val="0035405C"/>
    <w:rsid w:val="0036140A"/>
    <w:rsid w:val="0036234E"/>
    <w:rsid w:val="003628DD"/>
    <w:rsid w:val="00362F37"/>
    <w:rsid w:val="003635E9"/>
    <w:rsid w:val="00363CD3"/>
    <w:rsid w:val="00364B26"/>
    <w:rsid w:val="003656C0"/>
    <w:rsid w:val="00366C51"/>
    <w:rsid w:val="00366E2B"/>
    <w:rsid w:val="00372EC5"/>
    <w:rsid w:val="003734DD"/>
    <w:rsid w:val="00373529"/>
    <w:rsid w:val="003738D6"/>
    <w:rsid w:val="0037400B"/>
    <w:rsid w:val="00374D26"/>
    <w:rsid w:val="00375F84"/>
    <w:rsid w:val="00381710"/>
    <w:rsid w:val="003817CC"/>
    <w:rsid w:val="00381C2A"/>
    <w:rsid w:val="003822D9"/>
    <w:rsid w:val="003839FA"/>
    <w:rsid w:val="00384B8B"/>
    <w:rsid w:val="00385066"/>
    <w:rsid w:val="00386649"/>
    <w:rsid w:val="00391F92"/>
    <w:rsid w:val="00393431"/>
    <w:rsid w:val="003943D0"/>
    <w:rsid w:val="0039445A"/>
    <w:rsid w:val="00397144"/>
    <w:rsid w:val="003A024A"/>
    <w:rsid w:val="003A1413"/>
    <w:rsid w:val="003A1FBC"/>
    <w:rsid w:val="003A2706"/>
    <w:rsid w:val="003A40D9"/>
    <w:rsid w:val="003A6CFC"/>
    <w:rsid w:val="003B0E1B"/>
    <w:rsid w:val="003B0E4A"/>
    <w:rsid w:val="003B1CCC"/>
    <w:rsid w:val="003B1ED1"/>
    <w:rsid w:val="003B25B7"/>
    <w:rsid w:val="003B5182"/>
    <w:rsid w:val="003B5955"/>
    <w:rsid w:val="003B5FEA"/>
    <w:rsid w:val="003B64D7"/>
    <w:rsid w:val="003B681A"/>
    <w:rsid w:val="003B7BF0"/>
    <w:rsid w:val="003C1680"/>
    <w:rsid w:val="003C1901"/>
    <w:rsid w:val="003C20BE"/>
    <w:rsid w:val="003C4777"/>
    <w:rsid w:val="003C49B8"/>
    <w:rsid w:val="003C4BA5"/>
    <w:rsid w:val="003C5009"/>
    <w:rsid w:val="003C50EE"/>
    <w:rsid w:val="003D26BF"/>
    <w:rsid w:val="003D3029"/>
    <w:rsid w:val="003D449D"/>
    <w:rsid w:val="003D609A"/>
    <w:rsid w:val="003D7B34"/>
    <w:rsid w:val="003E1E4B"/>
    <w:rsid w:val="003E23BC"/>
    <w:rsid w:val="003E2655"/>
    <w:rsid w:val="003E3FD5"/>
    <w:rsid w:val="003E7432"/>
    <w:rsid w:val="003F2CCF"/>
    <w:rsid w:val="003F3CCA"/>
    <w:rsid w:val="003F3E2F"/>
    <w:rsid w:val="003F4F01"/>
    <w:rsid w:val="003F598D"/>
    <w:rsid w:val="003F64AB"/>
    <w:rsid w:val="004006A2"/>
    <w:rsid w:val="00402926"/>
    <w:rsid w:val="0040293C"/>
    <w:rsid w:val="004037B8"/>
    <w:rsid w:val="00405FE1"/>
    <w:rsid w:val="00406865"/>
    <w:rsid w:val="00407EAE"/>
    <w:rsid w:val="00410D94"/>
    <w:rsid w:val="00411AB8"/>
    <w:rsid w:val="004137FA"/>
    <w:rsid w:val="00413ADF"/>
    <w:rsid w:val="00415732"/>
    <w:rsid w:val="0041579C"/>
    <w:rsid w:val="00420365"/>
    <w:rsid w:val="004205C4"/>
    <w:rsid w:val="00420637"/>
    <w:rsid w:val="00424A01"/>
    <w:rsid w:val="0042546D"/>
    <w:rsid w:val="00425E45"/>
    <w:rsid w:val="00426C66"/>
    <w:rsid w:val="00427751"/>
    <w:rsid w:val="004308EA"/>
    <w:rsid w:val="00433102"/>
    <w:rsid w:val="004335C8"/>
    <w:rsid w:val="00434783"/>
    <w:rsid w:val="004358C1"/>
    <w:rsid w:val="00440CB8"/>
    <w:rsid w:val="00441D78"/>
    <w:rsid w:val="004457F3"/>
    <w:rsid w:val="004474CE"/>
    <w:rsid w:val="00451B1E"/>
    <w:rsid w:val="00452E83"/>
    <w:rsid w:val="004559F6"/>
    <w:rsid w:val="00456FCF"/>
    <w:rsid w:val="00457F1A"/>
    <w:rsid w:val="00457F42"/>
    <w:rsid w:val="00462C61"/>
    <w:rsid w:val="00463407"/>
    <w:rsid w:val="00464539"/>
    <w:rsid w:val="00467D57"/>
    <w:rsid w:val="00467FE5"/>
    <w:rsid w:val="00470582"/>
    <w:rsid w:val="004705E8"/>
    <w:rsid w:val="00470658"/>
    <w:rsid w:val="004708E6"/>
    <w:rsid w:val="00471316"/>
    <w:rsid w:val="00473A10"/>
    <w:rsid w:val="0047474C"/>
    <w:rsid w:val="0047529A"/>
    <w:rsid w:val="00481E9C"/>
    <w:rsid w:val="0048255C"/>
    <w:rsid w:val="00482583"/>
    <w:rsid w:val="00483142"/>
    <w:rsid w:val="0048403C"/>
    <w:rsid w:val="004840B7"/>
    <w:rsid w:val="00486EA0"/>
    <w:rsid w:val="0049187D"/>
    <w:rsid w:val="00492C9B"/>
    <w:rsid w:val="004940F1"/>
    <w:rsid w:val="00494B9A"/>
    <w:rsid w:val="00496B46"/>
    <w:rsid w:val="0049788C"/>
    <w:rsid w:val="004A0906"/>
    <w:rsid w:val="004A4191"/>
    <w:rsid w:val="004A41D6"/>
    <w:rsid w:val="004A62CD"/>
    <w:rsid w:val="004A6EB4"/>
    <w:rsid w:val="004A7742"/>
    <w:rsid w:val="004B1342"/>
    <w:rsid w:val="004B24E2"/>
    <w:rsid w:val="004B25AC"/>
    <w:rsid w:val="004B2734"/>
    <w:rsid w:val="004B2832"/>
    <w:rsid w:val="004B3366"/>
    <w:rsid w:val="004B41B8"/>
    <w:rsid w:val="004B61E4"/>
    <w:rsid w:val="004C1A32"/>
    <w:rsid w:val="004C1C26"/>
    <w:rsid w:val="004C2448"/>
    <w:rsid w:val="004C275F"/>
    <w:rsid w:val="004C3E75"/>
    <w:rsid w:val="004C6919"/>
    <w:rsid w:val="004C764A"/>
    <w:rsid w:val="004D151F"/>
    <w:rsid w:val="004D1A7B"/>
    <w:rsid w:val="004D284D"/>
    <w:rsid w:val="004D28B5"/>
    <w:rsid w:val="004D2CBF"/>
    <w:rsid w:val="004D4A78"/>
    <w:rsid w:val="004D5259"/>
    <w:rsid w:val="004D5427"/>
    <w:rsid w:val="004D566F"/>
    <w:rsid w:val="004D6845"/>
    <w:rsid w:val="004D780C"/>
    <w:rsid w:val="004E21FF"/>
    <w:rsid w:val="004E2543"/>
    <w:rsid w:val="004E2DE8"/>
    <w:rsid w:val="004E5399"/>
    <w:rsid w:val="004E5B81"/>
    <w:rsid w:val="004F1E92"/>
    <w:rsid w:val="004F2F68"/>
    <w:rsid w:val="004F3FF9"/>
    <w:rsid w:val="004F4A74"/>
    <w:rsid w:val="004F6216"/>
    <w:rsid w:val="0050117E"/>
    <w:rsid w:val="005013B7"/>
    <w:rsid w:val="005025CB"/>
    <w:rsid w:val="00502CD3"/>
    <w:rsid w:val="00503DB3"/>
    <w:rsid w:val="00505DEB"/>
    <w:rsid w:val="005066C2"/>
    <w:rsid w:val="00506BAD"/>
    <w:rsid w:val="00507162"/>
    <w:rsid w:val="00512EB3"/>
    <w:rsid w:val="00513FBF"/>
    <w:rsid w:val="00514477"/>
    <w:rsid w:val="005173A9"/>
    <w:rsid w:val="00517C91"/>
    <w:rsid w:val="00517DDC"/>
    <w:rsid w:val="00521598"/>
    <w:rsid w:val="00525DBC"/>
    <w:rsid w:val="0052671B"/>
    <w:rsid w:val="00530AE0"/>
    <w:rsid w:val="00530D5B"/>
    <w:rsid w:val="005341AE"/>
    <w:rsid w:val="005342F3"/>
    <w:rsid w:val="00535065"/>
    <w:rsid w:val="0054192C"/>
    <w:rsid w:val="00542AFD"/>
    <w:rsid w:val="00543B63"/>
    <w:rsid w:val="00544985"/>
    <w:rsid w:val="00547D95"/>
    <w:rsid w:val="00550174"/>
    <w:rsid w:val="005509B1"/>
    <w:rsid w:val="00550A40"/>
    <w:rsid w:val="005519EB"/>
    <w:rsid w:val="005532B4"/>
    <w:rsid w:val="00553535"/>
    <w:rsid w:val="00553678"/>
    <w:rsid w:val="005537D9"/>
    <w:rsid w:val="00555F58"/>
    <w:rsid w:val="005576EB"/>
    <w:rsid w:val="00557B61"/>
    <w:rsid w:val="00557ECB"/>
    <w:rsid w:val="00562EA4"/>
    <w:rsid w:val="00562EB0"/>
    <w:rsid w:val="005644B8"/>
    <w:rsid w:val="005656A0"/>
    <w:rsid w:val="00565ABF"/>
    <w:rsid w:val="00571325"/>
    <w:rsid w:val="00573C6C"/>
    <w:rsid w:val="00574E25"/>
    <w:rsid w:val="0057543D"/>
    <w:rsid w:val="00575C03"/>
    <w:rsid w:val="005771F8"/>
    <w:rsid w:val="0058268E"/>
    <w:rsid w:val="00582E35"/>
    <w:rsid w:val="005834C8"/>
    <w:rsid w:val="005840E2"/>
    <w:rsid w:val="00584E47"/>
    <w:rsid w:val="005855B7"/>
    <w:rsid w:val="00587203"/>
    <w:rsid w:val="00587EE3"/>
    <w:rsid w:val="00590CA4"/>
    <w:rsid w:val="00590E37"/>
    <w:rsid w:val="005916E5"/>
    <w:rsid w:val="00591936"/>
    <w:rsid w:val="00592307"/>
    <w:rsid w:val="00593F94"/>
    <w:rsid w:val="005946A1"/>
    <w:rsid w:val="0059758D"/>
    <w:rsid w:val="00597E44"/>
    <w:rsid w:val="005A00C0"/>
    <w:rsid w:val="005A05C3"/>
    <w:rsid w:val="005A0FBC"/>
    <w:rsid w:val="005A2BA1"/>
    <w:rsid w:val="005A4673"/>
    <w:rsid w:val="005A49AB"/>
    <w:rsid w:val="005A5D2A"/>
    <w:rsid w:val="005A77EA"/>
    <w:rsid w:val="005B039A"/>
    <w:rsid w:val="005B0B69"/>
    <w:rsid w:val="005B0CF8"/>
    <w:rsid w:val="005B14E9"/>
    <w:rsid w:val="005B1F4F"/>
    <w:rsid w:val="005B25B1"/>
    <w:rsid w:val="005B38B5"/>
    <w:rsid w:val="005B5933"/>
    <w:rsid w:val="005B620E"/>
    <w:rsid w:val="005B782A"/>
    <w:rsid w:val="005C16A0"/>
    <w:rsid w:val="005C1FCD"/>
    <w:rsid w:val="005C252F"/>
    <w:rsid w:val="005C2AC2"/>
    <w:rsid w:val="005C3773"/>
    <w:rsid w:val="005C3BE7"/>
    <w:rsid w:val="005C65EC"/>
    <w:rsid w:val="005C77E0"/>
    <w:rsid w:val="005C7D7D"/>
    <w:rsid w:val="005D0348"/>
    <w:rsid w:val="005D0D31"/>
    <w:rsid w:val="005D37D5"/>
    <w:rsid w:val="005D5607"/>
    <w:rsid w:val="005D5AED"/>
    <w:rsid w:val="005D5D24"/>
    <w:rsid w:val="005D7736"/>
    <w:rsid w:val="005D7BE1"/>
    <w:rsid w:val="005E0A0A"/>
    <w:rsid w:val="005E0B96"/>
    <w:rsid w:val="005E1612"/>
    <w:rsid w:val="005E1BB1"/>
    <w:rsid w:val="005E286C"/>
    <w:rsid w:val="005E3186"/>
    <w:rsid w:val="005E3F89"/>
    <w:rsid w:val="005E428F"/>
    <w:rsid w:val="005E4CDC"/>
    <w:rsid w:val="005E61BE"/>
    <w:rsid w:val="005F03C5"/>
    <w:rsid w:val="005F3DD9"/>
    <w:rsid w:val="005F4644"/>
    <w:rsid w:val="00600FC0"/>
    <w:rsid w:val="00603376"/>
    <w:rsid w:val="006035EE"/>
    <w:rsid w:val="00603EEA"/>
    <w:rsid w:val="0060585B"/>
    <w:rsid w:val="00605B1D"/>
    <w:rsid w:val="00610838"/>
    <w:rsid w:val="00610BF4"/>
    <w:rsid w:val="00611E82"/>
    <w:rsid w:val="00612B7F"/>
    <w:rsid w:val="00615BF7"/>
    <w:rsid w:val="006160E4"/>
    <w:rsid w:val="00617B18"/>
    <w:rsid w:val="006212DD"/>
    <w:rsid w:val="00624688"/>
    <w:rsid w:val="00625F64"/>
    <w:rsid w:val="00627803"/>
    <w:rsid w:val="00627FAE"/>
    <w:rsid w:val="00631F4A"/>
    <w:rsid w:val="00632A5B"/>
    <w:rsid w:val="00633304"/>
    <w:rsid w:val="00633E44"/>
    <w:rsid w:val="00635C1D"/>
    <w:rsid w:val="00635DC9"/>
    <w:rsid w:val="00641060"/>
    <w:rsid w:val="00641694"/>
    <w:rsid w:val="006437BE"/>
    <w:rsid w:val="00643CDD"/>
    <w:rsid w:val="0064631D"/>
    <w:rsid w:val="00646ACF"/>
    <w:rsid w:val="00646CE4"/>
    <w:rsid w:val="006507DB"/>
    <w:rsid w:val="00650A5F"/>
    <w:rsid w:val="00652863"/>
    <w:rsid w:val="00653A23"/>
    <w:rsid w:val="00654669"/>
    <w:rsid w:val="00660CC0"/>
    <w:rsid w:val="0066133A"/>
    <w:rsid w:val="0066589A"/>
    <w:rsid w:val="00665A5E"/>
    <w:rsid w:val="0066647A"/>
    <w:rsid w:val="006673C6"/>
    <w:rsid w:val="00670429"/>
    <w:rsid w:val="00671BC1"/>
    <w:rsid w:val="00672BC3"/>
    <w:rsid w:val="00673377"/>
    <w:rsid w:val="006739A2"/>
    <w:rsid w:val="00675641"/>
    <w:rsid w:val="0067643C"/>
    <w:rsid w:val="00681A57"/>
    <w:rsid w:val="00685834"/>
    <w:rsid w:val="00686597"/>
    <w:rsid w:val="00686D8A"/>
    <w:rsid w:val="00686DF7"/>
    <w:rsid w:val="00687EEA"/>
    <w:rsid w:val="00690F33"/>
    <w:rsid w:val="00692804"/>
    <w:rsid w:val="00695BFD"/>
    <w:rsid w:val="00696967"/>
    <w:rsid w:val="006A0213"/>
    <w:rsid w:val="006A1000"/>
    <w:rsid w:val="006A195E"/>
    <w:rsid w:val="006A2A1D"/>
    <w:rsid w:val="006A450B"/>
    <w:rsid w:val="006A4510"/>
    <w:rsid w:val="006A5989"/>
    <w:rsid w:val="006A5B36"/>
    <w:rsid w:val="006A68BD"/>
    <w:rsid w:val="006B06BD"/>
    <w:rsid w:val="006B30EC"/>
    <w:rsid w:val="006B47C3"/>
    <w:rsid w:val="006B5835"/>
    <w:rsid w:val="006C0D0F"/>
    <w:rsid w:val="006C1513"/>
    <w:rsid w:val="006C209D"/>
    <w:rsid w:val="006C3CA5"/>
    <w:rsid w:val="006C464C"/>
    <w:rsid w:val="006C57E6"/>
    <w:rsid w:val="006C701C"/>
    <w:rsid w:val="006D143F"/>
    <w:rsid w:val="006D1D96"/>
    <w:rsid w:val="006D249F"/>
    <w:rsid w:val="006D5418"/>
    <w:rsid w:val="006E07B0"/>
    <w:rsid w:val="006E2133"/>
    <w:rsid w:val="006E3369"/>
    <w:rsid w:val="006E3E15"/>
    <w:rsid w:val="006E5682"/>
    <w:rsid w:val="006E5ED7"/>
    <w:rsid w:val="006E73AA"/>
    <w:rsid w:val="006E7485"/>
    <w:rsid w:val="006E798F"/>
    <w:rsid w:val="006F1568"/>
    <w:rsid w:val="006F3424"/>
    <w:rsid w:val="006F4926"/>
    <w:rsid w:val="006F50F5"/>
    <w:rsid w:val="006F6AB5"/>
    <w:rsid w:val="006F773D"/>
    <w:rsid w:val="006F7812"/>
    <w:rsid w:val="00703B90"/>
    <w:rsid w:val="00704B42"/>
    <w:rsid w:val="00705CE9"/>
    <w:rsid w:val="007061B9"/>
    <w:rsid w:val="00711373"/>
    <w:rsid w:val="007118B2"/>
    <w:rsid w:val="00713444"/>
    <w:rsid w:val="00714067"/>
    <w:rsid w:val="00715F8C"/>
    <w:rsid w:val="00716F24"/>
    <w:rsid w:val="0071733C"/>
    <w:rsid w:val="00717A58"/>
    <w:rsid w:val="007201DE"/>
    <w:rsid w:val="00720440"/>
    <w:rsid w:val="007208A1"/>
    <w:rsid w:val="007208D4"/>
    <w:rsid w:val="00724066"/>
    <w:rsid w:val="00726611"/>
    <w:rsid w:val="007266FD"/>
    <w:rsid w:val="00726FCF"/>
    <w:rsid w:val="00731410"/>
    <w:rsid w:val="00731440"/>
    <w:rsid w:val="00731826"/>
    <w:rsid w:val="00734B38"/>
    <w:rsid w:val="00735938"/>
    <w:rsid w:val="007362EE"/>
    <w:rsid w:val="007412A4"/>
    <w:rsid w:val="007417BA"/>
    <w:rsid w:val="00743374"/>
    <w:rsid w:val="0074574E"/>
    <w:rsid w:val="00746389"/>
    <w:rsid w:val="00750486"/>
    <w:rsid w:val="007505A3"/>
    <w:rsid w:val="00751D46"/>
    <w:rsid w:val="007534BE"/>
    <w:rsid w:val="00753AD7"/>
    <w:rsid w:val="007547DF"/>
    <w:rsid w:val="00754D09"/>
    <w:rsid w:val="00757416"/>
    <w:rsid w:val="00761AA7"/>
    <w:rsid w:val="00762C8E"/>
    <w:rsid w:val="00762E2A"/>
    <w:rsid w:val="007660DF"/>
    <w:rsid w:val="007673C9"/>
    <w:rsid w:val="00771076"/>
    <w:rsid w:val="00772D13"/>
    <w:rsid w:val="00772F34"/>
    <w:rsid w:val="007741F9"/>
    <w:rsid w:val="00774CFE"/>
    <w:rsid w:val="0077515D"/>
    <w:rsid w:val="00775C23"/>
    <w:rsid w:val="00775DE8"/>
    <w:rsid w:val="0077637F"/>
    <w:rsid w:val="00776587"/>
    <w:rsid w:val="007767E4"/>
    <w:rsid w:val="007843FA"/>
    <w:rsid w:val="007859F1"/>
    <w:rsid w:val="00786400"/>
    <w:rsid w:val="00786B88"/>
    <w:rsid w:val="00786C64"/>
    <w:rsid w:val="0079372D"/>
    <w:rsid w:val="00794472"/>
    <w:rsid w:val="007952F9"/>
    <w:rsid w:val="007954BF"/>
    <w:rsid w:val="00796248"/>
    <w:rsid w:val="00796434"/>
    <w:rsid w:val="00796A3A"/>
    <w:rsid w:val="00797194"/>
    <w:rsid w:val="00797611"/>
    <w:rsid w:val="007A38CC"/>
    <w:rsid w:val="007A73E9"/>
    <w:rsid w:val="007A78BD"/>
    <w:rsid w:val="007B1049"/>
    <w:rsid w:val="007B1795"/>
    <w:rsid w:val="007B1B2C"/>
    <w:rsid w:val="007B2727"/>
    <w:rsid w:val="007B3BF2"/>
    <w:rsid w:val="007B3DFE"/>
    <w:rsid w:val="007B7090"/>
    <w:rsid w:val="007C00F1"/>
    <w:rsid w:val="007C28BD"/>
    <w:rsid w:val="007C455A"/>
    <w:rsid w:val="007C4691"/>
    <w:rsid w:val="007C545F"/>
    <w:rsid w:val="007C5B5C"/>
    <w:rsid w:val="007C70FE"/>
    <w:rsid w:val="007D07B2"/>
    <w:rsid w:val="007D0AF8"/>
    <w:rsid w:val="007D3E45"/>
    <w:rsid w:val="007D5805"/>
    <w:rsid w:val="007E086C"/>
    <w:rsid w:val="007E41F9"/>
    <w:rsid w:val="007F0AF4"/>
    <w:rsid w:val="007F3DAE"/>
    <w:rsid w:val="007F40A4"/>
    <w:rsid w:val="007F583F"/>
    <w:rsid w:val="007F70F6"/>
    <w:rsid w:val="00802359"/>
    <w:rsid w:val="008032BB"/>
    <w:rsid w:val="00804C55"/>
    <w:rsid w:val="00805FED"/>
    <w:rsid w:val="00806022"/>
    <w:rsid w:val="00806A6D"/>
    <w:rsid w:val="008072E9"/>
    <w:rsid w:val="008077B6"/>
    <w:rsid w:val="00812D08"/>
    <w:rsid w:val="00813201"/>
    <w:rsid w:val="008143DE"/>
    <w:rsid w:val="008203F8"/>
    <w:rsid w:val="008229D9"/>
    <w:rsid w:val="00822CB6"/>
    <w:rsid w:val="00823992"/>
    <w:rsid w:val="00827106"/>
    <w:rsid w:val="00827ED7"/>
    <w:rsid w:val="008301B9"/>
    <w:rsid w:val="00830726"/>
    <w:rsid w:val="008318CE"/>
    <w:rsid w:val="00833280"/>
    <w:rsid w:val="00835525"/>
    <w:rsid w:val="0083655E"/>
    <w:rsid w:val="0083736E"/>
    <w:rsid w:val="00837EAB"/>
    <w:rsid w:val="00842C98"/>
    <w:rsid w:val="00844DB7"/>
    <w:rsid w:val="0084517A"/>
    <w:rsid w:val="008456CE"/>
    <w:rsid w:val="008559CF"/>
    <w:rsid w:val="00855E64"/>
    <w:rsid w:val="008560A1"/>
    <w:rsid w:val="008603AE"/>
    <w:rsid w:val="00862073"/>
    <w:rsid w:val="00862B72"/>
    <w:rsid w:val="0086384E"/>
    <w:rsid w:val="00866520"/>
    <w:rsid w:val="00870881"/>
    <w:rsid w:val="0087395B"/>
    <w:rsid w:val="00873F37"/>
    <w:rsid w:val="00874833"/>
    <w:rsid w:val="0087517C"/>
    <w:rsid w:val="0087570C"/>
    <w:rsid w:val="00875E11"/>
    <w:rsid w:val="00875F4B"/>
    <w:rsid w:val="00876452"/>
    <w:rsid w:val="00877811"/>
    <w:rsid w:val="008779D5"/>
    <w:rsid w:val="00877AB5"/>
    <w:rsid w:val="008811C0"/>
    <w:rsid w:val="00881BAF"/>
    <w:rsid w:val="00882983"/>
    <w:rsid w:val="00883F6F"/>
    <w:rsid w:val="00884061"/>
    <w:rsid w:val="00884960"/>
    <w:rsid w:val="008851B6"/>
    <w:rsid w:val="00886800"/>
    <w:rsid w:val="00886E5D"/>
    <w:rsid w:val="008907FB"/>
    <w:rsid w:val="00892C50"/>
    <w:rsid w:val="00893750"/>
    <w:rsid w:val="00893937"/>
    <w:rsid w:val="00894EC8"/>
    <w:rsid w:val="0089611B"/>
    <w:rsid w:val="00897A6B"/>
    <w:rsid w:val="008A2EA5"/>
    <w:rsid w:val="008A441E"/>
    <w:rsid w:val="008A4612"/>
    <w:rsid w:val="008A4BC0"/>
    <w:rsid w:val="008A606C"/>
    <w:rsid w:val="008A613B"/>
    <w:rsid w:val="008A693B"/>
    <w:rsid w:val="008A6BC3"/>
    <w:rsid w:val="008A6E89"/>
    <w:rsid w:val="008B09F5"/>
    <w:rsid w:val="008B154C"/>
    <w:rsid w:val="008B376A"/>
    <w:rsid w:val="008B6DF7"/>
    <w:rsid w:val="008C0682"/>
    <w:rsid w:val="008C086C"/>
    <w:rsid w:val="008C0E02"/>
    <w:rsid w:val="008C148F"/>
    <w:rsid w:val="008C7AB7"/>
    <w:rsid w:val="008C7DE1"/>
    <w:rsid w:val="008D01B8"/>
    <w:rsid w:val="008D085D"/>
    <w:rsid w:val="008D0C92"/>
    <w:rsid w:val="008D1ACB"/>
    <w:rsid w:val="008D1DDC"/>
    <w:rsid w:val="008D2959"/>
    <w:rsid w:val="008D30A1"/>
    <w:rsid w:val="008D3632"/>
    <w:rsid w:val="008D4EE8"/>
    <w:rsid w:val="008D562B"/>
    <w:rsid w:val="008D7901"/>
    <w:rsid w:val="008F073E"/>
    <w:rsid w:val="008F15AD"/>
    <w:rsid w:val="008F1933"/>
    <w:rsid w:val="008F355C"/>
    <w:rsid w:val="008F4301"/>
    <w:rsid w:val="008F6653"/>
    <w:rsid w:val="008F74EF"/>
    <w:rsid w:val="008F764C"/>
    <w:rsid w:val="009009F7"/>
    <w:rsid w:val="00901550"/>
    <w:rsid w:val="0090281F"/>
    <w:rsid w:val="00902EAE"/>
    <w:rsid w:val="009103C4"/>
    <w:rsid w:val="009104EB"/>
    <w:rsid w:val="009105BE"/>
    <w:rsid w:val="00910DF8"/>
    <w:rsid w:val="00912019"/>
    <w:rsid w:val="00913E9D"/>
    <w:rsid w:val="00914AA9"/>
    <w:rsid w:val="0091591E"/>
    <w:rsid w:val="0091597A"/>
    <w:rsid w:val="00915B1B"/>
    <w:rsid w:val="00915C96"/>
    <w:rsid w:val="009209FC"/>
    <w:rsid w:val="00921047"/>
    <w:rsid w:val="009211C1"/>
    <w:rsid w:val="00922131"/>
    <w:rsid w:val="009237BF"/>
    <w:rsid w:val="00924841"/>
    <w:rsid w:val="009272EB"/>
    <w:rsid w:val="009316B3"/>
    <w:rsid w:val="00931C93"/>
    <w:rsid w:val="00931E45"/>
    <w:rsid w:val="00933007"/>
    <w:rsid w:val="0093318D"/>
    <w:rsid w:val="009331C0"/>
    <w:rsid w:val="00933B9B"/>
    <w:rsid w:val="009353C3"/>
    <w:rsid w:val="00935A91"/>
    <w:rsid w:val="00936947"/>
    <w:rsid w:val="009412B4"/>
    <w:rsid w:val="00941561"/>
    <w:rsid w:val="00942755"/>
    <w:rsid w:val="009448EB"/>
    <w:rsid w:val="00944AAA"/>
    <w:rsid w:val="0094644F"/>
    <w:rsid w:val="00947FED"/>
    <w:rsid w:val="00954B6D"/>
    <w:rsid w:val="00955118"/>
    <w:rsid w:val="0095554F"/>
    <w:rsid w:val="00957D5D"/>
    <w:rsid w:val="0096074C"/>
    <w:rsid w:val="00961A92"/>
    <w:rsid w:val="00961C68"/>
    <w:rsid w:val="0096398E"/>
    <w:rsid w:val="00963DC4"/>
    <w:rsid w:val="00964AEC"/>
    <w:rsid w:val="009653EE"/>
    <w:rsid w:val="009662B0"/>
    <w:rsid w:val="00966C02"/>
    <w:rsid w:val="009731A3"/>
    <w:rsid w:val="009734FB"/>
    <w:rsid w:val="009776D2"/>
    <w:rsid w:val="00977B76"/>
    <w:rsid w:val="00977CB7"/>
    <w:rsid w:val="00981DB2"/>
    <w:rsid w:val="00987EC4"/>
    <w:rsid w:val="00992198"/>
    <w:rsid w:val="00992CD8"/>
    <w:rsid w:val="00993CAB"/>
    <w:rsid w:val="00994CA0"/>
    <w:rsid w:val="00995B04"/>
    <w:rsid w:val="0099794D"/>
    <w:rsid w:val="009A03F5"/>
    <w:rsid w:val="009A062C"/>
    <w:rsid w:val="009A1EC3"/>
    <w:rsid w:val="009A2E89"/>
    <w:rsid w:val="009A30CD"/>
    <w:rsid w:val="009A4525"/>
    <w:rsid w:val="009A52AF"/>
    <w:rsid w:val="009A534E"/>
    <w:rsid w:val="009B1C99"/>
    <w:rsid w:val="009B2AE8"/>
    <w:rsid w:val="009B3025"/>
    <w:rsid w:val="009B33E7"/>
    <w:rsid w:val="009B47D2"/>
    <w:rsid w:val="009B4AFF"/>
    <w:rsid w:val="009B4E19"/>
    <w:rsid w:val="009B530C"/>
    <w:rsid w:val="009B5AF0"/>
    <w:rsid w:val="009B69A6"/>
    <w:rsid w:val="009C0910"/>
    <w:rsid w:val="009C2677"/>
    <w:rsid w:val="009C2AA7"/>
    <w:rsid w:val="009C4EE5"/>
    <w:rsid w:val="009C661C"/>
    <w:rsid w:val="009C6C2E"/>
    <w:rsid w:val="009C6DBF"/>
    <w:rsid w:val="009D14A7"/>
    <w:rsid w:val="009D268D"/>
    <w:rsid w:val="009D2987"/>
    <w:rsid w:val="009D40DC"/>
    <w:rsid w:val="009D747C"/>
    <w:rsid w:val="009D7DBB"/>
    <w:rsid w:val="009E0B68"/>
    <w:rsid w:val="009E2E36"/>
    <w:rsid w:val="009E2F3F"/>
    <w:rsid w:val="009E3FA9"/>
    <w:rsid w:val="009E46E0"/>
    <w:rsid w:val="009E5E53"/>
    <w:rsid w:val="009F2007"/>
    <w:rsid w:val="009F302A"/>
    <w:rsid w:val="009F70AE"/>
    <w:rsid w:val="009F7A62"/>
    <w:rsid w:val="00A00C2C"/>
    <w:rsid w:val="00A0168A"/>
    <w:rsid w:val="00A01CF8"/>
    <w:rsid w:val="00A024DD"/>
    <w:rsid w:val="00A02B98"/>
    <w:rsid w:val="00A02DD2"/>
    <w:rsid w:val="00A07353"/>
    <w:rsid w:val="00A07493"/>
    <w:rsid w:val="00A07A2E"/>
    <w:rsid w:val="00A07D6B"/>
    <w:rsid w:val="00A109E1"/>
    <w:rsid w:val="00A12338"/>
    <w:rsid w:val="00A143C0"/>
    <w:rsid w:val="00A14FF0"/>
    <w:rsid w:val="00A1654B"/>
    <w:rsid w:val="00A176FC"/>
    <w:rsid w:val="00A20559"/>
    <w:rsid w:val="00A22BB0"/>
    <w:rsid w:val="00A22BD4"/>
    <w:rsid w:val="00A269B4"/>
    <w:rsid w:val="00A2701F"/>
    <w:rsid w:val="00A32398"/>
    <w:rsid w:val="00A32C71"/>
    <w:rsid w:val="00A3400A"/>
    <w:rsid w:val="00A37056"/>
    <w:rsid w:val="00A405AC"/>
    <w:rsid w:val="00A41773"/>
    <w:rsid w:val="00A427E8"/>
    <w:rsid w:val="00A43057"/>
    <w:rsid w:val="00A43D75"/>
    <w:rsid w:val="00A44B61"/>
    <w:rsid w:val="00A458CA"/>
    <w:rsid w:val="00A4603F"/>
    <w:rsid w:val="00A4618A"/>
    <w:rsid w:val="00A5041D"/>
    <w:rsid w:val="00A5239B"/>
    <w:rsid w:val="00A53780"/>
    <w:rsid w:val="00A54297"/>
    <w:rsid w:val="00A5488F"/>
    <w:rsid w:val="00A54A89"/>
    <w:rsid w:val="00A576A8"/>
    <w:rsid w:val="00A610E3"/>
    <w:rsid w:val="00A614B3"/>
    <w:rsid w:val="00A62A08"/>
    <w:rsid w:val="00A62C1D"/>
    <w:rsid w:val="00A6578A"/>
    <w:rsid w:val="00A662F5"/>
    <w:rsid w:val="00A67C01"/>
    <w:rsid w:val="00A70384"/>
    <w:rsid w:val="00A70F76"/>
    <w:rsid w:val="00A71041"/>
    <w:rsid w:val="00A7138A"/>
    <w:rsid w:val="00A72FFE"/>
    <w:rsid w:val="00A75BC4"/>
    <w:rsid w:val="00A75EEA"/>
    <w:rsid w:val="00A763FD"/>
    <w:rsid w:val="00A76E96"/>
    <w:rsid w:val="00A770E2"/>
    <w:rsid w:val="00A77191"/>
    <w:rsid w:val="00A77984"/>
    <w:rsid w:val="00A80673"/>
    <w:rsid w:val="00A82B03"/>
    <w:rsid w:val="00A82E0F"/>
    <w:rsid w:val="00A83168"/>
    <w:rsid w:val="00A869D2"/>
    <w:rsid w:val="00A87C30"/>
    <w:rsid w:val="00A90323"/>
    <w:rsid w:val="00A915BC"/>
    <w:rsid w:val="00A95C0D"/>
    <w:rsid w:val="00A9681C"/>
    <w:rsid w:val="00AA00BD"/>
    <w:rsid w:val="00AA0C5B"/>
    <w:rsid w:val="00AA1117"/>
    <w:rsid w:val="00AA2C79"/>
    <w:rsid w:val="00AA2DD3"/>
    <w:rsid w:val="00AA2FA3"/>
    <w:rsid w:val="00AA3325"/>
    <w:rsid w:val="00AA4666"/>
    <w:rsid w:val="00AA4BA2"/>
    <w:rsid w:val="00AA4E62"/>
    <w:rsid w:val="00AA50F2"/>
    <w:rsid w:val="00AA5C67"/>
    <w:rsid w:val="00AA6670"/>
    <w:rsid w:val="00AB1409"/>
    <w:rsid w:val="00AB21A4"/>
    <w:rsid w:val="00AB2F08"/>
    <w:rsid w:val="00AB36BE"/>
    <w:rsid w:val="00AB431C"/>
    <w:rsid w:val="00AB6A6D"/>
    <w:rsid w:val="00AB757A"/>
    <w:rsid w:val="00AB77B8"/>
    <w:rsid w:val="00AB7B3E"/>
    <w:rsid w:val="00AC1578"/>
    <w:rsid w:val="00AC2199"/>
    <w:rsid w:val="00AC2E16"/>
    <w:rsid w:val="00AC3B45"/>
    <w:rsid w:val="00AC3E44"/>
    <w:rsid w:val="00AC75F6"/>
    <w:rsid w:val="00AD0A16"/>
    <w:rsid w:val="00AD0D33"/>
    <w:rsid w:val="00AD2B37"/>
    <w:rsid w:val="00AD46E3"/>
    <w:rsid w:val="00AD523D"/>
    <w:rsid w:val="00AD55E5"/>
    <w:rsid w:val="00AD5EB1"/>
    <w:rsid w:val="00AD70D8"/>
    <w:rsid w:val="00AD73F5"/>
    <w:rsid w:val="00AE001B"/>
    <w:rsid w:val="00AE12DE"/>
    <w:rsid w:val="00AE17B1"/>
    <w:rsid w:val="00AE2068"/>
    <w:rsid w:val="00AE2B58"/>
    <w:rsid w:val="00AE4D5A"/>
    <w:rsid w:val="00AE6EFC"/>
    <w:rsid w:val="00AE7BA1"/>
    <w:rsid w:val="00AF0459"/>
    <w:rsid w:val="00AF6BF9"/>
    <w:rsid w:val="00AF7E4E"/>
    <w:rsid w:val="00AF7EDB"/>
    <w:rsid w:val="00B003B0"/>
    <w:rsid w:val="00B00948"/>
    <w:rsid w:val="00B01D55"/>
    <w:rsid w:val="00B02C5A"/>
    <w:rsid w:val="00B03E3D"/>
    <w:rsid w:val="00B04106"/>
    <w:rsid w:val="00B04A6C"/>
    <w:rsid w:val="00B06C0F"/>
    <w:rsid w:val="00B07643"/>
    <w:rsid w:val="00B101E7"/>
    <w:rsid w:val="00B12193"/>
    <w:rsid w:val="00B122B1"/>
    <w:rsid w:val="00B1318F"/>
    <w:rsid w:val="00B134B1"/>
    <w:rsid w:val="00B147C6"/>
    <w:rsid w:val="00B16C50"/>
    <w:rsid w:val="00B17B10"/>
    <w:rsid w:val="00B21494"/>
    <w:rsid w:val="00B226F4"/>
    <w:rsid w:val="00B24077"/>
    <w:rsid w:val="00B2407B"/>
    <w:rsid w:val="00B250C1"/>
    <w:rsid w:val="00B25E80"/>
    <w:rsid w:val="00B26073"/>
    <w:rsid w:val="00B26F5F"/>
    <w:rsid w:val="00B277A4"/>
    <w:rsid w:val="00B32FBA"/>
    <w:rsid w:val="00B334E6"/>
    <w:rsid w:val="00B35088"/>
    <w:rsid w:val="00B368F1"/>
    <w:rsid w:val="00B373C7"/>
    <w:rsid w:val="00B40F33"/>
    <w:rsid w:val="00B41971"/>
    <w:rsid w:val="00B4306E"/>
    <w:rsid w:val="00B44380"/>
    <w:rsid w:val="00B45417"/>
    <w:rsid w:val="00B53754"/>
    <w:rsid w:val="00B54AA8"/>
    <w:rsid w:val="00B55EC4"/>
    <w:rsid w:val="00B560F9"/>
    <w:rsid w:val="00B56D0D"/>
    <w:rsid w:val="00B57AC5"/>
    <w:rsid w:val="00B64296"/>
    <w:rsid w:val="00B643DD"/>
    <w:rsid w:val="00B64725"/>
    <w:rsid w:val="00B64A6D"/>
    <w:rsid w:val="00B64F18"/>
    <w:rsid w:val="00B65604"/>
    <w:rsid w:val="00B66FB9"/>
    <w:rsid w:val="00B70B63"/>
    <w:rsid w:val="00B70E4E"/>
    <w:rsid w:val="00B71AD0"/>
    <w:rsid w:val="00B73197"/>
    <w:rsid w:val="00B74296"/>
    <w:rsid w:val="00B74525"/>
    <w:rsid w:val="00B75418"/>
    <w:rsid w:val="00B7617F"/>
    <w:rsid w:val="00B762FF"/>
    <w:rsid w:val="00B76302"/>
    <w:rsid w:val="00B80801"/>
    <w:rsid w:val="00B82070"/>
    <w:rsid w:val="00B82AC5"/>
    <w:rsid w:val="00B8451D"/>
    <w:rsid w:val="00B846B7"/>
    <w:rsid w:val="00B8687A"/>
    <w:rsid w:val="00B87800"/>
    <w:rsid w:val="00B87CAC"/>
    <w:rsid w:val="00B87CCC"/>
    <w:rsid w:val="00B87CF6"/>
    <w:rsid w:val="00B90321"/>
    <w:rsid w:val="00B91B6D"/>
    <w:rsid w:val="00B9313E"/>
    <w:rsid w:val="00B947DD"/>
    <w:rsid w:val="00B95061"/>
    <w:rsid w:val="00B96193"/>
    <w:rsid w:val="00B9657D"/>
    <w:rsid w:val="00B9739E"/>
    <w:rsid w:val="00BA157C"/>
    <w:rsid w:val="00BA48D5"/>
    <w:rsid w:val="00BA588A"/>
    <w:rsid w:val="00BB2BAB"/>
    <w:rsid w:val="00BB33F6"/>
    <w:rsid w:val="00BB481A"/>
    <w:rsid w:val="00BB5ED4"/>
    <w:rsid w:val="00BB6BFE"/>
    <w:rsid w:val="00BB6EDC"/>
    <w:rsid w:val="00BB7661"/>
    <w:rsid w:val="00BC0447"/>
    <w:rsid w:val="00BC0FA3"/>
    <w:rsid w:val="00BC1EE3"/>
    <w:rsid w:val="00BC5A3F"/>
    <w:rsid w:val="00BC5AEB"/>
    <w:rsid w:val="00BC699E"/>
    <w:rsid w:val="00BC6C67"/>
    <w:rsid w:val="00BC770C"/>
    <w:rsid w:val="00BC7F77"/>
    <w:rsid w:val="00BD02FF"/>
    <w:rsid w:val="00BD0BCA"/>
    <w:rsid w:val="00BD1B28"/>
    <w:rsid w:val="00BD1C76"/>
    <w:rsid w:val="00BD20A5"/>
    <w:rsid w:val="00BD23C1"/>
    <w:rsid w:val="00BD2BFC"/>
    <w:rsid w:val="00BD2FB5"/>
    <w:rsid w:val="00BD32F1"/>
    <w:rsid w:val="00BD3353"/>
    <w:rsid w:val="00BD47E7"/>
    <w:rsid w:val="00BD4E0E"/>
    <w:rsid w:val="00BD631F"/>
    <w:rsid w:val="00BD73D3"/>
    <w:rsid w:val="00BD7B46"/>
    <w:rsid w:val="00BD7D17"/>
    <w:rsid w:val="00BE3720"/>
    <w:rsid w:val="00BE4391"/>
    <w:rsid w:val="00BE51E7"/>
    <w:rsid w:val="00BE609F"/>
    <w:rsid w:val="00BE6169"/>
    <w:rsid w:val="00BF19B5"/>
    <w:rsid w:val="00BF2516"/>
    <w:rsid w:val="00BF4879"/>
    <w:rsid w:val="00BF676D"/>
    <w:rsid w:val="00C00190"/>
    <w:rsid w:val="00C009B2"/>
    <w:rsid w:val="00C01C22"/>
    <w:rsid w:val="00C051EB"/>
    <w:rsid w:val="00C07D9F"/>
    <w:rsid w:val="00C10A7A"/>
    <w:rsid w:val="00C11275"/>
    <w:rsid w:val="00C12B61"/>
    <w:rsid w:val="00C12F4B"/>
    <w:rsid w:val="00C13291"/>
    <w:rsid w:val="00C1401E"/>
    <w:rsid w:val="00C149D1"/>
    <w:rsid w:val="00C15461"/>
    <w:rsid w:val="00C160D7"/>
    <w:rsid w:val="00C16C01"/>
    <w:rsid w:val="00C23903"/>
    <w:rsid w:val="00C23A36"/>
    <w:rsid w:val="00C270ED"/>
    <w:rsid w:val="00C274E6"/>
    <w:rsid w:val="00C30B2E"/>
    <w:rsid w:val="00C3189E"/>
    <w:rsid w:val="00C34250"/>
    <w:rsid w:val="00C35601"/>
    <w:rsid w:val="00C36477"/>
    <w:rsid w:val="00C37555"/>
    <w:rsid w:val="00C40ABA"/>
    <w:rsid w:val="00C43125"/>
    <w:rsid w:val="00C439D9"/>
    <w:rsid w:val="00C445D8"/>
    <w:rsid w:val="00C46534"/>
    <w:rsid w:val="00C46E05"/>
    <w:rsid w:val="00C50712"/>
    <w:rsid w:val="00C516D3"/>
    <w:rsid w:val="00C52227"/>
    <w:rsid w:val="00C530BF"/>
    <w:rsid w:val="00C533B8"/>
    <w:rsid w:val="00C53C91"/>
    <w:rsid w:val="00C54658"/>
    <w:rsid w:val="00C555A3"/>
    <w:rsid w:val="00C55D5F"/>
    <w:rsid w:val="00C60B34"/>
    <w:rsid w:val="00C642E4"/>
    <w:rsid w:val="00C64805"/>
    <w:rsid w:val="00C65463"/>
    <w:rsid w:val="00C6639D"/>
    <w:rsid w:val="00C67C70"/>
    <w:rsid w:val="00C70497"/>
    <w:rsid w:val="00C70D12"/>
    <w:rsid w:val="00C750E5"/>
    <w:rsid w:val="00C75FD6"/>
    <w:rsid w:val="00C77D70"/>
    <w:rsid w:val="00C80DB8"/>
    <w:rsid w:val="00C80E89"/>
    <w:rsid w:val="00C815AA"/>
    <w:rsid w:val="00C8336F"/>
    <w:rsid w:val="00C85315"/>
    <w:rsid w:val="00C85574"/>
    <w:rsid w:val="00C8611F"/>
    <w:rsid w:val="00C917D5"/>
    <w:rsid w:val="00C92F7B"/>
    <w:rsid w:val="00C93E46"/>
    <w:rsid w:val="00C9488B"/>
    <w:rsid w:val="00C963CF"/>
    <w:rsid w:val="00C971CA"/>
    <w:rsid w:val="00CA106F"/>
    <w:rsid w:val="00CA1A43"/>
    <w:rsid w:val="00CA2A81"/>
    <w:rsid w:val="00CA3D6E"/>
    <w:rsid w:val="00CA47D2"/>
    <w:rsid w:val="00CA7FCE"/>
    <w:rsid w:val="00CB0CE6"/>
    <w:rsid w:val="00CB1FB5"/>
    <w:rsid w:val="00CB267E"/>
    <w:rsid w:val="00CB6D5B"/>
    <w:rsid w:val="00CC051E"/>
    <w:rsid w:val="00CC1A56"/>
    <w:rsid w:val="00CC246B"/>
    <w:rsid w:val="00CC445E"/>
    <w:rsid w:val="00CC5AC5"/>
    <w:rsid w:val="00CC721D"/>
    <w:rsid w:val="00CD057E"/>
    <w:rsid w:val="00CD3A3C"/>
    <w:rsid w:val="00CD40BD"/>
    <w:rsid w:val="00CD4BF8"/>
    <w:rsid w:val="00CE5DBE"/>
    <w:rsid w:val="00CF18C6"/>
    <w:rsid w:val="00CF1A51"/>
    <w:rsid w:val="00CF39CE"/>
    <w:rsid w:val="00CF3F7E"/>
    <w:rsid w:val="00CF43F1"/>
    <w:rsid w:val="00CF5343"/>
    <w:rsid w:val="00CF55DB"/>
    <w:rsid w:val="00CF7BDB"/>
    <w:rsid w:val="00D02975"/>
    <w:rsid w:val="00D03CD4"/>
    <w:rsid w:val="00D0416F"/>
    <w:rsid w:val="00D04B1B"/>
    <w:rsid w:val="00D05189"/>
    <w:rsid w:val="00D05D3D"/>
    <w:rsid w:val="00D06866"/>
    <w:rsid w:val="00D068D2"/>
    <w:rsid w:val="00D07042"/>
    <w:rsid w:val="00D07FBC"/>
    <w:rsid w:val="00D10ADE"/>
    <w:rsid w:val="00D1345C"/>
    <w:rsid w:val="00D15416"/>
    <w:rsid w:val="00D15B25"/>
    <w:rsid w:val="00D212C0"/>
    <w:rsid w:val="00D25F54"/>
    <w:rsid w:val="00D27487"/>
    <w:rsid w:val="00D27DB9"/>
    <w:rsid w:val="00D300B6"/>
    <w:rsid w:val="00D30EE3"/>
    <w:rsid w:val="00D315E9"/>
    <w:rsid w:val="00D3402C"/>
    <w:rsid w:val="00D34397"/>
    <w:rsid w:val="00D36868"/>
    <w:rsid w:val="00D406C4"/>
    <w:rsid w:val="00D40D41"/>
    <w:rsid w:val="00D42128"/>
    <w:rsid w:val="00D46EC9"/>
    <w:rsid w:val="00D5010D"/>
    <w:rsid w:val="00D533DF"/>
    <w:rsid w:val="00D54620"/>
    <w:rsid w:val="00D5482F"/>
    <w:rsid w:val="00D55116"/>
    <w:rsid w:val="00D55664"/>
    <w:rsid w:val="00D57443"/>
    <w:rsid w:val="00D576B5"/>
    <w:rsid w:val="00D57A7D"/>
    <w:rsid w:val="00D60112"/>
    <w:rsid w:val="00D602A2"/>
    <w:rsid w:val="00D618B9"/>
    <w:rsid w:val="00D63D0E"/>
    <w:rsid w:val="00D64FA7"/>
    <w:rsid w:val="00D650C4"/>
    <w:rsid w:val="00D65AC0"/>
    <w:rsid w:val="00D7135E"/>
    <w:rsid w:val="00D7304C"/>
    <w:rsid w:val="00D73351"/>
    <w:rsid w:val="00D73E28"/>
    <w:rsid w:val="00D7497E"/>
    <w:rsid w:val="00D75164"/>
    <w:rsid w:val="00D75ABD"/>
    <w:rsid w:val="00D75D11"/>
    <w:rsid w:val="00D76AA8"/>
    <w:rsid w:val="00D76C51"/>
    <w:rsid w:val="00D84366"/>
    <w:rsid w:val="00D8488B"/>
    <w:rsid w:val="00D85392"/>
    <w:rsid w:val="00D85C01"/>
    <w:rsid w:val="00D924C5"/>
    <w:rsid w:val="00D9545A"/>
    <w:rsid w:val="00D9778B"/>
    <w:rsid w:val="00DA13B6"/>
    <w:rsid w:val="00DA1F08"/>
    <w:rsid w:val="00DA4E60"/>
    <w:rsid w:val="00DA6165"/>
    <w:rsid w:val="00DA6167"/>
    <w:rsid w:val="00DB0AE1"/>
    <w:rsid w:val="00DB3B87"/>
    <w:rsid w:val="00DB5751"/>
    <w:rsid w:val="00DB585D"/>
    <w:rsid w:val="00DB60FA"/>
    <w:rsid w:val="00DC12BF"/>
    <w:rsid w:val="00DC31AE"/>
    <w:rsid w:val="00DC461E"/>
    <w:rsid w:val="00DC4892"/>
    <w:rsid w:val="00DC4E7E"/>
    <w:rsid w:val="00DC78A5"/>
    <w:rsid w:val="00DD138E"/>
    <w:rsid w:val="00DD1F3D"/>
    <w:rsid w:val="00DD5F91"/>
    <w:rsid w:val="00DD645F"/>
    <w:rsid w:val="00DD64BA"/>
    <w:rsid w:val="00DD68D8"/>
    <w:rsid w:val="00DE0B42"/>
    <w:rsid w:val="00DE2175"/>
    <w:rsid w:val="00DE5156"/>
    <w:rsid w:val="00DE51FB"/>
    <w:rsid w:val="00DE6386"/>
    <w:rsid w:val="00DF021F"/>
    <w:rsid w:val="00DF054B"/>
    <w:rsid w:val="00DF0608"/>
    <w:rsid w:val="00DF0FCC"/>
    <w:rsid w:val="00DF154A"/>
    <w:rsid w:val="00DF1B39"/>
    <w:rsid w:val="00DF1BE6"/>
    <w:rsid w:val="00DF3864"/>
    <w:rsid w:val="00DF4135"/>
    <w:rsid w:val="00DF57DC"/>
    <w:rsid w:val="00DF6164"/>
    <w:rsid w:val="00DF684E"/>
    <w:rsid w:val="00DF74C7"/>
    <w:rsid w:val="00DF7B00"/>
    <w:rsid w:val="00DF7C4C"/>
    <w:rsid w:val="00E003FD"/>
    <w:rsid w:val="00E014C4"/>
    <w:rsid w:val="00E0190F"/>
    <w:rsid w:val="00E06467"/>
    <w:rsid w:val="00E06558"/>
    <w:rsid w:val="00E068FA"/>
    <w:rsid w:val="00E06A32"/>
    <w:rsid w:val="00E07C5B"/>
    <w:rsid w:val="00E12C2E"/>
    <w:rsid w:val="00E16E73"/>
    <w:rsid w:val="00E20DB3"/>
    <w:rsid w:val="00E213A1"/>
    <w:rsid w:val="00E21F28"/>
    <w:rsid w:val="00E225C1"/>
    <w:rsid w:val="00E22B53"/>
    <w:rsid w:val="00E238CC"/>
    <w:rsid w:val="00E240AD"/>
    <w:rsid w:val="00E25F8C"/>
    <w:rsid w:val="00E27B63"/>
    <w:rsid w:val="00E31F80"/>
    <w:rsid w:val="00E324E7"/>
    <w:rsid w:val="00E32507"/>
    <w:rsid w:val="00E32EEB"/>
    <w:rsid w:val="00E33526"/>
    <w:rsid w:val="00E34295"/>
    <w:rsid w:val="00E35B43"/>
    <w:rsid w:val="00E36109"/>
    <w:rsid w:val="00E3615D"/>
    <w:rsid w:val="00E36BC8"/>
    <w:rsid w:val="00E428E9"/>
    <w:rsid w:val="00E42A80"/>
    <w:rsid w:val="00E43275"/>
    <w:rsid w:val="00E46111"/>
    <w:rsid w:val="00E478D8"/>
    <w:rsid w:val="00E47D86"/>
    <w:rsid w:val="00E50EC3"/>
    <w:rsid w:val="00E50F02"/>
    <w:rsid w:val="00E53ED3"/>
    <w:rsid w:val="00E54900"/>
    <w:rsid w:val="00E55178"/>
    <w:rsid w:val="00E55A2B"/>
    <w:rsid w:val="00E5655D"/>
    <w:rsid w:val="00E57555"/>
    <w:rsid w:val="00E61183"/>
    <w:rsid w:val="00E617C6"/>
    <w:rsid w:val="00E62BED"/>
    <w:rsid w:val="00E62C58"/>
    <w:rsid w:val="00E631DE"/>
    <w:rsid w:val="00E63323"/>
    <w:rsid w:val="00E6729E"/>
    <w:rsid w:val="00E71BEE"/>
    <w:rsid w:val="00E74991"/>
    <w:rsid w:val="00E766FE"/>
    <w:rsid w:val="00E76F92"/>
    <w:rsid w:val="00E775C6"/>
    <w:rsid w:val="00E830D0"/>
    <w:rsid w:val="00E850EC"/>
    <w:rsid w:val="00E86E0B"/>
    <w:rsid w:val="00E91A4A"/>
    <w:rsid w:val="00E91F8F"/>
    <w:rsid w:val="00E94AF1"/>
    <w:rsid w:val="00E94FD2"/>
    <w:rsid w:val="00E952D0"/>
    <w:rsid w:val="00E96562"/>
    <w:rsid w:val="00E96A07"/>
    <w:rsid w:val="00E9716C"/>
    <w:rsid w:val="00E97BC6"/>
    <w:rsid w:val="00EA12EE"/>
    <w:rsid w:val="00EA1A0E"/>
    <w:rsid w:val="00EA21E3"/>
    <w:rsid w:val="00EA2CA4"/>
    <w:rsid w:val="00EA2E55"/>
    <w:rsid w:val="00EA39C4"/>
    <w:rsid w:val="00EA3C51"/>
    <w:rsid w:val="00EA48D4"/>
    <w:rsid w:val="00EA4E25"/>
    <w:rsid w:val="00EA531B"/>
    <w:rsid w:val="00EA7BAD"/>
    <w:rsid w:val="00EA7C03"/>
    <w:rsid w:val="00EA7EFE"/>
    <w:rsid w:val="00EB09D2"/>
    <w:rsid w:val="00EB3650"/>
    <w:rsid w:val="00EB5301"/>
    <w:rsid w:val="00EC1370"/>
    <w:rsid w:val="00EC6060"/>
    <w:rsid w:val="00EC78B2"/>
    <w:rsid w:val="00ED032A"/>
    <w:rsid w:val="00ED037B"/>
    <w:rsid w:val="00ED0584"/>
    <w:rsid w:val="00ED36C9"/>
    <w:rsid w:val="00ED3E1B"/>
    <w:rsid w:val="00ED3F2A"/>
    <w:rsid w:val="00ED6CF5"/>
    <w:rsid w:val="00ED6E27"/>
    <w:rsid w:val="00ED789E"/>
    <w:rsid w:val="00EE004A"/>
    <w:rsid w:val="00EE34A7"/>
    <w:rsid w:val="00EE3A40"/>
    <w:rsid w:val="00EE3BE3"/>
    <w:rsid w:val="00EE3C8A"/>
    <w:rsid w:val="00EE5143"/>
    <w:rsid w:val="00EE6CC7"/>
    <w:rsid w:val="00EF00F2"/>
    <w:rsid w:val="00EF074B"/>
    <w:rsid w:val="00EF178C"/>
    <w:rsid w:val="00EF19F9"/>
    <w:rsid w:val="00EF1B09"/>
    <w:rsid w:val="00EF2FCC"/>
    <w:rsid w:val="00EF33F4"/>
    <w:rsid w:val="00EF3811"/>
    <w:rsid w:val="00EF4214"/>
    <w:rsid w:val="00EF45D1"/>
    <w:rsid w:val="00EF50E4"/>
    <w:rsid w:val="00EF6AE7"/>
    <w:rsid w:val="00EF6B57"/>
    <w:rsid w:val="00EF73A5"/>
    <w:rsid w:val="00F002A9"/>
    <w:rsid w:val="00F007AB"/>
    <w:rsid w:val="00F00E1B"/>
    <w:rsid w:val="00F035C8"/>
    <w:rsid w:val="00F05ED7"/>
    <w:rsid w:val="00F061F4"/>
    <w:rsid w:val="00F06913"/>
    <w:rsid w:val="00F07FD1"/>
    <w:rsid w:val="00F11308"/>
    <w:rsid w:val="00F135C6"/>
    <w:rsid w:val="00F159B6"/>
    <w:rsid w:val="00F15CC5"/>
    <w:rsid w:val="00F16021"/>
    <w:rsid w:val="00F17E9A"/>
    <w:rsid w:val="00F17F16"/>
    <w:rsid w:val="00F209D7"/>
    <w:rsid w:val="00F21A30"/>
    <w:rsid w:val="00F21F2D"/>
    <w:rsid w:val="00F233D5"/>
    <w:rsid w:val="00F23548"/>
    <w:rsid w:val="00F23916"/>
    <w:rsid w:val="00F24D59"/>
    <w:rsid w:val="00F251A8"/>
    <w:rsid w:val="00F2719E"/>
    <w:rsid w:val="00F2739D"/>
    <w:rsid w:val="00F31697"/>
    <w:rsid w:val="00F31D5D"/>
    <w:rsid w:val="00F321D5"/>
    <w:rsid w:val="00F32C44"/>
    <w:rsid w:val="00F3306B"/>
    <w:rsid w:val="00F40C0E"/>
    <w:rsid w:val="00F41174"/>
    <w:rsid w:val="00F4520F"/>
    <w:rsid w:val="00F4550E"/>
    <w:rsid w:val="00F466FD"/>
    <w:rsid w:val="00F47FF7"/>
    <w:rsid w:val="00F5163B"/>
    <w:rsid w:val="00F525FC"/>
    <w:rsid w:val="00F53922"/>
    <w:rsid w:val="00F540EB"/>
    <w:rsid w:val="00F54406"/>
    <w:rsid w:val="00F549E8"/>
    <w:rsid w:val="00F55746"/>
    <w:rsid w:val="00F62334"/>
    <w:rsid w:val="00F64B4D"/>
    <w:rsid w:val="00F72955"/>
    <w:rsid w:val="00F73827"/>
    <w:rsid w:val="00F75B77"/>
    <w:rsid w:val="00F805BD"/>
    <w:rsid w:val="00F805C0"/>
    <w:rsid w:val="00F82200"/>
    <w:rsid w:val="00F83CEF"/>
    <w:rsid w:val="00F8713F"/>
    <w:rsid w:val="00F9350A"/>
    <w:rsid w:val="00F94062"/>
    <w:rsid w:val="00F94D42"/>
    <w:rsid w:val="00F952E1"/>
    <w:rsid w:val="00F95E78"/>
    <w:rsid w:val="00F96CDD"/>
    <w:rsid w:val="00FA51E6"/>
    <w:rsid w:val="00FA673B"/>
    <w:rsid w:val="00FB04D1"/>
    <w:rsid w:val="00FB1876"/>
    <w:rsid w:val="00FB3F2A"/>
    <w:rsid w:val="00FB4C26"/>
    <w:rsid w:val="00FB522E"/>
    <w:rsid w:val="00FB65D2"/>
    <w:rsid w:val="00FB75DE"/>
    <w:rsid w:val="00FB7CC4"/>
    <w:rsid w:val="00FC0939"/>
    <w:rsid w:val="00FC1029"/>
    <w:rsid w:val="00FC154F"/>
    <w:rsid w:val="00FC22A2"/>
    <w:rsid w:val="00FC26D5"/>
    <w:rsid w:val="00FC3B66"/>
    <w:rsid w:val="00FC3BCF"/>
    <w:rsid w:val="00FD0DED"/>
    <w:rsid w:val="00FD14AD"/>
    <w:rsid w:val="00FD2258"/>
    <w:rsid w:val="00FD2360"/>
    <w:rsid w:val="00FD3F4A"/>
    <w:rsid w:val="00FD58FA"/>
    <w:rsid w:val="00FD5A5E"/>
    <w:rsid w:val="00FD6205"/>
    <w:rsid w:val="00FD77B0"/>
    <w:rsid w:val="00FE0ED8"/>
    <w:rsid w:val="00FE21A0"/>
    <w:rsid w:val="00FE2BA5"/>
    <w:rsid w:val="00FE5CC2"/>
    <w:rsid w:val="00FE65D8"/>
    <w:rsid w:val="00FF2428"/>
    <w:rsid w:val="00FF2CCC"/>
    <w:rsid w:val="00FF2DCC"/>
    <w:rsid w:val="00FF32A4"/>
    <w:rsid w:val="00FF3B98"/>
    <w:rsid w:val="00FF47EE"/>
    <w:rsid w:val="00FF51A7"/>
    <w:rsid w:val="00FF561B"/>
    <w:rsid w:val="00FF56A4"/>
    <w:rsid w:val="00FF6371"/>
    <w:rsid w:val="00FF7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E39592"/>
  <w15:docId w15:val="{A7D38008-5AF1-428D-9360-47F849A2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F16"/>
    <w:pPr>
      <w:widowControl w:val="0"/>
    </w:pPr>
  </w:style>
  <w:style w:type="paragraph" w:styleId="1">
    <w:name w:val="heading 1"/>
    <w:aliases w:val="A. 標題 1"/>
    <w:basedOn w:val="a"/>
    <w:next w:val="a"/>
    <w:link w:val="10"/>
    <w:uiPriority w:val="9"/>
    <w:qFormat/>
    <w:rsid w:val="000E022B"/>
    <w:pPr>
      <w:keepNext/>
      <w:spacing w:before="180" w:after="180" w:line="720" w:lineRule="auto"/>
      <w:outlineLvl w:val="0"/>
    </w:pPr>
    <w:rPr>
      <w:rFonts w:asciiTheme="majorHAnsi" w:eastAsia="標楷體" w:hAnsiTheme="majorHAnsi" w:cstheme="majorBidi"/>
      <w:b/>
      <w:bCs/>
      <w:kern w:val="52"/>
      <w:sz w:val="32"/>
      <w:szCs w:val="52"/>
    </w:rPr>
  </w:style>
  <w:style w:type="paragraph" w:styleId="21">
    <w:name w:val="heading 2"/>
    <w:basedOn w:val="a"/>
    <w:next w:val="a"/>
    <w:link w:val="22"/>
    <w:uiPriority w:val="9"/>
    <w:semiHidden/>
    <w:unhideWhenUsed/>
    <w:qFormat/>
    <w:rsid w:val="00142B54"/>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semiHidden/>
    <w:unhideWhenUsed/>
    <w:qFormat/>
    <w:rsid w:val="00142B5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42B5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168DB"/>
    <w:pPr>
      <w:snapToGrid w:val="0"/>
    </w:pPr>
    <w:rPr>
      <w:sz w:val="20"/>
      <w:szCs w:val="20"/>
    </w:rPr>
  </w:style>
  <w:style w:type="character" w:customStyle="1" w:styleId="a4">
    <w:name w:val="註腳文字 字元"/>
    <w:basedOn w:val="a0"/>
    <w:link w:val="a3"/>
    <w:uiPriority w:val="99"/>
    <w:rsid w:val="002168DB"/>
    <w:rPr>
      <w:sz w:val="20"/>
      <w:szCs w:val="20"/>
    </w:rPr>
  </w:style>
  <w:style w:type="character" w:styleId="a5">
    <w:name w:val="footnote reference"/>
    <w:basedOn w:val="a0"/>
    <w:unhideWhenUsed/>
    <w:rsid w:val="002168DB"/>
    <w:rPr>
      <w:vertAlign w:val="superscript"/>
    </w:rPr>
  </w:style>
  <w:style w:type="character" w:styleId="a6">
    <w:name w:val="Hyperlink"/>
    <w:uiPriority w:val="99"/>
    <w:unhideWhenUsed/>
    <w:rsid w:val="002168DB"/>
    <w:rPr>
      <w:color w:val="0000FF"/>
      <w:u w:val="single"/>
    </w:rPr>
  </w:style>
  <w:style w:type="paragraph" w:customStyle="1" w:styleId="Default">
    <w:name w:val="Default"/>
    <w:rsid w:val="002168DB"/>
    <w:pPr>
      <w:widowControl w:val="0"/>
      <w:autoSpaceDE w:val="0"/>
      <w:autoSpaceDN w:val="0"/>
      <w:adjustRightInd w:val="0"/>
    </w:pPr>
    <w:rPr>
      <w:rFonts w:ascii="標楷體" w:eastAsia="標楷體" w:cs="標楷體"/>
      <w:color w:val="000000"/>
      <w:kern w:val="0"/>
      <w:szCs w:val="24"/>
    </w:rPr>
  </w:style>
  <w:style w:type="paragraph" w:styleId="a7">
    <w:name w:val="List Paragraph"/>
    <w:basedOn w:val="a"/>
    <w:link w:val="a8"/>
    <w:uiPriority w:val="34"/>
    <w:qFormat/>
    <w:rsid w:val="002168DB"/>
    <w:pPr>
      <w:ind w:leftChars="200" w:left="480"/>
    </w:pPr>
  </w:style>
  <w:style w:type="character" w:styleId="a9">
    <w:name w:val="Strong"/>
    <w:basedOn w:val="a0"/>
    <w:uiPriority w:val="22"/>
    <w:qFormat/>
    <w:rsid w:val="007A78BD"/>
    <w:rPr>
      <w:b/>
      <w:bCs/>
    </w:rPr>
  </w:style>
  <w:style w:type="table" w:styleId="aa">
    <w:name w:val="Table Grid"/>
    <w:basedOn w:val="a1"/>
    <w:uiPriority w:val="59"/>
    <w:rsid w:val="00762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te Heading"/>
    <w:basedOn w:val="a"/>
    <w:next w:val="a"/>
    <w:link w:val="ac"/>
    <w:uiPriority w:val="99"/>
    <w:unhideWhenUsed/>
    <w:rsid w:val="00762C8E"/>
    <w:pPr>
      <w:jc w:val="center"/>
    </w:pPr>
    <w:rPr>
      <w:rFonts w:ascii="Times New Roman" w:eastAsia="標楷體" w:hAnsi="Times New Roman" w:cs="Times New Roman"/>
      <w:kern w:val="0"/>
      <w:szCs w:val="24"/>
    </w:rPr>
  </w:style>
  <w:style w:type="character" w:customStyle="1" w:styleId="ac">
    <w:name w:val="註釋標題 字元"/>
    <w:basedOn w:val="a0"/>
    <w:link w:val="ab"/>
    <w:uiPriority w:val="99"/>
    <w:rsid w:val="00762C8E"/>
    <w:rPr>
      <w:rFonts w:ascii="Times New Roman" w:eastAsia="標楷體" w:hAnsi="Times New Roman" w:cs="Times New Roman"/>
      <w:kern w:val="0"/>
      <w:szCs w:val="24"/>
    </w:rPr>
  </w:style>
  <w:style w:type="paragraph" w:styleId="ad">
    <w:name w:val="Closing"/>
    <w:basedOn w:val="a"/>
    <w:link w:val="ae"/>
    <w:uiPriority w:val="99"/>
    <w:unhideWhenUsed/>
    <w:rsid w:val="00762C8E"/>
    <w:pPr>
      <w:ind w:leftChars="1800" w:left="100"/>
    </w:pPr>
    <w:rPr>
      <w:rFonts w:ascii="Times New Roman" w:eastAsia="標楷體" w:hAnsi="Times New Roman" w:cs="Times New Roman"/>
      <w:kern w:val="0"/>
      <w:szCs w:val="24"/>
    </w:rPr>
  </w:style>
  <w:style w:type="character" w:customStyle="1" w:styleId="ae">
    <w:name w:val="結語 字元"/>
    <w:basedOn w:val="a0"/>
    <w:link w:val="ad"/>
    <w:uiPriority w:val="99"/>
    <w:rsid w:val="00762C8E"/>
    <w:rPr>
      <w:rFonts w:ascii="Times New Roman" w:eastAsia="標楷體" w:hAnsi="Times New Roman" w:cs="Times New Roman"/>
      <w:kern w:val="0"/>
      <w:szCs w:val="24"/>
    </w:rPr>
  </w:style>
  <w:style w:type="paragraph" w:styleId="af">
    <w:name w:val="header"/>
    <w:basedOn w:val="a"/>
    <w:link w:val="af0"/>
    <w:uiPriority w:val="99"/>
    <w:unhideWhenUsed/>
    <w:rsid w:val="007547DF"/>
    <w:pPr>
      <w:tabs>
        <w:tab w:val="center" w:pos="4153"/>
        <w:tab w:val="right" w:pos="8306"/>
      </w:tabs>
      <w:snapToGrid w:val="0"/>
    </w:pPr>
    <w:rPr>
      <w:sz w:val="20"/>
      <w:szCs w:val="20"/>
    </w:rPr>
  </w:style>
  <w:style w:type="character" w:customStyle="1" w:styleId="af0">
    <w:name w:val="頁首 字元"/>
    <w:basedOn w:val="a0"/>
    <w:link w:val="af"/>
    <w:uiPriority w:val="99"/>
    <w:rsid w:val="007547DF"/>
    <w:rPr>
      <w:sz w:val="20"/>
      <w:szCs w:val="20"/>
    </w:rPr>
  </w:style>
  <w:style w:type="paragraph" w:styleId="af1">
    <w:name w:val="footer"/>
    <w:basedOn w:val="a"/>
    <w:link w:val="af2"/>
    <w:uiPriority w:val="99"/>
    <w:unhideWhenUsed/>
    <w:rsid w:val="007547DF"/>
    <w:pPr>
      <w:tabs>
        <w:tab w:val="center" w:pos="4153"/>
        <w:tab w:val="right" w:pos="8306"/>
      </w:tabs>
      <w:snapToGrid w:val="0"/>
    </w:pPr>
    <w:rPr>
      <w:sz w:val="20"/>
      <w:szCs w:val="20"/>
    </w:rPr>
  </w:style>
  <w:style w:type="character" w:customStyle="1" w:styleId="af2">
    <w:name w:val="頁尾 字元"/>
    <w:basedOn w:val="a0"/>
    <w:link w:val="af1"/>
    <w:uiPriority w:val="99"/>
    <w:rsid w:val="007547DF"/>
    <w:rPr>
      <w:sz w:val="20"/>
      <w:szCs w:val="20"/>
    </w:rPr>
  </w:style>
  <w:style w:type="paragraph" w:styleId="af3">
    <w:name w:val="Balloon Text"/>
    <w:basedOn w:val="a"/>
    <w:link w:val="af4"/>
    <w:uiPriority w:val="99"/>
    <w:semiHidden/>
    <w:unhideWhenUsed/>
    <w:rsid w:val="007547DF"/>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7547DF"/>
    <w:rPr>
      <w:rFonts w:asciiTheme="majorHAnsi" w:eastAsiaTheme="majorEastAsia" w:hAnsiTheme="majorHAnsi" w:cstheme="majorBidi"/>
      <w:sz w:val="18"/>
      <w:szCs w:val="18"/>
    </w:rPr>
  </w:style>
  <w:style w:type="character" w:customStyle="1" w:styleId="22">
    <w:name w:val="標題 2 字元"/>
    <w:basedOn w:val="a0"/>
    <w:link w:val="21"/>
    <w:uiPriority w:val="9"/>
    <w:semiHidden/>
    <w:rsid w:val="00142B54"/>
    <w:rPr>
      <w:rFonts w:asciiTheme="majorHAnsi" w:eastAsiaTheme="majorEastAsia" w:hAnsiTheme="majorHAnsi" w:cstheme="majorBidi"/>
      <w:b/>
      <w:bCs/>
      <w:sz w:val="48"/>
      <w:szCs w:val="48"/>
    </w:rPr>
  </w:style>
  <w:style w:type="character" w:customStyle="1" w:styleId="10">
    <w:name w:val="標題 1 字元"/>
    <w:aliases w:val="A. 標題 1 字元"/>
    <w:basedOn w:val="a0"/>
    <w:link w:val="1"/>
    <w:uiPriority w:val="9"/>
    <w:rsid w:val="000E022B"/>
    <w:rPr>
      <w:rFonts w:asciiTheme="majorHAnsi" w:eastAsia="標楷體" w:hAnsiTheme="majorHAnsi" w:cstheme="majorBidi"/>
      <w:b/>
      <w:bCs/>
      <w:kern w:val="52"/>
      <w:sz w:val="32"/>
      <w:szCs w:val="52"/>
    </w:rPr>
  </w:style>
  <w:style w:type="character" w:customStyle="1" w:styleId="31">
    <w:name w:val="標題 3 字元"/>
    <w:basedOn w:val="a0"/>
    <w:link w:val="30"/>
    <w:uiPriority w:val="9"/>
    <w:semiHidden/>
    <w:rsid w:val="00142B5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42B54"/>
    <w:rPr>
      <w:rFonts w:asciiTheme="majorHAnsi" w:eastAsiaTheme="majorEastAsia" w:hAnsiTheme="majorHAnsi" w:cstheme="majorBidi"/>
      <w:sz w:val="36"/>
      <w:szCs w:val="36"/>
    </w:rPr>
  </w:style>
  <w:style w:type="paragraph" w:styleId="23">
    <w:name w:val="toc 2"/>
    <w:basedOn w:val="a"/>
    <w:next w:val="a"/>
    <w:autoRedefine/>
    <w:uiPriority w:val="39"/>
    <w:unhideWhenUsed/>
    <w:qFormat/>
    <w:rsid w:val="00C80DB8"/>
    <w:pPr>
      <w:tabs>
        <w:tab w:val="left" w:pos="1440"/>
        <w:tab w:val="right" w:leader="dot" w:pos="8296"/>
      </w:tabs>
      <w:spacing w:line="360" w:lineRule="auto"/>
      <w:ind w:leftChars="200" w:left="480"/>
    </w:pPr>
    <w:rPr>
      <w:rFonts w:ascii="Times New Roman" w:eastAsia="標楷體" w:hAnsi="Times New Roman" w:cs="Times New Roman"/>
      <w:b/>
      <w:noProof/>
      <w:szCs w:val="24"/>
    </w:rPr>
  </w:style>
  <w:style w:type="paragraph" w:styleId="32">
    <w:name w:val="toc 3"/>
    <w:basedOn w:val="a"/>
    <w:next w:val="a"/>
    <w:autoRedefine/>
    <w:uiPriority w:val="39"/>
    <w:unhideWhenUsed/>
    <w:qFormat/>
    <w:rsid w:val="00A20559"/>
    <w:pPr>
      <w:tabs>
        <w:tab w:val="left" w:pos="1440"/>
        <w:tab w:val="right" w:leader="dot" w:pos="8296"/>
      </w:tabs>
      <w:spacing w:line="360" w:lineRule="auto"/>
      <w:ind w:leftChars="400" w:left="960"/>
    </w:pPr>
  </w:style>
  <w:style w:type="character" w:styleId="af5">
    <w:name w:val="annotation reference"/>
    <w:basedOn w:val="a0"/>
    <w:uiPriority w:val="99"/>
    <w:semiHidden/>
    <w:unhideWhenUsed/>
    <w:rsid w:val="00C00190"/>
    <w:rPr>
      <w:sz w:val="18"/>
      <w:szCs w:val="18"/>
    </w:rPr>
  </w:style>
  <w:style w:type="paragraph" w:styleId="af6">
    <w:name w:val="annotation text"/>
    <w:basedOn w:val="a"/>
    <w:link w:val="af7"/>
    <w:uiPriority w:val="99"/>
    <w:semiHidden/>
    <w:unhideWhenUsed/>
    <w:rsid w:val="00C00190"/>
  </w:style>
  <w:style w:type="character" w:customStyle="1" w:styleId="af7">
    <w:name w:val="註解文字 字元"/>
    <w:basedOn w:val="a0"/>
    <w:link w:val="af6"/>
    <w:uiPriority w:val="99"/>
    <w:semiHidden/>
    <w:rsid w:val="00C00190"/>
  </w:style>
  <w:style w:type="paragraph" w:styleId="af8">
    <w:name w:val="annotation subject"/>
    <w:basedOn w:val="af6"/>
    <w:next w:val="af6"/>
    <w:link w:val="af9"/>
    <w:uiPriority w:val="99"/>
    <w:semiHidden/>
    <w:unhideWhenUsed/>
    <w:rsid w:val="00C00190"/>
    <w:rPr>
      <w:b/>
      <w:bCs/>
    </w:rPr>
  </w:style>
  <w:style w:type="character" w:customStyle="1" w:styleId="af9">
    <w:name w:val="註解主旨 字元"/>
    <w:basedOn w:val="af7"/>
    <w:link w:val="af8"/>
    <w:uiPriority w:val="99"/>
    <w:semiHidden/>
    <w:rsid w:val="00C00190"/>
    <w:rPr>
      <w:b/>
      <w:bCs/>
    </w:rPr>
  </w:style>
  <w:style w:type="paragraph" w:styleId="afa">
    <w:name w:val="endnote text"/>
    <w:basedOn w:val="a"/>
    <w:link w:val="afb"/>
    <w:uiPriority w:val="99"/>
    <w:semiHidden/>
    <w:unhideWhenUsed/>
    <w:rsid w:val="00C00190"/>
    <w:pPr>
      <w:snapToGrid w:val="0"/>
    </w:pPr>
  </w:style>
  <w:style w:type="character" w:customStyle="1" w:styleId="afb">
    <w:name w:val="章節附註文字 字元"/>
    <w:basedOn w:val="a0"/>
    <w:link w:val="afa"/>
    <w:uiPriority w:val="99"/>
    <w:semiHidden/>
    <w:rsid w:val="00C00190"/>
  </w:style>
  <w:style w:type="character" w:styleId="afc">
    <w:name w:val="endnote reference"/>
    <w:basedOn w:val="a0"/>
    <w:uiPriority w:val="99"/>
    <w:semiHidden/>
    <w:unhideWhenUsed/>
    <w:rsid w:val="00C00190"/>
    <w:rPr>
      <w:vertAlign w:val="superscript"/>
    </w:rPr>
  </w:style>
  <w:style w:type="paragraph" w:styleId="HTML">
    <w:name w:val="HTML Preformatted"/>
    <w:basedOn w:val="a"/>
    <w:link w:val="HTML0"/>
    <w:uiPriority w:val="99"/>
    <w:semiHidden/>
    <w:unhideWhenUsed/>
    <w:rsid w:val="0072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266FD"/>
    <w:rPr>
      <w:rFonts w:ascii="細明體" w:eastAsia="細明體" w:hAnsi="細明體" w:cs="細明體"/>
      <w:kern w:val="0"/>
      <w:szCs w:val="24"/>
    </w:rPr>
  </w:style>
  <w:style w:type="character" w:customStyle="1" w:styleId="cite">
    <w:name w:val="cite"/>
    <w:rsid w:val="007266FD"/>
  </w:style>
  <w:style w:type="character" w:customStyle="1" w:styleId="st1">
    <w:name w:val="st1"/>
    <w:rsid w:val="00DA6167"/>
  </w:style>
  <w:style w:type="character" w:customStyle="1" w:styleId="exampletranslation">
    <w:name w:val="example_translation"/>
    <w:rsid w:val="00EC6060"/>
  </w:style>
  <w:style w:type="paragraph" w:styleId="11">
    <w:name w:val="toc 1"/>
    <w:basedOn w:val="a"/>
    <w:next w:val="a"/>
    <w:autoRedefine/>
    <w:uiPriority w:val="39"/>
    <w:unhideWhenUsed/>
    <w:qFormat/>
    <w:rsid w:val="00BC1EE3"/>
  </w:style>
  <w:style w:type="paragraph" w:customStyle="1" w:styleId="12">
    <w:name w:val="樣式1"/>
    <w:basedOn w:val="a"/>
    <w:link w:val="13"/>
    <w:qFormat/>
    <w:rsid w:val="00E47D86"/>
    <w:rPr>
      <w:rFonts w:ascii="Times New Roman" w:eastAsia="標楷體" w:hAnsi="標楷體" w:cs="Times New Roman"/>
      <w:color w:val="C00000"/>
      <w:sz w:val="32"/>
      <w:szCs w:val="32"/>
    </w:rPr>
  </w:style>
  <w:style w:type="paragraph" w:customStyle="1" w:styleId="20">
    <w:name w:val="樣式2"/>
    <w:basedOn w:val="12"/>
    <w:link w:val="24"/>
    <w:qFormat/>
    <w:rsid w:val="000E022B"/>
    <w:pPr>
      <w:numPr>
        <w:numId w:val="2"/>
      </w:numPr>
    </w:pPr>
    <w:rPr>
      <w:sz w:val="30"/>
      <w:szCs w:val="30"/>
    </w:rPr>
  </w:style>
  <w:style w:type="character" w:customStyle="1" w:styleId="13">
    <w:name w:val="樣式1 字元"/>
    <w:basedOn w:val="a0"/>
    <w:link w:val="12"/>
    <w:rsid w:val="00E47D86"/>
    <w:rPr>
      <w:rFonts w:ascii="Times New Roman" w:eastAsia="標楷體" w:hAnsi="標楷體" w:cs="Times New Roman"/>
      <w:color w:val="C00000"/>
      <w:sz w:val="32"/>
      <w:szCs w:val="32"/>
    </w:rPr>
  </w:style>
  <w:style w:type="paragraph" w:styleId="5">
    <w:name w:val="toc 5"/>
    <w:basedOn w:val="a"/>
    <w:next w:val="a"/>
    <w:autoRedefine/>
    <w:uiPriority w:val="39"/>
    <w:semiHidden/>
    <w:unhideWhenUsed/>
    <w:rsid w:val="00E47D86"/>
    <w:pPr>
      <w:ind w:leftChars="800" w:left="1920"/>
    </w:pPr>
  </w:style>
  <w:style w:type="paragraph" w:customStyle="1" w:styleId="14">
    <w:name w:val="1"/>
    <w:basedOn w:val="20"/>
    <w:link w:val="15"/>
    <w:qFormat/>
    <w:rsid w:val="000E022B"/>
  </w:style>
  <w:style w:type="character" w:customStyle="1" w:styleId="24">
    <w:name w:val="樣式2 字元"/>
    <w:basedOn w:val="13"/>
    <w:link w:val="20"/>
    <w:rsid w:val="000E022B"/>
    <w:rPr>
      <w:rFonts w:ascii="Times New Roman" w:eastAsia="標楷體" w:hAnsi="標楷體" w:cs="Times New Roman"/>
      <w:color w:val="C00000"/>
      <w:sz w:val="30"/>
      <w:szCs w:val="30"/>
    </w:rPr>
  </w:style>
  <w:style w:type="paragraph" w:customStyle="1" w:styleId="2">
    <w:name w:val="2"/>
    <w:basedOn w:val="a7"/>
    <w:link w:val="25"/>
    <w:qFormat/>
    <w:rsid w:val="000E022B"/>
    <w:pPr>
      <w:numPr>
        <w:numId w:val="1"/>
      </w:numPr>
      <w:spacing w:line="480" w:lineRule="auto"/>
      <w:ind w:leftChars="0" w:left="0"/>
    </w:pPr>
    <w:rPr>
      <w:rFonts w:ascii="Times New Roman" w:eastAsia="標楷體" w:hAnsi="標楷體" w:cs="Times New Roman"/>
      <w:color w:val="C00000"/>
      <w:sz w:val="28"/>
      <w:szCs w:val="28"/>
    </w:rPr>
  </w:style>
  <w:style w:type="character" w:customStyle="1" w:styleId="15">
    <w:name w:val="1 字元"/>
    <w:basedOn w:val="24"/>
    <w:link w:val="14"/>
    <w:rsid w:val="000E022B"/>
    <w:rPr>
      <w:rFonts w:ascii="Times New Roman" w:eastAsia="標楷體" w:hAnsi="標楷體" w:cs="Times New Roman"/>
      <w:color w:val="C00000"/>
      <w:sz w:val="30"/>
      <w:szCs w:val="30"/>
    </w:rPr>
  </w:style>
  <w:style w:type="paragraph" w:styleId="afd">
    <w:name w:val="TOC Heading"/>
    <w:basedOn w:val="1"/>
    <w:next w:val="a"/>
    <w:uiPriority w:val="39"/>
    <w:semiHidden/>
    <w:unhideWhenUsed/>
    <w:qFormat/>
    <w:rsid w:val="000E022B"/>
    <w:pPr>
      <w:keepLines/>
      <w:widowControl/>
      <w:spacing w:before="480" w:after="0" w:line="276" w:lineRule="auto"/>
      <w:outlineLvl w:val="9"/>
    </w:pPr>
    <w:rPr>
      <w:rFonts w:eastAsiaTheme="majorEastAsia"/>
      <w:color w:val="365F91" w:themeColor="accent1" w:themeShade="BF"/>
      <w:kern w:val="0"/>
      <w:sz w:val="28"/>
      <w:szCs w:val="28"/>
    </w:rPr>
  </w:style>
  <w:style w:type="character" w:customStyle="1" w:styleId="a8">
    <w:name w:val="清單段落 字元"/>
    <w:basedOn w:val="a0"/>
    <w:link w:val="a7"/>
    <w:uiPriority w:val="34"/>
    <w:rsid w:val="000E022B"/>
  </w:style>
  <w:style w:type="character" w:customStyle="1" w:styleId="25">
    <w:name w:val="2 字元"/>
    <w:basedOn w:val="a8"/>
    <w:link w:val="2"/>
    <w:rsid w:val="000E022B"/>
    <w:rPr>
      <w:rFonts w:ascii="Times New Roman" w:eastAsia="標楷體" w:hAnsi="標楷體" w:cs="Times New Roman"/>
      <w:color w:val="C00000"/>
      <w:sz w:val="28"/>
      <w:szCs w:val="28"/>
    </w:rPr>
  </w:style>
  <w:style w:type="paragraph" w:customStyle="1" w:styleId="3">
    <w:name w:val="樣式3"/>
    <w:basedOn w:val="a7"/>
    <w:link w:val="33"/>
    <w:qFormat/>
    <w:rsid w:val="00233180"/>
    <w:pPr>
      <w:numPr>
        <w:numId w:val="3"/>
      </w:numPr>
      <w:adjustRightInd w:val="0"/>
      <w:snapToGrid w:val="0"/>
      <w:spacing w:line="360" w:lineRule="auto"/>
      <w:ind w:leftChars="100" w:left="240" w:rightChars="100" w:right="100"/>
      <w:outlineLvl w:val="2"/>
    </w:pPr>
    <w:rPr>
      <w:rFonts w:ascii="Times New Roman" w:eastAsia="標楷體" w:hAnsi="標楷體" w:cs="Times New Roman"/>
      <w:color w:val="FF0000"/>
      <w:szCs w:val="24"/>
    </w:rPr>
  </w:style>
  <w:style w:type="paragraph" w:styleId="9">
    <w:name w:val="toc 9"/>
    <w:basedOn w:val="a"/>
    <w:next w:val="a"/>
    <w:autoRedefine/>
    <w:uiPriority w:val="39"/>
    <w:semiHidden/>
    <w:unhideWhenUsed/>
    <w:rsid w:val="000E022B"/>
    <w:pPr>
      <w:ind w:leftChars="1600" w:left="3840"/>
    </w:pPr>
  </w:style>
  <w:style w:type="paragraph" w:customStyle="1" w:styleId="41">
    <w:name w:val="樣式4"/>
    <w:basedOn w:val="2"/>
    <w:link w:val="42"/>
    <w:qFormat/>
    <w:rsid w:val="00D04B1B"/>
    <w:pPr>
      <w:outlineLvl w:val="1"/>
    </w:pPr>
  </w:style>
  <w:style w:type="character" w:customStyle="1" w:styleId="33">
    <w:name w:val="樣式3 字元"/>
    <w:basedOn w:val="a8"/>
    <w:link w:val="3"/>
    <w:rsid w:val="00233180"/>
    <w:rPr>
      <w:rFonts w:ascii="Times New Roman" w:eastAsia="標楷體" w:hAnsi="標楷體" w:cs="Times New Roman"/>
      <w:color w:val="FF0000"/>
      <w:szCs w:val="24"/>
    </w:rPr>
  </w:style>
  <w:style w:type="character" w:customStyle="1" w:styleId="42">
    <w:name w:val="樣式4 字元"/>
    <w:basedOn w:val="25"/>
    <w:link w:val="41"/>
    <w:rsid w:val="00D04B1B"/>
    <w:rPr>
      <w:rFonts w:ascii="Times New Roman" w:eastAsia="標楷體" w:hAnsi="標楷體" w:cs="Times New Roman"/>
      <w:color w:val="C00000"/>
      <w:sz w:val="28"/>
      <w:szCs w:val="28"/>
    </w:rPr>
  </w:style>
  <w:style w:type="paragraph" w:customStyle="1" w:styleId="34">
    <w:name w:val="3"/>
    <w:basedOn w:val="a7"/>
    <w:link w:val="35"/>
    <w:qFormat/>
    <w:rsid w:val="00543B63"/>
    <w:pPr>
      <w:adjustRightInd w:val="0"/>
      <w:snapToGrid w:val="0"/>
      <w:spacing w:line="360" w:lineRule="auto"/>
      <w:ind w:leftChars="0" w:left="0"/>
      <w:outlineLvl w:val="2"/>
    </w:pPr>
    <w:rPr>
      <w:rFonts w:ascii="Times New Roman" w:eastAsia="標楷體" w:hAnsi="Times New Roman" w:cs="Times New Roman"/>
      <w:color w:val="FF0000"/>
      <w:szCs w:val="24"/>
    </w:rPr>
  </w:style>
  <w:style w:type="character" w:customStyle="1" w:styleId="35">
    <w:name w:val="3 字元"/>
    <w:basedOn w:val="a8"/>
    <w:link w:val="34"/>
    <w:rsid w:val="00543B63"/>
    <w:rPr>
      <w:rFonts w:ascii="Times New Roman" w:eastAsia="標楷體" w:hAnsi="Times New Roman" w:cs="Times New Roman"/>
      <w:color w:val="FF0000"/>
      <w:szCs w:val="24"/>
    </w:rPr>
  </w:style>
  <w:style w:type="paragraph" w:styleId="afe">
    <w:name w:val="Date"/>
    <w:basedOn w:val="a"/>
    <w:next w:val="a"/>
    <w:link w:val="aff"/>
    <w:uiPriority w:val="99"/>
    <w:semiHidden/>
    <w:unhideWhenUsed/>
    <w:rsid w:val="00285B3D"/>
    <w:pPr>
      <w:jc w:val="right"/>
    </w:pPr>
  </w:style>
  <w:style w:type="character" w:customStyle="1" w:styleId="aff">
    <w:name w:val="日期 字元"/>
    <w:basedOn w:val="a0"/>
    <w:link w:val="afe"/>
    <w:uiPriority w:val="99"/>
    <w:semiHidden/>
    <w:rsid w:val="00285B3D"/>
  </w:style>
  <w:style w:type="character" w:styleId="aff0">
    <w:name w:val="Placeholder Text"/>
    <w:basedOn w:val="a0"/>
    <w:uiPriority w:val="99"/>
    <w:semiHidden/>
    <w:rsid w:val="006B30EC"/>
    <w:rPr>
      <w:color w:val="808080"/>
    </w:rPr>
  </w:style>
  <w:style w:type="paragraph" w:customStyle="1" w:styleId="Item">
    <w:name w:val="Item"/>
    <w:next w:val="a"/>
    <w:link w:val="Item0"/>
    <w:qFormat/>
    <w:rsid w:val="00F31697"/>
    <w:pPr>
      <w:snapToGrid w:val="0"/>
    </w:pPr>
    <w:rPr>
      <w:rFonts w:ascii="Times New Roman" w:eastAsia="標楷體" w:hAnsi="Times New Roman" w:cs="Times New Roman"/>
      <w:sz w:val="20"/>
    </w:rPr>
  </w:style>
  <w:style w:type="character" w:customStyle="1" w:styleId="Item0">
    <w:name w:val="Item 字元"/>
    <w:link w:val="Item"/>
    <w:rsid w:val="00F31697"/>
    <w:rPr>
      <w:rFonts w:ascii="Times New Roman" w:eastAsia="標楷體" w:hAnsi="Times New Roman" w:cs="Times New Roman"/>
      <w:sz w:val="20"/>
    </w:rPr>
  </w:style>
  <w:style w:type="table" w:customStyle="1" w:styleId="TableNormal">
    <w:name w:val="Table Normal"/>
    <w:uiPriority w:val="2"/>
    <w:semiHidden/>
    <w:unhideWhenUsed/>
    <w:qFormat/>
    <w:rsid w:val="00C051E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051EB"/>
    <w:pPr>
      <w:autoSpaceDE w:val="0"/>
      <w:autoSpaceDN w:val="0"/>
    </w:pPr>
    <w:rPr>
      <w:rFonts w:ascii="細明體" w:eastAsia="細明體" w:hAnsi="細明體" w:cs="細明體"/>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452">
      <w:bodyDiv w:val="1"/>
      <w:marLeft w:val="0"/>
      <w:marRight w:val="0"/>
      <w:marTop w:val="0"/>
      <w:marBottom w:val="0"/>
      <w:divBdr>
        <w:top w:val="none" w:sz="0" w:space="0" w:color="auto"/>
        <w:left w:val="none" w:sz="0" w:space="0" w:color="auto"/>
        <w:bottom w:val="none" w:sz="0" w:space="0" w:color="auto"/>
        <w:right w:val="none" w:sz="0" w:space="0" w:color="auto"/>
      </w:divBdr>
    </w:div>
    <w:div w:id="7565967">
      <w:bodyDiv w:val="1"/>
      <w:marLeft w:val="0"/>
      <w:marRight w:val="0"/>
      <w:marTop w:val="0"/>
      <w:marBottom w:val="0"/>
      <w:divBdr>
        <w:top w:val="none" w:sz="0" w:space="0" w:color="auto"/>
        <w:left w:val="none" w:sz="0" w:space="0" w:color="auto"/>
        <w:bottom w:val="none" w:sz="0" w:space="0" w:color="auto"/>
        <w:right w:val="none" w:sz="0" w:space="0" w:color="auto"/>
      </w:divBdr>
    </w:div>
    <w:div w:id="25183225">
      <w:bodyDiv w:val="1"/>
      <w:marLeft w:val="0"/>
      <w:marRight w:val="0"/>
      <w:marTop w:val="0"/>
      <w:marBottom w:val="0"/>
      <w:divBdr>
        <w:top w:val="none" w:sz="0" w:space="0" w:color="auto"/>
        <w:left w:val="none" w:sz="0" w:space="0" w:color="auto"/>
        <w:bottom w:val="none" w:sz="0" w:space="0" w:color="auto"/>
        <w:right w:val="none" w:sz="0" w:space="0" w:color="auto"/>
      </w:divBdr>
    </w:div>
    <w:div w:id="26296267">
      <w:bodyDiv w:val="1"/>
      <w:marLeft w:val="0"/>
      <w:marRight w:val="0"/>
      <w:marTop w:val="0"/>
      <w:marBottom w:val="0"/>
      <w:divBdr>
        <w:top w:val="none" w:sz="0" w:space="0" w:color="auto"/>
        <w:left w:val="none" w:sz="0" w:space="0" w:color="auto"/>
        <w:bottom w:val="none" w:sz="0" w:space="0" w:color="auto"/>
        <w:right w:val="none" w:sz="0" w:space="0" w:color="auto"/>
      </w:divBdr>
    </w:div>
    <w:div w:id="35546173">
      <w:bodyDiv w:val="1"/>
      <w:marLeft w:val="0"/>
      <w:marRight w:val="0"/>
      <w:marTop w:val="0"/>
      <w:marBottom w:val="0"/>
      <w:divBdr>
        <w:top w:val="none" w:sz="0" w:space="0" w:color="auto"/>
        <w:left w:val="none" w:sz="0" w:space="0" w:color="auto"/>
        <w:bottom w:val="none" w:sz="0" w:space="0" w:color="auto"/>
        <w:right w:val="none" w:sz="0" w:space="0" w:color="auto"/>
      </w:divBdr>
    </w:div>
    <w:div w:id="46686936">
      <w:bodyDiv w:val="1"/>
      <w:marLeft w:val="0"/>
      <w:marRight w:val="0"/>
      <w:marTop w:val="0"/>
      <w:marBottom w:val="0"/>
      <w:divBdr>
        <w:top w:val="none" w:sz="0" w:space="0" w:color="auto"/>
        <w:left w:val="none" w:sz="0" w:space="0" w:color="auto"/>
        <w:bottom w:val="none" w:sz="0" w:space="0" w:color="auto"/>
        <w:right w:val="none" w:sz="0" w:space="0" w:color="auto"/>
      </w:divBdr>
    </w:div>
    <w:div w:id="50008155">
      <w:bodyDiv w:val="1"/>
      <w:marLeft w:val="0"/>
      <w:marRight w:val="0"/>
      <w:marTop w:val="0"/>
      <w:marBottom w:val="0"/>
      <w:divBdr>
        <w:top w:val="none" w:sz="0" w:space="0" w:color="auto"/>
        <w:left w:val="none" w:sz="0" w:space="0" w:color="auto"/>
        <w:bottom w:val="none" w:sz="0" w:space="0" w:color="auto"/>
        <w:right w:val="none" w:sz="0" w:space="0" w:color="auto"/>
      </w:divBdr>
    </w:div>
    <w:div w:id="50546556">
      <w:bodyDiv w:val="1"/>
      <w:marLeft w:val="0"/>
      <w:marRight w:val="0"/>
      <w:marTop w:val="0"/>
      <w:marBottom w:val="0"/>
      <w:divBdr>
        <w:top w:val="none" w:sz="0" w:space="0" w:color="auto"/>
        <w:left w:val="none" w:sz="0" w:space="0" w:color="auto"/>
        <w:bottom w:val="none" w:sz="0" w:space="0" w:color="auto"/>
        <w:right w:val="none" w:sz="0" w:space="0" w:color="auto"/>
      </w:divBdr>
    </w:div>
    <w:div w:id="55395005">
      <w:bodyDiv w:val="1"/>
      <w:marLeft w:val="0"/>
      <w:marRight w:val="0"/>
      <w:marTop w:val="0"/>
      <w:marBottom w:val="0"/>
      <w:divBdr>
        <w:top w:val="none" w:sz="0" w:space="0" w:color="auto"/>
        <w:left w:val="none" w:sz="0" w:space="0" w:color="auto"/>
        <w:bottom w:val="none" w:sz="0" w:space="0" w:color="auto"/>
        <w:right w:val="none" w:sz="0" w:space="0" w:color="auto"/>
      </w:divBdr>
    </w:div>
    <w:div w:id="66733318">
      <w:bodyDiv w:val="1"/>
      <w:marLeft w:val="0"/>
      <w:marRight w:val="0"/>
      <w:marTop w:val="0"/>
      <w:marBottom w:val="0"/>
      <w:divBdr>
        <w:top w:val="none" w:sz="0" w:space="0" w:color="auto"/>
        <w:left w:val="none" w:sz="0" w:space="0" w:color="auto"/>
        <w:bottom w:val="none" w:sz="0" w:space="0" w:color="auto"/>
        <w:right w:val="none" w:sz="0" w:space="0" w:color="auto"/>
      </w:divBdr>
    </w:div>
    <w:div w:id="68891466">
      <w:bodyDiv w:val="1"/>
      <w:marLeft w:val="0"/>
      <w:marRight w:val="0"/>
      <w:marTop w:val="0"/>
      <w:marBottom w:val="0"/>
      <w:divBdr>
        <w:top w:val="none" w:sz="0" w:space="0" w:color="auto"/>
        <w:left w:val="none" w:sz="0" w:space="0" w:color="auto"/>
        <w:bottom w:val="none" w:sz="0" w:space="0" w:color="auto"/>
        <w:right w:val="none" w:sz="0" w:space="0" w:color="auto"/>
      </w:divBdr>
    </w:div>
    <w:div w:id="74326286">
      <w:bodyDiv w:val="1"/>
      <w:marLeft w:val="0"/>
      <w:marRight w:val="0"/>
      <w:marTop w:val="0"/>
      <w:marBottom w:val="0"/>
      <w:divBdr>
        <w:top w:val="none" w:sz="0" w:space="0" w:color="auto"/>
        <w:left w:val="none" w:sz="0" w:space="0" w:color="auto"/>
        <w:bottom w:val="none" w:sz="0" w:space="0" w:color="auto"/>
        <w:right w:val="none" w:sz="0" w:space="0" w:color="auto"/>
      </w:divBdr>
    </w:div>
    <w:div w:id="76556181">
      <w:bodyDiv w:val="1"/>
      <w:marLeft w:val="0"/>
      <w:marRight w:val="0"/>
      <w:marTop w:val="0"/>
      <w:marBottom w:val="0"/>
      <w:divBdr>
        <w:top w:val="none" w:sz="0" w:space="0" w:color="auto"/>
        <w:left w:val="none" w:sz="0" w:space="0" w:color="auto"/>
        <w:bottom w:val="none" w:sz="0" w:space="0" w:color="auto"/>
        <w:right w:val="none" w:sz="0" w:space="0" w:color="auto"/>
      </w:divBdr>
    </w:div>
    <w:div w:id="77136483">
      <w:bodyDiv w:val="1"/>
      <w:marLeft w:val="0"/>
      <w:marRight w:val="0"/>
      <w:marTop w:val="0"/>
      <w:marBottom w:val="0"/>
      <w:divBdr>
        <w:top w:val="none" w:sz="0" w:space="0" w:color="auto"/>
        <w:left w:val="none" w:sz="0" w:space="0" w:color="auto"/>
        <w:bottom w:val="none" w:sz="0" w:space="0" w:color="auto"/>
        <w:right w:val="none" w:sz="0" w:space="0" w:color="auto"/>
      </w:divBdr>
    </w:div>
    <w:div w:id="79375012">
      <w:bodyDiv w:val="1"/>
      <w:marLeft w:val="0"/>
      <w:marRight w:val="0"/>
      <w:marTop w:val="0"/>
      <w:marBottom w:val="0"/>
      <w:divBdr>
        <w:top w:val="none" w:sz="0" w:space="0" w:color="auto"/>
        <w:left w:val="none" w:sz="0" w:space="0" w:color="auto"/>
        <w:bottom w:val="none" w:sz="0" w:space="0" w:color="auto"/>
        <w:right w:val="none" w:sz="0" w:space="0" w:color="auto"/>
      </w:divBdr>
    </w:div>
    <w:div w:id="80563117">
      <w:bodyDiv w:val="1"/>
      <w:marLeft w:val="0"/>
      <w:marRight w:val="0"/>
      <w:marTop w:val="0"/>
      <w:marBottom w:val="0"/>
      <w:divBdr>
        <w:top w:val="none" w:sz="0" w:space="0" w:color="auto"/>
        <w:left w:val="none" w:sz="0" w:space="0" w:color="auto"/>
        <w:bottom w:val="none" w:sz="0" w:space="0" w:color="auto"/>
        <w:right w:val="none" w:sz="0" w:space="0" w:color="auto"/>
      </w:divBdr>
    </w:div>
    <w:div w:id="86969473">
      <w:bodyDiv w:val="1"/>
      <w:marLeft w:val="0"/>
      <w:marRight w:val="0"/>
      <w:marTop w:val="0"/>
      <w:marBottom w:val="0"/>
      <w:divBdr>
        <w:top w:val="none" w:sz="0" w:space="0" w:color="auto"/>
        <w:left w:val="none" w:sz="0" w:space="0" w:color="auto"/>
        <w:bottom w:val="none" w:sz="0" w:space="0" w:color="auto"/>
        <w:right w:val="none" w:sz="0" w:space="0" w:color="auto"/>
      </w:divBdr>
    </w:div>
    <w:div w:id="88358166">
      <w:bodyDiv w:val="1"/>
      <w:marLeft w:val="0"/>
      <w:marRight w:val="0"/>
      <w:marTop w:val="0"/>
      <w:marBottom w:val="0"/>
      <w:divBdr>
        <w:top w:val="none" w:sz="0" w:space="0" w:color="auto"/>
        <w:left w:val="none" w:sz="0" w:space="0" w:color="auto"/>
        <w:bottom w:val="none" w:sz="0" w:space="0" w:color="auto"/>
        <w:right w:val="none" w:sz="0" w:space="0" w:color="auto"/>
      </w:divBdr>
    </w:div>
    <w:div w:id="108166873">
      <w:bodyDiv w:val="1"/>
      <w:marLeft w:val="0"/>
      <w:marRight w:val="0"/>
      <w:marTop w:val="0"/>
      <w:marBottom w:val="0"/>
      <w:divBdr>
        <w:top w:val="none" w:sz="0" w:space="0" w:color="auto"/>
        <w:left w:val="none" w:sz="0" w:space="0" w:color="auto"/>
        <w:bottom w:val="none" w:sz="0" w:space="0" w:color="auto"/>
        <w:right w:val="none" w:sz="0" w:space="0" w:color="auto"/>
      </w:divBdr>
    </w:div>
    <w:div w:id="108278598">
      <w:bodyDiv w:val="1"/>
      <w:marLeft w:val="0"/>
      <w:marRight w:val="0"/>
      <w:marTop w:val="0"/>
      <w:marBottom w:val="0"/>
      <w:divBdr>
        <w:top w:val="none" w:sz="0" w:space="0" w:color="auto"/>
        <w:left w:val="none" w:sz="0" w:space="0" w:color="auto"/>
        <w:bottom w:val="none" w:sz="0" w:space="0" w:color="auto"/>
        <w:right w:val="none" w:sz="0" w:space="0" w:color="auto"/>
      </w:divBdr>
    </w:div>
    <w:div w:id="113790729">
      <w:bodyDiv w:val="1"/>
      <w:marLeft w:val="0"/>
      <w:marRight w:val="0"/>
      <w:marTop w:val="0"/>
      <w:marBottom w:val="0"/>
      <w:divBdr>
        <w:top w:val="none" w:sz="0" w:space="0" w:color="auto"/>
        <w:left w:val="none" w:sz="0" w:space="0" w:color="auto"/>
        <w:bottom w:val="none" w:sz="0" w:space="0" w:color="auto"/>
        <w:right w:val="none" w:sz="0" w:space="0" w:color="auto"/>
      </w:divBdr>
    </w:div>
    <w:div w:id="122191718">
      <w:bodyDiv w:val="1"/>
      <w:marLeft w:val="0"/>
      <w:marRight w:val="0"/>
      <w:marTop w:val="0"/>
      <w:marBottom w:val="0"/>
      <w:divBdr>
        <w:top w:val="none" w:sz="0" w:space="0" w:color="auto"/>
        <w:left w:val="none" w:sz="0" w:space="0" w:color="auto"/>
        <w:bottom w:val="none" w:sz="0" w:space="0" w:color="auto"/>
        <w:right w:val="none" w:sz="0" w:space="0" w:color="auto"/>
      </w:divBdr>
    </w:div>
    <w:div w:id="129903891">
      <w:bodyDiv w:val="1"/>
      <w:marLeft w:val="0"/>
      <w:marRight w:val="0"/>
      <w:marTop w:val="0"/>
      <w:marBottom w:val="0"/>
      <w:divBdr>
        <w:top w:val="none" w:sz="0" w:space="0" w:color="auto"/>
        <w:left w:val="none" w:sz="0" w:space="0" w:color="auto"/>
        <w:bottom w:val="none" w:sz="0" w:space="0" w:color="auto"/>
        <w:right w:val="none" w:sz="0" w:space="0" w:color="auto"/>
      </w:divBdr>
    </w:div>
    <w:div w:id="135148495">
      <w:bodyDiv w:val="1"/>
      <w:marLeft w:val="0"/>
      <w:marRight w:val="0"/>
      <w:marTop w:val="0"/>
      <w:marBottom w:val="0"/>
      <w:divBdr>
        <w:top w:val="none" w:sz="0" w:space="0" w:color="auto"/>
        <w:left w:val="none" w:sz="0" w:space="0" w:color="auto"/>
        <w:bottom w:val="none" w:sz="0" w:space="0" w:color="auto"/>
        <w:right w:val="none" w:sz="0" w:space="0" w:color="auto"/>
      </w:divBdr>
    </w:div>
    <w:div w:id="135294874">
      <w:bodyDiv w:val="1"/>
      <w:marLeft w:val="0"/>
      <w:marRight w:val="0"/>
      <w:marTop w:val="0"/>
      <w:marBottom w:val="0"/>
      <w:divBdr>
        <w:top w:val="none" w:sz="0" w:space="0" w:color="auto"/>
        <w:left w:val="none" w:sz="0" w:space="0" w:color="auto"/>
        <w:bottom w:val="none" w:sz="0" w:space="0" w:color="auto"/>
        <w:right w:val="none" w:sz="0" w:space="0" w:color="auto"/>
      </w:divBdr>
    </w:div>
    <w:div w:id="138810179">
      <w:bodyDiv w:val="1"/>
      <w:marLeft w:val="0"/>
      <w:marRight w:val="0"/>
      <w:marTop w:val="0"/>
      <w:marBottom w:val="0"/>
      <w:divBdr>
        <w:top w:val="none" w:sz="0" w:space="0" w:color="auto"/>
        <w:left w:val="none" w:sz="0" w:space="0" w:color="auto"/>
        <w:bottom w:val="none" w:sz="0" w:space="0" w:color="auto"/>
        <w:right w:val="none" w:sz="0" w:space="0" w:color="auto"/>
      </w:divBdr>
    </w:div>
    <w:div w:id="142963921">
      <w:bodyDiv w:val="1"/>
      <w:marLeft w:val="0"/>
      <w:marRight w:val="0"/>
      <w:marTop w:val="0"/>
      <w:marBottom w:val="0"/>
      <w:divBdr>
        <w:top w:val="none" w:sz="0" w:space="0" w:color="auto"/>
        <w:left w:val="none" w:sz="0" w:space="0" w:color="auto"/>
        <w:bottom w:val="none" w:sz="0" w:space="0" w:color="auto"/>
        <w:right w:val="none" w:sz="0" w:space="0" w:color="auto"/>
      </w:divBdr>
    </w:div>
    <w:div w:id="146242293">
      <w:bodyDiv w:val="1"/>
      <w:marLeft w:val="0"/>
      <w:marRight w:val="0"/>
      <w:marTop w:val="0"/>
      <w:marBottom w:val="0"/>
      <w:divBdr>
        <w:top w:val="none" w:sz="0" w:space="0" w:color="auto"/>
        <w:left w:val="none" w:sz="0" w:space="0" w:color="auto"/>
        <w:bottom w:val="none" w:sz="0" w:space="0" w:color="auto"/>
        <w:right w:val="none" w:sz="0" w:space="0" w:color="auto"/>
      </w:divBdr>
    </w:div>
    <w:div w:id="155079162">
      <w:bodyDiv w:val="1"/>
      <w:marLeft w:val="0"/>
      <w:marRight w:val="0"/>
      <w:marTop w:val="0"/>
      <w:marBottom w:val="0"/>
      <w:divBdr>
        <w:top w:val="none" w:sz="0" w:space="0" w:color="auto"/>
        <w:left w:val="none" w:sz="0" w:space="0" w:color="auto"/>
        <w:bottom w:val="none" w:sz="0" w:space="0" w:color="auto"/>
        <w:right w:val="none" w:sz="0" w:space="0" w:color="auto"/>
      </w:divBdr>
    </w:div>
    <w:div w:id="158693341">
      <w:bodyDiv w:val="1"/>
      <w:marLeft w:val="0"/>
      <w:marRight w:val="0"/>
      <w:marTop w:val="0"/>
      <w:marBottom w:val="0"/>
      <w:divBdr>
        <w:top w:val="none" w:sz="0" w:space="0" w:color="auto"/>
        <w:left w:val="none" w:sz="0" w:space="0" w:color="auto"/>
        <w:bottom w:val="none" w:sz="0" w:space="0" w:color="auto"/>
        <w:right w:val="none" w:sz="0" w:space="0" w:color="auto"/>
      </w:divBdr>
    </w:div>
    <w:div w:id="164059888">
      <w:bodyDiv w:val="1"/>
      <w:marLeft w:val="0"/>
      <w:marRight w:val="0"/>
      <w:marTop w:val="0"/>
      <w:marBottom w:val="0"/>
      <w:divBdr>
        <w:top w:val="none" w:sz="0" w:space="0" w:color="auto"/>
        <w:left w:val="none" w:sz="0" w:space="0" w:color="auto"/>
        <w:bottom w:val="none" w:sz="0" w:space="0" w:color="auto"/>
        <w:right w:val="none" w:sz="0" w:space="0" w:color="auto"/>
      </w:divBdr>
    </w:div>
    <w:div w:id="171264931">
      <w:bodyDiv w:val="1"/>
      <w:marLeft w:val="0"/>
      <w:marRight w:val="0"/>
      <w:marTop w:val="0"/>
      <w:marBottom w:val="0"/>
      <w:divBdr>
        <w:top w:val="none" w:sz="0" w:space="0" w:color="auto"/>
        <w:left w:val="none" w:sz="0" w:space="0" w:color="auto"/>
        <w:bottom w:val="none" w:sz="0" w:space="0" w:color="auto"/>
        <w:right w:val="none" w:sz="0" w:space="0" w:color="auto"/>
      </w:divBdr>
    </w:div>
    <w:div w:id="171847612">
      <w:bodyDiv w:val="1"/>
      <w:marLeft w:val="0"/>
      <w:marRight w:val="0"/>
      <w:marTop w:val="0"/>
      <w:marBottom w:val="0"/>
      <w:divBdr>
        <w:top w:val="none" w:sz="0" w:space="0" w:color="auto"/>
        <w:left w:val="none" w:sz="0" w:space="0" w:color="auto"/>
        <w:bottom w:val="none" w:sz="0" w:space="0" w:color="auto"/>
        <w:right w:val="none" w:sz="0" w:space="0" w:color="auto"/>
      </w:divBdr>
    </w:div>
    <w:div w:id="173149386">
      <w:bodyDiv w:val="1"/>
      <w:marLeft w:val="0"/>
      <w:marRight w:val="0"/>
      <w:marTop w:val="0"/>
      <w:marBottom w:val="0"/>
      <w:divBdr>
        <w:top w:val="none" w:sz="0" w:space="0" w:color="auto"/>
        <w:left w:val="none" w:sz="0" w:space="0" w:color="auto"/>
        <w:bottom w:val="none" w:sz="0" w:space="0" w:color="auto"/>
        <w:right w:val="none" w:sz="0" w:space="0" w:color="auto"/>
      </w:divBdr>
    </w:div>
    <w:div w:id="179052197">
      <w:bodyDiv w:val="1"/>
      <w:marLeft w:val="0"/>
      <w:marRight w:val="0"/>
      <w:marTop w:val="0"/>
      <w:marBottom w:val="0"/>
      <w:divBdr>
        <w:top w:val="none" w:sz="0" w:space="0" w:color="auto"/>
        <w:left w:val="none" w:sz="0" w:space="0" w:color="auto"/>
        <w:bottom w:val="none" w:sz="0" w:space="0" w:color="auto"/>
        <w:right w:val="none" w:sz="0" w:space="0" w:color="auto"/>
      </w:divBdr>
    </w:div>
    <w:div w:id="189683854">
      <w:bodyDiv w:val="1"/>
      <w:marLeft w:val="0"/>
      <w:marRight w:val="0"/>
      <w:marTop w:val="0"/>
      <w:marBottom w:val="0"/>
      <w:divBdr>
        <w:top w:val="none" w:sz="0" w:space="0" w:color="auto"/>
        <w:left w:val="none" w:sz="0" w:space="0" w:color="auto"/>
        <w:bottom w:val="none" w:sz="0" w:space="0" w:color="auto"/>
        <w:right w:val="none" w:sz="0" w:space="0" w:color="auto"/>
      </w:divBdr>
    </w:div>
    <w:div w:id="198737454">
      <w:bodyDiv w:val="1"/>
      <w:marLeft w:val="0"/>
      <w:marRight w:val="0"/>
      <w:marTop w:val="0"/>
      <w:marBottom w:val="0"/>
      <w:divBdr>
        <w:top w:val="none" w:sz="0" w:space="0" w:color="auto"/>
        <w:left w:val="none" w:sz="0" w:space="0" w:color="auto"/>
        <w:bottom w:val="none" w:sz="0" w:space="0" w:color="auto"/>
        <w:right w:val="none" w:sz="0" w:space="0" w:color="auto"/>
      </w:divBdr>
    </w:div>
    <w:div w:id="209608337">
      <w:bodyDiv w:val="1"/>
      <w:marLeft w:val="0"/>
      <w:marRight w:val="0"/>
      <w:marTop w:val="0"/>
      <w:marBottom w:val="0"/>
      <w:divBdr>
        <w:top w:val="none" w:sz="0" w:space="0" w:color="auto"/>
        <w:left w:val="none" w:sz="0" w:space="0" w:color="auto"/>
        <w:bottom w:val="none" w:sz="0" w:space="0" w:color="auto"/>
        <w:right w:val="none" w:sz="0" w:space="0" w:color="auto"/>
      </w:divBdr>
    </w:div>
    <w:div w:id="213976553">
      <w:bodyDiv w:val="1"/>
      <w:marLeft w:val="0"/>
      <w:marRight w:val="0"/>
      <w:marTop w:val="0"/>
      <w:marBottom w:val="0"/>
      <w:divBdr>
        <w:top w:val="none" w:sz="0" w:space="0" w:color="auto"/>
        <w:left w:val="none" w:sz="0" w:space="0" w:color="auto"/>
        <w:bottom w:val="none" w:sz="0" w:space="0" w:color="auto"/>
        <w:right w:val="none" w:sz="0" w:space="0" w:color="auto"/>
      </w:divBdr>
    </w:div>
    <w:div w:id="227617623">
      <w:bodyDiv w:val="1"/>
      <w:marLeft w:val="0"/>
      <w:marRight w:val="0"/>
      <w:marTop w:val="0"/>
      <w:marBottom w:val="0"/>
      <w:divBdr>
        <w:top w:val="none" w:sz="0" w:space="0" w:color="auto"/>
        <w:left w:val="none" w:sz="0" w:space="0" w:color="auto"/>
        <w:bottom w:val="none" w:sz="0" w:space="0" w:color="auto"/>
        <w:right w:val="none" w:sz="0" w:space="0" w:color="auto"/>
      </w:divBdr>
    </w:div>
    <w:div w:id="228268779">
      <w:bodyDiv w:val="1"/>
      <w:marLeft w:val="0"/>
      <w:marRight w:val="0"/>
      <w:marTop w:val="0"/>
      <w:marBottom w:val="0"/>
      <w:divBdr>
        <w:top w:val="none" w:sz="0" w:space="0" w:color="auto"/>
        <w:left w:val="none" w:sz="0" w:space="0" w:color="auto"/>
        <w:bottom w:val="none" w:sz="0" w:space="0" w:color="auto"/>
        <w:right w:val="none" w:sz="0" w:space="0" w:color="auto"/>
      </w:divBdr>
    </w:div>
    <w:div w:id="240454659">
      <w:bodyDiv w:val="1"/>
      <w:marLeft w:val="0"/>
      <w:marRight w:val="0"/>
      <w:marTop w:val="0"/>
      <w:marBottom w:val="0"/>
      <w:divBdr>
        <w:top w:val="none" w:sz="0" w:space="0" w:color="auto"/>
        <w:left w:val="none" w:sz="0" w:space="0" w:color="auto"/>
        <w:bottom w:val="none" w:sz="0" w:space="0" w:color="auto"/>
        <w:right w:val="none" w:sz="0" w:space="0" w:color="auto"/>
      </w:divBdr>
    </w:div>
    <w:div w:id="241062689">
      <w:bodyDiv w:val="1"/>
      <w:marLeft w:val="0"/>
      <w:marRight w:val="0"/>
      <w:marTop w:val="0"/>
      <w:marBottom w:val="0"/>
      <w:divBdr>
        <w:top w:val="none" w:sz="0" w:space="0" w:color="auto"/>
        <w:left w:val="none" w:sz="0" w:space="0" w:color="auto"/>
        <w:bottom w:val="none" w:sz="0" w:space="0" w:color="auto"/>
        <w:right w:val="none" w:sz="0" w:space="0" w:color="auto"/>
      </w:divBdr>
    </w:div>
    <w:div w:id="244655401">
      <w:bodyDiv w:val="1"/>
      <w:marLeft w:val="0"/>
      <w:marRight w:val="0"/>
      <w:marTop w:val="0"/>
      <w:marBottom w:val="0"/>
      <w:divBdr>
        <w:top w:val="none" w:sz="0" w:space="0" w:color="auto"/>
        <w:left w:val="none" w:sz="0" w:space="0" w:color="auto"/>
        <w:bottom w:val="none" w:sz="0" w:space="0" w:color="auto"/>
        <w:right w:val="none" w:sz="0" w:space="0" w:color="auto"/>
      </w:divBdr>
    </w:div>
    <w:div w:id="247277623">
      <w:bodyDiv w:val="1"/>
      <w:marLeft w:val="0"/>
      <w:marRight w:val="0"/>
      <w:marTop w:val="0"/>
      <w:marBottom w:val="0"/>
      <w:divBdr>
        <w:top w:val="none" w:sz="0" w:space="0" w:color="auto"/>
        <w:left w:val="none" w:sz="0" w:space="0" w:color="auto"/>
        <w:bottom w:val="none" w:sz="0" w:space="0" w:color="auto"/>
        <w:right w:val="none" w:sz="0" w:space="0" w:color="auto"/>
      </w:divBdr>
    </w:div>
    <w:div w:id="255525674">
      <w:bodyDiv w:val="1"/>
      <w:marLeft w:val="0"/>
      <w:marRight w:val="0"/>
      <w:marTop w:val="0"/>
      <w:marBottom w:val="0"/>
      <w:divBdr>
        <w:top w:val="none" w:sz="0" w:space="0" w:color="auto"/>
        <w:left w:val="none" w:sz="0" w:space="0" w:color="auto"/>
        <w:bottom w:val="none" w:sz="0" w:space="0" w:color="auto"/>
        <w:right w:val="none" w:sz="0" w:space="0" w:color="auto"/>
      </w:divBdr>
    </w:div>
    <w:div w:id="256907077">
      <w:bodyDiv w:val="1"/>
      <w:marLeft w:val="0"/>
      <w:marRight w:val="0"/>
      <w:marTop w:val="0"/>
      <w:marBottom w:val="0"/>
      <w:divBdr>
        <w:top w:val="none" w:sz="0" w:space="0" w:color="auto"/>
        <w:left w:val="none" w:sz="0" w:space="0" w:color="auto"/>
        <w:bottom w:val="none" w:sz="0" w:space="0" w:color="auto"/>
        <w:right w:val="none" w:sz="0" w:space="0" w:color="auto"/>
      </w:divBdr>
    </w:div>
    <w:div w:id="264658835">
      <w:bodyDiv w:val="1"/>
      <w:marLeft w:val="0"/>
      <w:marRight w:val="0"/>
      <w:marTop w:val="0"/>
      <w:marBottom w:val="0"/>
      <w:divBdr>
        <w:top w:val="none" w:sz="0" w:space="0" w:color="auto"/>
        <w:left w:val="none" w:sz="0" w:space="0" w:color="auto"/>
        <w:bottom w:val="none" w:sz="0" w:space="0" w:color="auto"/>
        <w:right w:val="none" w:sz="0" w:space="0" w:color="auto"/>
      </w:divBdr>
    </w:div>
    <w:div w:id="267196218">
      <w:bodyDiv w:val="1"/>
      <w:marLeft w:val="0"/>
      <w:marRight w:val="0"/>
      <w:marTop w:val="0"/>
      <w:marBottom w:val="0"/>
      <w:divBdr>
        <w:top w:val="none" w:sz="0" w:space="0" w:color="auto"/>
        <w:left w:val="none" w:sz="0" w:space="0" w:color="auto"/>
        <w:bottom w:val="none" w:sz="0" w:space="0" w:color="auto"/>
        <w:right w:val="none" w:sz="0" w:space="0" w:color="auto"/>
      </w:divBdr>
    </w:div>
    <w:div w:id="277224913">
      <w:bodyDiv w:val="1"/>
      <w:marLeft w:val="0"/>
      <w:marRight w:val="0"/>
      <w:marTop w:val="0"/>
      <w:marBottom w:val="0"/>
      <w:divBdr>
        <w:top w:val="none" w:sz="0" w:space="0" w:color="auto"/>
        <w:left w:val="none" w:sz="0" w:space="0" w:color="auto"/>
        <w:bottom w:val="none" w:sz="0" w:space="0" w:color="auto"/>
        <w:right w:val="none" w:sz="0" w:space="0" w:color="auto"/>
      </w:divBdr>
    </w:div>
    <w:div w:id="291599609">
      <w:bodyDiv w:val="1"/>
      <w:marLeft w:val="0"/>
      <w:marRight w:val="0"/>
      <w:marTop w:val="0"/>
      <w:marBottom w:val="0"/>
      <w:divBdr>
        <w:top w:val="none" w:sz="0" w:space="0" w:color="auto"/>
        <w:left w:val="none" w:sz="0" w:space="0" w:color="auto"/>
        <w:bottom w:val="none" w:sz="0" w:space="0" w:color="auto"/>
        <w:right w:val="none" w:sz="0" w:space="0" w:color="auto"/>
      </w:divBdr>
    </w:div>
    <w:div w:id="299112309">
      <w:bodyDiv w:val="1"/>
      <w:marLeft w:val="0"/>
      <w:marRight w:val="0"/>
      <w:marTop w:val="0"/>
      <w:marBottom w:val="0"/>
      <w:divBdr>
        <w:top w:val="none" w:sz="0" w:space="0" w:color="auto"/>
        <w:left w:val="none" w:sz="0" w:space="0" w:color="auto"/>
        <w:bottom w:val="none" w:sz="0" w:space="0" w:color="auto"/>
        <w:right w:val="none" w:sz="0" w:space="0" w:color="auto"/>
      </w:divBdr>
    </w:div>
    <w:div w:id="299118307">
      <w:bodyDiv w:val="1"/>
      <w:marLeft w:val="0"/>
      <w:marRight w:val="0"/>
      <w:marTop w:val="0"/>
      <w:marBottom w:val="0"/>
      <w:divBdr>
        <w:top w:val="none" w:sz="0" w:space="0" w:color="auto"/>
        <w:left w:val="none" w:sz="0" w:space="0" w:color="auto"/>
        <w:bottom w:val="none" w:sz="0" w:space="0" w:color="auto"/>
        <w:right w:val="none" w:sz="0" w:space="0" w:color="auto"/>
      </w:divBdr>
    </w:div>
    <w:div w:id="300155145">
      <w:bodyDiv w:val="1"/>
      <w:marLeft w:val="0"/>
      <w:marRight w:val="0"/>
      <w:marTop w:val="0"/>
      <w:marBottom w:val="0"/>
      <w:divBdr>
        <w:top w:val="none" w:sz="0" w:space="0" w:color="auto"/>
        <w:left w:val="none" w:sz="0" w:space="0" w:color="auto"/>
        <w:bottom w:val="none" w:sz="0" w:space="0" w:color="auto"/>
        <w:right w:val="none" w:sz="0" w:space="0" w:color="auto"/>
      </w:divBdr>
    </w:div>
    <w:div w:id="305279894">
      <w:bodyDiv w:val="1"/>
      <w:marLeft w:val="0"/>
      <w:marRight w:val="0"/>
      <w:marTop w:val="0"/>
      <w:marBottom w:val="0"/>
      <w:divBdr>
        <w:top w:val="none" w:sz="0" w:space="0" w:color="auto"/>
        <w:left w:val="none" w:sz="0" w:space="0" w:color="auto"/>
        <w:bottom w:val="none" w:sz="0" w:space="0" w:color="auto"/>
        <w:right w:val="none" w:sz="0" w:space="0" w:color="auto"/>
      </w:divBdr>
    </w:div>
    <w:div w:id="328218791">
      <w:bodyDiv w:val="1"/>
      <w:marLeft w:val="0"/>
      <w:marRight w:val="0"/>
      <w:marTop w:val="0"/>
      <w:marBottom w:val="0"/>
      <w:divBdr>
        <w:top w:val="none" w:sz="0" w:space="0" w:color="auto"/>
        <w:left w:val="none" w:sz="0" w:space="0" w:color="auto"/>
        <w:bottom w:val="none" w:sz="0" w:space="0" w:color="auto"/>
        <w:right w:val="none" w:sz="0" w:space="0" w:color="auto"/>
      </w:divBdr>
    </w:div>
    <w:div w:id="336810821">
      <w:bodyDiv w:val="1"/>
      <w:marLeft w:val="0"/>
      <w:marRight w:val="0"/>
      <w:marTop w:val="0"/>
      <w:marBottom w:val="0"/>
      <w:divBdr>
        <w:top w:val="none" w:sz="0" w:space="0" w:color="auto"/>
        <w:left w:val="none" w:sz="0" w:space="0" w:color="auto"/>
        <w:bottom w:val="none" w:sz="0" w:space="0" w:color="auto"/>
        <w:right w:val="none" w:sz="0" w:space="0" w:color="auto"/>
      </w:divBdr>
    </w:div>
    <w:div w:id="338628740">
      <w:bodyDiv w:val="1"/>
      <w:marLeft w:val="0"/>
      <w:marRight w:val="0"/>
      <w:marTop w:val="0"/>
      <w:marBottom w:val="0"/>
      <w:divBdr>
        <w:top w:val="none" w:sz="0" w:space="0" w:color="auto"/>
        <w:left w:val="none" w:sz="0" w:space="0" w:color="auto"/>
        <w:bottom w:val="none" w:sz="0" w:space="0" w:color="auto"/>
        <w:right w:val="none" w:sz="0" w:space="0" w:color="auto"/>
      </w:divBdr>
    </w:div>
    <w:div w:id="350646211">
      <w:bodyDiv w:val="1"/>
      <w:marLeft w:val="0"/>
      <w:marRight w:val="0"/>
      <w:marTop w:val="0"/>
      <w:marBottom w:val="0"/>
      <w:divBdr>
        <w:top w:val="none" w:sz="0" w:space="0" w:color="auto"/>
        <w:left w:val="none" w:sz="0" w:space="0" w:color="auto"/>
        <w:bottom w:val="none" w:sz="0" w:space="0" w:color="auto"/>
        <w:right w:val="none" w:sz="0" w:space="0" w:color="auto"/>
      </w:divBdr>
    </w:div>
    <w:div w:id="354621649">
      <w:bodyDiv w:val="1"/>
      <w:marLeft w:val="0"/>
      <w:marRight w:val="0"/>
      <w:marTop w:val="0"/>
      <w:marBottom w:val="0"/>
      <w:divBdr>
        <w:top w:val="none" w:sz="0" w:space="0" w:color="auto"/>
        <w:left w:val="none" w:sz="0" w:space="0" w:color="auto"/>
        <w:bottom w:val="none" w:sz="0" w:space="0" w:color="auto"/>
        <w:right w:val="none" w:sz="0" w:space="0" w:color="auto"/>
      </w:divBdr>
    </w:div>
    <w:div w:id="355734189">
      <w:bodyDiv w:val="1"/>
      <w:marLeft w:val="0"/>
      <w:marRight w:val="0"/>
      <w:marTop w:val="0"/>
      <w:marBottom w:val="0"/>
      <w:divBdr>
        <w:top w:val="none" w:sz="0" w:space="0" w:color="auto"/>
        <w:left w:val="none" w:sz="0" w:space="0" w:color="auto"/>
        <w:bottom w:val="none" w:sz="0" w:space="0" w:color="auto"/>
        <w:right w:val="none" w:sz="0" w:space="0" w:color="auto"/>
      </w:divBdr>
    </w:div>
    <w:div w:id="357661620">
      <w:bodyDiv w:val="1"/>
      <w:marLeft w:val="0"/>
      <w:marRight w:val="0"/>
      <w:marTop w:val="0"/>
      <w:marBottom w:val="0"/>
      <w:divBdr>
        <w:top w:val="none" w:sz="0" w:space="0" w:color="auto"/>
        <w:left w:val="none" w:sz="0" w:space="0" w:color="auto"/>
        <w:bottom w:val="none" w:sz="0" w:space="0" w:color="auto"/>
        <w:right w:val="none" w:sz="0" w:space="0" w:color="auto"/>
      </w:divBdr>
    </w:div>
    <w:div w:id="360085174">
      <w:bodyDiv w:val="1"/>
      <w:marLeft w:val="0"/>
      <w:marRight w:val="0"/>
      <w:marTop w:val="0"/>
      <w:marBottom w:val="0"/>
      <w:divBdr>
        <w:top w:val="none" w:sz="0" w:space="0" w:color="auto"/>
        <w:left w:val="none" w:sz="0" w:space="0" w:color="auto"/>
        <w:bottom w:val="none" w:sz="0" w:space="0" w:color="auto"/>
        <w:right w:val="none" w:sz="0" w:space="0" w:color="auto"/>
      </w:divBdr>
    </w:div>
    <w:div w:id="364671587">
      <w:bodyDiv w:val="1"/>
      <w:marLeft w:val="0"/>
      <w:marRight w:val="0"/>
      <w:marTop w:val="0"/>
      <w:marBottom w:val="0"/>
      <w:divBdr>
        <w:top w:val="none" w:sz="0" w:space="0" w:color="auto"/>
        <w:left w:val="none" w:sz="0" w:space="0" w:color="auto"/>
        <w:bottom w:val="none" w:sz="0" w:space="0" w:color="auto"/>
        <w:right w:val="none" w:sz="0" w:space="0" w:color="auto"/>
      </w:divBdr>
    </w:div>
    <w:div w:id="371466847">
      <w:bodyDiv w:val="1"/>
      <w:marLeft w:val="0"/>
      <w:marRight w:val="0"/>
      <w:marTop w:val="0"/>
      <w:marBottom w:val="0"/>
      <w:divBdr>
        <w:top w:val="none" w:sz="0" w:space="0" w:color="auto"/>
        <w:left w:val="none" w:sz="0" w:space="0" w:color="auto"/>
        <w:bottom w:val="none" w:sz="0" w:space="0" w:color="auto"/>
        <w:right w:val="none" w:sz="0" w:space="0" w:color="auto"/>
      </w:divBdr>
    </w:div>
    <w:div w:id="375393798">
      <w:bodyDiv w:val="1"/>
      <w:marLeft w:val="0"/>
      <w:marRight w:val="0"/>
      <w:marTop w:val="0"/>
      <w:marBottom w:val="0"/>
      <w:divBdr>
        <w:top w:val="none" w:sz="0" w:space="0" w:color="auto"/>
        <w:left w:val="none" w:sz="0" w:space="0" w:color="auto"/>
        <w:bottom w:val="none" w:sz="0" w:space="0" w:color="auto"/>
        <w:right w:val="none" w:sz="0" w:space="0" w:color="auto"/>
      </w:divBdr>
    </w:div>
    <w:div w:id="380400698">
      <w:bodyDiv w:val="1"/>
      <w:marLeft w:val="0"/>
      <w:marRight w:val="0"/>
      <w:marTop w:val="0"/>
      <w:marBottom w:val="0"/>
      <w:divBdr>
        <w:top w:val="none" w:sz="0" w:space="0" w:color="auto"/>
        <w:left w:val="none" w:sz="0" w:space="0" w:color="auto"/>
        <w:bottom w:val="none" w:sz="0" w:space="0" w:color="auto"/>
        <w:right w:val="none" w:sz="0" w:space="0" w:color="auto"/>
      </w:divBdr>
    </w:div>
    <w:div w:id="384067217">
      <w:bodyDiv w:val="1"/>
      <w:marLeft w:val="0"/>
      <w:marRight w:val="0"/>
      <w:marTop w:val="0"/>
      <w:marBottom w:val="0"/>
      <w:divBdr>
        <w:top w:val="none" w:sz="0" w:space="0" w:color="auto"/>
        <w:left w:val="none" w:sz="0" w:space="0" w:color="auto"/>
        <w:bottom w:val="none" w:sz="0" w:space="0" w:color="auto"/>
        <w:right w:val="none" w:sz="0" w:space="0" w:color="auto"/>
      </w:divBdr>
    </w:div>
    <w:div w:id="402870026">
      <w:bodyDiv w:val="1"/>
      <w:marLeft w:val="0"/>
      <w:marRight w:val="0"/>
      <w:marTop w:val="0"/>
      <w:marBottom w:val="0"/>
      <w:divBdr>
        <w:top w:val="none" w:sz="0" w:space="0" w:color="auto"/>
        <w:left w:val="none" w:sz="0" w:space="0" w:color="auto"/>
        <w:bottom w:val="none" w:sz="0" w:space="0" w:color="auto"/>
        <w:right w:val="none" w:sz="0" w:space="0" w:color="auto"/>
      </w:divBdr>
    </w:div>
    <w:div w:id="410389338">
      <w:bodyDiv w:val="1"/>
      <w:marLeft w:val="0"/>
      <w:marRight w:val="0"/>
      <w:marTop w:val="0"/>
      <w:marBottom w:val="0"/>
      <w:divBdr>
        <w:top w:val="none" w:sz="0" w:space="0" w:color="auto"/>
        <w:left w:val="none" w:sz="0" w:space="0" w:color="auto"/>
        <w:bottom w:val="none" w:sz="0" w:space="0" w:color="auto"/>
        <w:right w:val="none" w:sz="0" w:space="0" w:color="auto"/>
      </w:divBdr>
    </w:div>
    <w:div w:id="414396241">
      <w:bodyDiv w:val="1"/>
      <w:marLeft w:val="0"/>
      <w:marRight w:val="0"/>
      <w:marTop w:val="0"/>
      <w:marBottom w:val="0"/>
      <w:divBdr>
        <w:top w:val="none" w:sz="0" w:space="0" w:color="auto"/>
        <w:left w:val="none" w:sz="0" w:space="0" w:color="auto"/>
        <w:bottom w:val="none" w:sz="0" w:space="0" w:color="auto"/>
        <w:right w:val="none" w:sz="0" w:space="0" w:color="auto"/>
      </w:divBdr>
    </w:div>
    <w:div w:id="417868238">
      <w:bodyDiv w:val="1"/>
      <w:marLeft w:val="0"/>
      <w:marRight w:val="0"/>
      <w:marTop w:val="0"/>
      <w:marBottom w:val="0"/>
      <w:divBdr>
        <w:top w:val="none" w:sz="0" w:space="0" w:color="auto"/>
        <w:left w:val="none" w:sz="0" w:space="0" w:color="auto"/>
        <w:bottom w:val="none" w:sz="0" w:space="0" w:color="auto"/>
        <w:right w:val="none" w:sz="0" w:space="0" w:color="auto"/>
      </w:divBdr>
    </w:div>
    <w:div w:id="426730913">
      <w:bodyDiv w:val="1"/>
      <w:marLeft w:val="0"/>
      <w:marRight w:val="0"/>
      <w:marTop w:val="0"/>
      <w:marBottom w:val="0"/>
      <w:divBdr>
        <w:top w:val="none" w:sz="0" w:space="0" w:color="auto"/>
        <w:left w:val="none" w:sz="0" w:space="0" w:color="auto"/>
        <w:bottom w:val="none" w:sz="0" w:space="0" w:color="auto"/>
        <w:right w:val="none" w:sz="0" w:space="0" w:color="auto"/>
      </w:divBdr>
    </w:div>
    <w:div w:id="440341888">
      <w:bodyDiv w:val="1"/>
      <w:marLeft w:val="0"/>
      <w:marRight w:val="0"/>
      <w:marTop w:val="0"/>
      <w:marBottom w:val="0"/>
      <w:divBdr>
        <w:top w:val="none" w:sz="0" w:space="0" w:color="auto"/>
        <w:left w:val="none" w:sz="0" w:space="0" w:color="auto"/>
        <w:bottom w:val="none" w:sz="0" w:space="0" w:color="auto"/>
        <w:right w:val="none" w:sz="0" w:space="0" w:color="auto"/>
      </w:divBdr>
    </w:div>
    <w:div w:id="440414206">
      <w:bodyDiv w:val="1"/>
      <w:marLeft w:val="0"/>
      <w:marRight w:val="0"/>
      <w:marTop w:val="0"/>
      <w:marBottom w:val="0"/>
      <w:divBdr>
        <w:top w:val="none" w:sz="0" w:space="0" w:color="auto"/>
        <w:left w:val="none" w:sz="0" w:space="0" w:color="auto"/>
        <w:bottom w:val="none" w:sz="0" w:space="0" w:color="auto"/>
        <w:right w:val="none" w:sz="0" w:space="0" w:color="auto"/>
      </w:divBdr>
    </w:div>
    <w:div w:id="442966630">
      <w:bodyDiv w:val="1"/>
      <w:marLeft w:val="0"/>
      <w:marRight w:val="0"/>
      <w:marTop w:val="0"/>
      <w:marBottom w:val="0"/>
      <w:divBdr>
        <w:top w:val="none" w:sz="0" w:space="0" w:color="auto"/>
        <w:left w:val="none" w:sz="0" w:space="0" w:color="auto"/>
        <w:bottom w:val="none" w:sz="0" w:space="0" w:color="auto"/>
        <w:right w:val="none" w:sz="0" w:space="0" w:color="auto"/>
      </w:divBdr>
    </w:div>
    <w:div w:id="444613593">
      <w:bodyDiv w:val="1"/>
      <w:marLeft w:val="0"/>
      <w:marRight w:val="0"/>
      <w:marTop w:val="0"/>
      <w:marBottom w:val="0"/>
      <w:divBdr>
        <w:top w:val="none" w:sz="0" w:space="0" w:color="auto"/>
        <w:left w:val="none" w:sz="0" w:space="0" w:color="auto"/>
        <w:bottom w:val="none" w:sz="0" w:space="0" w:color="auto"/>
        <w:right w:val="none" w:sz="0" w:space="0" w:color="auto"/>
      </w:divBdr>
    </w:div>
    <w:div w:id="444810982">
      <w:bodyDiv w:val="1"/>
      <w:marLeft w:val="0"/>
      <w:marRight w:val="0"/>
      <w:marTop w:val="0"/>
      <w:marBottom w:val="0"/>
      <w:divBdr>
        <w:top w:val="none" w:sz="0" w:space="0" w:color="auto"/>
        <w:left w:val="none" w:sz="0" w:space="0" w:color="auto"/>
        <w:bottom w:val="none" w:sz="0" w:space="0" w:color="auto"/>
        <w:right w:val="none" w:sz="0" w:space="0" w:color="auto"/>
      </w:divBdr>
    </w:div>
    <w:div w:id="448820540">
      <w:bodyDiv w:val="1"/>
      <w:marLeft w:val="0"/>
      <w:marRight w:val="0"/>
      <w:marTop w:val="0"/>
      <w:marBottom w:val="0"/>
      <w:divBdr>
        <w:top w:val="none" w:sz="0" w:space="0" w:color="auto"/>
        <w:left w:val="none" w:sz="0" w:space="0" w:color="auto"/>
        <w:bottom w:val="none" w:sz="0" w:space="0" w:color="auto"/>
        <w:right w:val="none" w:sz="0" w:space="0" w:color="auto"/>
      </w:divBdr>
    </w:div>
    <w:div w:id="458885101">
      <w:bodyDiv w:val="1"/>
      <w:marLeft w:val="0"/>
      <w:marRight w:val="0"/>
      <w:marTop w:val="0"/>
      <w:marBottom w:val="0"/>
      <w:divBdr>
        <w:top w:val="none" w:sz="0" w:space="0" w:color="auto"/>
        <w:left w:val="none" w:sz="0" w:space="0" w:color="auto"/>
        <w:bottom w:val="none" w:sz="0" w:space="0" w:color="auto"/>
        <w:right w:val="none" w:sz="0" w:space="0" w:color="auto"/>
      </w:divBdr>
    </w:div>
    <w:div w:id="470828227">
      <w:bodyDiv w:val="1"/>
      <w:marLeft w:val="0"/>
      <w:marRight w:val="0"/>
      <w:marTop w:val="0"/>
      <w:marBottom w:val="0"/>
      <w:divBdr>
        <w:top w:val="none" w:sz="0" w:space="0" w:color="auto"/>
        <w:left w:val="none" w:sz="0" w:space="0" w:color="auto"/>
        <w:bottom w:val="none" w:sz="0" w:space="0" w:color="auto"/>
        <w:right w:val="none" w:sz="0" w:space="0" w:color="auto"/>
      </w:divBdr>
    </w:div>
    <w:div w:id="472866435">
      <w:bodyDiv w:val="1"/>
      <w:marLeft w:val="0"/>
      <w:marRight w:val="0"/>
      <w:marTop w:val="0"/>
      <w:marBottom w:val="0"/>
      <w:divBdr>
        <w:top w:val="none" w:sz="0" w:space="0" w:color="auto"/>
        <w:left w:val="none" w:sz="0" w:space="0" w:color="auto"/>
        <w:bottom w:val="none" w:sz="0" w:space="0" w:color="auto"/>
        <w:right w:val="none" w:sz="0" w:space="0" w:color="auto"/>
      </w:divBdr>
    </w:div>
    <w:div w:id="477038514">
      <w:bodyDiv w:val="1"/>
      <w:marLeft w:val="0"/>
      <w:marRight w:val="0"/>
      <w:marTop w:val="0"/>
      <w:marBottom w:val="0"/>
      <w:divBdr>
        <w:top w:val="none" w:sz="0" w:space="0" w:color="auto"/>
        <w:left w:val="none" w:sz="0" w:space="0" w:color="auto"/>
        <w:bottom w:val="none" w:sz="0" w:space="0" w:color="auto"/>
        <w:right w:val="none" w:sz="0" w:space="0" w:color="auto"/>
      </w:divBdr>
    </w:div>
    <w:div w:id="480344919">
      <w:bodyDiv w:val="1"/>
      <w:marLeft w:val="0"/>
      <w:marRight w:val="0"/>
      <w:marTop w:val="0"/>
      <w:marBottom w:val="0"/>
      <w:divBdr>
        <w:top w:val="none" w:sz="0" w:space="0" w:color="auto"/>
        <w:left w:val="none" w:sz="0" w:space="0" w:color="auto"/>
        <w:bottom w:val="none" w:sz="0" w:space="0" w:color="auto"/>
        <w:right w:val="none" w:sz="0" w:space="0" w:color="auto"/>
      </w:divBdr>
    </w:div>
    <w:div w:id="485782914">
      <w:bodyDiv w:val="1"/>
      <w:marLeft w:val="0"/>
      <w:marRight w:val="0"/>
      <w:marTop w:val="0"/>
      <w:marBottom w:val="0"/>
      <w:divBdr>
        <w:top w:val="none" w:sz="0" w:space="0" w:color="auto"/>
        <w:left w:val="none" w:sz="0" w:space="0" w:color="auto"/>
        <w:bottom w:val="none" w:sz="0" w:space="0" w:color="auto"/>
        <w:right w:val="none" w:sz="0" w:space="0" w:color="auto"/>
      </w:divBdr>
    </w:div>
    <w:div w:id="486017862">
      <w:bodyDiv w:val="1"/>
      <w:marLeft w:val="0"/>
      <w:marRight w:val="0"/>
      <w:marTop w:val="0"/>
      <w:marBottom w:val="0"/>
      <w:divBdr>
        <w:top w:val="none" w:sz="0" w:space="0" w:color="auto"/>
        <w:left w:val="none" w:sz="0" w:space="0" w:color="auto"/>
        <w:bottom w:val="none" w:sz="0" w:space="0" w:color="auto"/>
        <w:right w:val="none" w:sz="0" w:space="0" w:color="auto"/>
      </w:divBdr>
    </w:div>
    <w:div w:id="496507470">
      <w:bodyDiv w:val="1"/>
      <w:marLeft w:val="0"/>
      <w:marRight w:val="0"/>
      <w:marTop w:val="0"/>
      <w:marBottom w:val="0"/>
      <w:divBdr>
        <w:top w:val="none" w:sz="0" w:space="0" w:color="auto"/>
        <w:left w:val="none" w:sz="0" w:space="0" w:color="auto"/>
        <w:bottom w:val="none" w:sz="0" w:space="0" w:color="auto"/>
        <w:right w:val="none" w:sz="0" w:space="0" w:color="auto"/>
      </w:divBdr>
    </w:div>
    <w:div w:id="496921571">
      <w:bodyDiv w:val="1"/>
      <w:marLeft w:val="0"/>
      <w:marRight w:val="0"/>
      <w:marTop w:val="0"/>
      <w:marBottom w:val="0"/>
      <w:divBdr>
        <w:top w:val="none" w:sz="0" w:space="0" w:color="auto"/>
        <w:left w:val="none" w:sz="0" w:space="0" w:color="auto"/>
        <w:bottom w:val="none" w:sz="0" w:space="0" w:color="auto"/>
        <w:right w:val="none" w:sz="0" w:space="0" w:color="auto"/>
      </w:divBdr>
    </w:div>
    <w:div w:id="514811064">
      <w:bodyDiv w:val="1"/>
      <w:marLeft w:val="0"/>
      <w:marRight w:val="0"/>
      <w:marTop w:val="0"/>
      <w:marBottom w:val="0"/>
      <w:divBdr>
        <w:top w:val="none" w:sz="0" w:space="0" w:color="auto"/>
        <w:left w:val="none" w:sz="0" w:space="0" w:color="auto"/>
        <w:bottom w:val="none" w:sz="0" w:space="0" w:color="auto"/>
        <w:right w:val="none" w:sz="0" w:space="0" w:color="auto"/>
      </w:divBdr>
    </w:div>
    <w:div w:id="515384845">
      <w:bodyDiv w:val="1"/>
      <w:marLeft w:val="0"/>
      <w:marRight w:val="0"/>
      <w:marTop w:val="0"/>
      <w:marBottom w:val="0"/>
      <w:divBdr>
        <w:top w:val="none" w:sz="0" w:space="0" w:color="auto"/>
        <w:left w:val="none" w:sz="0" w:space="0" w:color="auto"/>
        <w:bottom w:val="none" w:sz="0" w:space="0" w:color="auto"/>
        <w:right w:val="none" w:sz="0" w:space="0" w:color="auto"/>
      </w:divBdr>
    </w:div>
    <w:div w:id="516386358">
      <w:bodyDiv w:val="1"/>
      <w:marLeft w:val="0"/>
      <w:marRight w:val="0"/>
      <w:marTop w:val="0"/>
      <w:marBottom w:val="0"/>
      <w:divBdr>
        <w:top w:val="none" w:sz="0" w:space="0" w:color="auto"/>
        <w:left w:val="none" w:sz="0" w:space="0" w:color="auto"/>
        <w:bottom w:val="none" w:sz="0" w:space="0" w:color="auto"/>
        <w:right w:val="none" w:sz="0" w:space="0" w:color="auto"/>
      </w:divBdr>
    </w:div>
    <w:div w:id="517739794">
      <w:bodyDiv w:val="1"/>
      <w:marLeft w:val="0"/>
      <w:marRight w:val="0"/>
      <w:marTop w:val="0"/>
      <w:marBottom w:val="0"/>
      <w:divBdr>
        <w:top w:val="none" w:sz="0" w:space="0" w:color="auto"/>
        <w:left w:val="none" w:sz="0" w:space="0" w:color="auto"/>
        <w:bottom w:val="none" w:sz="0" w:space="0" w:color="auto"/>
        <w:right w:val="none" w:sz="0" w:space="0" w:color="auto"/>
      </w:divBdr>
    </w:div>
    <w:div w:id="522741974">
      <w:bodyDiv w:val="1"/>
      <w:marLeft w:val="0"/>
      <w:marRight w:val="0"/>
      <w:marTop w:val="0"/>
      <w:marBottom w:val="0"/>
      <w:divBdr>
        <w:top w:val="none" w:sz="0" w:space="0" w:color="auto"/>
        <w:left w:val="none" w:sz="0" w:space="0" w:color="auto"/>
        <w:bottom w:val="none" w:sz="0" w:space="0" w:color="auto"/>
        <w:right w:val="none" w:sz="0" w:space="0" w:color="auto"/>
      </w:divBdr>
    </w:div>
    <w:div w:id="530411670">
      <w:bodyDiv w:val="1"/>
      <w:marLeft w:val="0"/>
      <w:marRight w:val="0"/>
      <w:marTop w:val="0"/>
      <w:marBottom w:val="0"/>
      <w:divBdr>
        <w:top w:val="none" w:sz="0" w:space="0" w:color="auto"/>
        <w:left w:val="none" w:sz="0" w:space="0" w:color="auto"/>
        <w:bottom w:val="none" w:sz="0" w:space="0" w:color="auto"/>
        <w:right w:val="none" w:sz="0" w:space="0" w:color="auto"/>
      </w:divBdr>
    </w:div>
    <w:div w:id="531653423">
      <w:bodyDiv w:val="1"/>
      <w:marLeft w:val="0"/>
      <w:marRight w:val="0"/>
      <w:marTop w:val="0"/>
      <w:marBottom w:val="0"/>
      <w:divBdr>
        <w:top w:val="none" w:sz="0" w:space="0" w:color="auto"/>
        <w:left w:val="none" w:sz="0" w:space="0" w:color="auto"/>
        <w:bottom w:val="none" w:sz="0" w:space="0" w:color="auto"/>
        <w:right w:val="none" w:sz="0" w:space="0" w:color="auto"/>
      </w:divBdr>
    </w:div>
    <w:div w:id="533420930">
      <w:bodyDiv w:val="1"/>
      <w:marLeft w:val="0"/>
      <w:marRight w:val="0"/>
      <w:marTop w:val="0"/>
      <w:marBottom w:val="0"/>
      <w:divBdr>
        <w:top w:val="none" w:sz="0" w:space="0" w:color="auto"/>
        <w:left w:val="none" w:sz="0" w:space="0" w:color="auto"/>
        <w:bottom w:val="none" w:sz="0" w:space="0" w:color="auto"/>
        <w:right w:val="none" w:sz="0" w:space="0" w:color="auto"/>
      </w:divBdr>
    </w:div>
    <w:div w:id="537163860">
      <w:bodyDiv w:val="1"/>
      <w:marLeft w:val="0"/>
      <w:marRight w:val="0"/>
      <w:marTop w:val="0"/>
      <w:marBottom w:val="0"/>
      <w:divBdr>
        <w:top w:val="none" w:sz="0" w:space="0" w:color="auto"/>
        <w:left w:val="none" w:sz="0" w:space="0" w:color="auto"/>
        <w:bottom w:val="none" w:sz="0" w:space="0" w:color="auto"/>
        <w:right w:val="none" w:sz="0" w:space="0" w:color="auto"/>
      </w:divBdr>
    </w:div>
    <w:div w:id="540241242">
      <w:bodyDiv w:val="1"/>
      <w:marLeft w:val="0"/>
      <w:marRight w:val="0"/>
      <w:marTop w:val="0"/>
      <w:marBottom w:val="0"/>
      <w:divBdr>
        <w:top w:val="none" w:sz="0" w:space="0" w:color="auto"/>
        <w:left w:val="none" w:sz="0" w:space="0" w:color="auto"/>
        <w:bottom w:val="none" w:sz="0" w:space="0" w:color="auto"/>
        <w:right w:val="none" w:sz="0" w:space="0" w:color="auto"/>
      </w:divBdr>
    </w:div>
    <w:div w:id="541331542">
      <w:bodyDiv w:val="1"/>
      <w:marLeft w:val="0"/>
      <w:marRight w:val="0"/>
      <w:marTop w:val="0"/>
      <w:marBottom w:val="0"/>
      <w:divBdr>
        <w:top w:val="none" w:sz="0" w:space="0" w:color="auto"/>
        <w:left w:val="none" w:sz="0" w:space="0" w:color="auto"/>
        <w:bottom w:val="none" w:sz="0" w:space="0" w:color="auto"/>
        <w:right w:val="none" w:sz="0" w:space="0" w:color="auto"/>
      </w:divBdr>
    </w:div>
    <w:div w:id="546524870">
      <w:bodyDiv w:val="1"/>
      <w:marLeft w:val="0"/>
      <w:marRight w:val="0"/>
      <w:marTop w:val="0"/>
      <w:marBottom w:val="0"/>
      <w:divBdr>
        <w:top w:val="none" w:sz="0" w:space="0" w:color="auto"/>
        <w:left w:val="none" w:sz="0" w:space="0" w:color="auto"/>
        <w:bottom w:val="none" w:sz="0" w:space="0" w:color="auto"/>
        <w:right w:val="none" w:sz="0" w:space="0" w:color="auto"/>
      </w:divBdr>
    </w:div>
    <w:div w:id="560294255">
      <w:bodyDiv w:val="1"/>
      <w:marLeft w:val="0"/>
      <w:marRight w:val="0"/>
      <w:marTop w:val="0"/>
      <w:marBottom w:val="0"/>
      <w:divBdr>
        <w:top w:val="none" w:sz="0" w:space="0" w:color="auto"/>
        <w:left w:val="none" w:sz="0" w:space="0" w:color="auto"/>
        <w:bottom w:val="none" w:sz="0" w:space="0" w:color="auto"/>
        <w:right w:val="none" w:sz="0" w:space="0" w:color="auto"/>
      </w:divBdr>
    </w:div>
    <w:div w:id="565846864">
      <w:bodyDiv w:val="1"/>
      <w:marLeft w:val="0"/>
      <w:marRight w:val="0"/>
      <w:marTop w:val="0"/>
      <w:marBottom w:val="0"/>
      <w:divBdr>
        <w:top w:val="none" w:sz="0" w:space="0" w:color="auto"/>
        <w:left w:val="none" w:sz="0" w:space="0" w:color="auto"/>
        <w:bottom w:val="none" w:sz="0" w:space="0" w:color="auto"/>
        <w:right w:val="none" w:sz="0" w:space="0" w:color="auto"/>
      </w:divBdr>
    </w:div>
    <w:div w:id="573247538">
      <w:bodyDiv w:val="1"/>
      <w:marLeft w:val="0"/>
      <w:marRight w:val="0"/>
      <w:marTop w:val="0"/>
      <w:marBottom w:val="0"/>
      <w:divBdr>
        <w:top w:val="none" w:sz="0" w:space="0" w:color="auto"/>
        <w:left w:val="none" w:sz="0" w:space="0" w:color="auto"/>
        <w:bottom w:val="none" w:sz="0" w:space="0" w:color="auto"/>
        <w:right w:val="none" w:sz="0" w:space="0" w:color="auto"/>
      </w:divBdr>
    </w:div>
    <w:div w:id="576329298">
      <w:bodyDiv w:val="1"/>
      <w:marLeft w:val="0"/>
      <w:marRight w:val="0"/>
      <w:marTop w:val="0"/>
      <w:marBottom w:val="0"/>
      <w:divBdr>
        <w:top w:val="none" w:sz="0" w:space="0" w:color="auto"/>
        <w:left w:val="none" w:sz="0" w:space="0" w:color="auto"/>
        <w:bottom w:val="none" w:sz="0" w:space="0" w:color="auto"/>
        <w:right w:val="none" w:sz="0" w:space="0" w:color="auto"/>
      </w:divBdr>
    </w:div>
    <w:div w:id="581524668">
      <w:bodyDiv w:val="1"/>
      <w:marLeft w:val="0"/>
      <w:marRight w:val="0"/>
      <w:marTop w:val="0"/>
      <w:marBottom w:val="0"/>
      <w:divBdr>
        <w:top w:val="none" w:sz="0" w:space="0" w:color="auto"/>
        <w:left w:val="none" w:sz="0" w:space="0" w:color="auto"/>
        <w:bottom w:val="none" w:sz="0" w:space="0" w:color="auto"/>
        <w:right w:val="none" w:sz="0" w:space="0" w:color="auto"/>
      </w:divBdr>
    </w:div>
    <w:div w:id="590042991">
      <w:bodyDiv w:val="1"/>
      <w:marLeft w:val="0"/>
      <w:marRight w:val="0"/>
      <w:marTop w:val="0"/>
      <w:marBottom w:val="0"/>
      <w:divBdr>
        <w:top w:val="none" w:sz="0" w:space="0" w:color="auto"/>
        <w:left w:val="none" w:sz="0" w:space="0" w:color="auto"/>
        <w:bottom w:val="none" w:sz="0" w:space="0" w:color="auto"/>
        <w:right w:val="none" w:sz="0" w:space="0" w:color="auto"/>
      </w:divBdr>
    </w:div>
    <w:div w:id="594561725">
      <w:bodyDiv w:val="1"/>
      <w:marLeft w:val="0"/>
      <w:marRight w:val="0"/>
      <w:marTop w:val="0"/>
      <w:marBottom w:val="0"/>
      <w:divBdr>
        <w:top w:val="none" w:sz="0" w:space="0" w:color="auto"/>
        <w:left w:val="none" w:sz="0" w:space="0" w:color="auto"/>
        <w:bottom w:val="none" w:sz="0" w:space="0" w:color="auto"/>
        <w:right w:val="none" w:sz="0" w:space="0" w:color="auto"/>
      </w:divBdr>
    </w:div>
    <w:div w:id="599603995">
      <w:bodyDiv w:val="1"/>
      <w:marLeft w:val="0"/>
      <w:marRight w:val="0"/>
      <w:marTop w:val="0"/>
      <w:marBottom w:val="0"/>
      <w:divBdr>
        <w:top w:val="none" w:sz="0" w:space="0" w:color="auto"/>
        <w:left w:val="none" w:sz="0" w:space="0" w:color="auto"/>
        <w:bottom w:val="none" w:sz="0" w:space="0" w:color="auto"/>
        <w:right w:val="none" w:sz="0" w:space="0" w:color="auto"/>
      </w:divBdr>
    </w:div>
    <w:div w:id="605699313">
      <w:bodyDiv w:val="1"/>
      <w:marLeft w:val="0"/>
      <w:marRight w:val="0"/>
      <w:marTop w:val="0"/>
      <w:marBottom w:val="0"/>
      <w:divBdr>
        <w:top w:val="none" w:sz="0" w:space="0" w:color="auto"/>
        <w:left w:val="none" w:sz="0" w:space="0" w:color="auto"/>
        <w:bottom w:val="none" w:sz="0" w:space="0" w:color="auto"/>
        <w:right w:val="none" w:sz="0" w:space="0" w:color="auto"/>
      </w:divBdr>
    </w:div>
    <w:div w:id="607203914">
      <w:bodyDiv w:val="1"/>
      <w:marLeft w:val="0"/>
      <w:marRight w:val="0"/>
      <w:marTop w:val="0"/>
      <w:marBottom w:val="0"/>
      <w:divBdr>
        <w:top w:val="none" w:sz="0" w:space="0" w:color="auto"/>
        <w:left w:val="none" w:sz="0" w:space="0" w:color="auto"/>
        <w:bottom w:val="none" w:sz="0" w:space="0" w:color="auto"/>
        <w:right w:val="none" w:sz="0" w:space="0" w:color="auto"/>
      </w:divBdr>
    </w:div>
    <w:div w:id="609165526">
      <w:bodyDiv w:val="1"/>
      <w:marLeft w:val="0"/>
      <w:marRight w:val="0"/>
      <w:marTop w:val="0"/>
      <w:marBottom w:val="0"/>
      <w:divBdr>
        <w:top w:val="none" w:sz="0" w:space="0" w:color="auto"/>
        <w:left w:val="none" w:sz="0" w:space="0" w:color="auto"/>
        <w:bottom w:val="none" w:sz="0" w:space="0" w:color="auto"/>
        <w:right w:val="none" w:sz="0" w:space="0" w:color="auto"/>
      </w:divBdr>
    </w:div>
    <w:div w:id="609631139">
      <w:bodyDiv w:val="1"/>
      <w:marLeft w:val="0"/>
      <w:marRight w:val="0"/>
      <w:marTop w:val="0"/>
      <w:marBottom w:val="0"/>
      <w:divBdr>
        <w:top w:val="none" w:sz="0" w:space="0" w:color="auto"/>
        <w:left w:val="none" w:sz="0" w:space="0" w:color="auto"/>
        <w:bottom w:val="none" w:sz="0" w:space="0" w:color="auto"/>
        <w:right w:val="none" w:sz="0" w:space="0" w:color="auto"/>
      </w:divBdr>
    </w:div>
    <w:div w:id="612637963">
      <w:bodyDiv w:val="1"/>
      <w:marLeft w:val="0"/>
      <w:marRight w:val="0"/>
      <w:marTop w:val="0"/>
      <w:marBottom w:val="0"/>
      <w:divBdr>
        <w:top w:val="none" w:sz="0" w:space="0" w:color="auto"/>
        <w:left w:val="none" w:sz="0" w:space="0" w:color="auto"/>
        <w:bottom w:val="none" w:sz="0" w:space="0" w:color="auto"/>
        <w:right w:val="none" w:sz="0" w:space="0" w:color="auto"/>
      </w:divBdr>
    </w:div>
    <w:div w:id="616915502">
      <w:bodyDiv w:val="1"/>
      <w:marLeft w:val="0"/>
      <w:marRight w:val="0"/>
      <w:marTop w:val="0"/>
      <w:marBottom w:val="0"/>
      <w:divBdr>
        <w:top w:val="none" w:sz="0" w:space="0" w:color="auto"/>
        <w:left w:val="none" w:sz="0" w:space="0" w:color="auto"/>
        <w:bottom w:val="none" w:sz="0" w:space="0" w:color="auto"/>
        <w:right w:val="none" w:sz="0" w:space="0" w:color="auto"/>
      </w:divBdr>
    </w:div>
    <w:div w:id="618297928">
      <w:bodyDiv w:val="1"/>
      <w:marLeft w:val="0"/>
      <w:marRight w:val="0"/>
      <w:marTop w:val="0"/>
      <w:marBottom w:val="0"/>
      <w:divBdr>
        <w:top w:val="none" w:sz="0" w:space="0" w:color="auto"/>
        <w:left w:val="none" w:sz="0" w:space="0" w:color="auto"/>
        <w:bottom w:val="none" w:sz="0" w:space="0" w:color="auto"/>
        <w:right w:val="none" w:sz="0" w:space="0" w:color="auto"/>
      </w:divBdr>
    </w:div>
    <w:div w:id="620191497">
      <w:bodyDiv w:val="1"/>
      <w:marLeft w:val="0"/>
      <w:marRight w:val="0"/>
      <w:marTop w:val="0"/>
      <w:marBottom w:val="0"/>
      <w:divBdr>
        <w:top w:val="none" w:sz="0" w:space="0" w:color="auto"/>
        <w:left w:val="none" w:sz="0" w:space="0" w:color="auto"/>
        <w:bottom w:val="none" w:sz="0" w:space="0" w:color="auto"/>
        <w:right w:val="none" w:sz="0" w:space="0" w:color="auto"/>
      </w:divBdr>
    </w:div>
    <w:div w:id="622078825">
      <w:bodyDiv w:val="1"/>
      <w:marLeft w:val="0"/>
      <w:marRight w:val="0"/>
      <w:marTop w:val="0"/>
      <w:marBottom w:val="0"/>
      <w:divBdr>
        <w:top w:val="none" w:sz="0" w:space="0" w:color="auto"/>
        <w:left w:val="none" w:sz="0" w:space="0" w:color="auto"/>
        <w:bottom w:val="none" w:sz="0" w:space="0" w:color="auto"/>
        <w:right w:val="none" w:sz="0" w:space="0" w:color="auto"/>
      </w:divBdr>
    </w:div>
    <w:div w:id="632292414">
      <w:bodyDiv w:val="1"/>
      <w:marLeft w:val="0"/>
      <w:marRight w:val="0"/>
      <w:marTop w:val="0"/>
      <w:marBottom w:val="0"/>
      <w:divBdr>
        <w:top w:val="none" w:sz="0" w:space="0" w:color="auto"/>
        <w:left w:val="none" w:sz="0" w:space="0" w:color="auto"/>
        <w:bottom w:val="none" w:sz="0" w:space="0" w:color="auto"/>
        <w:right w:val="none" w:sz="0" w:space="0" w:color="auto"/>
      </w:divBdr>
    </w:div>
    <w:div w:id="638732500">
      <w:bodyDiv w:val="1"/>
      <w:marLeft w:val="0"/>
      <w:marRight w:val="0"/>
      <w:marTop w:val="0"/>
      <w:marBottom w:val="0"/>
      <w:divBdr>
        <w:top w:val="none" w:sz="0" w:space="0" w:color="auto"/>
        <w:left w:val="none" w:sz="0" w:space="0" w:color="auto"/>
        <w:bottom w:val="none" w:sz="0" w:space="0" w:color="auto"/>
        <w:right w:val="none" w:sz="0" w:space="0" w:color="auto"/>
      </w:divBdr>
    </w:div>
    <w:div w:id="641420995">
      <w:bodyDiv w:val="1"/>
      <w:marLeft w:val="0"/>
      <w:marRight w:val="0"/>
      <w:marTop w:val="0"/>
      <w:marBottom w:val="0"/>
      <w:divBdr>
        <w:top w:val="none" w:sz="0" w:space="0" w:color="auto"/>
        <w:left w:val="none" w:sz="0" w:space="0" w:color="auto"/>
        <w:bottom w:val="none" w:sz="0" w:space="0" w:color="auto"/>
        <w:right w:val="none" w:sz="0" w:space="0" w:color="auto"/>
      </w:divBdr>
    </w:div>
    <w:div w:id="649287911">
      <w:bodyDiv w:val="1"/>
      <w:marLeft w:val="0"/>
      <w:marRight w:val="0"/>
      <w:marTop w:val="0"/>
      <w:marBottom w:val="0"/>
      <w:divBdr>
        <w:top w:val="none" w:sz="0" w:space="0" w:color="auto"/>
        <w:left w:val="none" w:sz="0" w:space="0" w:color="auto"/>
        <w:bottom w:val="none" w:sz="0" w:space="0" w:color="auto"/>
        <w:right w:val="none" w:sz="0" w:space="0" w:color="auto"/>
      </w:divBdr>
    </w:div>
    <w:div w:id="652369689">
      <w:bodyDiv w:val="1"/>
      <w:marLeft w:val="0"/>
      <w:marRight w:val="0"/>
      <w:marTop w:val="0"/>
      <w:marBottom w:val="0"/>
      <w:divBdr>
        <w:top w:val="none" w:sz="0" w:space="0" w:color="auto"/>
        <w:left w:val="none" w:sz="0" w:space="0" w:color="auto"/>
        <w:bottom w:val="none" w:sz="0" w:space="0" w:color="auto"/>
        <w:right w:val="none" w:sz="0" w:space="0" w:color="auto"/>
      </w:divBdr>
    </w:div>
    <w:div w:id="658195553">
      <w:bodyDiv w:val="1"/>
      <w:marLeft w:val="0"/>
      <w:marRight w:val="0"/>
      <w:marTop w:val="0"/>
      <w:marBottom w:val="0"/>
      <w:divBdr>
        <w:top w:val="none" w:sz="0" w:space="0" w:color="auto"/>
        <w:left w:val="none" w:sz="0" w:space="0" w:color="auto"/>
        <w:bottom w:val="none" w:sz="0" w:space="0" w:color="auto"/>
        <w:right w:val="none" w:sz="0" w:space="0" w:color="auto"/>
      </w:divBdr>
    </w:div>
    <w:div w:id="668798824">
      <w:bodyDiv w:val="1"/>
      <w:marLeft w:val="0"/>
      <w:marRight w:val="0"/>
      <w:marTop w:val="0"/>
      <w:marBottom w:val="0"/>
      <w:divBdr>
        <w:top w:val="none" w:sz="0" w:space="0" w:color="auto"/>
        <w:left w:val="none" w:sz="0" w:space="0" w:color="auto"/>
        <w:bottom w:val="none" w:sz="0" w:space="0" w:color="auto"/>
        <w:right w:val="none" w:sz="0" w:space="0" w:color="auto"/>
      </w:divBdr>
    </w:div>
    <w:div w:id="670109166">
      <w:bodyDiv w:val="1"/>
      <w:marLeft w:val="0"/>
      <w:marRight w:val="0"/>
      <w:marTop w:val="0"/>
      <w:marBottom w:val="0"/>
      <w:divBdr>
        <w:top w:val="none" w:sz="0" w:space="0" w:color="auto"/>
        <w:left w:val="none" w:sz="0" w:space="0" w:color="auto"/>
        <w:bottom w:val="none" w:sz="0" w:space="0" w:color="auto"/>
        <w:right w:val="none" w:sz="0" w:space="0" w:color="auto"/>
      </w:divBdr>
    </w:div>
    <w:div w:id="678697504">
      <w:bodyDiv w:val="1"/>
      <w:marLeft w:val="0"/>
      <w:marRight w:val="0"/>
      <w:marTop w:val="0"/>
      <w:marBottom w:val="0"/>
      <w:divBdr>
        <w:top w:val="none" w:sz="0" w:space="0" w:color="auto"/>
        <w:left w:val="none" w:sz="0" w:space="0" w:color="auto"/>
        <w:bottom w:val="none" w:sz="0" w:space="0" w:color="auto"/>
        <w:right w:val="none" w:sz="0" w:space="0" w:color="auto"/>
      </w:divBdr>
    </w:div>
    <w:div w:id="682392697">
      <w:bodyDiv w:val="1"/>
      <w:marLeft w:val="0"/>
      <w:marRight w:val="0"/>
      <w:marTop w:val="0"/>
      <w:marBottom w:val="0"/>
      <w:divBdr>
        <w:top w:val="none" w:sz="0" w:space="0" w:color="auto"/>
        <w:left w:val="none" w:sz="0" w:space="0" w:color="auto"/>
        <w:bottom w:val="none" w:sz="0" w:space="0" w:color="auto"/>
        <w:right w:val="none" w:sz="0" w:space="0" w:color="auto"/>
      </w:divBdr>
    </w:div>
    <w:div w:id="687946656">
      <w:bodyDiv w:val="1"/>
      <w:marLeft w:val="0"/>
      <w:marRight w:val="0"/>
      <w:marTop w:val="0"/>
      <w:marBottom w:val="0"/>
      <w:divBdr>
        <w:top w:val="none" w:sz="0" w:space="0" w:color="auto"/>
        <w:left w:val="none" w:sz="0" w:space="0" w:color="auto"/>
        <w:bottom w:val="none" w:sz="0" w:space="0" w:color="auto"/>
        <w:right w:val="none" w:sz="0" w:space="0" w:color="auto"/>
      </w:divBdr>
    </w:div>
    <w:div w:id="691994799">
      <w:bodyDiv w:val="1"/>
      <w:marLeft w:val="0"/>
      <w:marRight w:val="0"/>
      <w:marTop w:val="0"/>
      <w:marBottom w:val="0"/>
      <w:divBdr>
        <w:top w:val="none" w:sz="0" w:space="0" w:color="auto"/>
        <w:left w:val="none" w:sz="0" w:space="0" w:color="auto"/>
        <w:bottom w:val="none" w:sz="0" w:space="0" w:color="auto"/>
        <w:right w:val="none" w:sz="0" w:space="0" w:color="auto"/>
      </w:divBdr>
    </w:div>
    <w:div w:id="692650739">
      <w:bodyDiv w:val="1"/>
      <w:marLeft w:val="0"/>
      <w:marRight w:val="0"/>
      <w:marTop w:val="0"/>
      <w:marBottom w:val="0"/>
      <w:divBdr>
        <w:top w:val="none" w:sz="0" w:space="0" w:color="auto"/>
        <w:left w:val="none" w:sz="0" w:space="0" w:color="auto"/>
        <w:bottom w:val="none" w:sz="0" w:space="0" w:color="auto"/>
        <w:right w:val="none" w:sz="0" w:space="0" w:color="auto"/>
      </w:divBdr>
    </w:div>
    <w:div w:id="693922755">
      <w:bodyDiv w:val="1"/>
      <w:marLeft w:val="0"/>
      <w:marRight w:val="0"/>
      <w:marTop w:val="0"/>
      <w:marBottom w:val="0"/>
      <w:divBdr>
        <w:top w:val="none" w:sz="0" w:space="0" w:color="auto"/>
        <w:left w:val="none" w:sz="0" w:space="0" w:color="auto"/>
        <w:bottom w:val="none" w:sz="0" w:space="0" w:color="auto"/>
        <w:right w:val="none" w:sz="0" w:space="0" w:color="auto"/>
      </w:divBdr>
    </w:div>
    <w:div w:id="713886814">
      <w:bodyDiv w:val="1"/>
      <w:marLeft w:val="0"/>
      <w:marRight w:val="0"/>
      <w:marTop w:val="0"/>
      <w:marBottom w:val="0"/>
      <w:divBdr>
        <w:top w:val="none" w:sz="0" w:space="0" w:color="auto"/>
        <w:left w:val="none" w:sz="0" w:space="0" w:color="auto"/>
        <w:bottom w:val="none" w:sz="0" w:space="0" w:color="auto"/>
        <w:right w:val="none" w:sz="0" w:space="0" w:color="auto"/>
      </w:divBdr>
    </w:div>
    <w:div w:id="717050790">
      <w:bodyDiv w:val="1"/>
      <w:marLeft w:val="0"/>
      <w:marRight w:val="0"/>
      <w:marTop w:val="0"/>
      <w:marBottom w:val="0"/>
      <w:divBdr>
        <w:top w:val="none" w:sz="0" w:space="0" w:color="auto"/>
        <w:left w:val="none" w:sz="0" w:space="0" w:color="auto"/>
        <w:bottom w:val="none" w:sz="0" w:space="0" w:color="auto"/>
        <w:right w:val="none" w:sz="0" w:space="0" w:color="auto"/>
      </w:divBdr>
    </w:div>
    <w:div w:id="718671857">
      <w:bodyDiv w:val="1"/>
      <w:marLeft w:val="0"/>
      <w:marRight w:val="0"/>
      <w:marTop w:val="0"/>
      <w:marBottom w:val="0"/>
      <w:divBdr>
        <w:top w:val="none" w:sz="0" w:space="0" w:color="auto"/>
        <w:left w:val="none" w:sz="0" w:space="0" w:color="auto"/>
        <w:bottom w:val="none" w:sz="0" w:space="0" w:color="auto"/>
        <w:right w:val="none" w:sz="0" w:space="0" w:color="auto"/>
      </w:divBdr>
    </w:div>
    <w:div w:id="720132327">
      <w:bodyDiv w:val="1"/>
      <w:marLeft w:val="0"/>
      <w:marRight w:val="0"/>
      <w:marTop w:val="0"/>
      <w:marBottom w:val="0"/>
      <w:divBdr>
        <w:top w:val="none" w:sz="0" w:space="0" w:color="auto"/>
        <w:left w:val="none" w:sz="0" w:space="0" w:color="auto"/>
        <w:bottom w:val="none" w:sz="0" w:space="0" w:color="auto"/>
        <w:right w:val="none" w:sz="0" w:space="0" w:color="auto"/>
      </w:divBdr>
    </w:div>
    <w:div w:id="727461212">
      <w:bodyDiv w:val="1"/>
      <w:marLeft w:val="0"/>
      <w:marRight w:val="0"/>
      <w:marTop w:val="0"/>
      <w:marBottom w:val="0"/>
      <w:divBdr>
        <w:top w:val="none" w:sz="0" w:space="0" w:color="auto"/>
        <w:left w:val="none" w:sz="0" w:space="0" w:color="auto"/>
        <w:bottom w:val="none" w:sz="0" w:space="0" w:color="auto"/>
        <w:right w:val="none" w:sz="0" w:space="0" w:color="auto"/>
      </w:divBdr>
    </w:div>
    <w:div w:id="744231194">
      <w:bodyDiv w:val="1"/>
      <w:marLeft w:val="0"/>
      <w:marRight w:val="0"/>
      <w:marTop w:val="0"/>
      <w:marBottom w:val="0"/>
      <w:divBdr>
        <w:top w:val="none" w:sz="0" w:space="0" w:color="auto"/>
        <w:left w:val="none" w:sz="0" w:space="0" w:color="auto"/>
        <w:bottom w:val="none" w:sz="0" w:space="0" w:color="auto"/>
        <w:right w:val="none" w:sz="0" w:space="0" w:color="auto"/>
      </w:divBdr>
    </w:div>
    <w:div w:id="758595791">
      <w:bodyDiv w:val="1"/>
      <w:marLeft w:val="0"/>
      <w:marRight w:val="0"/>
      <w:marTop w:val="0"/>
      <w:marBottom w:val="0"/>
      <w:divBdr>
        <w:top w:val="none" w:sz="0" w:space="0" w:color="auto"/>
        <w:left w:val="none" w:sz="0" w:space="0" w:color="auto"/>
        <w:bottom w:val="none" w:sz="0" w:space="0" w:color="auto"/>
        <w:right w:val="none" w:sz="0" w:space="0" w:color="auto"/>
      </w:divBdr>
    </w:div>
    <w:div w:id="769816874">
      <w:bodyDiv w:val="1"/>
      <w:marLeft w:val="0"/>
      <w:marRight w:val="0"/>
      <w:marTop w:val="0"/>
      <w:marBottom w:val="0"/>
      <w:divBdr>
        <w:top w:val="none" w:sz="0" w:space="0" w:color="auto"/>
        <w:left w:val="none" w:sz="0" w:space="0" w:color="auto"/>
        <w:bottom w:val="none" w:sz="0" w:space="0" w:color="auto"/>
        <w:right w:val="none" w:sz="0" w:space="0" w:color="auto"/>
      </w:divBdr>
    </w:div>
    <w:div w:id="772283496">
      <w:bodyDiv w:val="1"/>
      <w:marLeft w:val="0"/>
      <w:marRight w:val="0"/>
      <w:marTop w:val="0"/>
      <w:marBottom w:val="0"/>
      <w:divBdr>
        <w:top w:val="none" w:sz="0" w:space="0" w:color="auto"/>
        <w:left w:val="none" w:sz="0" w:space="0" w:color="auto"/>
        <w:bottom w:val="none" w:sz="0" w:space="0" w:color="auto"/>
        <w:right w:val="none" w:sz="0" w:space="0" w:color="auto"/>
      </w:divBdr>
    </w:div>
    <w:div w:id="779034555">
      <w:bodyDiv w:val="1"/>
      <w:marLeft w:val="0"/>
      <w:marRight w:val="0"/>
      <w:marTop w:val="0"/>
      <w:marBottom w:val="0"/>
      <w:divBdr>
        <w:top w:val="none" w:sz="0" w:space="0" w:color="auto"/>
        <w:left w:val="none" w:sz="0" w:space="0" w:color="auto"/>
        <w:bottom w:val="none" w:sz="0" w:space="0" w:color="auto"/>
        <w:right w:val="none" w:sz="0" w:space="0" w:color="auto"/>
      </w:divBdr>
    </w:div>
    <w:div w:id="785853466">
      <w:bodyDiv w:val="1"/>
      <w:marLeft w:val="0"/>
      <w:marRight w:val="0"/>
      <w:marTop w:val="0"/>
      <w:marBottom w:val="0"/>
      <w:divBdr>
        <w:top w:val="none" w:sz="0" w:space="0" w:color="auto"/>
        <w:left w:val="none" w:sz="0" w:space="0" w:color="auto"/>
        <w:bottom w:val="none" w:sz="0" w:space="0" w:color="auto"/>
        <w:right w:val="none" w:sz="0" w:space="0" w:color="auto"/>
      </w:divBdr>
    </w:div>
    <w:div w:id="789012929">
      <w:bodyDiv w:val="1"/>
      <w:marLeft w:val="0"/>
      <w:marRight w:val="0"/>
      <w:marTop w:val="0"/>
      <w:marBottom w:val="0"/>
      <w:divBdr>
        <w:top w:val="none" w:sz="0" w:space="0" w:color="auto"/>
        <w:left w:val="none" w:sz="0" w:space="0" w:color="auto"/>
        <w:bottom w:val="none" w:sz="0" w:space="0" w:color="auto"/>
        <w:right w:val="none" w:sz="0" w:space="0" w:color="auto"/>
      </w:divBdr>
    </w:div>
    <w:div w:id="792599726">
      <w:bodyDiv w:val="1"/>
      <w:marLeft w:val="0"/>
      <w:marRight w:val="0"/>
      <w:marTop w:val="0"/>
      <w:marBottom w:val="0"/>
      <w:divBdr>
        <w:top w:val="none" w:sz="0" w:space="0" w:color="auto"/>
        <w:left w:val="none" w:sz="0" w:space="0" w:color="auto"/>
        <w:bottom w:val="none" w:sz="0" w:space="0" w:color="auto"/>
        <w:right w:val="none" w:sz="0" w:space="0" w:color="auto"/>
      </w:divBdr>
    </w:div>
    <w:div w:id="793520154">
      <w:bodyDiv w:val="1"/>
      <w:marLeft w:val="0"/>
      <w:marRight w:val="0"/>
      <w:marTop w:val="0"/>
      <w:marBottom w:val="0"/>
      <w:divBdr>
        <w:top w:val="none" w:sz="0" w:space="0" w:color="auto"/>
        <w:left w:val="none" w:sz="0" w:space="0" w:color="auto"/>
        <w:bottom w:val="none" w:sz="0" w:space="0" w:color="auto"/>
        <w:right w:val="none" w:sz="0" w:space="0" w:color="auto"/>
      </w:divBdr>
    </w:div>
    <w:div w:id="798112007">
      <w:bodyDiv w:val="1"/>
      <w:marLeft w:val="0"/>
      <w:marRight w:val="0"/>
      <w:marTop w:val="0"/>
      <w:marBottom w:val="0"/>
      <w:divBdr>
        <w:top w:val="none" w:sz="0" w:space="0" w:color="auto"/>
        <w:left w:val="none" w:sz="0" w:space="0" w:color="auto"/>
        <w:bottom w:val="none" w:sz="0" w:space="0" w:color="auto"/>
        <w:right w:val="none" w:sz="0" w:space="0" w:color="auto"/>
      </w:divBdr>
    </w:div>
    <w:div w:id="801386329">
      <w:bodyDiv w:val="1"/>
      <w:marLeft w:val="0"/>
      <w:marRight w:val="0"/>
      <w:marTop w:val="0"/>
      <w:marBottom w:val="0"/>
      <w:divBdr>
        <w:top w:val="none" w:sz="0" w:space="0" w:color="auto"/>
        <w:left w:val="none" w:sz="0" w:space="0" w:color="auto"/>
        <w:bottom w:val="none" w:sz="0" w:space="0" w:color="auto"/>
        <w:right w:val="none" w:sz="0" w:space="0" w:color="auto"/>
      </w:divBdr>
    </w:div>
    <w:div w:id="808405200">
      <w:bodyDiv w:val="1"/>
      <w:marLeft w:val="0"/>
      <w:marRight w:val="0"/>
      <w:marTop w:val="0"/>
      <w:marBottom w:val="0"/>
      <w:divBdr>
        <w:top w:val="none" w:sz="0" w:space="0" w:color="auto"/>
        <w:left w:val="none" w:sz="0" w:space="0" w:color="auto"/>
        <w:bottom w:val="none" w:sz="0" w:space="0" w:color="auto"/>
        <w:right w:val="none" w:sz="0" w:space="0" w:color="auto"/>
      </w:divBdr>
    </w:div>
    <w:div w:id="809446707">
      <w:bodyDiv w:val="1"/>
      <w:marLeft w:val="0"/>
      <w:marRight w:val="0"/>
      <w:marTop w:val="0"/>
      <w:marBottom w:val="0"/>
      <w:divBdr>
        <w:top w:val="none" w:sz="0" w:space="0" w:color="auto"/>
        <w:left w:val="none" w:sz="0" w:space="0" w:color="auto"/>
        <w:bottom w:val="none" w:sz="0" w:space="0" w:color="auto"/>
        <w:right w:val="none" w:sz="0" w:space="0" w:color="auto"/>
      </w:divBdr>
    </w:div>
    <w:div w:id="810365970">
      <w:bodyDiv w:val="1"/>
      <w:marLeft w:val="0"/>
      <w:marRight w:val="0"/>
      <w:marTop w:val="0"/>
      <w:marBottom w:val="0"/>
      <w:divBdr>
        <w:top w:val="none" w:sz="0" w:space="0" w:color="auto"/>
        <w:left w:val="none" w:sz="0" w:space="0" w:color="auto"/>
        <w:bottom w:val="none" w:sz="0" w:space="0" w:color="auto"/>
        <w:right w:val="none" w:sz="0" w:space="0" w:color="auto"/>
      </w:divBdr>
    </w:div>
    <w:div w:id="817963681">
      <w:bodyDiv w:val="1"/>
      <w:marLeft w:val="0"/>
      <w:marRight w:val="0"/>
      <w:marTop w:val="0"/>
      <w:marBottom w:val="0"/>
      <w:divBdr>
        <w:top w:val="none" w:sz="0" w:space="0" w:color="auto"/>
        <w:left w:val="none" w:sz="0" w:space="0" w:color="auto"/>
        <w:bottom w:val="none" w:sz="0" w:space="0" w:color="auto"/>
        <w:right w:val="none" w:sz="0" w:space="0" w:color="auto"/>
      </w:divBdr>
    </w:div>
    <w:div w:id="821965462">
      <w:bodyDiv w:val="1"/>
      <w:marLeft w:val="0"/>
      <w:marRight w:val="0"/>
      <w:marTop w:val="0"/>
      <w:marBottom w:val="0"/>
      <w:divBdr>
        <w:top w:val="none" w:sz="0" w:space="0" w:color="auto"/>
        <w:left w:val="none" w:sz="0" w:space="0" w:color="auto"/>
        <w:bottom w:val="none" w:sz="0" w:space="0" w:color="auto"/>
        <w:right w:val="none" w:sz="0" w:space="0" w:color="auto"/>
      </w:divBdr>
    </w:div>
    <w:div w:id="827788082">
      <w:bodyDiv w:val="1"/>
      <w:marLeft w:val="0"/>
      <w:marRight w:val="0"/>
      <w:marTop w:val="0"/>
      <w:marBottom w:val="0"/>
      <w:divBdr>
        <w:top w:val="none" w:sz="0" w:space="0" w:color="auto"/>
        <w:left w:val="none" w:sz="0" w:space="0" w:color="auto"/>
        <w:bottom w:val="none" w:sz="0" w:space="0" w:color="auto"/>
        <w:right w:val="none" w:sz="0" w:space="0" w:color="auto"/>
      </w:divBdr>
    </w:div>
    <w:div w:id="841361495">
      <w:bodyDiv w:val="1"/>
      <w:marLeft w:val="0"/>
      <w:marRight w:val="0"/>
      <w:marTop w:val="0"/>
      <w:marBottom w:val="0"/>
      <w:divBdr>
        <w:top w:val="none" w:sz="0" w:space="0" w:color="auto"/>
        <w:left w:val="none" w:sz="0" w:space="0" w:color="auto"/>
        <w:bottom w:val="none" w:sz="0" w:space="0" w:color="auto"/>
        <w:right w:val="none" w:sz="0" w:space="0" w:color="auto"/>
      </w:divBdr>
    </w:div>
    <w:div w:id="844443437">
      <w:bodyDiv w:val="1"/>
      <w:marLeft w:val="0"/>
      <w:marRight w:val="0"/>
      <w:marTop w:val="0"/>
      <w:marBottom w:val="0"/>
      <w:divBdr>
        <w:top w:val="none" w:sz="0" w:space="0" w:color="auto"/>
        <w:left w:val="none" w:sz="0" w:space="0" w:color="auto"/>
        <w:bottom w:val="none" w:sz="0" w:space="0" w:color="auto"/>
        <w:right w:val="none" w:sz="0" w:space="0" w:color="auto"/>
      </w:divBdr>
    </w:div>
    <w:div w:id="850608164">
      <w:bodyDiv w:val="1"/>
      <w:marLeft w:val="0"/>
      <w:marRight w:val="0"/>
      <w:marTop w:val="0"/>
      <w:marBottom w:val="0"/>
      <w:divBdr>
        <w:top w:val="none" w:sz="0" w:space="0" w:color="auto"/>
        <w:left w:val="none" w:sz="0" w:space="0" w:color="auto"/>
        <w:bottom w:val="none" w:sz="0" w:space="0" w:color="auto"/>
        <w:right w:val="none" w:sz="0" w:space="0" w:color="auto"/>
      </w:divBdr>
    </w:div>
    <w:div w:id="856390108">
      <w:bodyDiv w:val="1"/>
      <w:marLeft w:val="0"/>
      <w:marRight w:val="0"/>
      <w:marTop w:val="0"/>
      <w:marBottom w:val="0"/>
      <w:divBdr>
        <w:top w:val="none" w:sz="0" w:space="0" w:color="auto"/>
        <w:left w:val="none" w:sz="0" w:space="0" w:color="auto"/>
        <w:bottom w:val="none" w:sz="0" w:space="0" w:color="auto"/>
        <w:right w:val="none" w:sz="0" w:space="0" w:color="auto"/>
      </w:divBdr>
    </w:div>
    <w:div w:id="869299539">
      <w:bodyDiv w:val="1"/>
      <w:marLeft w:val="0"/>
      <w:marRight w:val="0"/>
      <w:marTop w:val="0"/>
      <w:marBottom w:val="0"/>
      <w:divBdr>
        <w:top w:val="none" w:sz="0" w:space="0" w:color="auto"/>
        <w:left w:val="none" w:sz="0" w:space="0" w:color="auto"/>
        <w:bottom w:val="none" w:sz="0" w:space="0" w:color="auto"/>
        <w:right w:val="none" w:sz="0" w:space="0" w:color="auto"/>
      </w:divBdr>
    </w:div>
    <w:div w:id="896431733">
      <w:bodyDiv w:val="1"/>
      <w:marLeft w:val="0"/>
      <w:marRight w:val="0"/>
      <w:marTop w:val="0"/>
      <w:marBottom w:val="0"/>
      <w:divBdr>
        <w:top w:val="none" w:sz="0" w:space="0" w:color="auto"/>
        <w:left w:val="none" w:sz="0" w:space="0" w:color="auto"/>
        <w:bottom w:val="none" w:sz="0" w:space="0" w:color="auto"/>
        <w:right w:val="none" w:sz="0" w:space="0" w:color="auto"/>
      </w:divBdr>
    </w:div>
    <w:div w:id="900601459">
      <w:bodyDiv w:val="1"/>
      <w:marLeft w:val="0"/>
      <w:marRight w:val="0"/>
      <w:marTop w:val="0"/>
      <w:marBottom w:val="0"/>
      <w:divBdr>
        <w:top w:val="none" w:sz="0" w:space="0" w:color="auto"/>
        <w:left w:val="none" w:sz="0" w:space="0" w:color="auto"/>
        <w:bottom w:val="none" w:sz="0" w:space="0" w:color="auto"/>
        <w:right w:val="none" w:sz="0" w:space="0" w:color="auto"/>
      </w:divBdr>
    </w:div>
    <w:div w:id="901259809">
      <w:bodyDiv w:val="1"/>
      <w:marLeft w:val="0"/>
      <w:marRight w:val="0"/>
      <w:marTop w:val="0"/>
      <w:marBottom w:val="0"/>
      <w:divBdr>
        <w:top w:val="none" w:sz="0" w:space="0" w:color="auto"/>
        <w:left w:val="none" w:sz="0" w:space="0" w:color="auto"/>
        <w:bottom w:val="none" w:sz="0" w:space="0" w:color="auto"/>
        <w:right w:val="none" w:sz="0" w:space="0" w:color="auto"/>
      </w:divBdr>
    </w:div>
    <w:div w:id="911163567">
      <w:bodyDiv w:val="1"/>
      <w:marLeft w:val="0"/>
      <w:marRight w:val="0"/>
      <w:marTop w:val="0"/>
      <w:marBottom w:val="0"/>
      <w:divBdr>
        <w:top w:val="none" w:sz="0" w:space="0" w:color="auto"/>
        <w:left w:val="none" w:sz="0" w:space="0" w:color="auto"/>
        <w:bottom w:val="none" w:sz="0" w:space="0" w:color="auto"/>
        <w:right w:val="none" w:sz="0" w:space="0" w:color="auto"/>
      </w:divBdr>
    </w:div>
    <w:div w:id="917404022">
      <w:bodyDiv w:val="1"/>
      <w:marLeft w:val="0"/>
      <w:marRight w:val="0"/>
      <w:marTop w:val="0"/>
      <w:marBottom w:val="0"/>
      <w:divBdr>
        <w:top w:val="none" w:sz="0" w:space="0" w:color="auto"/>
        <w:left w:val="none" w:sz="0" w:space="0" w:color="auto"/>
        <w:bottom w:val="none" w:sz="0" w:space="0" w:color="auto"/>
        <w:right w:val="none" w:sz="0" w:space="0" w:color="auto"/>
      </w:divBdr>
    </w:div>
    <w:div w:id="925187168">
      <w:bodyDiv w:val="1"/>
      <w:marLeft w:val="0"/>
      <w:marRight w:val="0"/>
      <w:marTop w:val="0"/>
      <w:marBottom w:val="0"/>
      <w:divBdr>
        <w:top w:val="none" w:sz="0" w:space="0" w:color="auto"/>
        <w:left w:val="none" w:sz="0" w:space="0" w:color="auto"/>
        <w:bottom w:val="none" w:sz="0" w:space="0" w:color="auto"/>
        <w:right w:val="none" w:sz="0" w:space="0" w:color="auto"/>
      </w:divBdr>
    </w:div>
    <w:div w:id="927274090">
      <w:bodyDiv w:val="1"/>
      <w:marLeft w:val="0"/>
      <w:marRight w:val="0"/>
      <w:marTop w:val="0"/>
      <w:marBottom w:val="0"/>
      <w:divBdr>
        <w:top w:val="none" w:sz="0" w:space="0" w:color="auto"/>
        <w:left w:val="none" w:sz="0" w:space="0" w:color="auto"/>
        <w:bottom w:val="none" w:sz="0" w:space="0" w:color="auto"/>
        <w:right w:val="none" w:sz="0" w:space="0" w:color="auto"/>
      </w:divBdr>
    </w:div>
    <w:div w:id="953487465">
      <w:bodyDiv w:val="1"/>
      <w:marLeft w:val="0"/>
      <w:marRight w:val="0"/>
      <w:marTop w:val="0"/>
      <w:marBottom w:val="0"/>
      <w:divBdr>
        <w:top w:val="none" w:sz="0" w:space="0" w:color="auto"/>
        <w:left w:val="none" w:sz="0" w:space="0" w:color="auto"/>
        <w:bottom w:val="none" w:sz="0" w:space="0" w:color="auto"/>
        <w:right w:val="none" w:sz="0" w:space="0" w:color="auto"/>
      </w:divBdr>
    </w:div>
    <w:div w:id="957874253">
      <w:bodyDiv w:val="1"/>
      <w:marLeft w:val="0"/>
      <w:marRight w:val="0"/>
      <w:marTop w:val="0"/>
      <w:marBottom w:val="0"/>
      <w:divBdr>
        <w:top w:val="none" w:sz="0" w:space="0" w:color="auto"/>
        <w:left w:val="none" w:sz="0" w:space="0" w:color="auto"/>
        <w:bottom w:val="none" w:sz="0" w:space="0" w:color="auto"/>
        <w:right w:val="none" w:sz="0" w:space="0" w:color="auto"/>
      </w:divBdr>
    </w:div>
    <w:div w:id="960307307">
      <w:bodyDiv w:val="1"/>
      <w:marLeft w:val="0"/>
      <w:marRight w:val="0"/>
      <w:marTop w:val="0"/>
      <w:marBottom w:val="0"/>
      <w:divBdr>
        <w:top w:val="none" w:sz="0" w:space="0" w:color="auto"/>
        <w:left w:val="none" w:sz="0" w:space="0" w:color="auto"/>
        <w:bottom w:val="none" w:sz="0" w:space="0" w:color="auto"/>
        <w:right w:val="none" w:sz="0" w:space="0" w:color="auto"/>
      </w:divBdr>
    </w:div>
    <w:div w:id="966276826">
      <w:bodyDiv w:val="1"/>
      <w:marLeft w:val="0"/>
      <w:marRight w:val="0"/>
      <w:marTop w:val="0"/>
      <w:marBottom w:val="0"/>
      <w:divBdr>
        <w:top w:val="none" w:sz="0" w:space="0" w:color="auto"/>
        <w:left w:val="none" w:sz="0" w:space="0" w:color="auto"/>
        <w:bottom w:val="none" w:sz="0" w:space="0" w:color="auto"/>
        <w:right w:val="none" w:sz="0" w:space="0" w:color="auto"/>
      </w:divBdr>
    </w:div>
    <w:div w:id="973095592">
      <w:bodyDiv w:val="1"/>
      <w:marLeft w:val="0"/>
      <w:marRight w:val="0"/>
      <w:marTop w:val="0"/>
      <w:marBottom w:val="0"/>
      <w:divBdr>
        <w:top w:val="none" w:sz="0" w:space="0" w:color="auto"/>
        <w:left w:val="none" w:sz="0" w:space="0" w:color="auto"/>
        <w:bottom w:val="none" w:sz="0" w:space="0" w:color="auto"/>
        <w:right w:val="none" w:sz="0" w:space="0" w:color="auto"/>
      </w:divBdr>
    </w:div>
    <w:div w:id="977878811">
      <w:bodyDiv w:val="1"/>
      <w:marLeft w:val="0"/>
      <w:marRight w:val="0"/>
      <w:marTop w:val="0"/>
      <w:marBottom w:val="0"/>
      <w:divBdr>
        <w:top w:val="none" w:sz="0" w:space="0" w:color="auto"/>
        <w:left w:val="none" w:sz="0" w:space="0" w:color="auto"/>
        <w:bottom w:val="none" w:sz="0" w:space="0" w:color="auto"/>
        <w:right w:val="none" w:sz="0" w:space="0" w:color="auto"/>
      </w:divBdr>
    </w:div>
    <w:div w:id="993680725">
      <w:bodyDiv w:val="1"/>
      <w:marLeft w:val="0"/>
      <w:marRight w:val="0"/>
      <w:marTop w:val="0"/>
      <w:marBottom w:val="0"/>
      <w:divBdr>
        <w:top w:val="none" w:sz="0" w:space="0" w:color="auto"/>
        <w:left w:val="none" w:sz="0" w:space="0" w:color="auto"/>
        <w:bottom w:val="none" w:sz="0" w:space="0" w:color="auto"/>
        <w:right w:val="none" w:sz="0" w:space="0" w:color="auto"/>
      </w:divBdr>
    </w:div>
    <w:div w:id="997147202">
      <w:bodyDiv w:val="1"/>
      <w:marLeft w:val="0"/>
      <w:marRight w:val="0"/>
      <w:marTop w:val="0"/>
      <w:marBottom w:val="0"/>
      <w:divBdr>
        <w:top w:val="none" w:sz="0" w:space="0" w:color="auto"/>
        <w:left w:val="none" w:sz="0" w:space="0" w:color="auto"/>
        <w:bottom w:val="none" w:sz="0" w:space="0" w:color="auto"/>
        <w:right w:val="none" w:sz="0" w:space="0" w:color="auto"/>
      </w:divBdr>
    </w:div>
    <w:div w:id="998121626">
      <w:bodyDiv w:val="1"/>
      <w:marLeft w:val="0"/>
      <w:marRight w:val="0"/>
      <w:marTop w:val="0"/>
      <w:marBottom w:val="0"/>
      <w:divBdr>
        <w:top w:val="none" w:sz="0" w:space="0" w:color="auto"/>
        <w:left w:val="none" w:sz="0" w:space="0" w:color="auto"/>
        <w:bottom w:val="none" w:sz="0" w:space="0" w:color="auto"/>
        <w:right w:val="none" w:sz="0" w:space="0" w:color="auto"/>
      </w:divBdr>
    </w:div>
    <w:div w:id="998928166">
      <w:bodyDiv w:val="1"/>
      <w:marLeft w:val="0"/>
      <w:marRight w:val="0"/>
      <w:marTop w:val="0"/>
      <w:marBottom w:val="0"/>
      <w:divBdr>
        <w:top w:val="none" w:sz="0" w:space="0" w:color="auto"/>
        <w:left w:val="none" w:sz="0" w:space="0" w:color="auto"/>
        <w:bottom w:val="none" w:sz="0" w:space="0" w:color="auto"/>
        <w:right w:val="none" w:sz="0" w:space="0" w:color="auto"/>
      </w:divBdr>
    </w:div>
    <w:div w:id="999885591">
      <w:bodyDiv w:val="1"/>
      <w:marLeft w:val="0"/>
      <w:marRight w:val="0"/>
      <w:marTop w:val="0"/>
      <w:marBottom w:val="0"/>
      <w:divBdr>
        <w:top w:val="none" w:sz="0" w:space="0" w:color="auto"/>
        <w:left w:val="none" w:sz="0" w:space="0" w:color="auto"/>
        <w:bottom w:val="none" w:sz="0" w:space="0" w:color="auto"/>
        <w:right w:val="none" w:sz="0" w:space="0" w:color="auto"/>
      </w:divBdr>
    </w:div>
    <w:div w:id="1001394003">
      <w:bodyDiv w:val="1"/>
      <w:marLeft w:val="0"/>
      <w:marRight w:val="0"/>
      <w:marTop w:val="0"/>
      <w:marBottom w:val="0"/>
      <w:divBdr>
        <w:top w:val="none" w:sz="0" w:space="0" w:color="auto"/>
        <w:left w:val="none" w:sz="0" w:space="0" w:color="auto"/>
        <w:bottom w:val="none" w:sz="0" w:space="0" w:color="auto"/>
        <w:right w:val="none" w:sz="0" w:space="0" w:color="auto"/>
      </w:divBdr>
    </w:div>
    <w:div w:id="1012611746">
      <w:bodyDiv w:val="1"/>
      <w:marLeft w:val="0"/>
      <w:marRight w:val="0"/>
      <w:marTop w:val="0"/>
      <w:marBottom w:val="0"/>
      <w:divBdr>
        <w:top w:val="none" w:sz="0" w:space="0" w:color="auto"/>
        <w:left w:val="none" w:sz="0" w:space="0" w:color="auto"/>
        <w:bottom w:val="none" w:sz="0" w:space="0" w:color="auto"/>
        <w:right w:val="none" w:sz="0" w:space="0" w:color="auto"/>
      </w:divBdr>
    </w:div>
    <w:div w:id="1013535419">
      <w:bodyDiv w:val="1"/>
      <w:marLeft w:val="0"/>
      <w:marRight w:val="0"/>
      <w:marTop w:val="0"/>
      <w:marBottom w:val="0"/>
      <w:divBdr>
        <w:top w:val="none" w:sz="0" w:space="0" w:color="auto"/>
        <w:left w:val="none" w:sz="0" w:space="0" w:color="auto"/>
        <w:bottom w:val="none" w:sz="0" w:space="0" w:color="auto"/>
        <w:right w:val="none" w:sz="0" w:space="0" w:color="auto"/>
      </w:divBdr>
    </w:div>
    <w:div w:id="1014724866">
      <w:bodyDiv w:val="1"/>
      <w:marLeft w:val="0"/>
      <w:marRight w:val="0"/>
      <w:marTop w:val="0"/>
      <w:marBottom w:val="0"/>
      <w:divBdr>
        <w:top w:val="none" w:sz="0" w:space="0" w:color="auto"/>
        <w:left w:val="none" w:sz="0" w:space="0" w:color="auto"/>
        <w:bottom w:val="none" w:sz="0" w:space="0" w:color="auto"/>
        <w:right w:val="none" w:sz="0" w:space="0" w:color="auto"/>
      </w:divBdr>
    </w:div>
    <w:div w:id="1025983252">
      <w:bodyDiv w:val="1"/>
      <w:marLeft w:val="0"/>
      <w:marRight w:val="0"/>
      <w:marTop w:val="0"/>
      <w:marBottom w:val="0"/>
      <w:divBdr>
        <w:top w:val="none" w:sz="0" w:space="0" w:color="auto"/>
        <w:left w:val="none" w:sz="0" w:space="0" w:color="auto"/>
        <w:bottom w:val="none" w:sz="0" w:space="0" w:color="auto"/>
        <w:right w:val="none" w:sz="0" w:space="0" w:color="auto"/>
      </w:divBdr>
    </w:div>
    <w:div w:id="1027372904">
      <w:bodyDiv w:val="1"/>
      <w:marLeft w:val="0"/>
      <w:marRight w:val="0"/>
      <w:marTop w:val="0"/>
      <w:marBottom w:val="0"/>
      <w:divBdr>
        <w:top w:val="none" w:sz="0" w:space="0" w:color="auto"/>
        <w:left w:val="none" w:sz="0" w:space="0" w:color="auto"/>
        <w:bottom w:val="none" w:sz="0" w:space="0" w:color="auto"/>
        <w:right w:val="none" w:sz="0" w:space="0" w:color="auto"/>
      </w:divBdr>
    </w:div>
    <w:div w:id="1035958763">
      <w:bodyDiv w:val="1"/>
      <w:marLeft w:val="0"/>
      <w:marRight w:val="0"/>
      <w:marTop w:val="0"/>
      <w:marBottom w:val="0"/>
      <w:divBdr>
        <w:top w:val="none" w:sz="0" w:space="0" w:color="auto"/>
        <w:left w:val="none" w:sz="0" w:space="0" w:color="auto"/>
        <w:bottom w:val="none" w:sz="0" w:space="0" w:color="auto"/>
        <w:right w:val="none" w:sz="0" w:space="0" w:color="auto"/>
      </w:divBdr>
    </w:div>
    <w:div w:id="1036808194">
      <w:bodyDiv w:val="1"/>
      <w:marLeft w:val="0"/>
      <w:marRight w:val="0"/>
      <w:marTop w:val="0"/>
      <w:marBottom w:val="0"/>
      <w:divBdr>
        <w:top w:val="none" w:sz="0" w:space="0" w:color="auto"/>
        <w:left w:val="none" w:sz="0" w:space="0" w:color="auto"/>
        <w:bottom w:val="none" w:sz="0" w:space="0" w:color="auto"/>
        <w:right w:val="none" w:sz="0" w:space="0" w:color="auto"/>
      </w:divBdr>
    </w:div>
    <w:div w:id="1055012623">
      <w:bodyDiv w:val="1"/>
      <w:marLeft w:val="0"/>
      <w:marRight w:val="0"/>
      <w:marTop w:val="0"/>
      <w:marBottom w:val="0"/>
      <w:divBdr>
        <w:top w:val="none" w:sz="0" w:space="0" w:color="auto"/>
        <w:left w:val="none" w:sz="0" w:space="0" w:color="auto"/>
        <w:bottom w:val="none" w:sz="0" w:space="0" w:color="auto"/>
        <w:right w:val="none" w:sz="0" w:space="0" w:color="auto"/>
      </w:divBdr>
    </w:div>
    <w:div w:id="1059401344">
      <w:bodyDiv w:val="1"/>
      <w:marLeft w:val="0"/>
      <w:marRight w:val="0"/>
      <w:marTop w:val="0"/>
      <w:marBottom w:val="0"/>
      <w:divBdr>
        <w:top w:val="none" w:sz="0" w:space="0" w:color="auto"/>
        <w:left w:val="none" w:sz="0" w:space="0" w:color="auto"/>
        <w:bottom w:val="none" w:sz="0" w:space="0" w:color="auto"/>
        <w:right w:val="none" w:sz="0" w:space="0" w:color="auto"/>
      </w:divBdr>
    </w:div>
    <w:div w:id="1062828441">
      <w:bodyDiv w:val="1"/>
      <w:marLeft w:val="0"/>
      <w:marRight w:val="0"/>
      <w:marTop w:val="0"/>
      <w:marBottom w:val="0"/>
      <w:divBdr>
        <w:top w:val="none" w:sz="0" w:space="0" w:color="auto"/>
        <w:left w:val="none" w:sz="0" w:space="0" w:color="auto"/>
        <w:bottom w:val="none" w:sz="0" w:space="0" w:color="auto"/>
        <w:right w:val="none" w:sz="0" w:space="0" w:color="auto"/>
      </w:divBdr>
    </w:div>
    <w:div w:id="1073086467">
      <w:bodyDiv w:val="1"/>
      <w:marLeft w:val="0"/>
      <w:marRight w:val="0"/>
      <w:marTop w:val="0"/>
      <w:marBottom w:val="0"/>
      <w:divBdr>
        <w:top w:val="none" w:sz="0" w:space="0" w:color="auto"/>
        <w:left w:val="none" w:sz="0" w:space="0" w:color="auto"/>
        <w:bottom w:val="none" w:sz="0" w:space="0" w:color="auto"/>
        <w:right w:val="none" w:sz="0" w:space="0" w:color="auto"/>
      </w:divBdr>
    </w:div>
    <w:div w:id="1074816416">
      <w:bodyDiv w:val="1"/>
      <w:marLeft w:val="0"/>
      <w:marRight w:val="0"/>
      <w:marTop w:val="0"/>
      <w:marBottom w:val="0"/>
      <w:divBdr>
        <w:top w:val="none" w:sz="0" w:space="0" w:color="auto"/>
        <w:left w:val="none" w:sz="0" w:space="0" w:color="auto"/>
        <w:bottom w:val="none" w:sz="0" w:space="0" w:color="auto"/>
        <w:right w:val="none" w:sz="0" w:space="0" w:color="auto"/>
      </w:divBdr>
    </w:div>
    <w:div w:id="1078749736">
      <w:bodyDiv w:val="1"/>
      <w:marLeft w:val="0"/>
      <w:marRight w:val="0"/>
      <w:marTop w:val="0"/>
      <w:marBottom w:val="0"/>
      <w:divBdr>
        <w:top w:val="none" w:sz="0" w:space="0" w:color="auto"/>
        <w:left w:val="none" w:sz="0" w:space="0" w:color="auto"/>
        <w:bottom w:val="none" w:sz="0" w:space="0" w:color="auto"/>
        <w:right w:val="none" w:sz="0" w:space="0" w:color="auto"/>
      </w:divBdr>
    </w:div>
    <w:div w:id="1086725124">
      <w:bodyDiv w:val="1"/>
      <w:marLeft w:val="0"/>
      <w:marRight w:val="0"/>
      <w:marTop w:val="0"/>
      <w:marBottom w:val="0"/>
      <w:divBdr>
        <w:top w:val="none" w:sz="0" w:space="0" w:color="auto"/>
        <w:left w:val="none" w:sz="0" w:space="0" w:color="auto"/>
        <w:bottom w:val="none" w:sz="0" w:space="0" w:color="auto"/>
        <w:right w:val="none" w:sz="0" w:space="0" w:color="auto"/>
      </w:divBdr>
    </w:div>
    <w:div w:id="1091245741">
      <w:bodyDiv w:val="1"/>
      <w:marLeft w:val="0"/>
      <w:marRight w:val="0"/>
      <w:marTop w:val="0"/>
      <w:marBottom w:val="0"/>
      <w:divBdr>
        <w:top w:val="none" w:sz="0" w:space="0" w:color="auto"/>
        <w:left w:val="none" w:sz="0" w:space="0" w:color="auto"/>
        <w:bottom w:val="none" w:sz="0" w:space="0" w:color="auto"/>
        <w:right w:val="none" w:sz="0" w:space="0" w:color="auto"/>
      </w:divBdr>
    </w:div>
    <w:div w:id="1106265637">
      <w:bodyDiv w:val="1"/>
      <w:marLeft w:val="0"/>
      <w:marRight w:val="0"/>
      <w:marTop w:val="0"/>
      <w:marBottom w:val="0"/>
      <w:divBdr>
        <w:top w:val="none" w:sz="0" w:space="0" w:color="auto"/>
        <w:left w:val="none" w:sz="0" w:space="0" w:color="auto"/>
        <w:bottom w:val="none" w:sz="0" w:space="0" w:color="auto"/>
        <w:right w:val="none" w:sz="0" w:space="0" w:color="auto"/>
      </w:divBdr>
    </w:div>
    <w:div w:id="1112941317">
      <w:bodyDiv w:val="1"/>
      <w:marLeft w:val="0"/>
      <w:marRight w:val="0"/>
      <w:marTop w:val="0"/>
      <w:marBottom w:val="0"/>
      <w:divBdr>
        <w:top w:val="none" w:sz="0" w:space="0" w:color="auto"/>
        <w:left w:val="none" w:sz="0" w:space="0" w:color="auto"/>
        <w:bottom w:val="none" w:sz="0" w:space="0" w:color="auto"/>
        <w:right w:val="none" w:sz="0" w:space="0" w:color="auto"/>
      </w:divBdr>
    </w:div>
    <w:div w:id="1115446928">
      <w:bodyDiv w:val="1"/>
      <w:marLeft w:val="0"/>
      <w:marRight w:val="0"/>
      <w:marTop w:val="0"/>
      <w:marBottom w:val="0"/>
      <w:divBdr>
        <w:top w:val="none" w:sz="0" w:space="0" w:color="auto"/>
        <w:left w:val="none" w:sz="0" w:space="0" w:color="auto"/>
        <w:bottom w:val="none" w:sz="0" w:space="0" w:color="auto"/>
        <w:right w:val="none" w:sz="0" w:space="0" w:color="auto"/>
      </w:divBdr>
    </w:div>
    <w:div w:id="1122113473">
      <w:bodyDiv w:val="1"/>
      <w:marLeft w:val="0"/>
      <w:marRight w:val="0"/>
      <w:marTop w:val="0"/>
      <w:marBottom w:val="0"/>
      <w:divBdr>
        <w:top w:val="none" w:sz="0" w:space="0" w:color="auto"/>
        <w:left w:val="none" w:sz="0" w:space="0" w:color="auto"/>
        <w:bottom w:val="none" w:sz="0" w:space="0" w:color="auto"/>
        <w:right w:val="none" w:sz="0" w:space="0" w:color="auto"/>
      </w:divBdr>
    </w:div>
    <w:div w:id="1132671706">
      <w:bodyDiv w:val="1"/>
      <w:marLeft w:val="0"/>
      <w:marRight w:val="0"/>
      <w:marTop w:val="0"/>
      <w:marBottom w:val="0"/>
      <w:divBdr>
        <w:top w:val="none" w:sz="0" w:space="0" w:color="auto"/>
        <w:left w:val="none" w:sz="0" w:space="0" w:color="auto"/>
        <w:bottom w:val="none" w:sz="0" w:space="0" w:color="auto"/>
        <w:right w:val="none" w:sz="0" w:space="0" w:color="auto"/>
      </w:divBdr>
    </w:div>
    <w:div w:id="1132749335">
      <w:bodyDiv w:val="1"/>
      <w:marLeft w:val="0"/>
      <w:marRight w:val="0"/>
      <w:marTop w:val="0"/>
      <w:marBottom w:val="0"/>
      <w:divBdr>
        <w:top w:val="none" w:sz="0" w:space="0" w:color="auto"/>
        <w:left w:val="none" w:sz="0" w:space="0" w:color="auto"/>
        <w:bottom w:val="none" w:sz="0" w:space="0" w:color="auto"/>
        <w:right w:val="none" w:sz="0" w:space="0" w:color="auto"/>
      </w:divBdr>
    </w:div>
    <w:div w:id="1144660138">
      <w:bodyDiv w:val="1"/>
      <w:marLeft w:val="0"/>
      <w:marRight w:val="0"/>
      <w:marTop w:val="0"/>
      <w:marBottom w:val="0"/>
      <w:divBdr>
        <w:top w:val="none" w:sz="0" w:space="0" w:color="auto"/>
        <w:left w:val="none" w:sz="0" w:space="0" w:color="auto"/>
        <w:bottom w:val="none" w:sz="0" w:space="0" w:color="auto"/>
        <w:right w:val="none" w:sz="0" w:space="0" w:color="auto"/>
      </w:divBdr>
    </w:div>
    <w:div w:id="1145969106">
      <w:bodyDiv w:val="1"/>
      <w:marLeft w:val="0"/>
      <w:marRight w:val="0"/>
      <w:marTop w:val="0"/>
      <w:marBottom w:val="0"/>
      <w:divBdr>
        <w:top w:val="none" w:sz="0" w:space="0" w:color="auto"/>
        <w:left w:val="none" w:sz="0" w:space="0" w:color="auto"/>
        <w:bottom w:val="none" w:sz="0" w:space="0" w:color="auto"/>
        <w:right w:val="none" w:sz="0" w:space="0" w:color="auto"/>
      </w:divBdr>
    </w:div>
    <w:div w:id="1148400138">
      <w:bodyDiv w:val="1"/>
      <w:marLeft w:val="0"/>
      <w:marRight w:val="0"/>
      <w:marTop w:val="0"/>
      <w:marBottom w:val="0"/>
      <w:divBdr>
        <w:top w:val="none" w:sz="0" w:space="0" w:color="auto"/>
        <w:left w:val="none" w:sz="0" w:space="0" w:color="auto"/>
        <w:bottom w:val="none" w:sz="0" w:space="0" w:color="auto"/>
        <w:right w:val="none" w:sz="0" w:space="0" w:color="auto"/>
      </w:divBdr>
    </w:div>
    <w:div w:id="1150439966">
      <w:bodyDiv w:val="1"/>
      <w:marLeft w:val="0"/>
      <w:marRight w:val="0"/>
      <w:marTop w:val="0"/>
      <w:marBottom w:val="0"/>
      <w:divBdr>
        <w:top w:val="none" w:sz="0" w:space="0" w:color="auto"/>
        <w:left w:val="none" w:sz="0" w:space="0" w:color="auto"/>
        <w:bottom w:val="none" w:sz="0" w:space="0" w:color="auto"/>
        <w:right w:val="none" w:sz="0" w:space="0" w:color="auto"/>
      </w:divBdr>
    </w:div>
    <w:div w:id="1160734964">
      <w:bodyDiv w:val="1"/>
      <w:marLeft w:val="0"/>
      <w:marRight w:val="0"/>
      <w:marTop w:val="0"/>
      <w:marBottom w:val="0"/>
      <w:divBdr>
        <w:top w:val="none" w:sz="0" w:space="0" w:color="auto"/>
        <w:left w:val="none" w:sz="0" w:space="0" w:color="auto"/>
        <w:bottom w:val="none" w:sz="0" w:space="0" w:color="auto"/>
        <w:right w:val="none" w:sz="0" w:space="0" w:color="auto"/>
      </w:divBdr>
    </w:div>
    <w:div w:id="1171066922">
      <w:bodyDiv w:val="1"/>
      <w:marLeft w:val="0"/>
      <w:marRight w:val="0"/>
      <w:marTop w:val="0"/>
      <w:marBottom w:val="0"/>
      <w:divBdr>
        <w:top w:val="none" w:sz="0" w:space="0" w:color="auto"/>
        <w:left w:val="none" w:sz="0" w:space="0" w:color="auto"/>
        <w:bottom w:val="none" w:sz="0" w:space="0" w:color="auto"/>
        <w:right w:val="none" w:sz="0" w:space="0" w:color="auto"/>
      </w:divBdr>
    </w:div>
    <w:div w:id="1174536898">
      <w:bodyDiv w:val="1"/>
      <w:marLeft w:val="0"/>
      <w:marRight w:val="0"/>
      <w:marTop w:val="0"/>
      <w:marBottom w:val="0"/>
      <w:divBdr>
        <w:top w:val="none" w:sz="0" w:space="0" w:color="auto"/>
        <w:left w:val="none" w:sz="0" w:space="0" w:color="auto"/>
        <w:bottom w:val="none" w:sz="0" w:space="0" w:color="auto"/>
        <w:right w:val="none" w:sz="0" w:space="0" w:color="auto"/>
      </w:divBdr>
    </w:div>
    <w:div w:id="1175193762">
      <w:bodyDiv w:val="1"/>
      <w:marLeft w:val="0"/>
      <w:marRight w:val="0"/>
      <w:marTop w:val="0"/>
      <w:marBottom w:val="0"/>
      <w:divBdr>
        <w:top w:val="none" w:sz="0" w:space="0" w:color="auto"/>
        <w:left w:val="none" w:sz="0" w:space="0" w:color="auto"/>
        <w:bottom w:val="none" w:sz="0" w:space="0" w:color="auto"/>
        <w:right w:val="none" w:sz="0" w:space="0" w:color="auto"/>
      </w:divBdr>
    </w:div>
    <w:div w:id="1181354548">
      <w:bodyDiv w:val="1"/>
      <w:marLeft w:val="0"/>
      <w:marRight w:val="0"/>
      <w:marTop w:val="0"/>
      <w:marBottom w:val="0"/>
      <w:divBdr>
        <w:top w:val="none" w:sz="0" w:space="0" w:color="auto"/>
        <w:left w:val="none" w:sz="0" w:space="0" w:color="auto"/>
        <w:bottom w:val="none" w:sz="0" w:space="0" w:color="auto"/>
        <w:right w:val="none" w:sz="0" w:space="0" w:color="auto"/>
      </w:divBdr>
    </w:div>
    <w:div w:id="1182355986">
      <w:bodyDiv w:val="1"/>
      <w:marLeft w:val="0"/>
      <w:marRight w:val="0"/>
      <w:marTop w:val="0"/>
      <w:marBottom w:val="0"/>
      <w:divBdr>
        <w:top w:val="none" w:sz="0" w:space="0" w:color="auto"/>
        <w:left w:val="none" w:sz="0" w:space="0" w:color="auto"/>
        <w:bottom w:val="none" w:sz="0" w:space="0" w:color="auto"/>
        <w:right w:val="none" w:sz="0" w:space="0" w:color="auto"/>
      </w:divBdr>
    </w:div>
    <w:div w:id="1194273686">
      <w:bodyDiv w:val="1"/>
      <w:marLeft w:val="0"/>
      <w:marRight w:val="0"/>
      <w:marTop w:val="0"/>
      <w:marBottom w:val="0"/>
      <w:divBdr>
        <w:top w:val="none" w:sz="0" w:space="0" w:color="auto"/>
        <w:left w:val="none" w:sz="0" w:space="0" w:color="auto"/>
        <w:bottom w:val="none" w:sz="0" w:space="0" w:color="auto"/>
        <w:right w:val="none" w:sz="0" w:space="0" w:color="auto"/>
      </w:divBdr>
    </w:div>
    <w:div w:id="1215774178">
      <w:bodyDiv w:val="1"/>
      <w:marLeft w:val="0"/>
      <w:marRight w:val="0"/>
      <w:marTop w:val="0"/>
      <w:marBottom w:val="0"/>
      <w:divBdr>
        <w:top w:val="none" w:sz="0" w:space="0" w:color="auto"/>
        <w:left w:val="none" w:sz="0" w:space="0" w:color="auto"/>
        <w:bottom w:val="none" w:sz="0" w:space="0" w:color="auto"/>
        <w:right w:val="none" w:sz="0" w:space="0" w:color="auto"/>
      </w:divBdr>
    </w:div>
    <w:div w:id="1216896330">
      <w:bodyDiv w:val="1"/>
      <w:marLeft w:val="0"/>
      <w:marRight w:val="0"/>
      <w:marTop w:val="0"/>
      <w:marBottom w:val="0"/>
      <w:divBdr>
        <w:top w:val="none" w:sz="0" w:space="0" w:color="auto"/>
        <w:left w:val="none" w:sz="0" w:space="0" w:color="auto"/>
        <w:bottom w:val="none" w:sz="0" w:space="0" w:color="auto"/>
        <w:right w:val="none" w:sz="0" w:space="0" w:color="auto"/>
      </w:divBdr>
    </w:div>
    <w:div w:id="1217620866">
      <w:bodyDiv w:val="1"/>
      <w:marLeft w:val="0"/>
      <w:marRight w:val="0"/>
      <w:marTop w:val="0"/>
      <w:marBottom w:val="0"/>
      <w:divBdr>
        <w:top w:val="none" w:sz="0" w:space="0" w:color="auto"/>
        <w:left w:val="none" w:sz="0" w:space="0" w:color="auto"/>
        <w:bottom w:val="none" w:sz="0" w:space="0" w:color="auto"/>
        <w:right w:val="none" w:sz="0" w:space="0" w:color="auto"/>
      </w:divBdr>
    </w:div>
    <w:div w:id="1220481067">
      <w:bodyDiv w:val="1"/>
      <w:marLeft w:val="0"/>
      <w:marRight w:val="0"/>
      <w:marTop w:val="0"/>
      <w:marBottom w:val="0"/>
      <w:divBdr>
        <w:top w:val="none" w:sz="0" w:space="0" w:color="auto"/>
        <w:left w:val="none" w:sz="0" w:space="0" w:color="auto"/>
        <w:bottom w:val="none" w:sz="0" w:space="0" w:color="auto"/>
        <w:right w:val="none" w:sz="0" w:space="0" w:color="auto"/>
      </w:divBdr>
    </w:div>
    <w:div w:id="1220895401">
      <w:bodyDiv w:val="1"/>
      <w:marLeft w:val="0"/>
      <w:marRight w:val="0"/>
      <w:marTop w:val="0"/>
      <w:marBottom w:val="0"/>
      <w:divBdr>
        <w:top w:val="none" w:sz="0" w:space="0" w:color="auto"/>
        <w:left w:val="none" w:sz="0" w:space="0" w:color="auto"/>
        <w:bottom w:val="none" w:sz="0" w:space="0" w:color="auto"/>
        <w:right w:val="none" w:sz="0" w:space="0" w:color="auto"/>
      </w:divBdr>
    </w:div>
    <w:div w:id="1223178679">
      <w:bodyDiv w:val="1"/>
      <w:marLeft w:val="0"/>
      <w:marRight w:val="0"/>
      <w:marTop w:val="0"/>
      <w:marBottom w:val="0"/>
      <w:divBdr>
        <w:top w:val="none" w:sz="0" w:space="0" w:color="auto"/>
        <w:left w:val="none" w:sz="0" w:space="0" w:color="auto"/>
        <w:bottom w:val="none" w:sz="0" w:space="0" w:color="auto"/>
        <w:right w:val="none" w:sz="0" w:space="0" w:color="auto"/>
      </w:divBdr>
    </w:div>
    <w:div w:id="1226572593">
      <w:bodyDiv w:val="1"/>
      <w:marLeft w:val="0"/>
      <w:marRight w:val="0"/>
      <w:marTop w:val="0"/>
      <w:marBottom w:val="0"/>
      <w:divBdr>
        <w:top w:val="none" w:sz="0" w:space="0" w:color="auto"/>
        <w:left w:val="none" w:sz="0" w:space="0" w:color="auto"/>
        <w:bottom w:val="none" w:sz="0" w:space="0" w:color="auto"/>
        <w:right w:val="none" w:sz="0" w:space="0" w:color="auto"/>
      </w:divBdr>
    </w:div>
    <w:div w:id="1232425300">
      <w:bodyDiv w:val="1"/>
      <w:marLeft w:val="0"/>
      <w:marRight w:val="0"/>
      <w:marTop w:val="0"/>
      <w:marBottom w:val="0"/>
      <w:divBdr>
        <w:top w:val="none" w:sz="0" w:space="0" w:color="auto"/>
        <w:left w:val="none" w:sz="0" w:space="0" w:color="auto"/>
        <w:bottom w:val="none" w:sz="0" w:space="0" w:color="auto"/>
        <w:right w:val="none" w:sz="0" w:space="0" w:color="auto"/>
      </w:divBdr>
    </w:div>
    <w:div w:id="1248685388">
      <w:bodyDiv w:val="1"/>
      <w:marLeft w:val="0"/>
      <w:marRight w:val="0"/>
      <w:marTop w:val="0"/>
      <w:marBottom w:val="0"/>
      <w:divBdr>
        <w:top w:val="none" w:sz="0" w:space="0" w:color="auto"/>
        <w:left w:val="none" w:sz="0" w:space="0" w:color="auto"/>
        <w:bottom w:val="none" w:sz="0" w:space="0" w:color="auto"/>
        <w:right w:val="none" w:sz="0" w:space="0" w:color="auto"/>
      </w:divBdr>
    </w:div>
    <w:div w:id="1249193415">
      <w:bodyDiv w:val="1"/>
      <w:marLeft w:val="0"/>
      <w:marRight w:val="0"/>
      <w:marTop w:val="0"/>
      <w:marBottom w:val="0"/>
      <w:divBdr>
        <w:top w:val="none" w:sz="0" w:space="0" w:color="auto"/>
        <w:left w:val="none" w:sz="0" w:space="0" w:color="auto"/>
        <w:bottom w:val="none" w:sz="0" w:space="0" w:color="auto"/>
        <w:right w:val="none" w:sz="0" w:space="0" w:color="auto"/>
      </w:divBdr>
    </w:div>
    <w:div w:id="1251812024">
      <w:bodyDiv w:val="1"/>
      <w:marLeft w:val="0"/>
      <w:marRight w:val="0"/>
      <w:marTop w:val="0"/>
      <w:marBottom w:val="0"/>
      <w:divBdr>
        <w:top w:val="none" w:sz="0" w:space="0" w:color="auto"/>
        <w:left w:val="none" w:sz="0" w:space="0" w:color="auto"/>
        <w:bottom w:val="none" w:sz="0" w:space="0" w:color="auto"/>
        <w:right w:val="none" w:sz="0" w:space="0" w:color="auto"/>
      </w:divBdr>
    </w:div>
    <w:div w:id="1252935918">
      <w:bodyDiv w:val="1"/>
      <w:marLeft w:val="0"/>
      <w:marRight w:val="0"/>
      <w:marTop w:val="0"/>
      <w:marBottom w:val="0"/>
      <w:divBdr>
        <w:top w:val="none" w:sz="0" w:space="0" w:color="auto"/>
        <w:left w:val="none" w:sz="0" w:space="0" w:color="auto"/>
        <w:bottom w:val="none" w:sz="0" w:space="0" w:color="auto"/>
        <w:right w:val="none" w:sz="0" w:space="0" w:color="auto"/>
      </w:divBdr>
    </w:div>
    <w:div w:id="1260673908">
      <w:bodyDiv w:val="1"/>
      <w:marLeft w:val="0"/>
      <w:marRight w:val="0"/>
      <w:marTop w:val="0"/>
      <w:marBottom w:val="0"/>
      <w:divBdr>
        <w:top w:val="none" w:sz="0" w:space="0" w:color="auto"/>
        <w:left w:val="none" w:sz="0" w:space="0" w:color="auto"/>
        <w:bottom w:val="none" w:sz="0" w:space="0" w:color="auto"/>
        <w:right w:val="none" w:sz="0" w:space="0" w:color="auto"/>
      </w:divBdr>
    </w:div>
    <w:div w:id="1261983915">
      <w:bodyDiv w:val="1"/>
      <w:marLeft w:val="0"/>
      <w:marRight w:val="0"/>
      <w:marTop w:val="0"/>
      <w:marBottom w:val="0"/>
      <w:divBdr>
        <w:top w:val="none" w:sz="0" w:space="0" w:color="auto"/>
        <w:left w:val="none" w:sz="0" w:space="0" w:color="auto"/>
        <w:bottom w:val="none" w:sz="0" w:space="0" w:color="auto"/>
        <w:right w:val="none" w:sz="0" w:space="0" w:color="auto"/>
      </w:divBdr>
    </w:div>
    <w:div w:id="1263876431">
      <w:bodyDiv w:val="1"/>
      <w:marLeft w:val="0"/>
      <w:marRight w:val="0"/>
      <w:marTop w:val="0"/>
      <w:marBottom w:val="0"/>
      <w:divBdr>
        <w:top w:val="none" w:sz="0" w:space="0" w:color="auto"/>
        <w:left w:val="none" w:sz="0" w:space="0" w:color="auto"/>
        <w:bottom w:val="none" w:sz="0" w:space="0" w:color="auto"/>
        <w:right w:val="none" w:sz="0" w:space="0" w:color="auto"/>
      </w:divBdr>
    </w:div>
    <w:div w:id="1269198743">
      <w:bodyDiv w:val="1"/>
      <w:marLeft w:val="0"/>
      <w:marRight w:val="0"/>
      <w:marTop w:val="0"/>
      <w:marBottom w:val="0"/>
      <w:divBdr>
        <w:top w:val="none" w:sz="0" w:space="0" w:color="auto"/>
        <w:left w:val="none" w:sz="0" w:space="0" w:color="auto"/>
        <w:bottom w:val="none" w:sz="0" w:space="0" w:color="auto"/>
        <w:right w:val="none" w:sz="0" w:space="0" w:color="auto"/>
      </w:divBdr>
    </w:div>
    <w:div w:id="1272782383">
      <w:bodyDiv w:val="1"/>
      <w:marLeft w:val="0"/>
      <w:marRight w:val="0"/>
      <w:marTop w:val="0"/>
      <w:marBottom w:val="0"/>
      <w:divBdr>
        <w:top w:val="none" w:sz="0" w:space="0" w:color="auto"/>
        <w:left w:val="none" w:sz="0" w:space="0" w:color="auto"/>
        <w:bottom w:val="none" w:sz="0" w:space="0" w:color="auto"/>
        <w:right w:val="none" w:sz="0" w:space="0" w:color="auto"/>
      </w:divBdr>
    </w:div>
    <w:div w:id="1276445072">
      <w:bodyDiv w:val="1"/>
      <w:marLeft w:val="0"/>
      <w:marRight w:val="0"/>
      <w:marTop w:val="0"/>
      <w:marBottom w:val="0"/>
      <w:divBdr>
        <w:top w:val="none" w:sz="0" w:space="0" w:color="auto"/>
        <w:left w:val="none" w:sz="0" w:space="0" w:color="auto"/>
        <w:bottom w:val="none" w:sz="0" w:space="0" w:color="auto"/>
        <w:right w:val="none" w:sz="0" w:space="0" w:color="auto"/>
      </w:divBdr>
    </w:div>
    <w:div w:id="1276450616">
      <w:bodyDiv w:val="1"/>
      <w:marLeft w:val="0"/>
      <w:marRight w:val="0"/>
      <w:marTop w:val="0"/>
      <w:marBottom w:val="0"/>
      <w:divBdr>
        <w:top w:val="none" w:sz="0" w:space="0" w:color="auto"/>
        <w:left w:val="none" w:sz="0" w:space="0" w:color="auto"/>
        <w:bottom w:val="none" w:sz="0" w:space="0" w:color="auto"/>
        <w:right w:val="none" w:sz="0" w:space="0" w:color="auto"/>
      </w:divBdr>
    </w:div>
    <w:div w:id="1288050785">
      <w:bodyDiv w:val="1"/>
      <w:marLeft w:val="0"/>
      <w:marRight w:val="0"/>
      <w:marTop w:val="0"/>
      <w:marBottom w:val="0"/>
      <w:divBdr>
        <w:top w:val="none" w:sz="0" w:space="0" w:color="auto"/>
        <w:left w:val="none" w:sz="0" w:space="0" w:color="auto"/>
        <w:bottom w:val="none" w:sz="0" w:space="0" w:color="auto"/>
        <w:right w:val="none" w:sz="0" w:space="0" w:color="auto"/>
      </w:divBdr>
    </w:div>
    <w:div w:id="1288123066">
      <w:bodyDiv w:val="1"/>
      <w:marLeft w:val="0"/>
      <w:marRight w:val="0"/>
      <w:marTop w:val="0"/>
      <w:marBottom w:val="0"/>
      <w:divBdr>
        <w:top w:val="none" w:sz="0" w:space="0" w:color="auto"/>
        <w:left w:val="none" w:sz="0" w:space="0" w:color="auto"/>
        <w:bottom w:val="none" w:sz="0" w:space="0" w:color="auto"/>
        <w:right w:val="none" w:sz="0" w:space="0" w:color="auto"/>
      </w:divBdr>
    </w:div>
    <w:div w:id="1300459472">
      <w:bodyDiv w:val="1"/>
      <w:marLeft w:val="0"/>
      <w:marRight w:val="0"/>
      <w:marTop w:val="0"/>
      <w:marBottom w:val="0"/>
      <w:divBdr>
        <w:top w:val="none" w:sz="0" w:space="0" w:color="auto"/>
        <w:left w:val="none" w:sz="0" w:space="0" w:color="auto"/>
        <w:bottom w:val="none" w:sz="0" w:space="0" w:color="auto"/>
        <w:right w:val="none" w:sz="0" w:space="0" w:color="auto"/>
      </w:divBdr>
    </w:div>
    <w:div w:id="1300958582">
      <w:bodyDiv w:val="1"/>
      <w:marLeft w:val="0"/>
      <w:marRight w:val="0"/>
      <w:marTop w:val="0"/>
      <w:marBottom w:val="0"/>
      <w:divBdr>
        <w:top w:val="none" w:sz="0" w:space="0" w:color="auto"/>
        <w:left w:val="none" w:sz="0" w:space="0" w:color="auto"/>
        <w:bottom w:val="none" w:sz="0" w:space="0" w:color="auto"/>
        <w:right w:val="none" w:sz="0" w:space="0" w:color="auto"/>
      </w:divBdr>
    </w:div>
    <w:div w:id="1305238285">
      <w:bodyDiv w:val="1"/>
      <w:marLeft w:val="0"/>
      <w:marRight w:val="0"/>
      <w:marTop w:val="0"/>
      <w:marBottom w:val="0"/>
      <w:divBdr>
        <w:top w:val="none" w:sz="0" w:space="0" w:color="auto"/>
        <w:left w:val="none" w:sz="0" w:space="0" w:color="auto"/>
        <w:bottom w:val="none" w:sz="0" w:space="0" w:color="auto"/>
        <w:right w:val="none" w:sz="0" w:space="0" w:color="auto"/>
      </w:divBdr>
    </w:div>
    <w:div w:id="1308827089">
      <w:bodyDiv w:val="1"/>
      <w:marLeft w:val="0"/>
      <w:marRight w:val="0"/>
      <w:marTop w:val="0"/>
      <w:marBottom w:val="0"/>
      <w:divBdr>
        <w:top w:val="none" w:sz="0" w:space="0" w:color="auto"/>
        <w:left w:val="none" w:sz="0" w:space="0" w:color="auto"/>
        <w:bottom w:val="none" w:sz="0" w:space="0" w:color="auto"/>
        <w:right w:val="none" w:sz="0" w:space="0" w:color="auto"/>
      </w:divBdr>
    </w:div>
    <w:div w:id="1316639933">
      <w:bodyDiv w:val="1"/>
      <w:marLeft w:val="0"/>
      <w:marRight w:val="0"/>
      <w:marTop w:val="0"/>
      <w:marBottom w:val="0"/>
      <w:divBdr>
        <w:top w:val="none" w:sz="0" w:space="0" w:color="auto"/>
        <w:left w:val="none" w:sz="0" w:space="0" w:color="auto"/>
        <w:bottom w:val="none" w:sz="0" w:space="0" w:color="auto"/>
        <w:right w:val="none" w:sz="0" w:space="0" w:color="auto"/>
      </w:divBdr>
    </w:div>
    <w:div w:id="1316958964">
      <w:bodyDiv w:val="1"/>
      <w:marLeft w:val="0"/>
      <w:marRight w:val="0"/>
      <w:marTop w:val="0"/>
      <w:marBottom w:val="0"/>
      <w:divBdr>
        <w:top w:val="none" w:sz="0" w:space="0" w:color="auto"/>
        <w:left w:val="none" w:sz="0" w:space="0" w:color="auto"/>
        <w:bottom w:val="none" w:sz="0" w:space="0" w:color="auto"/>
        <w:right w:val="none" w:sz="0" w:space="0" w:color="auto"/>
      </w:divBdr>
    </w:div>
    <w:div w:id="1317876732">
      <w:bodyDiv w:val="1"/>
      <w:marLeft w:val="0"/>
      <w:marRight w:val="0"/>
      <w:marTop w:val="0"/>
      <w:marBottom w:val="0"/>
      <w:divBdr>
        <w:top w:val="none" w:sz="0" w:space="0" w:color="auto"/>
        <w:left w:val="none" w:sz="0" w:space="0" w:color="auto"/>
        <w:bottom w:val="none" w:sz="0" w:space="0" w:color="auto"/>
        <w:right w:val="none" w:sz="0" w:space="0" w:color="auto"/>
      </w:divBdr>
    </w:div>
    <w:div w:id="1327392164">
      <w:bodyDiv w:val="1"/>
      <w:marLeft w:val="0"/>
      <w:marRight w:val="0"/>
      <w:marTop w:val="0"/>
      <w:marBottom w:val="0"/>
      <w:divBdr>
        <w:top w:val="none" w:sz="0" w:space="0" w:color="auto"/>
        <w:left w:val="none" w:sz="0" w:space="0" w:color="auto"/>
        <w:bottom w:val="none" w:sz="0" w:space="0" w:color="auto"/>
        <w:right w:val="none" w:sz="0" w:space="0" w:color="auto"/>
      </w:divBdr>
    </w:div>
    <w:div w:id="1337225581">
      <w:bodyDiv w:val="1"/>
      <w:marLeft w:val="0"/>
      <w:marRight w:val="0"/>
      <w:marTop w:val="0"/>
      <w:marBottom w:val="0"/>
      <w:divBdr>
        <w:top w:val="none" w:sz="0" w:space="0" w:color="auto"/>
        <w:left w:val="none" w:sz="0" w:space="0" w:color="auto"/>
        <w:bottom w:val="none" w:sz="0" w:space="0" w:color="auto"/>
        <w:right w:val="none" w:sz="0" w:space="0" w:color="auto"/>
      </w:divBdr>
    </w:div>
    <w:div w:id="1347101353">
      <w:bodyDiv w:val="1"/>
      <w:marLeft w:val="0"/>
      <w:marRight w:val="0"/>
      <w:marTop w:val="0"/>
      <w:marBottom w:val="0"/>
      <w:divBdr>
        <w:top w:val="none" w:sz="0" w:space="0" w:color="auto"/>
        <w:left w:val="none" w:sz="0" w:space="0" w:color="auto"/>
        <w:bottom w:val="none" w:sz="0" w:space="0" w:color="auto"/>
        <w:right w:val="none" w:sz="0" w:space="0" w:color="auto"/>
      </w:divBdr>
    </w:div>
    <w:div w:id="1348941838">
      <w:bodyDiv w:val="1"/>
      <w:marLeft w:val="0"/>
      <w:marRight w:val="0"/>
      <w:marTop w:val="0"/>
      <w:marBottom w:val="0"/>
      <w:divBdr>
        <w:top w:val="none" w:sz="0" w:space="0" w:color="auto"/>
        <w:left w:val="none" w:sz="0" w:space="0" w:color="auto"/>
        <w:bottom w:val="none" w:sz="0" w:space="0" w:color="auto"/>
        <w:right w:val="none" w:sz="0" w:space="0" w:color="auto"/>
      </w:divBdr>
    </w:div>
    <w:div w:id="1351031705">
      <w:bodyDiv w:val="1"/>
      <w:marLeft w:val="0"/>
      <w:marRight w:val="0"/>
      <w:marTop w:val="0"/>
      <w:marBottom w:val="0"/>
      <w:divBdr>
        <w:top w:val="none" w:sz="0" w:space="0" w:color="auto"/>
        <w:left w:val="none" w:sz="0" w:space="0" w:color="auto"/>
        <w:bottom w:val="none" w:sz="0" w:space="0" w:color="auto"/>
        <w:right w:val="none" w:sz="0" w:space="0" w:color="auto"/>
      </w:divBdr>
    </w:div>
    <w:div w:id="1362786100">
      <w:bodyDiv w:val="1"/>
      <w:marLeft w:val="0"/>
      <w:marRight w:val="0"/>
      <w:marTop w:val="0"/>
      <w:marBottom w:val="0"/>
      <w:divBdr>
        <w:top w:val="none" w:sz="0" w:space="0" w:color="auto"/>
        <w:left w:val="none" w:sz="0" w:space="0" w:color="auto"/>
        <w:bottom w:val="none" w:sz="0" w:space="0" w:color="auto"/>
        <w:right w:val="none" w:sz="0" w:space="0" w:color="auto"/>
      </w:divBdr>
    </w:div>
    <w:div w:id="1369912289">
      <w:bodyDiv w:val="1"/>
      <w:marLeft w:val="0"/>
      <w:marRight w:val="0"/>
      <w:marTop w:val="0"/>
      <w:marBottom w:val="0"/>
      <w:divBdr>
        <w:top w:val="none" w:sz="0" w:space="0" w:color="auto"/>
        <w:left w:val="none" w:sz="0" w:space="0" w:color="auto"/>
        <w:bottom w:val="none" w:sz="0" w:space="0" w:color="auto"/>
        <w:right w:val="none" w:sz="0" w:space="0" w:color="auto"/>
      </w:divBdr>
    </w:div>
    <w:div w:id="1382753873">
      <w:bodyDiv w:val="1"/>
      <w:marLeft w:val="0"/>
      <w:marRight w:val="0"/>
      <w:marTop w:val="0"/>
      <w:marBottom w:val="0"/>
      <w:divBdr>
        <w:top w:val="none" w:sz="0" w:space="0" w:color="auto"/>
        <w:left w:val="none" w:sz="0" w:space="0" w:color="auto"/>
        <w:bottom w:val="none" w:sz="0" w:space="0" w:color="auto"/>
        <w:right w:val="none" w:sz="0" w:space="0" w:color="auto"/>
      </w:divBdr>
    </w:div>
    <w:div w:id="1386904803">
      <w:bodyDiv w:val="1"/>
      <w:marLeft w:val="0"/>
      <w:marRight w:val="0"/>
      <w:marTop w:val="0"/>
      <w:marBottom w:val="0"/>
      <w:divBdr>
        <w:top w:val="none" w:sz="0" w:space="0" w:color="auto"/>
        <w:left w:val="none" w:sz="0" w:space="0" w:color="auto"/>
        <w:bottom w:val="none" w:sz="0" w:space="0" w:color="auto"/>
        <w:right w:val="none" w:sz="0" w:space="0" w:color="auto"/>
      </w:divBdr>
    </w:div>
    <w:div w:id="1391880202">
      <w:bodyDiv w:val="1"/>
      <w:marLeft w:val="0"/>
      <w:marRight w:val="0"/>
      <w:marTop w:val="0"/>
      <w:marBottom w:val="0"/>
      <w:divBdr>
        <w:top w:val="none" w:sz="0" w:space="0" w:color="auto"/>
        <w:left w:val="none" w:sz="0" w:space="0" w:color="auto"/>
        <w:bottom w:val="none" w:sz="0" w:space="0" w:color="auto"/>
        <w:right w:val="none" w:sz="0" w:space="0" w:color="auto"/>
      </w:divBdr>
    </w:div>
    <w:div w:id="1406413257">
      <w:bodyDiv w:val="1"/>
      <w:marLeft w:val="0"/>
      <w:marRight w:val="0"/>
      <w:marTop w:val="0"/>
      <w:marBottom w:val="0"/>
      <w:divBdr>
        <w:top w:val="none" w:sz="0" w:space="0" w:color="auto"/>
        <w:left w:val="none" w:sz="0" w:space="0" w:color="auto"/>
        <w:bottom w:val="none" w:sz="0" w:space="0" w:color="auto"/>
        <w:right w:val="none" w:sz="0" w:space="0" w:color="auto"/>
      </w:divBdr>
    </w:div>
    <w:div w:id="1413703566">
      <w:bodyDiv w:val="1"/>
      <w:marLeft w:val="0"/>
      <w:marRight w:val="0"/>
      <w:marTop w:val="0"/>
      <w:marBottom w:val="0"/>
      <w:divBdr>
        <w:top w:val="none" w:sz="0" w:space="0" w:color="auto"/>
        <w:left w:val="none" w:sz="0" w:space="0" w:color="auto"/>
        <w:bottom w:val="none" w:sz="0" w:space="0" w:color="auto"/>
        <w:right w:val="none" w:sz="0" w:space="0" w:color="auto"/>
      </w:divBdr>
    </w:div>
    <w:div w:id="1416049820">
      <w:bodyDiv w:val="1"/>
      <w:marLeft w:val="0"/>
      <w:marRight w:val="0"/>
      <w:marTop w:val="0"/>
      <w:marBottom w:val="0"/>
      <w:divBdr>
        <w:top w:val="none" w:sz="0" w:space="0" w:color="auto"/>
        <w:left w:val="none" w:sz="0" w:space="0" w:color="auto"/>
        <w:bottom w:val="none" w:sz="0" w:space="0" w:color="auto"/>
        <w:right w:val="none" w:sz="0" w:space="0" w:color="auto"/>
      </w:divBdr>
    </w:div>
    <w:div w:id="1416900874">
      <w:bodyDiv w:val="1"/>
      <w:marLeft w:val="0"/>
      <w:marRight w:val="0"/>
      <w:marTop w:val="0"/>
      <w:marBottom w:val="0"/>
      <w:divBdr>
        <w:top w:val="none" w:sz="0" w:space="0" w:color="auto"/>
        <w:left w:val="none" w:sz="0" w:space="0" w:color="auto"/>
        <w:bottom w:val="none" w:sz="0" w:space="0" w:color="auto"/>
        <w:right w:val="none" w:sz="0" w:space="0" w:color="auto"/>
      </w:divBdr>
    </w:div>
    <w:div w:id="1420324298">
      <w:bodyDiv w:val="1"/>
      <w:marLeft w:val="0"/>
      <w:marRight w:val="0"/>
      <w:marTop w:val="0"/>
      <w:marBottom w:val="0"/>
      <w:divBdr>
        <w:top w:val="none" w:sz="0" w:space="0" w:color="auto"/>
        <w:left w:val="none" w:sz="0" w:space="0" w:color="auto"/>
        <w:bottom w:val="none" w:sz="0" w:space="0" w:color="auto"/>
        <w:right w:val="none" w:sz="0" w:space="0" w:color="auto"/>
      </w:divBdr>
    </w:div>
    <w:div w:id="1422988240">
      <w:bodyDiv w:val="1"/>
      <w:marLeft w:val="0"/>
      <w:marRight w:val="0"/>
      <w:marTop w:val="0"/>
      <w:marBottom w:val="0"/>
      <w:divBdr>
        <w:top w:val="none" w:sz="0" w:space="0" w:color="auto"/>
        <w:left w:val="none" w:sz="0" w:space="0" w:color="auto"/>
        <w:bottom w:val="none" w:sz="0" w:space="0" w:color="auto"/>
        <w:right w:val="none" w:sz="0" w:space="0" w:color="auto"/>
      </w:divBdr>
    </w:div>
    <w:div w:id="1424763512">
      <w:bodyDiv w:val="1"/>
      <w:marLeft w:val="0"/>
      <w:marRight w:val="0"/>
      <w:marTop w:val="0"/>
      <w:marBottom w:val="0"/>
      <w:divBdr>
        <w:top w:val="none" w:sz="0" w:space="0" w:color="auto"/>
        <w:left w:val="none" w:sz="0" w:space="0" w:color="auto"/>
        <w:bottom w:val="none" w:sz="0" w:space="0" w:color="auto"/>
        <w:right w:val="none" w:sz="0" w:space="0" w:color="auto"/>
      </w:divBdr>
    </w:div>
    <w:div w:id="1425421564">
      <w:bodyDiv w:val="1"/>
      <w:marLeft w:val="0"/>
      <w:marRight w:val="0"/>
      <w:marTop w:val="0"/>
      <w:marBottom w:val="0"/>
      <w:divBdr>
        <w:top w:val="none" w:sz="0" w:space="0" w:color="auto"/>
        <w:left w:val="none" w:sz="0" w:space="0" w:color="auto"/>
        <w:bottom w:val="none" w:sz="0" w:space="0" w:color="auto"/>
        <w:right w:val="none" w:sz="0" w:space="0" w:color="auto"/>
      </w:divBdr>
    </w:div>
    <w:div w:id="1440955454">
      <w:bodyDiv w:val="1"/>
      <w:marLeft w:val="0"/>
      <w:marRight w:val="0"/>
      <w:marTop w:val="0"/>
      <w:marBottom w:val="0"/>
      <w:divBdr>
        <w:top w:val="none" w:sz="0" w:space="0" w:color="auto"/>
        <w:left w:val="none" w:sz="0" w:space="0" w:color="auto"/>
        <w:bottom w:val="none" w:sz="0" w:space="0" w:color="auto"/>
        <w:right w:val="none" w:sz="0" w:space="0" w:color="auto"/>
      </w:divBdr>
    </w:div>
    <w:div w:id="1448045567">
      <w:bodyDiv w:val="1"/>
      <w:marLeft w:val="0"/>
      <w:marRight w:val="0"/>
      <w:marTop w:val="0"/>
      <w:marBottom w:val="0"/>
      <w:divBdr>
        <w:top w:val="none" w:sz="0" w:space="0" w:color="auto"/>
        <w:left w:val="none" w:sz="0" w:space="0" w:color="auto"/>
        <w:bottom w:val="none" w:sz="0" w:space="0" w:color="auto"/>
        <w:right w:val="none" w:sz="0" w:space="0" w:color="auto"/>
      </w:divBdr>
    </w:div>
    <w:div w:id="1452242851">
      <w:bodyDiv w:val="1"/>
      <w:marLeft w:val="0"/>
      <w:marRight w:val="0"/>
      <w:marTop w:val="0"/>
      <w:marBottom w:val="0"/>
      <w:divBdr>
        <w:top w:val="none" w:sz="0" w:space="0" w:color="auto"/>
        <w:left w:val="none" w:sz="0" w:space="0" w:color="auto"/>
        <w:bottom w:val="none" w:sz="0" w:space="0" w:color="auto"/>
        <w:right w:val="none" w:sz="0" w:space="0" w:color="auto"/>
      </w:divBdr>
    </w:div>
    <w:div w:id="1455905661">
      <w:bodyDiv w:val="1"/>
      <w:marLeft w:val="0"/>
      <w:marRight w:val="0"/>
      <w:marTop w:val="0"/>
      <w:marBottom w:val="0"/>
      <w:divBdr>
        <w:top w:val="none" w:sz="0" w:space="0" w:color="auto"/>
        <w:left w:val="none" w:sz="0" w:space="0" w:color="auto"/>
        <w:bottom w:val="none" w:sz="0" w:space="0" w:color="auto"/>
        <w:right w:val="none" w:sz="0" w:space="0" w:color="auto"/>
      </w:divBdr>
    </w:div>
    <w:div w:id="1458836777">
      <w:bodyDiv w:val="1"/>
      <w:marLeft w:val="0"/>
      <w:marRight w:val="0"/>
      <w:marTop w:val="0"/>
      <w:marBottom w:val="0"/>
      <w:divBdr>
        <w:top w:val="none" w:sz="0" w:space="0" w:color="auto"/>
        <w:left w:val="none" w:sz="0" w:space="0" w:color="auto"/>
        <w:bottom w:val="none" w:sz="0" w:space="0" w:color="auto"/>
        <w:right w:val="none" w:sz="0" w:space="0" w:color="auto"/>
      </w:divBdr>
    </w:div>
    <w:div w:id="1464883166">
      <w:bodyDiv w:val="1"/>
      <w:marLeft w:val="0"/>
      <w:marRight w:val="0"/>
      <w:marTop w:val="0"/>
      <w:marBottom w:val="0"/>
      <w:divBdr>
        <w:top w:val="none" w:sz="0" w:space="0" w:color="auto"/>
        <w:left w:val="none" w:sz="0" w:space="0" w:color="auto"/>
        <w:bottom w:val="none" w:sz="0" w:space="0" w:color="auto"/>
        <w:right w:val="none" w:sz="0" w:space="0" w:color="auto"/>
      </w:divBdr>
    </w:div>
    <w:div w:id="1472477271">
      <w:bodyDiv w:val="1"/>
      <w:marLeft w:val="0"/>
      <w:marRight w:val="0"/>
      <w:marTop w:val="0"/>
      <w:marBottom w:val="0"/>
      <w:divBdr>
        <w:top w:val="none" w:sz="0" w:space="0" w:color="auto"/>
        <w:left w:val="none" w:sz="0" w:space="0" w:color="auto"/>
        <w:bottom w:val="none" w:sz="0" w:space="0" w:color="auto"/>
        <w:right w:val="none" w:sz="0" w:space="0" w:color="auto"/>
      </w:divBdr>
    </w:div>
    <w:div w:id="1474056575">
      <w:bodyDiv w:val="1"/>
      <w:marLeft w:val="0"/>
      <w:marRight w:val="0"/>
      <w:marTop w:val="0"/>
      <w:marBottom w:val="0"/>
      <w:divBdr>
        <w:top w:val="none" w:sz="0" w:space="0" w:color="auto"/>
        <w:left w:val="none" w:sz="0" w:space="0" w:color="auto"/>
        <w:bottom w:val="none" w:sz="0" w:space="0" w:color="auto"/>
        <w:right w:val="none" w:sz="0" w:space="0" w:color="auto"/>
      </w:divBdr>
    </w:div>
    <w:div w:id="1483741256">
      <w:bodyDiv w:val="1"/>
      <w:marLeft w:val="0"/>
      <w:marRight w:val="0"/>
      <w:marTop w:val="0"/>
      <w:marBottom w:val="0"/>
      <w:divBdr>
        <w:top w:val="none" w:sz="0" w:space="0" w:color="auto"/>
        <w:left w:val="none" w:sz="0" w:space="0" w:color="auto"/>
        <w:bottom w:val="none" w:sz="0" w:space="0" w:color="auto"/>
        <w:right w:val="none" w:sz="0" w:space="0" w:color="auto"/>
      </w:divBdr>
    </w:div>
    <w:div w:id="1508447708">
      <w:bodyDiv w:val="1"/>
      <w:marLeft w:val="0"/>
      <w:marRight w:val="0"/>
      <w:marTop w:val="0"/>
      <w:marBottom w:val="0"/>
      <w:divBdr>
        <w:top w:val="none" w:sz="0" w:space="0" w:color="auto"/>
        <w:left w:val="none" w:sz="0" w:space="0" w:color="auto"/>
        <w:bottom w:val="none" w:sz="0" w:space="0" w:color="auto"/>
        <w:right w:val="none" w:sz="0" w:space="0" w:color="auto"/>
      </w:divBdr>
    </w:div>
    <w:div w:id="1509979334">
      <w:bodyDiv w:val="1"/>
      <w:marLeft w:val="0"/>
      <w:marRight w:val="0"/>
      <w:marTop w:val="0"/>
      <w:marBottom w:val="0"/>
      <w:divBdr>
        <w:top w:val="none" w:sz="0" w:space="0" w:color="auto"/>
        <w:left w:val="none" w:sz="0" w:space="0" w:color="auto"/>
        <w:bottom w:val="none" w:sz="0" w:space="0" w:color="auto"/>
        <w:right w:val="none" w:sz="0" w:space="0" w:color="auto"/>
      </w:divBdr>
    </w:div>
    <w:div w:id="1517034916">
      <w:bodyDiv w:val="1"/>
      <w:marLeft w:val="0"/>
      <w:marRight w:val="0"/>
      <w:marTop w:val="0"/>
      <w:marBottom w:val="0"/>
      <w:divBdr>
        <w:top w:val="none" w:sz="0" w:space="0" w:color="auto"/>
        <w:left w:val="none" w:sz="0" w:space="0" w:color="auto"/>
        <w:bottom w:val="none" w:sz="0" w:space="0" w:color="auto"/>
        <w:right w:val="none" w:sz="0" w:space="0" w:color="auto"/>
      </w:divBdr>
    </w:div>
    <w:div w:id="1517386405">
      <w:bodyDiv w:val="1"/>
      <w:marLeft w:val="0"/>
      <w:marRight w:val="0"/>
      <w:marTop w:val="0"/>
      <w:marBottom w:val="0"/>
      <w:divBdr>
        <w:top w:val="none" w:sz="0" w:space="0" w:color="auto"/>
        <w:left w:val="none" w:sz="0" w:space="0" w:color="auto"/>
        <w:bottom w:val="none" w:sz="0" w:space="0" w:color="auto"/>
        <w:right w:val="none" w:sz="0" w:space="0" w:color="auto"/>
      </w:divBdr>
    </w:div>
    <w:div w:id="1517424064">
      <w:bodyDiv w:val="1"/>
      <w:marLeft w:val="0"/>
      <w:marRight w:val="0"/>
      <w:marTop w:val="0"/>
      <w:marBottom w:val="0"/>
      <w:divBdr>
        <w:top w:val="none" w:sz="0" w:space="0" w:color="auto"/>
        <w:left w:val="none" w:sz="0" w:space="0" w:color="auto"/>
        <w:bottom w:val="none" w:sz="0" w:space="0" w:color="auto"/>
        <w:right w:val="none" w:sz="0" w:space="0" w:color="auto"/>
      </w:divBdr>
    </w:div>
    <w:div w:id="1534880932">
      <w:bodyDiv w:val="1"/>
      <w:marLeft w:val="0"/>
      <w:marRight w:val="0"/>
      <w:marTop w:val="0"/>
      <w:marBottom w:val="0"/>
      <w:divBdr>
        <w:top w:val="none" w:sz="0" w:space="0" w:color="auto"/>
        <w:left w:val="none" w:sz="0" w:space="0" w:color="auto"/>
        <w:bottom w:val="none" w:sz="0" w:space="0" w:color="auto"/>
        <w:right w:val="none" w:sz="0" w:space="0" w:color="auto"/>
      </w:divBdr>
    </w:div>
    <w:div w:id="1556164165">
      <w:bodyDiv w:val="1"/>
      <w:marLeft w:val="0"/>
      <w:marRight w:val="0"/>
      <w:marTop w:val="0"/>
      <w:marBottom w:val="0"/>
      <w:divBdr>
        <w:top w:val="none" w:sz="0" w:space="0" w:color="auto"/>
        <w:left w:val="none" w:sz="0" w:space="0" w:color="auto"/>
        <w:bottom w:val="none" w:sz="0" w:space="0" w:color="auto"/>
        <w:right w:val="none" w:sz="0" w:space="0" w:color="auto"/>
      </w:divBdr>
    </w:div>
    <w:div w:id="1557936675">
      <w:bodyDiv w:val="1"/>
      <w:marLeft w:val="0"/>
      <w:marRight w:val="0"/>
      <w:marTop w:val="0"/>
      <w:marBottom w:val="0"/>
      <w:divBdr>
        <w:top w:val="none" w:sz="0" w:space="0" w:color="auto"/>
        <w:left w:val="none" w:sz="0" w:space="0" w:color="auto"/>
        <w:bottom w:val="none" w:sz="0" w:space="0" w:color="auto"/>
        <w:right w:val="none" w:sz="0" w:space="0" w:color="auto"/>
      </w:divBdr>
    </w:div>
    <w:div w:id="1559126562">
      <w:bodyDiv w:val="1"/>
      <w:marLeft w:val="0"/>
      <w:marRight w:val="0"/>
      <w:marTop w:val="0"/>
      <w:marBottom w:val="0"/>
      <w:divBdr>
        <w:top w:val="none" w:sz="0" w:space="0" w:color="auto"/>
        <w:left w:val="none" w:sz="0" w:space="0" w:color="auto"/>
        <w:bottom w:val="none" w:sz="0" w:space="0" w:color="auto"/>
        <w:right w:val="none" w:sz="0" w:space="0" w:color="auto"/>
      </w:divBdr>
    </w:div>
    <w:div w:id="1560551512">
      <w:bodyDiv w:val="1"/>
      <w:marLeft w:val="0"/>
      <w:marRight w:val="0"/>
      <w:marTop w:val="0"/>
      <w:marBottom w:val="0"/>
      <w:divBdr>
        <w:top w:val="none" w:sz="0" w:space="0" w:color="auto"/>
        <w:left w:val="none" w:sz="0" w:space="0" w:color="auto"/>
        <w:bottom w:val="none" w:sz="0" w:space="0" w:color="auto"/>
        <w:right w:val="none" w:sz="0" w:space="0" w:color="auto"/>
      </w:divBdr>
    </w:div>
    <w:div w:id="1562211780">
      <w:bodyDiv w:val="1"/>
      <w:marLeft w:val="0"/>
      <w:marRight w:val="0"/>
      <w:marTop w:val="0"/>
      <w:marBottom w:val="0"/>
      <w:divBdr>
        <w:top w:val="none" w:sz="0" w:space="0" w:color="auto"/>
        <w:left w:val="none" w:sz="0" w:space="0" w:color="auto"/>
        <w:bottom w:val="none" w:sz="0" w:space="0" w:color="auto"/>
        <w:right w:val="none" w:sz="0" w:space="0" w:color="auto"/>
      </w:divBdr>
    </w:div>
    <w:div w:id="1564678641">
      <w:bodyDiv w:val="1"/>
      <w:marLeft w:val="0"/>
      <w:marRight w:val="0"/>
      <w:marTop w:val="0"/>
      <w:marBottom w:val="0"/>
      <w:divBdr>
        <w:top w:val="none" w:sz="0" w:space="0" w:color="auto"/>
        <w:left w:val="none" w:sz="0" w:space="0" w:color="auto"/>
        <w:bottom w:val="none" w:sz="0" w:space="0" w:color="auto"/>
        <w:right w:val="none" w:sz="0" w:space="0" w:color="auto"/>
      </w:divBdr>
    </w:div>
    <w:div w:id="1567110073">
      <w:bodyDiv w:val="1"/>
      <w:marLeft w:val="0"/>
      <w:marRight w:val="0"/>
      <w:marTop w:val="0"/>
      <w:marBottom w:val="0"/>
      <w:divBdr>
        <w:top w:val="none" w:sz="0" w:space="0" w:color="auto"/>
        <w:left w:val="none" w:sz="0" w:space="0" w:color="auto"/>
        <w:bottom w:val="none" w:sz="0" w:space="0" w:color="auto"/>
        <w:right w:val="none" w:sz="0" w:space="0" w:color="auto"/>
      </w:divBdr>
    </w:div>
    <w:div w:id="1568571055">
      <w:bodyDiv w:val="1"/>
      <w:marLeft w:val="0"/>
      <w:marRight w:val="0"/>
      <w:marTop w:val="0"/>
      <w:marBottom w:val="0"/>
      <w:divBdr>
        <w:top w:val="none" w:sz="0" w:space="0" w:color="auto"/>
        <w:left w:val="none" w:sz="0" w:space="0" w:color="auto"/>
        <w:bottom w:val="none" w:sz="0" w:space="0" w:color="auto"/>
        <w:right w:val="none" w:sz="0" w:space="0" w:color="auto"/>
      </w:divBdr>
    </w:div>
    <w:div w:id="1569923673">
      <w:bodyDiv w:val="1"/>
      <w:marLeft w:val="0"/>
      <w:marRight w:val="0"/>
      <w:marTop w:val="0"/>
      <w:marBottom w:val="0"/>
      <w:divBdr>
        <w:top w:val="none" w:sz="0" w:space="0" w:color="auto"/>
        <w:left w:val="none" w:sz="0" w:space="0" w:color="auto"/>
        <w:bottom w:val="none" w:sz="0" w:space="0" w:color="auto"/>
        <w:right w:val="none" w:sz="0" w:space="0" w:color="auto"/>
      </w:divBdr>
    </w:div>
    <w:div w:id="1570505219">
      <w:bodyDiv w:val="1"/>
      <w:marLeft w:val="0"/>
      <w:marRight w:val="0"/>
      <w:marTop w:val="0"/>
      <w:marBottom w:val="0"/>
      <w:divBdr>
        <w:top w:val="none" w:sz="0" w:space="0" w:color="auto"/>
        <w:left w:val="none" w:sz="0" w:space="0" w:color="auto"/>
        <w:bottom w:val="none" w:sz="0" w:space="0" w:color="auto"/>
        <w:right w:val="none" w:sz="0" w:space="0" w:color="auto"/>
      </w:divBdr>
    </w:div>
    <w:div w:id="1571846828">
      <w:bodyDiv w:val="1"/>
      <w:marLeft w:val="0"/>
      <w:marRight w:val="0"/>
      <w:marTop w:val="0"/>
      <w:marBottom w:val="0"/>
      <w:divBdr>
        <w:top w:val="none" w:sz="0" w:space="0" w:color="auto"/>
        <w:left w:val="none" w:sz="0" w:space="0" w:color="auto"/>
        <w:bottom w:val="none" w:sz="0" w:space="0" w:color="auto"/>
        <w:right w:val="none" w:sz="0" w:space="0" w:color="auto"/>
      </w:divBdr>
    </w:div>
    <w:div w:id="1576740774">
      <w:bodyDiv w:val="1"/>
      <w:marLeft w:val="0"/>
      <w:marRight w:val="0"/>
      <w:marTop w:val="0"/>
      <w:marBottom w:val="0"/>
      <w:divBdr>
        <w:top w:val="none" w:sz="0" w:space="0" w:color="auto"/>
        <w:left w:val="none" w:sz="0" w:space="0" w:color="auto"/>
        <w:bottom w:val="none" w:sz="0" w:space="0" w:color="auto"/>
        <w:right w:val="none" w:sz="0" w:space="0" w:color="auto"/>
      </w:divBdr>
    </w:div>
    <w:div w:id="1580941110">
      <w:bodyDiv w:val="1"/>
      <w:marLeft w:val="0"/>
      <w:marRight w:val="0"/>
      <w:marTop w:val="0"/>
      <w:marBottom w:val="0"/>
      <w:divBdr>
        <w:top w:val="none" w:sz="0" w:space="0" w:color="auto"/>
        <w:left w:val="none" w:sz="0" w:space="0" w:color="auto"/>
        <w:bottom w:val="none" w:sz="0" w:space="0" w:color="auto"/>
        <w:right w:val="none" w:sz="0" w:space="0" w:color="auto"/>
      </w:divBdr>
    </w:div>
    <w:div w:id="1585071163">
      <w:bodyDiv w:val="1"/>
      <w:marLeft w:val="0"/>
      <w:marRight w:val="0"/>
      <w:marTop w:val="0"/>
      <w:marBottom w:val="0"/>
      <w:divBdr>
        <w:top w:val="none" w:sz="0" w:space="0" w:color="auto"/>
        <w:left w:val="none" w:sz="0" w:space="0" w:color="auto"/>
        <w:bottom w:val="none" w:sz="0" w:space="0" w:color="auto"/>
        <w:right w:val="none" w:sz="0" w:space="0" w:color="auto"/>
      </w:divBdr>
    </w:div>
    <w:div w:id="1585338641">
      <w:bodyDiv w:val="1"/>
      <w:marLeft w:val="0"/>
      <w:marRight w:val="0"/>
      <w:marTop w:val="0"/>
      <w:marBottom w:val="0"/>
      <w:divBdr>
        <w:top w:val="none" w:sz="0" w:space="0" w:color="auto"/>
        <w:left w:val="none" w:sz="0" w:space="0" w:color="auto"/>
        <w:bottom w:val="none" w:sz="0" w:space="0" w:color="auto"/>
        <w:right w:val="none" w:sz="0" w:space="0" w:color="auto"/>
      </w:divBdr>
    </w:div>
    <w:div w:id="1587614589">
      <w:bodyDiv w:val="1"/>
      <w:marLeft w:val="0"/>
      <w:marRight w:val="0"/>
      <w:marTop w:val="0"/>
      <w:marBottom w:val="0"/>
      <w:divBdr>
        <w:top w:val="none" w:sz="0" w:space="0" w:color="auto"/>
        <w:left w:val="none" w:sz="0" w:space="0" w:color="auto"/>
        <w:bottom w:val="none" w:sz="0" w:space="0" w:color="auto"/>
        <w:right w:val="none" w:sz="0" w:space="0" w:color="auto"/>
      </w:divBdr>
    </w:div>
    <w:div w:id="1588341388">
      <w:bodyDiv w:val="1"/>
      <w:marLeft w:val="0"/>
      <w:marRight w:val="0"/>
      <w:marTop w:val="0"/>
      <w:marBottom w:val="0"/>
      <w:divBdr>
        <w:top w:val="none" w:sz="0" w:space="0" w:color="auto"/>
        <w:left w:val="none" w:sz="0" w:space="0" w:color="auto"/>
        <w:bottom w:val="none" w:sz="0" w:space="0" w:color="auto"/>
        <w:right w:val="none" w:sz="0" w:space="0" w:color="auto"/>
      </w:divBdr>
    </w:div>
    <w:div w:id="1588659937">
      <w:bodyDiv w:val="1"/>
      <w:marLeft w:val="0"/>
      <w:marRight w:val="0"/>
      <w:marTop w:val="0"/>
      <w:marBottom w:val="0"/>
      <w:divBdr>
        <w:top w:val="none" w:sz="0" w:space="0" w:color="auto"/>
        <w:left w:val="none" w:sz="0" w:space="0" w:color="auto"/>
        <w:bottom w:val="none" w:sz="0" w:space="0" w:color="auto"/>
        <w:right w:val="none" w:sz="0" w:space="0" w:color="auto"/>
      </w:divBdr>
    </w:div>
    <w:div w:id="1596328162">
      <w:bodyDiv w:val="1"/>
      <w:marLeft w:val="0"/>
      <w:marRight w:val="0"/>
      <w:marTop w:val="0"/>
      <w:marBottom w:val="0"/>
      <w:divBdr>
        <w:top w:val="none" w:sz="0" w:space="0" w:color="auto"/>
        <w:left w:val="none" w:sz="0" w:space="0" w:color="auto"/>
        <w:bottom w:val="none" w:sz="0" w:space="0" w:color="auto"/>
        <w:right w:val="none" w:sz="0" w:space="0" w:color="auto"/>
      </w:divBdr>
    </w:div>
    <w:div w:id="1597206123">
      <w:bodyDiv w:val="1"/>
      <w:marLeft w:val="0"/>
      <w:marRight w:val="0"/>
      <w:marTop w:val="0"/>
      <w:marBottom w:val="0"/>
      <w:divBdr>
        <w:top w:val="none" w:sz="0" w:space="0" w:color="auto"/>
        <w:left w:val="none" w:sz="0" w:space="0" w:color="auto"/>
        <w:bottom w:val="none" w:sz="0" w:space="0" w:color="auto"/>
        <w:right w:val="none" w:sz="0" w:space="0" w:color="auto"/>
      </w:divBdr>
    </w:div>
    <w:div w:id="1598173587">
      <w:bodyDiv w:val="1"/>
      <w:marLeft w:val="0"/>
      <w:marRight w:val="0"/>
      <w:marTop w:val="0"/>
      <w:marBottom w:val="0"/>
      <w:divBdr>
        <w:top w:val="none" w:sz="0" w:space="0" w:color="auto"/>
        <w:left w:val="none" w:sz="0" w:space="0" w:color="auto"/>
        <w:bottom w:val="none" w:sz="0" w:space="0" w:color="auto"/>
        <w:right w:val="none" w:sz="0" w:space="0" w:color="auto"/>
      </w:divBdr>
    </w:div>
    <w:div w:id="1607886345">
      <w:bodyDiv w:val="1"/>
      <w:marLeft w:val="0"/>
      <w:marRight w:val="0"/>
      <w:marTop w:val="0"/>
      <w:marBottom w:val="0"/>
      <w:divBdr>
        <w:top w:val="none" w:sz="0" w:space="0" w:color="auto"/>
        <w:left w:val="none" w:sz="0" w:space="0" w:color="auto"/>
        <w:bottom w:val="none" w:sz="0" w:space="0" w:color="auto"/>
        <w:right w:val="none" w:sz="0" w:space="0" w:color="auto"/>
      </w:divBdr>
    </w:div>
    <w:div w:id="1608271174">
      <w:bodyDiv w:val="1"/>
      <w:marLeft w:val="0"/>
      <w:marRight w:val="0"/>
      <w:marTop w:val="0"/>
      <w:marBottom w:val="0"/>
      <w:divBdr>
        <w:top w:val="none" w:sz="0" w:space="0" w:color="auto"/>
        <w:left w:val="none" w:sz="0" w:space="0" w:color="auto"/>
        <w:bottom w:val="none" w:sz="0" w:space="0" w:color="auto"/>
        <w:right w:val="none" w:sz="0" w:space="0" w:color="auto"/>
      </w:divBdr>
    </w:div>
    <w:div w:id="1613391922">
      <w:bodyDiv w:val="1"/>
      <w:marLeft w:val="0"/>
      <w:marRight w:val="0"/>
      <w:marTop w:val="0"/>
      <w:marBottom w:val="0"/>
      <w:divBdr>
        <w:top w:val="none" w:sz="0" w:space="0" w:color="auto"/>
        <w:left w:val="none" w:sz="0" w:space="0" w:color="auto"/>
        <w:bottom w:val="none" w:sz="0" w:space="0" w:color="auto"/>
        <w:right w:val="none" w:sz="0" w:space="0" w:color="auto"/>
      </w:divBdr>
    </w:div>
    <w:div w:id="1613516867">
      <w:bodyDiv w:val="1"/>
      <w:marLeft w:val="0"/>
      <w:marRight w:val="0"/>
      <w:marTop w:val="0"/>
      <w:marBottom w:val="0"/>
      <w:divBdr>
        <w:top w:val="none" w:sz="0" w:space="0" w:color="auto"/>
        <w:left w:val="none" w:sz="0" w:space="0" w:color="auto"/>
        <w:bottom w:val="none" w:sz="0" w:space="0" w:color="auto"/>
        <w:right w:val="none" w:sz="0" w:space="0" w:color="auto"/>
      </w:divBdr>
    </w:div>
    <w:div w:id="1626042030">
      <w:bodyDiv w:val="1"/>
      <w:marLeft w:val="0"/>
      <w:marRight w:val="0"/>
      <w:marTop w:val="0"/>
      <w:marBottom w:val="0"/>
      <w:divBdr>
        <w:top w:val="none" w:sz="0" w:space="0" w:color="auto"/>
        <w:left w:val="none" w:sz="0" w:space="0" w:color="auto"/>
        <w:bottom w:val="none" w:sz="0" w:space="0" w:color="auto"/>
        <w:right w:val="none" w:sz="0" w:space="0" w:color="auto"/>
      </w:divBdr>
    </w:div>
    <w:div w:id="1626351700">
      <w:bodyDiv w:val="1"/>
      <w:marLeft w:val="0"/>
      <w:marRight w:val="0"/>
      <w:marTop w:val="0"/>
      <w:marBottom w:val="0"/>
      <w:divBdr>
        <w:top w:val="none" w:sz="0" w:space="0" w:color="auto"/>
        <w:left w:val="none" w:sz="0" w:space="0" w:color="auto"/>
        <w:bottom w:val="none" w:sz="0" w:space="0" w:color="auto"/>
        <w:right w:val="none" w:sz="0" w:space="0" w:color="auto"/>
      </w:divBdr>
    </w:div>
    <w:div w:id="1627930219">
      <w:bodyDiv w:val="1"/>
      <w:marLeft w:val="0"/>
      <w:marRight w:val="0"/>
      <w:marTop w:val="0"/>
      <w:marBottom w:val="0"/>
      <w:divBdr>
        <w:top w:val="none" w:sz="0" w:space="0" w:color="auto"/>
        <w:left w:val="none" w:sz="0" w:space="0" w:color="auto"/>
        <w:bottom w:val="none" w:sz="0" w:space="0" w:color="auto"/>
        <w:right w:val="none" w:sz="0" w:space="0" w:color="auto"/>
      </w:divBdr>
    </w:div>
    <w:div w:id="1628313698">
      <w:bodyDiv w:val="1"/>
      <w:marLeft w:val="0"/>
      <w:marRight w:val="0"/>
      <w:marTop w:val="0"/>
      <w:marBottom w:val="0"/>
      <w:divBdr>
        <w:top w:val="none" w:sz="0" w:space="0" w:color="auto"/>
        <w:left w:val="none" w:sz="0" w:space="0" w:color="auto"/>
        <w:bottom w:val="none" w:sz="0" w:space="0" w:color="auto"/>
        <w:right w:val="none" w:sz="0" w:space="0" w:color="auto"/>
      </w:divBdr>
    </w:div>
    <w:div w:id="1634093208">
      <w:bodyDiv w:val="1"/>
      <w:marLeft w:val="0"/>
      <w:marRight w:val="0"/>
      <w:marTop w:val="0"/>
      <w:marBottom w:val="0"/>
      <w:divBdr>
        <w:top w:val="none" w:sz="0" w:space="0" w:color="auto"/>
        <w:left w:val="none" w:sz="0" w:space="0" w:color="auto"/>
        <w:bottom w:val="none" w:sz="0" w:space="0" w:color="auto"/>
        <w:right w:val="none" w:sz="0" w:space="0" w:color="auto"/>
      </w:divBdr>
    </w:div>
    <w:div w:id="1638105051">
      <w:bodyDiv w:val="1"/>
      <w:marLeft w:val="0"/>
      <w:marRight w:val="0"/>
      <w:marTop w:val="0"/>
      <w:marBottom w:val="0"/>
      <w:divBdr>
        <w:top w:val="none" w:sz="0" w:space="0" w:color="auto"/>
        <w:left w:val="none" w:sz="0" w:space="0" w:color="auto"/>
        <w:bottom w:val="none" w:sz="0" w:space="0" w:color="auto"/>
        <w:right w:val="none" w:sz="0" w:space="0" w:color="auto"/>
      </w:divBdr>
    </w:div>
    <w:div w:id="1641687649">
      <w:bodyDiv w:val="1"/>
      <w:marLeft w:val="0"/>
      <w:marRight w:val="0"/>
      <w:marTop w:val="0"/>
      <w:marBottom w:val="0"/>
      <w:divBdr>
        <w:top w:val="none" w:sz="0" w:space="0" w:color="auto"/>
        <w:left w:val="none" w:sz="0" w:space="0" w:color="auto"/>
        <w:bottom w:val="none" w:sz="0" w:space="0" w:color="auto"/>
        <w:right w:val="none" w:sz="0" w:space="0" w:color="auto"/>
      </w:divBdr>
    </w:div>
    <w:div w:id="1647315362">
      <w:bodyDiv w:val="1"/>
      <w:marLeft w:val="0"/>
      <w:marRight w:val="0"/>
      <w:marTop w:val="0"/>
      <w:marBottom w:val="0"/>
      <w:divBdr>
        <w:top w:val="none" w:sz="0" w:space="0" w:color="auto"/>
        <w:left w:val="none" w:sz="0" w:space="0" w:color="auto"/>
        <w:bottom w:val="none" w:sz="0" w:space="0" w:color="auto"/>
        <w:right w:val="none" w:sz="0" w:space="0" w:color="auto"/>
      </w:divBdr>
    </w:div>
    <w:div w:id="1651448173">
      <w:bodyDiv w:val="1"/>
      <w:marLeft w:val="0"/>
      <w:marRight w:val="0"/>
      <w:marTop w:val="0"/>
      <w:marBottom w:val="0"/>
      <w:divBdr>
        <w:top w:val="none" w:sz="0" w:space="0" w:color="auto"/>
        <w:left w:val="none" w:sz="0" w:space="0" w:color="auto"/>
        <w:bottom w:val="none" w:sz="0" w:space="0" w:color="auto"/>
        <w:right w:val="none" w:sz="0" w:space="0" w:color="auto"/>
      </w:divBdr>
    </w:div>
    <w:div w:id="1660888504">
      <w:bodyDiv w:val="1"/>
      <w:marLeft w:val="0"/>
      <w:marRight w:val="0"/>
      <w:marTop w:val="0"/>
      <w:marBottom w:val="0"/>
      <w:divBdr>
        <w:top w:val="none" w:sz="0" w:space="0" w:color="auto"/>
        <w:left w:val="none" w:sz="0" w:space="0" w:color="auto"/>
        <w:bottom w:val="none" w:sz="0" w:space="0" w:color="auto"/>
        <w:right w:val="none" w:sz="0" w:space="0" w:color="auto"/>
      </w:divBdr>
    </w:div>
    <w:div w:id="1663120163">
      <w:bodyDiv w:val="1"/>
      <w:marLeft w:val="0"/>
      <w:marRight w:val="0"/>
      <w:marTop w:val="0"/>
      <w:marBottom w:val="0"/>
      <w:divBdr>
        <w:top w:val="none" w:sz="0" w:space="0" w:color="auto"/>
        <w:left w:val="none" w:sz="0" w:space="0" w:color="auto"/>
        <w:bottom w:val="none" w:sz="0" w:space="0" w:color="auto"/>
        <w:right w:val="none" w:sz="0" w:space="0" w:color="auto"/>
      </w:divBdr>
    </w:div>
    <w:div w:id="1665011176">
      <w:bodyDiv w:val="1"/>
      <w:marLeft w:val="0"/>
      <w:marRight w:val="0"/>
      <w:marTop w:val="0"/>
      <w:marBottom w:val="0"/>
      <w:divBdr>
        <w:top w:val="none" w:sz="0" w:space="0" w:color="auto"/>
        <w:left w:val="none" w:sz="0" w:space="0" w:color="auto"/>
        <w:bottom w:val="none" w:sz="0" w:space="0" w:color="auto"/>
        <w:right w:val="none" w:sz="0" w:space="0" w:color="auto"/>
      </w:divBdr>
    </w:div>
    <w:div w:id="1673029470">
      <w:bodyDiv w:val="1"/>
      <w:marLeft w:val="0"/>
      <w:marRight w:val="0"/>
      <w:marTop w:val="0"/>
      <w:marBottom w:val="0"/>
      <w:divBdr>
        <w:top w:val="none" w:sz="0" w:space="0" w:color="auto"/>
        <w:left w:val="none" w:sz="0" w:space="0" w:color="auto"/>
        <w:bottom w:val="none" w:sz="0" w:space="0" w:color="auto"/>
        <w:right w:val="none" w:sz="0" w:space="0" w:color="auto"/>
      </w:divBdr>
    </w:div>
    <w:div w:id="1680696693">
      <w:bodyDiv w:val="1"/>
      <w:marLeft w:val="0"/>
      <w:marRight w:val="0"/>
      <w:marTop w:val="0"/>
      <w:marBottom w:val="0"/>
      <w:divBdr>
        <w:top w:val="none" w:sz="0" w:space="0" w:color="auto"/>
        <w:left w:val="none" w:sz="0" w:space="0" w:color="auto"/>
        <w:bottom w:val="none" w:sz="0" w:space="0" w:color="auto"/>
        <w:right w:val="none" w:sz="0" w:space="0" w:color="auto"/>
      </w:divBdr>
    </w:div>
    <w:div w:id="1680888680">
      <w:bodyDiv w:val="1"/>
      <w:marLeft w:val="0"/>
      <w:marRight w:val="0"/>
      <w:marTop w:val="0"/>
      <w:marBottom w:val="0"/>
      <w:divBdr>
        <w:top w:val="none" w:sz="0" w:space="0" w:color="auto"/>
        <w:left w:val="none" w:sz="0" w:space="0" w:color="auto"/>
        <w:bottom w:val="none" w:sz="0" w:space="0" w:color="auto"/>
        <w:right w:val="none" w:sz="0" w:space="0" w:color="auto"/>
      </w:divBdr>
    </w:div>
    <w:div w:id="1693994542">
      <w:bodyDiv w:val="1"/>
      <w:marLeft w:val="0"/>
      <w:marRight w:val="0"/>
      <w:marTop w:val="0"/>
      <w:marBottom w:val="0"/>
      <w:divBdr>
        <w:top w:val="none" w:sz="0" w:space="0" w:color="auto"/>
        <w:left w:val="none" w:sz="0" w:space="0" w:color="auto"/>
        <w:bottom w:val="none" w:sz="0" w:space="0" w:color="auto"/>
        <w:right w:val="none" w:sz="0" w:space="0" w:color="auto"/>
      </w:divBdr>
    </w:div>
    <w:div w:id="1694766686">
      <w:bodyDiv w:val="1"/>
      <w:marLeft w:val="0"/>
      <w:marRight w:val="0"/>
      <w:marTop w:val="0"/>
      <w:marBottom w:val="0"/>
      <w:divBdr>
        <w:top w:val="none" w:sz="0" w:space="0" w:color="auto"/>
        <w:left w:val="none" w:sz="0" w:space="0" w:color="auto"/>
        <w:bottom w:val="none" w:sz="0" w:space="0" w:color="auto"/>
        <w:right w:val="none" w:sz="0" w:space="0" w:color="auto"/>
      </w:divBdr>
    </w:div>
    <w:div w:id="1696035031">
      <w:bodyDiv w:val="1"/>
      <w:marLeft w:val="0"/>
      <w:marRight w:val="0"/>
      <w:marTop w:val="0"/>
      <w:marBottom w:val="0"/>
      <w:divBdr>
        <w:top w:val="none" w:sz="0" w:space="0" w:color="auto"/>
        <w:left w:val="none" w:sz="0" w:space="0" w:color="auto"/>
        <w:bottom w:val="none" w:sz="0" w:space="0" w:color="auto"/>
        <w:right w:val="none" w:sz="0" w:space="0" w:color="auto"/>
      </w:divBdr>
    </w:div>
    <w:div w:id="1696615653">
      <w:bodyDiv w:val="1"/>
      <w:marLeft w:val="0"/>
      <w:marRight w:val="0"/>
      <w:marTop w:val="0"/>
      <w:marBottom w:val="0"/>
      <w:divBdr>
        <w:top w:val="none" w:sz="0" w:space="0" w:color="auto"/>
        <w:left w:val="none" w:sz="0" w:space="0" w:color="auto"/>
        <w:bottom w:val="none" w:sz="0" w:space="0" w:color="auto"/>
        <w:right w:val="none" w:sz="0" w:space="0" w:color="auto"/>
      </w:divBdr>
    </w:div>
    <w:div w:id="1706103008">
      <w:bodyDiv w:val="1"/>
      <w:marLeft w:val="0"/>
      <w:marRight w:val="0"/>
      <w:marTop w:val="0"/>
      <w:marBottom w:val="0"/>
      <w:divBdr>
        <w:top w:val="none" w:sz="0" w:space="0" w:color="auto"/>
        <w:left w:val="none" w:sz="0" w:space="0" w:color="auto"/>
        <w:bottom w:val="none" w:sz="0" w:space="0" w:color="auto"/>
        <w:right w:val="none" w:sz="0" w:space="0" w:color="auto"/>
      </w:divBdr>
    </w:div>
    <w:div w:id="1725369992">
      <w:bodyDiv w:val="1"/>
      <w:marLeft w:val="0"/>
      <w:marRight w:val="0"/>
      <w:marTop w:val="0"/>
      <w:marBottom w:val="0"/>
      <w:divBdr>
        <w:top w:val="none" w:sz="0" w:space="0" w:color="auto"/>
        <w:left w:val="none" w:sz="0" w:space="0" w:color="auto"/>
        <w:bottom w:val="none" w:sz="0" w:space="0" w:color="auto"/>
        <w:right w:val="none" w:sz="0" w:space="0" w:color="auto"/>
      </w:divBdr>
    </w:div>
    <w:div w:id="1728261694">
      <w:bodyDiv w:val="1"/>
      <w:marLeft w:val="0"/>
      <w:marRight w:val="0"/>
      <w:marTop w:val="0"/>
      <w:marBottom w:val="0"/>
      <w:divBdr>
        <w:top w:val="none" w:sz="0" w:space="0" w:color="auto"/>
        <w:left w:val="none" w:sz="0" w:space="0" w:color="auto"/>
        <w:bottom w:val="none" w:sz="0" w:space="0" w:color="auto"/>
        <w:right w:val="none" w:sz="0" w:space="0" w:color="auto"/>
      </w:divBdr>
    </w:div>
    <w:div w:id="1731806462">
      <w:bodyDiv w:val="1"/>
      <w:marLeft w:val="0"/>
      <w:marRight w:val="0"/>
      <w:marTop w:val="0"/>
      <w:marBottom w:val="0"/>
      <w:divBdr>
        <w:top w:val="none" w:sz="0" w:space="0" w:color="auto"/>
        <w:left w:val="none" w:sz="0" w:space="0" w:color="auto"/>
        <w:bottom w:val="none" w:sz="0" w:space="0" w:color="auto"/>
        <w:right w:val="none" w:sz="0" w:space="0" w:color="auto"/>
      </w:divBdr>
    </w:div>
    <w:div w:id="1752652786">
      <w:bodyDiv w:val="1"/>
      <w:marLeft w:val="0"/>
      <w:marRight w:val="0"/>
      <w:marTop w:val="0"/>
      <w:marBottom w:val="0"/>
      <w:divBdr>
        <w:top w:val="none" w:sz="0" w:space="0" w:color="auto"/>
        <w:left w:val="none" w:sz="0" w:space="0" w:color="auto"/>
        <w:bottom w:val="none" w:sz="0" w:space="0" w:color="auto"/>
        <w:right w:val="none" w:sz="0" w:space="0" w:color="auto"/>
      </w:divBdr>
    </w:div>
    <w:div w:id="1758407560">
      <w:bodyDiv w:val="1"/>
      <w:marLeft w:val="0"/>
      <w:marRight w:val="0"/>
      <w:marTop w:val="0"/>
      <w:marBottom w:val="0"/>
      <w:divBdr>
        <w:top w:val="none" w:sz="0" w:space="0" w:color="auto"/>
        <w:left w:val="none" w:sz="0" w:space="0" w:color="auto"/>
        <w:bottom w:val="none" w:sz="0" w:space="0" w:color="auto"/>
        <w:right w:val="none" w:sz="0" w:space="0" w:color="auto"/>
      </w:divBdr>
    </w:div>
    <w:div w:id="1768496446">
      <w:bodyDiv w:val="1"/>
      <w:marLeft w:val="0"/>
      <w:marRight w:val="0"/>
      <w:marTop w:val="0"/>
      <w:marBottom w:val="0"/>
      <w:divBdr>
        <w:top w:val="none" w:sz="0" w:space="0" w:color="auto"/>
        <w:left w:val="none" w:sz="0" w:space="0" w:color="auto"/>
        <w:bottom w:val="none" w:sz="0" w:space="0" w:color="auto"/>
        <w:right w:val="none" w:sz="0" w:space="0" w:color="auto"/>
      </w:divBdr>
    </w:div>
    <w:div w:id="1773622041">
      <w:bodyDiv w:val="1"/>
      <w:marLeft w:val="0"/>
      <w:marRight w:val="0"/>
      <w:marTop w:val="0"/>
      <w:marBottom w:val="0"/>
      <w:divBdr>
        <w:top w:val="none" w:sz="0" w:space="0" w:color="auto"/>
        <w:left w:val="none" w:sz="0" w:space="0" w:color="auto"/>
        <w:bottom w:val="none" w:sz="0" w:space="0" w:color="auto"/>
        <w:right w:val="none" w:sz="0" w:space="0" w:color="auto"/>
      </w:divBdr>
    </w:div>
    <w:div w:id="1778596801">
      <w:bodyDiv w:val="1"/>
      <w:marLeft w:val="0"/>
      <w:marRight w:val="0"/>
      <w:marTop w:val="0"/>
      <w:marBottom w:val="0"/>
      <w:divBdr>
        <w:top w:val="none" w:sz="0" w:space="0" w:color="auto"/>
        <w:left w:val="none" w:sz="0" w:space="0" w:color="auto"/>
        <w:bottom w:val="none" w:sz="0" w:space="0" w:color="auto"/>
        <w:right w:val="none" w:sz="0" w:space="0" w:color="auto"/>
      </w:divBdr>
    </w:div>
    <w:div w:id="1784298297">
      <w:bodyDiv w:val="1"/>
      <w:marLeft w:val="0"/>
      <w:marRight w:val="0"/>
      <w:marTop w:val="0"/>
      <w:marBottom w:val="0"/>
      <w:divBdr>
        <w:top w:val="none" w:sz="0" w:space="0" w:color="auto"/>
        <w:left w:val="none" w:sz="0" w:space="0" w:color="auto"/>
        <w:bottom w:val="none" w:sz="0" w:space="0" w:color="auto"/>
        <w:right w:val="none" w:sz="0" w:space="0" w:color="auto"/>
      </w:divBdr>
    </w:div>
    <w:div w:id="1793674332">
      <w:bodyDiv w:val="1"/>
      <w:marLeft w:val="0"/>
      <w:marRight w:val="0"/>
      <w:marTop w:val="0"/>
      <w:marBottom w:val="0"/>
      <w:divBdr>
        <w:top w:val="none" w:sz="0" w:space="0" w:color="auto"/>
        <w:left w:val="none" w:sz="0" w:space="0" w:color="auto"/>
        <w:bottom w:val="none" w:sz="0" w:space="0" w:color="auto"/>
        <w:right w:val="none" w:sz="0" w:space="0" w:color="auto"/>
      </w:divBdr>
    </w:div>
    <w:div w:id="1798379183">
      <w:bodyDiv w:val="1"/>
      <w:marLeft w:val="0"/>
      <w:marRight w:val="0"/>
      <w:marTop w:val="0"/>
      <w:marBottom w:val="0"/>
      <w:divBdr>
        <w:top w:val="none" w:sz="0" w:space="0" w:color="auto"/>
        <w:left w:val="none" w:sz="0" w:space="0" w:color="auto"/>
        <w:bottom w:val="none" w:sz="0" w:space="0" w:color="auto"/>
        <w:right w:val="none" w:sz="0" w:space="0" w:color="auto"/>
      </w:divBdr>
    </w:div>
    <w:div w:id="1798715948">
      <w:bodyDiv w:val="1"/>
      <w:marLeft w:val="0"/>
      <w:marRight w:val="0"/>
      <w:marTop w:val="0"/>
      <w:marBottom w:val="0"/>
      <w:divBdr>
        <w:top w:val="none" w:sz="0" w:space="0" w:color="auto"/>
        <w:left w:val="none" w:sz="0" w:space="0" w:color="auto"/>
        <w:bottom w:val="none" w:sz="0" w:space="0" w:color="auto"/>
        <w:right w:val="none" w:sz="0" w:space="0" w:color="auto"/>
      </w:divBdr>
    </w:div>
    <w:div w:id="1801338012">
      <w:bodyDiv w:val="1"/>
      <w:marLeft w:val="0"/>
      <w:marRight w:val="0"/>
      <w:marTop w:val="0"/>
      <w:marBottom w:val="0"/>
      <w:divBdr>
        <w:top w:val="none" w:sz="0" w:space="0" w:color="auto"/>
        <w:left w:val="none" w:sz="0" w:space="0" w:color="auto"/>
        <w:bottom w:val="none" w:sz="0" w:space="0" w:color="auto"/>
        <w:right w:val="none" w:sz="0" w:space="0" w:color="auto"/>
      </w:divBdr>
    </w:div>
    <w:div w:id="1820145761">
      <w:bodyDiv w:val="1"/>
      <w:marLeft w:val="0"/>
      <w:marRight w:val="0"/>
      <w:marTop w:val="0"/>
      <w:marBottom w:val="0"/>
      <w:divBdr>
        <w:top w:val="none" w:sz="0" w:space="0" w:color="auto"/>
        <w:left w:val="none" w:sz="0" w:space="0" w:color="auto"/>
        <w:bottom w:val="none" w:sz="0" w:space="0" w:color="auto"/>
        <w:right w:val="none" w:sz="0" w:space="0" w:color="auto"/>
      </w:divBdr>
    </w:div>
    <w:div w:id="1821998012">
      <w:bodyDiv w:val="1"/>
      <w:marLeft w:val="0"/>
      <w:marRight w:val="0"/>
      <w:marTop w:val="0"/>
      <w:marBottom w:val="0"/>
      <w:divBdr>
        <w:top w:val="none" w:sz="0" w:space="0" w:color="auto"/>
        <w:left w:val="none" w:sz="0" w:space="0" w:color="auto"/>
        <w:bottom w:val="none" w:sz="0" w:space="0" w:color="auto"/>
        <w:right w:val="none" w:sz="0" w:space="0" w:color="auto"/>
      </w:divBdr>
    </w:div>
    <w:div w:id="1825199041">
      <w:bodyDiv w:val="1"/>
      <w:marLeft w:val="0"/>
      <w:marRight w:val="0"/>
      <w:marTop w:val="0"/>
      <w:marBottom w:val="0"/>
      <w:divBdr>
        <w:top w:val="none" w:sz="0" w:space="0" w:color="auto"/>
        <w:left w:val="none" w:sz="0" w:space="0" w:color="auto"/>
        <w:bottom w:val="none" w:sz="0" w:space="0" w:color="auto"/>
        <w:right w:val="none" w:sz="0" w:space="0" w:color="auto"/>
      </w:divBdr>
    </w:div>
    <w:div w:id="1825657095">
      <w:bodyDiv w:val="1"/>
      <w:marLeft w:val="0"/>
      <w:marRight w:val="0"/>
      <w:marTop w:val="0"/>
      <w:marBottom w:val="0"/>
      <w:divBdr>
        <w:top w:val="none" w:sz="0" w:space="0" w:color="auto"/>
        <w:left w:val="none" w:sz="0" w:space="0" w:color="auto"/>
        <w:bottom w:val="none" w:sz="0" w:space="0" w:color="auto"/>
        <w:right w:val="none" w:sz="0" w:space="0" w:color="auto"/>
      </w:divBdr>
    </w:div>
    <w:div w:id="1826435884">
      <w:bodyDiv w:val="1"/>
      <w:marLeft w:val="0"/>
      <w:marRight w:val="0"/>
      <w:marTop w:val="0"/>
      <w:marBottom w:val="0"/>
      <w:divBdr>
        <w:top w:val="none" w:sz="0" w:space="0" w:color="auto"/>
        <w:left w:val="none" w:sz="0" w:space="0" w:color="auto"/>
        <w:bottom w:val="none" w:sz="0" w:space="0" w:color="auto"/>
        <w:right w:val="none" w:sz="0" w:space="0" w:color="auto"/>
      </w:divBdr>
    </w:div>
    <w:div w:id="1831863990">
      <w:bodyDiv w:val="1"/>
      <w:marLeft w:val="0"/>
      <w:marRight w:val="0"/>
      <w:marTop w:val="0"/>
      <w:marBottom w:val="0"/>
      <w:divBdr>
        <w:top w:val="none" w:sz="0" w:space="0" w:color="auto"/>
        <w:left w:val="none" w:sz="0" w:space="0" w:color="auto"/>
        <w:bottom w:val="none" w:sz="0" w:space="0" w:color="auto"/>
        <w:right w:val="none" w:sz="0" w:space="0" w:color="auto"/>
      </w:divBdr>
    </w:div>
    <w:div w:id="1832914701">
      <w:bodyDiv w:val="1"/>
      <w:marLeft w:val="0"/>
      <w:marRight w:val="0"/>
      <w:marTop w:val="0"/>
      <w:marBottom w:val="0"/>
      <w:divBdr>
        <w:top w:val="none" w:sz="0" w:space="0" w:color="auto"/>
        <w:left w:val="none" w:sz="0" w:space="0" w:color="auto"/>
        <w:bottom w:val="none" w:sz="0" w:space="0" w:color="auto"/>
        <w:right w:val="none" w:sz="0" w:space="0" w:color="auto"/>
      </w:divBdr>
    </w:div>
    <w:div w:id="1843163136">
      <w:bodyDiv w:val="1"/>
      <w:marLeft w:val="0"/>
      <w:marRight w:val="0"/>
      <w:marTop w:val="0"/>
      <w:marBottom w:val="0"/>
      <w:divBdr>
        <w:top w:val="none" w:sz="0" w:space="0" w:color="auto"/>
        <w:left w:val="none" w:sz="0" w:space="0" w:color="auto"/>
        <w:bottom w:val="none" w:sz="0" w:space="0" w:color="auto"/>
        <w:right w:val="none" w:sz="0" w:space="0" w:color="auto"/>
      </w:divBdr>
    </w:div>
    <w:div w:id="1844055102">
      <w:bodyDiv w:val="1"/>
      <w:marLeft w:val="0"/>
      <w:marRight w:val="0"/>
      <w:marTop w:val="0"/>
      <w:marBottom w:val="0"/>
      <w:divBdr>
        <w:top w:val="none" w:sz="0" w:space="0" w:color="auto"/>
        <w:left w:val="none" w:sz="0" w:space="0" w:color="auto"/>
        <w:bottom w:val="none" w:sz="0" w:space="0" w:color="auto"/>
        <w:right w:val="none" w:sz="0" w:space="0" w:color="auto"/>
      </w:divBdr>
    </w:div>
    <w:div w:id="1846632969">
      <w:bodyDiv w:val="1"/>
      <w:marLeft w:val="0"/>
      <w:marRight w:val="0"/>
      <w:marTop w:val="0"/>
      <w:marBottom w:val="0"/>
      <w:divBdr>
        <w:top w:val="none" w:sz="0" w:space="0" w:color="auto"/>
        <w:left w:val="none" w:sz="0" w:space="0" w:color="auto"/>
        <w:bottom w:val="none" w:sz="0" w:space="0" w:color="auto"/>
        <w:right w:val="none" w:sz="0" w:space="0" w:color="auto"/>
      </w:divBdr>
    </w:div>
    <w:div w:id="1847549164">
      <w:bodyDiv w:val="1"/>
      <w:marLeft w:val="0"/>
      <w:marRight w:val="0"/>
      <w:marTop w:val="0"/>
      <w:marBottom w:val="0"/>
      <w:divBdr>
        <w:top w:val="none" w:sz="0" w:space="0" w:color="auto"/>
        <w:left w:val="none" w:sz="0" w:space="0" w:color="auto"/>
        <w:bottom w:val="none" w:sz="0" w:space="0" w:color="auto"/>
        <w:right w:val="none" w:sz="0" w:space="0" w:color="auto"/>
      </w:divBdr>
    </w:div>
    <w:div w:id="1847595881">
      <w:bodyDiv w:val="1"/>
      <w:marLeft w:val="0"/>
      <w:marRight w:val="0"/>
      <w:marTop w:val="0"/>
      <w:marBottom w:val="0"/>
      <w:divBdr>
        <w:top w:val="none" w:sz="0" w:space="0" w:color="auto"/>
        <w:left w:val="none" w:sz="0" w:space="0" w:color="auto"/>
        <w:bottom w:val="none" w:sz="0" w:space="0" w:color="auto"/>
        <w:right w:val="none" w:sz="0" w:space="0" w:color="auto"/>
      </w:divBdr>
    </w:div>
    <w:div w:id="1856266197">
      <w:bodyDiv w:val="1"/>
      <w:marLeft w:val="0"/>
      <w:marRight w:val="0"/>
      <w:marTop w:val="0"/>
      <w:marBottom w:val="0"/>
      <w:divBdr>
        <w:top w:val="none" w:sz="0" w:space="0" w:color="auto"/>
        <w:left w:val="none" w:sz="0" w:space="0" w:color="auto"/>
        <w:bottom w:val="none" w:sz="0" w:space="0" w:color="auto"/>
        <w:right w:val="none" w:sz="0" w:space="0" w:color="auto"/>
      </w:divBdr>
    </w:div>
    <w:div w:id="1858497465">
      <w:bodyDiv w:val="1"/>
      <w:marLeft w:val="0"/>
      <w:marRight w:val="0"/>
      <w:marTop w:val="0"/>
      <w:marBottom w:val="0"/>
      <w:divBdr>
        <w:top w:val="none" w:sz="0" w:space="0" w:color="auto"/>
        <w:left w:val="none" w:sz="0" w:space="0" w:color="auto"/>
        <w:bottom w:val="none" w:sz="0" w:space="0" w:color="auto"/>
        <w:right w:val="none" w:sz="0" w:space="0" w:color="auto"/>
      </w:divBdr>
    </w:div>
    <w:div w:id="1860461182">
      <w:bodyDiv w:val="1"/>
      <w:marLeft w:val="0"/>
      <w:marRight w:val="0"/>
      <w:marTop w:val="0"/>
      <w:marBottom w:val="0"/>
      <w:divBdr>
        <w:top w:val="none" w:sz="0" w:space="0" w:color="auto"/>
        <w:left w:val="none" w:sz="0" w:space="0" w:color="auto"/>
        <w:bottom w:val="none" w:sz="0" w:space="0" w:color="auto"/>
        <w:right w:val="none" w:sz="0" w:space="0" w:color="auto"/>
      </w:divBdr>
    </w:div>
    <w:div w:id="1861777635">
      <w:bodyDiv w:val="1"/>
      <w:marLeft w:val="0"/>
      <w:marRight w:val="0"/>
      <w:marTop w:val="0"/>
      <w:marBottom w:val="0"/>
      <w:divBdr>
        <w:top w:val="none" w:sz="0" w:space="0" w:color="auto"/>
        <w:left w:val="none" w:sz="0" w:space="0" w:color="auto"/>
        <w:bottom w:val="none" w:sz="0" w:space="0" w:color="auto"/>
        <w:right w:val="none" w:sz="0" w:space="0" w:color="auto"/>
      </w:divBdr>
    </w:div>
    <w:div w:id="1865747532">
      <w:bodyDiv w:val="1"/>
      <w:marLeft w:val="0"/>
      <w:marRight w:val="0"/>
      <w:marTop w:val="0"/>
      <w:marBottom w:val="0"/>
      <w:divBdr>
        <w:top w:val="none" w:sz="0" w:space="0" w:color="auto"/>
        <w:left w:val="none" w:sz="0" w:space="0" w:color="auto"/>
        <w:bottom w:val="none" w:sz="0" w:space="0" w:color="auto"/>
        <w:right w:val="none" w:sz="0" w:space="0" w:color="auto"/>
      </w:divBdr>
    </w:div>
    <w:div w:id="1880194847">
      <w:bodyDiv w:val="1"/>
      <w:marLeft w:val="0"/>
      <w:marRight w:val="0"/>
      <w:marTop w:val="0"/>
      <w:marBottom w:val="0"/>
      <w:divBdr>
        <w:top w:val="none" w:sz="0" w:space="0" w:color="auto"/>
        <w:left w:val="none" w:sz="0" w:space="0" w:color="auto"/>
        <w:bottom w:val="none" w:sz="0" w:space="0" w:color="auto"/>
        <w:right w:val="none" w:sz="0" w:space="0" w:color="auto"/>
      </w:divBdr>
    </w:div>
    <w:div w:id="1891725772">
      <w:bodyDiv w:val="1"/>
      <w:marLeft w:val="0"/>
      <w:marRight w:val="0"/>
      <w:marTop w:val="0"/>
      <w:marBottom w:val="0"/>
      <w:divBdr>
        <w:top w:val="none" w:sz="0" w:space="0" w:color="auto"/>
        <w:left w:val="none" w:sz="0" w:space="0" w:color="auto"/>
        <w:bottom w:val="none" w:sz="0" w:space="0" w:color="auto"/>
        <w:right w:val="none" w:sz="0" w:space="0" w:color="auto"/>
      </w:divBdr>
    </w:div>
    <w:div w:id="1892231571">
      <w:bodyDiv w:val="1"/>
      <w:marLeft w:val="0"/>
      <w:marRight w:val="0"/>
      <w:marTop w:val="0"/>
      <w:marBottom w:val="0"/>
      <w:divBdr>
        <w:top w:val="none" w:sz="0" w:space="0" w:color="auto"/>
        <w:left w:val="none" w:sz="0" w:space="0" w:color="auto"/>
        <w:bottom w:val="none" w:sz="0" w:space="0" w:color="auto"/>
        <w:right w:val="none" w:sz="0" w:space="0" w:color="auto"/>
      </w:divBdr>
    </w:div>
    <w:div w:id="1893151307">
      <w:bodyDiv w:val="1"/>
      <w:marLeft w:val="0"/>
      <w:marRight w:val="0"/>
      <w:marTop w:val="0"/>
      <w:marBottom w:val="0"/>
      <w:divBdr>
        <w:top w:val="none" w:sz="0" w:space="0" w:color="auto"/>
        <w:left w:val="none" w:sz="0" w:space="0" w:color="auto"/>
        <w:bottom w:val="none" w:sz="0" w:space="0" w:color="auto"/>
        <w:right w:val="none" w:sz="0" w:space="0" w:color="auto"/>
      </w:divBdr>
    </w:div>
    <w:div w:id="1898735974">
      <w:bodyDiv w:val="1"/>
      <w:marLeft w:val="0"/>
      <w:marRight w:val="0"/>
      <w:marTop w:val="0"/>
      <w:marBottom w:val="0"/>
      <w:divBdr>
        <w:top w:val="none" w:sz="0" w:space="0" w:color="auto"/>
        <w:left w:val="none" w:sz="0" w:space="0" w:color="auto"/>
        <w:bottom w:val="none" w:sz="0" w:space="0" w:color="auto"/>
        <w:right w:val="none" w:sz="0" w:space="0" w:color="auto"/>
      </w:divBdr>
    </w:div>
    <w:div w:id="1902324771">
      <w:bodyDiv w:val="1"/>
      <w:marLeft w:val="0"/>
      <w:marRight w:val="0"/>
      <w:marTop w:val="0"/>
      <w:marBottom w:val="0"/>
      <w:divBdr>
        <w:top w:val="none" w:sz="0" w:space="0" w:color="auto"/>
        <w:left w:val="none" w:sz="0" w:space="0" w:color="auto"/>
        <w:bottom w:val="none" w:sz="0" w:space="0" w:color="auto"/>
        <w:right w:val="none" w:sz="0" w:space="0" w:color="auto"/>
      </w:divBdr>
    </w:div>
    <w:div w:id="1910725542">
      <w:bodyDiv w:val="1"/>
      <w:marLeft w:val="0"/>
      <w:marRight w:val="0"/>
      <w:marTop w:val="0"/>
      <w:marBottom w:val="0"/>
      <w:divBdr>
        <w:top w:val="none" w:sz="0" w:space="0" w:color="auto"/>
        <w:left w:val="none" w:sz="0" w:space="0" w:color="auto"/>
        <w:bottom w:val="none" w:sz="0" w:space="0" w:color="auto"/>
        <w:right w:val="none" w:sz="0" w:space="0" w:color="auto"/>
      </w:divBdr>
    </w:div>
    <w:div w:id="1915697138">
      <w:bodyDiv w:val="1"/>
      <w:marLeft w:val="0"/>
      <w:marRight w:val="0"/>
      <w:marTop w:val="0"/>
      <w:marBottom w:val="0"/>
      <w:divBdr>
        <w:top w:val="none" w:sz="0" w:space="0" w:color="auto"/>
        <w:left w:val="none" w:sz="0" w:space="0" w:color="auto"/>
        <w:bottom w:val="none" w:sz="0" w:space="0" w:color="auto"/>
        <w:right w:val="none" w:sz="0" w:space="0" w:color="auto"/>
      </w:divBdr>
    </w:div>
    <w:div w:id="1916239116">
      <w:bodyDiv w:val="1"/>
      <w:marLeft w:val="0"/>
      <w:marRight w:val="0"/>
      <w:marTop w:val="0"/>
      <w:marBottom w:val="0"/>
      <w:divBdr>
        <w:top w:val="none" w:sz="0" w:space="0" w:color="auto"/>
        <w:left w:val="none" w:sz="0" w:space="0" w:color="auto"/>
        <w:bottom w:val="none" w:sz="0" w:space="0" w:color="auto"/>
        <w:right w:val="none" w:sz="0" w:space="0" w:color="auto"/>
      </w:divBdr>
    </w:div>
    <w:div w:id="1927810377">
      <w:bodyDiv w:val="1"/>
      <w:marLeft w:val="0"/>
      <w:marRight w:val="0"/>
      <w:marTop w:val="0"/>
      <w:marBottom w:val="0"/>
      <w:divBdr>
        <w:top w:val="none" w:sz="0" w:space="0" w:color="auto"/>
        <w:left w:val="none" w:sz="0" w:space="0" w:color="auto"/>
        <w:bottom w:val="none" w:sz="0" w:space="0" w:color="auto"/>
        <w:right w:val="none" w:sz="0" w:space="0" w:color="auto"/>
      </w:divBdr>
    </w:div>
    <w:div w:id="1940723624">
      <w:bodyDiv w:val="1"/>
      <w:marLeft w:val="0"/>
      <w:marRight w:val="0"/>
      <w:marTop w:val="0"/>
      <w:marBottom w:val="0"/>
      <w:divBdr>
        <w:top w:val="none" w:sz="0" w:space="0" w:color="auto"/>
        <w:left w:val="none" w:sz="0" w:space="0" w:color="auto"/>
        <w:bottom w:val="none" w:sz="0" w:space="0" w:color="auto"/>
        <w:right w:val="none" w:sz="0" w:space="0" w:color="auto"/>
      </w:divBdr>
    </w:div>
    <w:div w:id="1951087098">
      <w:bodyDiv w:val="1"/>
      <w:marLeft w:val="0"/>
      <w:marRight w:val="0"/>
      <w:marTop w:val="0"/>
      <w:marBottom w:val="0"/>
      <w:divBdr>
        <w:top w:val="none" w:sz="0" w:space="0" w:color="auto"/>
        <w:left w:val="none" w:sz="0" w:space="0" w:color="auto"/>
        <w:bottom w:val="none" w:sz="0" w:space="0" w:color="auto"/>
        <w:right w:val="none" w:sz="0" w:space="0" w:color="auto"/>
      </w:divBdr>
    </w:div>
    <w:div w:id="1954554506">
      <w:bodyDiv w:val="1"/>
      <w:marLeft w:val="0"/>
      <w:marRight w:val="0"/>
      <w:marTop w:val="0"/>
      <w:marBottom w:val="0"/>
      <w:divBdr>
        <w:top w:val="none" w:sz="0" w:space="0" w:color="auto"/>
        <w:left w:val="none" w:sz="0" w:space="0" w:color="auto"/>
        <w:bottom w:val="none" w:sz="0" w:space="0" w:color="auto"/>
        <w:right w:val="none" w:sz="0" w:space="0" w:color="auto"/>
      </w:divBdr>
    </w:div>
    <w:div w:id="1956792418">
      <w:bodyDiv w:val="1"/>
      <w:marLeft w:val="0"/>
      <w:marRight w:val="0"/>
      <w:marTop w:val="0"/>
      <w:marBottom w:val="0"/>
      <w:divBdr>
        <w:top w:val="none" w:sz="0" w:space="0" w:color="auto"/>
        <w:left w:val="none" w:sz="0" w:space="0" w:color="auto"/>
        <w:bottom w:val="none" w:sz="0" w:space="0" w:color="auto"/>
        <w:right w:val="none" w:sz="0" w:space="0" w:color="auto"/>
      </w:divBdr>
    </w:div>
    <w:div w:id="1959218469">
      <w:bodyDiv w:val="1"/>
      <w:marLeft w:val="0"/>
      <w:marRight w:val="0"/>
      <w:marTop w:val="0"/>
      <w:marBottom w:val="0"/>
      <w:divBdr>
        <w:top w:val="none" w:sz="0" w:space="0" w:color="auto"/>
        <w:left w:val="none" w:sz="0" w:space="0" w:color="auto"/>
        <w:bottom w:val="none" w:sz="0" w:space="0" w:color="auto"/>
        <w:right w:val="none" w:sz="0" w:space="0" w:color="auto"/>
      </w:divBdr>
    </w:div>
    <w:div w:id="1972661795">
      <w:bodyDiv w:val="1"/>
      <w:marLeft w:val="0"/>
      <w:marRight w:val="0"/>
      <w:marTop w:val="0"/>
      <w:marBottom w:val="0"/>
      <w:divBdr>
        <w:top w:val="none" w:sz="0" w:space="0" w:color="auto"/>
        <w:left w:val="none" w:sz="0" w:space="0" w:color="auto"/>
        <w:bottom w:val="none" w:sz="0" w:space="0" w:color="auto"/>
        <w:right w:val="none" w:sz="0" w:space="0" w:color="auto"/>
      </w:divBdr>
    </w:div>
    <w:div w:id="1973248550">
      <w:bodyDiv w:val="1"/>
      <w:marLeft w:val="0"/>
      <w:marRight w:val="0"/>
      <w:marTop w:val="0"/>
      <w:marBottom w:val="0"/>
      <w:divBdr>
        <w:top w:val="none" w:sz="0" w:space="0" w:color="auto"/>
        <w:left w:val="none" w:sz="0" w:space="0" w:color="auto"/>
        <w:bottom w:val="none" w:sz="0" w:space="0" w:color="auto"/>
        <w:right w:val="none" w:sz="0" w:space="0" w:color="auto"/>
      </w:divBdr>
    </w:div>
    <w:div w:id="1975988970">
      <w:bodyDiv w:val="1"/>
      <w:marLeft w:val="0"/>
      <w:marRight w:val="0"/>
      <w:marTop w:val="0"/>
      <w:marBottom w:val="0"/>
      <w:divBdr>
        <w:top w:val="none" w:sz="0" w:space="0" w:color="auto"/>
        <w:left w:val="none" w:sz="0" w:space="0" w:color="auto"/>
        <w:bottom w:val="none" w:sz="0" w:space="0" w:color="auto"/>
        <w:right w:val="none" w:sz="0" w:space="0" w:color="auto"/>
      </w:divBdr>
    </w:div>
    <w:div w:id="1980987676">
      <w:bodyDiv w:val="1"/>
      <w:marLeft w:val="0"/>
      <w:marRight w:val="0"/>
      <w:marTop w:val="0"/>
      <w:marBottom w:val="0"/>
      <w:divBdr>
        <w:top w:val="none" w:sz="0" w:space="0" w:color="auto"/>
        <w:left w:val="none" w:sz="0" w:space="0" w:color="auto"/>
        <w:bottom w:val="none" w:sz="0" w:space="0" w:color="auto"/>
        <w:right w:val="none" w:sz="0" w:space="0" w:color="auto"/>
      </w:divBdr>
    </w:div>
    <w:div w:id="1981953265">
      <w:bodyDiv w:val="1"/>
      <w:marLeft w:val="0"/>
      <w:marRight w:val="0"/>
      <w:marTop w:val="0"/>
      <w:marBottom w:val="0"/>
      <w:divBdr>
        <w:top w:val="none" w:sz="0" w:space="0" w:color="auto"/>
        <w:left w:val="none" w:sz="0" w:space="0" w:color="auto"/>
        <w:bottom w:val="none" w:sz="0" w:space="0" w:color="auto"/>
        <w:right w:val="none" w:sz="0" w:space="0" w:color="auto"/>
      </w:divBdr>
    </w:div>
    <w:div w:id="1983578926">
      <w:bodyDiv w:val="1"/>
      <w:marLeft w:val="0"/>
      <w:marRight w:val="0"/>
      <w:marTop w:val="0"/>
      <w:marBottom w:val="0"/>
      <w:divBdr>
        <w:top w:val="none" w:sz="0" w:space="0" w:color="auto"/>
        <w:left w:val="none" w:sz="0" w:space="0" w:color="auto"/>
        <w:bottom w:val="none" w:sz="0" w:space="0" w:color="auto"/>
        <w:right w:val="none" w:sz="0" w:space="0" w:color="auto"/>
      </w:divBdr>
    </w:div>
    <w:div w:id="1993441039">
      <w:bodyDiv w:val="1"/>
      <w:marLeft w:val="0"/>
      <w:marRight w:val="0"/>
      <w:marTop w:val="0"/>
      <w:marBottom w:val="0"/>
      <w:divBdr>
        <w:top w:val="none" w:sz="0" w:space="0" w:color="auto"/>
        <w:left w:val="none" w:sz="0" w:space="0" w:color="auto"/>
        <w:bottom w:val="none" w:sz="0" w:space="0" w:color="auto"/>
        <w:right w:val="none" w:sz="0" w:space="0" w:color="auto"/>
      </w:divBdr>
    </w:div>
    <w:div w:id="1995840404">
      <w:bodyDiv w:val="1"/>
      <w:marLeft w:val="0"/>
      <w:marRight w:val="0"/>
      <w:marTop w:val="0"/>
      <w:marBottom w:val="0"/>
      <w:divBdr>
        <w:top w:val="none" w:sz="0" w:space="0" w:color="auto"/>
        <w:left w:val="none" w:sz="0" w:space="0" w:color="auto"/>
        <w:bottom w:val="none" w:sz="0" w:space="0" w:color="auto"/>
        <w:right w:val="none" w:sz="0" w:space="0" w:color="auto"/>
      </w:divBdr>
    </w:div>
    <w:div w:id="1997151518">
      <w:bodyDiv w:val="1"/>
      <w:marLeft w:val="0"/>
      <w:marRight w:val="0"/>
      <w:marTop w:val="0"/>
      <w:marBottom w:val="0"/>
      <w:divBdr>
        <w:top w:val="none" w:sz="0" w:space="0" w:color="auto"/>
        <w:left w:val="none" w:sz="0" w:space="0" w:color="auto"/>
        <w:bottom w:val="none" w:sz="0" w:space="0" w:color="auto"/>
        <w:right w:val="none" w:sz="0" w:space="0" w:color="auto"/>
      </w:divBdr>
    </w:div>
    <w:div w:id="1999452376">
      <w:bodyDiv w:val="1"/>
      <w:marLeft w:val="0"/>
      <w:marRight w:val="0"/>
      <w:marTop w:val="0"/>
      <w:marBottom w:val="0"/>
      <w:divBdr>
        <w:top w:val="none" w:sz="0" w:space="0" w:color="auto"/>
        <w:left w:val="none" w:sz="0" w:space="0" w:color="auto"/>
        <w:bottom w:val="none" w:sz="0" w:space="0" w:color="auto"/>
        <w:right w:val="none" w:sz="0" w:space="0" w:color="auto"/>
      </w:divBdr>
    </w:div>
    <w:div w:id="2001275489">
      <w:bodyDiv w:val="1"/>
      <w:marLeft w:val="0"/>
      <w:marRight w:val="0"/>
      <w:marTop w:val="0"/>
      <w:marBottom w:val="0"/>
      <w:divBdr>
        <w:top w:val="none" w:sz="0" w:space="0" w:color="auto"/>
        <w:left w:val="none" w:sz="0" w:space="0" w:color="auto"/>
        <w:bottom w:val="none" w:sz="0" w:space="0" w:color="auto"/>
        <w:right w:val="none" w:sz="0" w:space="0" w:color="auto"/>
      </w:divBdr>
    </w:div>
    <w:div w:id="2003502541">
      <w:bodyDiv w:val="1"/>
      <w:marLeft w:val="0"/>
      <w:marRight w:val="0"/>
      <w:marTop w:val="0"/>
      <w:marBottom w:val="0"/>
      <w:divBdr>
        <w:top w:val="none" w:sz="0" w:space="0" w:color="auto"/>
        <w:left w:val="none" w:sz="0" w:space="0" w:color="auto"/>
        <w:bottom w:val="none" w:sz="0" w:space="0" w:color="auto"/>
        <w:right w:val="none" w:sz="0" w:space="0" w:color="auto"/>
      </w:divBdr>
    </w:div>
    <w:div w:id="2015960561">
      <w:bodyDiv w:val="1"/>
      <w:marLeft w:val="0"/>
      <w:marRight w:val="0"/>
      <w:marTop w:val="0"/>
      <w:marBottom w:val="0"/>
      <w:divBdr>
        <w:top w:val="none" w:sz="0" w:space="0" w:color="auto"/>
        <w:left w:val="none" w:sz="0" w:space="0" w:color="auto"/>
        <w:bottom w:val="none" w:sz="0" w:space="0" w:color="auto"/>
        <w:right w:val="none" w:sz="0" w:space="0" w:color="auto"/>
      </w:divBdr>
    </w:div>
    <w:div w:id="2018579682">
      <w:bodyDiv w:val="1"/>
      <w:marLeft w:val="0"/>
      <w:marRight w:val="0"/>
      <w:marTop w:val="0"/>
      <w:marBottom w:val="0"/>
      <w:divBdr>
        <w:top w:val="none" w:sz="0" w:space="0" w:color="auto"/>
        <w:left w:val="none" w:sz="0" w:space="0" w:color="auto"/>
        <w:bottom w:val="none" w:sz="0" w:space="0" w:color="auto"/>
        <w:right w:val="none" w:sz="0" w:space="0" w:color="auto"/>
      </w:divBdr>
    </w:div>
    <w:div w:id="2019575434">
      <w:bodyDiv w:val="1"/>
      <w:marLeft w:val="0"/>
      <w:marRight w:val="0"/>
      <w:marTop w:val="0"/>
      <w:marBottom w:val="0"/>
      <w:divBdr>
        <w:top w:val="none" w:sz="0" w:space="0" w:color="auto"/>
        <w:left w:val="none" w:sz="0" w:space="0" w:color="auto"/>
        <w:bottom w:val="none" w:sz="0" w:space="0" w:color="auto"/>
        <w:right w:val="none" w:sz="0" w:space="0" w:color="auto"/>
      </w:divBdr>
    </w:div>
    <w:div w:id="2020351613">
      <w:bodyDiv w:val="1"/>
      <w:marLeft w:val="0"/>
      <w:marRight w:val="0"/>
      <w:marTop w:val="0"/>
      <w:marBottom w:val="0"/>
      <w:divBdr>
        <w:top w:val="none" w:sz="0" w:space="0" w:color="auto"/>
        <w:left w:val="none" w:sz="0" w:space="0" w:color="auto"/>
        <w:bottom w:val="none" w:sz="0" w:space="0" w:color="auto"/>
        <w:right w:val="none" w:sz="0" w:space="0" w:color="auto"/>
      </w:divBdr>
    </w:div>
    <w:div w:id="2020614795">
      <w:bodyDiv w:val="1"/>
      <w:marLeft w:val="0"/>
      <w:marRight w:val="0"/>
      <w:marTop w:val="0"/>
      <w:marBottom w:val="0"/>
      <w:divBdr>
        <w:top w:val="none" w:sz="0" w:space="0" w:color="auto"/>
        <w:left w:val="none" w:sz="0" w:space="0" w:color="auto"/>
        <w:bottom w:val="none" w:sz="0" w:space="0" w:color="auto"/>
        <w:right w:val="none" w:sz="0" w:space="0" w:color="auto"/>
      </w:divBdr>
    </w:div>
    <w:div w:id="2028288361">
      <w:bodyDiv w:val="1"/>
      <w:marLeft w:val="0"/>
      <w:marRight w:val="0"/>
      <w:marTop w:val="0"/>
      <w:marBottom w:val="0"/>
      <w:divBdr>
        <w:top w:val="none" w:sz="0" w:space="0" w:color="auto"/>
        <w:left w:val="none" w:sz="0" w:space="0" w:color="auto"/>
        <w:bottom w:val="none" w:sz="0" w:space="0" w:color="auto"/>
        <w:right w:val="none" w:sz="0" w:space="0" w:color="auto"/>
      </w:divBdr>
    </w:div>
    <w:div w:id="2037728030">
      <w:bodyDiv w:val="1"/>
      <w:marLeft w:val="0"/>
      <w:marRight w:val="0"/>
      <w:marTop w:val="0"/>
      <w:marBottom w:val="0"/>
      <w:divBdr>
        <w:top w:val="none" w:sz="0" w:space="0" w:color="auto"/>
        <w:left w:val="none" w:sz="0" w:space="0" w:color="auto"/>
        <w:bottom w:val="none" w:sz="0" w:space="0" w:color="auto"/>
        <w:right w:val="none" w:sz="0" w:space="0" w:color="auto"/>
      </w:divBdr>
    </w:div>
    <w:div w:id="2051957917">
      <w:bodyDiv w:val="1"/>
      <w:marLeft w:val="0"/>
      <w:marRight w:val="0"/>
      <w:marTop w:val="0"/>
      <w:marBottom w:val="0"/>
      <w:divBdr>
        <w:top w:val="none" w:sz="0" w:space="0" w:color="auto"/>
        <w:left w:val="none" w:sz="0" w:space="0" w:color="auto"/>
        <w:bottom w:val="none" w:sz="0" w:space="0" w:color="auto"/>
        <w:right w:val="none" w:sz="0" w:space="0" w:color="auto"/>
      </w:divBdr>
    </w:div>
    <w:div w:id="2076078919">
      <w:bodyDiv w:val="1"/>
      <w:marLeft w:val="0"/>
      <w:marRight w:val="0"/>
      <w:marTop w:val="0"/>
      <w:marBottom w:val="0"/>
      <w:divBdr>
        <w:top w:val="none" w:sz="0" w:space="0" w:color="auto"/>
        <w:left w:val="none" w:sz="0" w:space="0" w:color="auto"/>
        <w:bottom w:val="none" w:sz="0" w:space="0" w:color="auto"/>
        <w:right w:val="none" w:sz="0" w:space="0" w:color="auto"/>
      </w:divBdr>
    </w:div>
    <w:div w:id="2078627761">
      <w:bodyDiv w:val="1"/>
      <w:marLeft w:val="0"/>
      <w:marRight w:val="0"/>
      <w:marTop w:val="0"/>
      <w:marBottom w:val="0"/>
      <w:divBdr>
        <w:top w:val="none" w:sz="0" w:space="0" w:color="auto"/>
        <w:left w:val="none" w:sz="0" w:space="0" w:color="auto"/>
        <w:bottom w:val="none" w:sz="0" w:space="0" w:color="auto"/>
        <w:right w:val="none" w:sz="0" w:space="0" w:color="auto"/>
      </w:divBdr>
    </w:div>
    <w:div w:id="2085568047">
      <w:bodyDiv w:val="1"/>
      <w:marLeft w:val="0"/>
      <w:marRight w:val="0"/>
      <w:marTop w:val="0"/>
      <w:marBottom w:val="0"/>
      <w:divBdr>
        <w:top w:val="none" w:sz="0" w:space="0" w:color="auto"/>
        <w:left w:val="none" w:sz="0" w:space="0" w:color="auto"/>
        <w:bottom w:val="none" w:sz="0" w:space="0" w:color="auto"/>
        <w:right w:val="none" w:sz="0" w:space="0" w:color="auto"/>
      </w:divBdr>
    </w:div>
    <w:div w:id="2089494957">
      <w:bodyDiv w:val="1"/>
      <w:marLeft w:val="0"/>
      <w:marRight w:val="0"/>
      <w:marTop w:val="0"/>
      <w:marBottom w:val="0"/>
      <w:divBdr>
        <w:top w:val="none" w:sz="0" w:space="0" w:color="auto"/>
        <w:left w:val="none" w:sz="0" w:space="0" w:color="auto"/>
        <w:bottom w:val="none" w:sz="0" w:space="0" w:color="auto"/>
        <w:right w:val="none" w:sz="0" w:space="0" w:color="auto"/>
      </w:divBdr>
    </w:div>
    <w:div w:id="2092847523">
      <w:bodyDiv w:val="1"/>
      <w:marLeft w:val="0"/>
      <w:marRight w:val="0"/>
      <w:marTop w:val="0"/>
      <w:marBottom w:val="0"/>
      <w:divBdr>
        <w:top w:val="none" w:sz="0" w:space="0" w:color="auto"/>
        <w:left w:val="none" w:sz="0" w:space="0" w:color="auto"/>
        <w:bottom w:val="none" w:sz="0" w:space="0" w:color="auto"/>
        <w:right w:val="none" w:sz="0" w:space="0" w:color="auto"/>
      </w:divBdr>
    </w:div>
    <w:div w:id="2100324011">
      <w:bodyDiv w:val="1"/>
      <w:marLeft w:val="0"/>
      <w:marRight w:val="0"/>
      <w:marTop w:val="0"/>
      <w:marBottom w:val="0"/>
      <w:divBdr>
        <w:top w:val="none" w:sz="0" w:space="0" w:color="auto"/>
        <w:left w:val="none" w:sz="0" w:space="0" w:color="auto"/>
        <w:bottom w:val="none" w:sz="0" w:space="0" w:color="auto"/>
        <w:right w:val="none" w:sz="0" w:space="0" w:color="auto"/>
      </w:divBdr>
    </w:div>
    <w:div w:id="2107848598">
      <w:bodyDiv w:val="1"/>
      <w:marLeft w:val="0"/>
      <w:marRight w:val="0"/>
      <w:marTop w:val="0"/>
      <w:marBottom w:val="0"/>
      <w:divBdr>
        <w:top w:val="none" w:sz="0" w:space="0" w:color="auto"/>
        <w:left w:val="none" w:sz="0" w:space="0" w:color="auto"/>
        <w:bottom w:val="none" w:sz="0" w:space="0" w:color="auto"/>
        <w:right w:val="none" w:sz="0" w:space="0" w:color="auto"/>
      </w:divBdr>
    </w:div>
    <w:div w:id="2125617652">
      <w:bodyDiv w:val="1"/>
      <w:marLeft w:val="0"/>
      <w:marRight w:val="0"/>
      <w:marTop w:val="0"/>
      <w:marBottom w:val="0"/>
      <w:divBdr>
        <w:top w:val="none" w:sz="0" w:space="0" w:color="auto"/>
        <w:left w:val="none" w:sz="0" w:space="0" w:color="auto"/>
        <w:bottom w:val="none" w:sz="0" w:space="0" w:color="auto"/>
        <w:right w:val="none" w:sz="0" w:space="0" w:color="auto"/>
      </w:divBdr>
    </w:div>
    <w:div w:id="2137603220">
      <w:bodyDiv w:val="1"/>
      <w:marLeft w:val="0"/>
      <w:marRight w:val="0"/>
      <w:marTop w:val="0"/>
      <w:marBottom w:val="0"/>
      <w:divBdr>
        <w:top w:val="none" w:sz="0" w:space="0" w:color="auto"/>
        <w:left w:val="none" w:sz="0" w:space="0" w:color="auto"/>
        <w:bottom w:val="none" w:sz="0" w:space="0" w:color="auto"/>
        <w:right w:val="none" w:sz="0" w:space="0" w:color="auto"/>
      </w:divBdr>
    </w:div>
    <w:div w:id="2137793054">
      <w:bodyDiv w:val="1"/>
      <w:marLeft w:val="0"/>
      <w:marRight w:val="0"/>
      <w:marTop w:val="0"/>
      <w:marBottom w:val="0"/>
      <w:divBdr>
        <w:top w:val="none" w:sz="0" w:space="0" w:color="auto"/>
        <w:left w:val="none" w:sz="0" w:space="0" w:color="auto"/>
        <w:bottom w:val="none" w:sz="0" w:space="0" w:color="auto"/>
        <w:right w:val="none" w:sz="0" w:space="0" w:color="auto"/>
      </w:divBdr>
    </w:div>
    <w:div w:id="2137989718">
      <w:bodyDiv w:val="1"/>
      <w:marLeft w:val="0"/>
      <w:marRight w:val="0"/>
      <w:marTop w:val="0"/>
      <w:marBottom w:val="0"/>
      <w:divBdr>
        <w:top w:val="none" w:sz="0" w:space="0" w:color="auto"/>
        <w:left w:val="none" w:sz="0" w:space="0" w:color="auto"/>
        <w:bottom w:val="none" w:sz="0" w:space="0" w:color="auto"/>
        <w:right w:val="none" w:sz="0" w:space="0" w:color="auto"/>
      </w:divBdr>
    </w:div>
    <w:div w:id="2138251796">
      <w:bodyDiv w:val="1"/>
      <w:marLeft w:val="0"/>
      <w:marRight w:val="0"/>
      <w:marTop w:val="0"/>
      <w:marBottom w:val="0"/>
      <w:divBdr>
        <w:top w:val="none" w:sz="0" w:space="0" w:color="auto"/>
        <w:left w:val="none" w:sz="0" w:space="0" w:color="auto"/>
        <w:bottom w:val="none" w:sz="0" w:space="0" w:color="auto"/>
        <w:right w:val="none" w:sz="0" w:space="0" w:color="auto"/>
      </w:divBdr>
    </w:div>
    <w:div w:id="2140610452">
      <w:bodyDiv w:val="1"/>
      <w:marLeft w:val="0"/>
      <w:marRight w:val="0"/>
      <w:marTop w:val="0"/>
      <w:marBottom w:val="0"/>
      <w:divBdr>
        <w:top w:val="none" w:sz="0" w:space="0" w:color="auto"/>
        <w:left w:val="none" w:sz="0" w:space="0" w:color="auto"/>
        <w:bottom w:val="none" w:sz="0" w:space="0" w:color="auto"/>
        <w:right w:val="none" w:sz="0" w:space="0" w:color="auto"/>
      </w:divBdr>
    </w:div>
    <w:div w:id="2141877774">
      <w:bodyDiv w:val="1"/>
      <w:marLeft w:val="0"/>
      <w:marRight w:val="0"/>
      <w:marTop w:val="0"/>
      <w:marBottom w:val="0"/>
      <w:divBdr>
        <w:top w:val="none" w:sz="0" w:space="0" w:color="auto"/>
        <w:left w:val="none" w:sz="0" w:space="0" w:color="auto"/>
        <w:bottom w:val="none" w:sz="0" w:space="0" w:color="auto"/>
        <w:right w:val="none" w:sz="0" w:space="0" w:color="auto"/>
      </w:divBdr>
    </w:div>
    <w:div w:id="21448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bis.org/publ/bcbs283.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969FF7-F54D-4112-85FC-1933EC3B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126</Pages>
  <Words>13769</Words>
  <Characters>78488</Characters>
  <Application>Microsoft Office Word</Application>
  <DocSecurity>0</DocSecurity>
  <Lines>654</Lines>
  <Paragraphs>184</Paragraphs>
  <ScaleCrop>false</ScaleCrop>
  <Company/>
  <LinksUpToDate>false</LinksUpToDate>
  <CharactersWithSpaces>92073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CPS</dc:creator>
  <cp:lastModifiedBy>許至妤19890</cp:lastModifiedBy>
  <cp:revision>311</cp:revision>
  <cp:lastPrinted>2017-04-27T10:03:00Z</cp:lastPrinted>
  <dcterms:created xsi:type="dcterms:W3CDTF">2021-02-18T15:33:00Z</dcterms:created>
  <dcterms:modified xsi:type="dcterms:W3CDTF">2021-03-30T09:07:00Z</dcterms:modified>
</cp:coreProperties>
</file>