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12145D" w:rsidRDefault="007F4B37" w:rsidP="0012145D">
      <w:pPr>
        <w:widowControl/>
        <w:jc w:val="center"/>
        <w:rPr>
          <w:rFonts w:asciiTheme="minorEastAsia" w:hAnsiTheme="minorEastAsia"/>
          <w:b/>
          <w:sz w:val="28"/>
          <w:szCs w:val="24"/>
        </w:rPr>
      </w:pPr>
    </w:p>
    <w:p w:rsidR="0012145D" w:rsidRPr="00585D7C" w:rsidRDefault="0012145D" w:rsidP="001D096B">
      <w:pPr>
        <w:pStyle w:val="11"/>
        <w:rPr>
          <w:kern w:val="2"/>
          <w:sz w:val="24"/>
        </w:rPr>
      </w:pPr>
      <w:r>
        <w:rPr>
          <w:b/>
          <w:szCs w:val="24"/>
        </w:rPr>
        <w:fldChar w:fldCharType="begin"/>
      </w:r>
      <w:r>
        <w:rPr>
          <w:b/>
          <w:szCs w:val="24"/>
        </w:rPr>
        <w:instrText xml:space="preserve"> TOC \o "1-1" \h \z \u </w:instrText>
      </w:r>
      <w:r>
        <w:rPr>
          <w:b/>
          <w:szCs w:val="24"/>
        </w:rPr>
        <w:fldChar w:fldCharType="separate"/>
      </w:r>
      <w:hyperlink w:anchor="_Toc111194927" w:history="1">
        <w:r w:rsidRPr="00585D7C">
          <w:rPr>
            <w:rStyle w:val="ad"/>
            <w:rFonts w:asciiTheme="minorEastAsia" w:hAnsiTheme="minorEastAsia" w:hint="eastAsia"/>
            <w:color w:val="FF0000"/>
          </w:rPr>
          <w:t>一、</w:t>
        </w:r>
        <w:r w:rsidRPr="00585D7C">
          <w:rPr>
            <w:kern w:val="2"/>
            <w:sz w:val="24"/>
          </w:rPr>
          <w:tab/>
        </w:r>
        <w:r w:rsidRPr="00585D7C">
          <w:rPr>
            <w:rStyle w:val="ad"/>
            <w:rFonts w:asciiTheme="minorEastAsia" w:hAnsiTheme="minorEastAsia" w:hint="eastAsia"/>
            <w:color w:val="FF0000"/>
          </w:rPr>
          <w:t>目的與適用範圍</w:t>
        </w:r>
        <w:r w:rsidRPr="00585D7C">
          <w:rPr>
            <w:webHidden/>
          </w:rPr>
          <w:tab/>
        </w:r>
        <w:r w:rsidRPr="00585D7C">
          <w:rPr>
            <w:webHidden/>
          </w:rPr>
          <w:fldChar w:fldCharType="begin"/>
        </w:r>
        <w:r w:rsidRPr="00585D7C">
          <w:rPr>
            <w:webHidden/>
          </w:rPr>
          <w:instrText xml:space="preserve"> PAGEREF _Toc111194927 \h </w:instrText>
        </w:r>
        <w:r w:rsidRPr="00585D7C">
          <w:rPr>
            <w:webHidden/>
          </w:rPr>
        </w:r>
        <w:r w:rsidRPr="00585D7C">
          <w:rPr>
            <w:webHidden/>
          </w:rPr>
          <w:fldChar w:fldCharType="separate"/>
        </w:r>
        <w:r w:rsidRPr="00585D7C">
          <w:rPr>
            <w:webHidden/>
          </w:rPr>
          <w:t>2</w:t>
        </w:r>
        <w:r w:rsidRPr="00585D7C">
          <w:rPr>
            <w:webHidden/>
          </w:rPr>
          <w:fldChar w:fldCharType="end"/>
        </w:r>
      </w:hyperlink>
    </w:p>
    <w:p w:rsidR="0012145D" w:rsidRPr="00585D7C" w:rsidRDefault="00692646" w:rsidP="001D096B">
      <w:pPr>
        <w:pStyle w:val="11"/>
        <w:rPr>
          <w:kern w:val="2"/>
          <w:sz w:val="24"/>
        </w:rPr>
      </w:pPr>
      <w:hyperlink w:anchor="_Toc111194928" w:history="1">
        <w:r w:rsidR="0012145D" w:rsidRPr="00585D7C">
          <w:rPr>
            <w:rStyle w:val="ad"/>
            <w:rFonts w:asciiTheme="minorEastAsia" w:hAnsiTheme="minorEastAsia" w:hint="eastAsia"/>
            <w:color w:val="FF0000"/>
          </w:rPr>
          <w:t>二、</w:t>
        </w:r>
        <w:r w:rsidR="0012145D" w:rsidRPr="00585D7C">
          <w:rPr>
            <w:kern w:val="2"/>
            <w:sz w:val="24"/>
          </w:rPr>
          <w:tab/>
        </w:r>
        <w:r w:rsidR="0012145D" w:rsidRPr="00585D7C">
          <w:rPr>
            <w:rStyle w:val="ad"/>
            <w:rFonts w:asciiTheme="minorEastAsia" w:hAnsiTheme="minorEastAsia" w:hint="eastAsia"/>
            <w:color w:val="FF0000"/>
          </w:rPr>
          <w:t>用詞定義</w:t>
        </w:r>
        <w:r w:rsidR="0012145D" w:rsidRPr="00585D7C">
          <w:rPr>
            <w:webHidden/>
          </w:rPr>
          <w:tab/>
        </w:r>
        <w:r w:rsidR="0012145D" w:rsidRPr="00585D7C">
          <w:rPr>
            <w:webHidden/>
          </w:rPr>
          <w:fldChar w:fldCharType="begin"/>
        </w:r>
        <w:r w:rsidR="0012145D" w:rsidRPr="00585D7C">
          <w:rPr>
            <w:webHidden/>
          </w:rPr>
          <w:instrText xml:space="preserve"> PAGEREF _Toc111194928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692646" w:rsidP="001D096B">
      <w:pPr>
        <w:pStyle w:val="11"/>
        <w:rPr>
          <w:kern w:val="2"/>
          <w:sz w:val="24"/>
        </w:rPr>
      </w:pPr>
      <w:hyperlink w:anchor="_Toc111194929" w:history="1">
        <w:r w:rsidR="0012145D" w:rsidRPr="00585D7C">
          <w:rPr>
            <w:rStyle w:val="ad"/>
            <w:rFonts w:asciiTheme="minorEastAsia" w:hAnsiTheme="minorEastAsia" w:hint="eastAsia"/>
            <w:color w:val="FF0000"/>
          </w:rPr>
          <w:t>三、</w:t>
        </w:r>
        <w:r w:rsidR="0012145D" w:rsidRPr="00585D7C">
          <w:rPr>
            <w:kern w:val="2"/>
            <w:sz w:val="24"/>
          </w:rPr>
          <w:tab/>
        </w:r>
        <w:r w:rsidR="0012145D" w:rsidRPr="00585D7C">
          <w:rPr>
            <w:rStyle w:val="ad"/>
            <w:rFonts w:asciiTheme="minorEastAsia" w:hAnsiTheme="minorEastAsia" w:hint="eastAsia"/>
            <w:color w:val="FF0000"/>
          </w:rPr>
          <w:t>交易簿的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_Toc111194929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692646" w:rsidP="001D096B">
      <w:pPr>
        <w:pStyle w:val="11"/>
        <w:rPr>
          <w:kern w:val="2"/>
          <w:sz w:val="24"/>
        </w:rPr>
      </w:pPr>
      <w:hyperlink w:anchor="_Toc111194930" w:history="1">
        <w:r w:rsidR="0012145D" w:rsidRPr="00585D7C">
          <w:rPr>
            <w:rStyle w:val="ad"/>
            <w:rFonts w:asciiTheme="minorEastAsia" w:hAnsiTheme="minorEastAsia" w:hint="eastAsia"/>
            <w:color w:val="FF0000"/>
          </w:rPr>
          <w:t>四、</w:t>
        </w:r>
        <w:r w:rsidR="0012145D" w:rsidRPr="00585D7C">
          <w:rPr>
            <w:kern w:val="2"/>
            <w:sz w:val="24"/>
          </w:rPr>
          <w:tab/>
        </w:r>
        <w:r w:rsidR="0012145D" w:rsidRPr="00585D7C">
          <w:rPr>
            <w:rStyle w:val="ad"/>
            <w:rFonts w:asciiTheme="minorEastAsia" w:hAnsiTheme="minorEastAsia" w:hint="eastAsia"/>
            <w:color w:val="FF0000"/>
          </w:rPr>
          <w:t>銀行簿的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_Toc111194930 \h </w:instrText>
        </w:r>
        <w:r w:rsidR="0012145D" w:rsidRPr="00585D7C">
          <w:rPr>
            <w:webHidden/>
          </w:rPr>
        </w:r>
        <w:r w:rsidR="0012145D" w:rsidRPr="00585D7C">
          <w:rPr>
            <w:webHidden/>
          </w:rPr>
          <w:fldChar w:fldCharType="separate"/>
        </w:r>
        <w:r w:rsidR="0012145D" w:rsidRPr="00585D7C">
          <w:rPr>
            <w:webHidden/>
          </w:rPr>
          <w:t>3</w:t>
        </w:r>
        <w:r w:rsidR="0012145D" w:rsidRPr="00585D7C">
          <w:rPr>
            <w:webHidden/>
          </w:rPr>
          <w:fldChar w:fldCharType="end"/>
        </w:r>
      </w:hyperlink>
    </w:p>
    <w:p w:rsidR="0012145D" w:rsidRPr="001D096B" w:rsidRDefault="00692646" w:rsidP="001D096B">
      <w:pPr>
        <w:pStyle w:val="11"/>
        <w:rPr>
          <w:kern w:val="2"/>
          <w:sz w:val="24"/>
        </w:rPr>
      </w:pPr>
      <w:hyperlink w:anchor="_Toc111194931" w:history="1">
        <w:r w:rsidR="0012145D" w:rsidRPr="001D096B">
          <w:rPr>
            <w:rStyle w:val="ad"/>
            <w:rFonts w:asciiTheme="minorEastAsia" w:hAnsiTheme="minorEastAsia" w:hint="eastAsia"/>
            <w:color w:val="auto"/>
          </w:rPr>
          <w:t>五、</w:t>
        </w:r>
        <w:r w:rsidR="0012145D" w:rsidRPr="001D096B">
          <w:rPr>
            <w:kern w:val="2"/>
            <w:sz w:val="24"/>
          </w:rPr>
          <w:tab/>
        </w:r>
        <w:r w:rsidR="0012145D" w:rsidRPr="001D096B">
          <w:rPr>
            <w:rStyle w:val="ad"/>
            <w:rFonts w:asciiTheme="minorEastAsia" w:hAnsiTheme="minorEastAsia" w:hint="eastAsia"/>
            <w:color w:val="auto"/>
          </w:rPr>
          <w:t>簿別間重新認列</w:t>
        </w:r>
        <w:r w:rsidR="0012145D" w:rsidRPr="001D096B">
          <w:rPr>
            <w:rStyle w:val="ad"/>
            <w:rFonts w:asciiTheme="minorEastAsia" w:hAnsiTheme="minorEastAsia" w:hint="eastAsia"/>
            <w:color w:val="auto"/>
            <w:lang w:eastAsia="zh-HK"/>
          </w:rPr>
          <w:t>相關規定</w:t>
        </w:r>
        <w:r w:rsidR="0012145D" w:rsidRPr="001D096B">
          <w:rPr>
            <w:webHidden/>
          </w:rPr>
          <w:tab/>
        </w:r>
        <w:r w:rsidR="0012145D" w:rsidRPr="001D096B">
          <w:rPr>
            <w:webHidden/>
          </w:rPr>
          <w:fldChar w:fldCharType="begin"/>
        </w:r>
        <w:r w:rsidR="0012145D" w:rsidRPr="001D096B">
          <w:rPr>
            <w:webHidden/>
          </w:rPr>
          <w:instrText xml:space="preserve"> PAGEREF _Toc111194931 \h </w:instrText>
        </w:r>
        <w:r w:rsidR="0012145D" w:rsidRPr="001D096B">
          <w:rPr>
            <w:webHidden/>
          </w:rPr>
        </w:r>
        <w:r w:rsidR="0012145D" w:rsidRPr="001D096B">
          <w:rPr>
            <w:webHidden/>
          </w:rPr>
          <w:fldChar w:fldCharType="separate"/>
        </w:r>
        <w:r w:rsidR="0012145D" w:rsidRPr="001D096B">
          <w:rPr>
            <w:webHidden/>
          </w:rPr>
          <w:t>4</w:t>
        </w:r>
        <w:r w:rsidR="0012145D" w:rsidRPr="001D096B">
          <w:rPr>
            <w:webHidden/>
          </w:rPr>
          <w:fldChar w:fldCharType="end"/>
        </w:r>
      </w:hyperlink>
    </w:p>
    <w:p w:rsidR="0012145D" w:rsidRDefault="00692646" w:rsidP="001D096B">
      <w:pPr>
        <w:pStyle w:val="11"/>
        <w:rPr>
          <w:kern w:val="2"/>
          <w:sz w:val="24"/>
        </w:rPr>
      </w:pPr>
      <w:hyperlink w:anchor="_Toc111194932" w:history="1">
        <w:r w:rsidR="0012145D" w:rsidRPr="005E26C4">
          <w:rPr>
            <w:rStyle w:val="ad"/>
            <w:rFonts w:asciiTheme="minorEastAsia" w:hAnsiTheme="minorEastAsia" w:hint="eastAsia"/>
          </w:rPr>
          <w:t>六、</w:t>
        </w:r>
        <w:r w:rsidR="0012145D">
          <w:rPr>
            <w:kern w:val="2"/>
            <w:sz w:val="24"/>
          </w:rPr>
          <w:tab/>
        </w:r>
        <w:r w:rsidR="0012145D" w:rsidRPr="005E26C4">
          <w:rPr>
            <w:rStyle w:val="ad"/>
            <w:rFonts w:asciiTheme="minorEastAsia" w:hAnsiTheme="minorEastAsia" w:hint="eastAsia"/>
            <w:lang w:eastAsia="zh-HK"/>
          </w:rPr>
          <w:t>內部風險移轉處理相關規定</w:t>
        </w:r>
        <w:r w:rsidR="0012145D">
          <w:rPr>
            <w:webHidden/>
          </w:rPr>
          <w:tab/>
        </w:r>
        <w:r w:rsidR="0012145D">
          <w:rPr>
            <w:webHidden/>
          </w:rPr>
          <w:fldChar w:fldCharType="begin"/>
        </w:r>
        <w:r w:rsidR="0012145D">
          <w:rPr>
            <w:webHidden/>
          </w:rPr>
          <w:instrText xml:space="preserve"> PAGEREF _Toc111194932 \h </w:instrText>
        </w:r>
        <w:r w:rsidR="0012145D">
          <w:rPr>
            <w:webHidden/>
          </w:rPr>
        </w:r>
        <w:r w:rsidR="0012145D">
          <w:rPr>
            <w:webHidden/>
          </w:rPr>
          <w:fldChar w:fldCharType="separate"/>
        </w:r>
        <w:r w:rsidR="0012145D">
          <w:rPr>
            <w:webHidden/>
          </w:rPr>
          <w:t>5</w:t>
        </w:r>
        <w:r w:rsidR="0012145D">
          <w:rPr>
            <w:webHidden/>
          </w:rPr>
          <w:fldChar w:fldCharType="end"/>
        </w:r>
      </w:hyperlink>
    </w:p>
    <w:p w:rsidR="0012145D" w:rsidRDefault="00692646" w:rsidP="001D096B">
      <w:pPr>
        <w:pStyle w:val="11"/>
        <w:rPr>
          <w:kern w:val="2"/>
          <w:sz w:val="24"/>
        </w:rPr>
      </w:pPr>
      <w:hyperlink w:anchor="_Toc111194933" w:history="1">
        <w:r w:rsidR="0012145D" w:rsidRPr="005E26C4">
          <w:rPr>
            <w:rStyle w:val="ad"/>
            <w:rFonts w:asciiTheme="minorEastAsia" w:hAnsiTheme="minorEastAsia" w:hint="eastAsia"/>
          </w:rPr>
          <w:t>七、</w:t>
        </w:r>
        <w:r w:rsidR="0012145D">
          <w:rPr>
            <w:kern w:val="2"/>
            <w:sz w:val="24"/>
          </w:rPr>
          <w:tab/>
        </w:r>
        <w:r w:rsidR="0012145D" w:rsidRPr="005E26C4">
          <w:rPr>
            <w:rStyle w:val="ad"/>
            <w:rFonts w:asciiTheme="minorEastAsia" w:hAnsiTheme="minorEastAsia" w:hint="eastAsia"/>
          </w:rPr>
          <w:t>其他管理事項</w:t>
        </w:r>
        <w:r w:rsidR="0012145D">
          <w:rPr>
            <w:webHidden/>
          </w:rPr>
          <w:tab/>
        </w:r>
        <w:r w:rsidR="0012145D">
          <w:rPr>
            <w:webHidden/>
          </w:rPr>
          <w:fldChar w:fldCharType="begin"/>
        </w:r>
        <w:r w:rsidR="0012145D">
          <w:rPr>
            <w:webHidden/>
          </w:rPr>
          <w:instrText xml:space="preserve"> PAGEREF _Toc111194933 \h </w:instrText>
        </w:r>
        <w:r w:rsidR="0012145D">
          <w:rPr>
            <w:webHidden/>
          </w:rPr>
        </w:r>
        <w:r w:rsidR="0012145D">
          <w:rPr>
            <w:webHidden/>
          </w:rPr>
          <w:fldChar w:fldCharType="separate"/>
        </w:r>
        <w:r w:rsidR="0012145D">
          <w:rPr>
            <w:webHidden/>
          </w:rPr>
          <w:t>6</w:t>
        </w:r>
        <w:r w:rsidR="0012145D">
          <w:rPr>
            <w:webHidden/>
          </w:rPr>
          <w:fldChar w:fldCharType="end"/>
        </w:r>
      </w:hyperlink>
    </w:p>
    <w:p w:rsidR="0012145D" w:rsidRDefault="00692646" w:rsidP="001D096B">
      <w:pPr>
        <w:pStyle w:val="11"/>
        <w:rPr>
          <w:kern w:val="2"/>
          <w:sz w:val="24"/>
        </w:rPr>
      </w:pPr>
      <w:hyperlink w:anchor="_Toc111194934" w:history="1">
        <w:r w:rsidR="0012145D" w:rsidRPr="005E26C4">
          <w:rPr>
            <w:rStyle w:val="ad"/>
            <w:rFonts w:asciiTheme="minorEastAsia" w:hAnsiTheme="minorEastAsia" w:hint="eastAsia"/>
          </w:rPr>
          <w:t>八、</w:t>
        </w:r>
        <w:r w:rsidR="0012145D">
          <w:rPr>
            <w:kern w:val="2"/>
            <w:sz w:val="24"/>
          </w:rPr>
          <w:tab/>
        </w:r>
        <w:r w:rsidR="0012145D" w:rsidRPr="005E26C4">
          <w:rPr>
            <w:rStyle w:val="ad"/>
            <w:rFonts w:asciiTheme="minorEastAsia" w:hAnsiTheme="minorEastAsia" w:hint="eastAsia"/>
          </w:rPr>
          <w:t>準則之制訂及修訂</w:t>
        </w:r>
        <w:r w:rsidR="0012145D">
          <w:rPr>
            <w:webHidden/>
          </w:rPr>
          <w:tab/>
        </w:r>
        <w:r w:rsidR="0012145D">
          <w:rPr>
            <w:webHidden/>
          </w:rPr>
          <w:fldChar w:fldCharType="begin"/>
        </w:r>
        <w:r w:rsidR="0012145D">
          <w:rPr>
            <w:webHidden/>
          </w:rPr>
          <w:instrText xml:space="preserve"> PAGEREF _Toc111194934 \h </w:instrText>
        </w:r>
        <w:r w:rsidR="0012145D">
          <w:rPr>
            <w:webHidden/>
          </w:rPr>
        </w:r>
        <w:r w:rsidR="0012145D">
          <w:rPr>
            <w:webHidden/>
          </w:rPr>
          <w:fldChar w:fldCharType="separate"/>
        </w:r>
        <w:r w:rsidR="0012145D">
          <w:rPr>
            <w:webHidden/>
          </w:rPr>
          <w:t>6</w:t>
        </w:r>
        <w:r w:rsidR="0012145D">
          <w:rPr>
            <w:webHidden/>
          </w:rPr>
          <w:fldChar w:fldCharType="end"/>
        </w:r>
      </w:hyperlink>
    </w:p>
    <w:p w:rsidR="00D55596" w:rsidRPr="00A8030B" w:rsidRDefault="0012145D" w:rsidP="00AF17CE">
      <w:pPr>
        <w:rPr>
          <w:rFonts w:asciiTheme="minorEastAsia" w:hAnsiTheme="minorEastAsia"/>
          <w:szCs w:val="24"/>
        </w:rPr>
      </w:pPr>
      <w:r>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75514F"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6D79BF" w:rsidRDefault="00AF7013" w:rsidP="00AD4816">
      <w:pPr>
        <w:pStyle w:val="a3"/>
        <w:ind w:leftChars="0" w:left="992"/>
        <w:rPr>
          <w:rFonts w:ascii="標楷體" w:eastAsia="標楷體" w:hAnsi="標楷體"/>
          <w:color w:val="FF0000"/>
          <w:lang w:eastAsia="zh-HK"/>
        </w:rPr>
      </w:pPr>
      <w:r w:rsidRPr="00AD4816">
        <w:rPr>
          <w:rFonts w:ascii="標楷體" w:eastAsia="標楷體" w:hAnsi="標楷體"/>
          <w:lang w:eastAsia="zh-HK"/>
        </w:rPr>
        <w:t>本準則適用於本行(含海外分行)</w:t>
      </w:r>
      <w:r w:rsidR="00FC3912">
        <w:rPr>
          <w:rFonts w:ascii="標楷體" w:eastAsia="標楷體" w:hAnsi="標楷體"/>
          <w:lang w:eastAsia="zh-HK"/>
        </w:rPr>
        <w:t>各交易單位</w:t>
      </w:r>
      <w:proofErr w:type="gramStart"/>
      <w:r w:rsidR="004B0BB7" w:rsidRPr="00220801">
        <w:rPr>
          <w:rFonts w:ascii="標楷體" w:eastAsia="標楷體" w:hAnsi="標楷體" w:hint="eastAsia"/>
          <w:color w:val="FF0000"/>
          <w:highlight w:val="yellow"/>
        </w:rPr>
        <w:t>承作</w:t>
      </w:r>
      <w:proofErr w:type="gramEnd"/>
      <w:r w:rsidR="00FC3912" w:rsidRPr="00220801">
        <w:rPr>
          <w:rFonts w:ascii="標楷體" w:eastAsia="標楷體" w:hAnsi="標楷體"/>
          <w:color w:val="FF0000"/>
          <w:highlight w:val="yellow"/>
          <w:lang w:eastAsia="zh-HK"/>
        </w:rPr>
        <w:t>之金融</w:t>
      </w:r>
      <w:r w:rsidR="00FC3912" w:rsidRPr="00220801">
        <w:rPr>
          <w:rFonts w:ascii="標楷體" w:eastAsia="標楷體" w:hAnsi="標楷體" w:hint="eastAsia"/>
          <w:color w:val="FF0000"/>
          <w:highlight w:val="yellow"/>
        </w:rPr>
        <w:t>工具</w:t>
      </w:r>
      <w:r w:rsidRPr="00AD4816">
        <w:rPr>
          <w:rFonts w:ascii="標楷體" w:eastAsia="標楷體" w:hAnsi="標楷體"/>
          <w:lang w:eastAsia="zh-HK"/>
        </w:rPr>
        <w:t>。</w:t>
      </w:r>
      <w:r w:rsidR="00AD4816" w:rsidRPr="006D79BF">
        <w:rPr>
          <w:rFonts w:ascii="標楷體" w:eastAsia="標楷體" w:hAnsi="標楷體"/>
          <w:color w:val="FF0000"/>
        </w:rPr>
        <w:t>海外分行當地金融法規</w:t>
      </w:r>
      <w:r w:rsidR="0075514F" w:rsidRPr="006D79BF">
        <w:rPr>
          <w:rFonts w:ascii="標楷體" w:eastAsia="標楷體" w:hAnsi="標楷體"/>
          <w:color w:val="FF0000"/>
        </w:rPr>
        <w:t>另有規定者，</w:t>
      </w:r>
      <w:r w:rsidR="00917AFB" w:rsidRPr="006D79BF">
        <w:rPr>
          <w:rFonts w:ascii="標楷體" w:eastAsia="標楷體" w:hAnsi="標楷體" w:hint="eastAsia"/>
          <w:color w:val="FF0000"/>
        </w:rPr>
        <w:t>需提供相關規範</w:t>
      </w:r>
      <w:r w:rsidR="00AD4816" w:rsidRPr="006D79BF">
        <w:rPr>
          <w:rFonts w:ascii="標楷體" w:eastAsia="標楷體" w:hAnsi="標楷體"/>
          <w:color w:val="FF0000"/>
        </w:rPr>
        <w:t>，</w:t>
      </w:r>
      <w:r w:rsidR="00917AFB" w:rsidRPr="006D79BF">
        <w:rPr>
          <w:rFonts w:ascii="標楷體" w:eastAsia="標楷體" w:hAnsi="標楷體" w:hint="eastAsia"/>
          <w:color w:val="FF0000"/>
        </w:rPr>
        <w:t>增修本準則</w:t>
      </w:r>
      <w:r w:rsidR="00AD4816" w:rsidRPr="006D79BF">
        <w:rPr>
          <w:rFonts w:ascii="標楷體" w:eastAsia="標楷體" w:hAnsi="標楷體" w:hint="eastAsia"/>
          <w:color w:val="FF0000"/>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金融工具：用以描述財務工具、外匯及商品(commodities)金融工具的名詞。</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財務工具：指一方產生金融資產亦同時使另一方產生金融負債或權益證券工具的契約。此財務工具包括原始財務工具（或現金工具）及衍生財務工具。</w:t>
      </w:r>
    </w:p>
    <w:p w:rsidR="00714BE7" w:rsidRPr="003373CB" w:rsidRDefault="00714BE7" w:rsidP="009F0ECC">
      <w:pPr>
        <w:pStyle w:val="a3"/>
        <w:numPr>
          <w:ilvl w:val="1"/>
          <w:numId w:val="14"/>
        </w:numPr>
        <w:ind w:leftChars="0"/>
        <w:rPr>
          <w:rFonts w:ascii="標楷體" w:eastAsia="標楷體" w:hAnsi="標楷體"/>
          <w:color w:val="FF0000"/>
          <w:highlight w:val="yellow"/>
        </w:rPr>
      </w:pPr>
      <w:r w:rsidRPr="003373CB">
        <w:rPr>
          <w:rFonts w:ascii="標楷體" w:eastAsia="標楷體" w:hAnsi="標楷體" w:hint="eastAsia"/>
          <w:color w:val="FF0000"/>
          <w:highlight w:val="yellow"/>
        </w:rPr>
        <w:t>市場風險：因市場價格變動而導致資產負債表</w:t>
      </w:r>
      <w:proofErr w:type="gramStart"/>
      <w:r w:rsidRPr="003373CB">
        <w:rPr>
          <w:rFonts w:ascii="標楷體" w:eastAsia="標楷體" w:hAnsi="標楷體" w:hint="eastAsia"/>
          <w:color w:val="FF0000"/>
          <w:highlight w:val="yellow"/>
        </w:rPr>
        <w:t>表</w:t>
      </w:r>
      <w:proofErr w:type="gramEnd"/>
      <w:r w:rsidRPr="003373CB">
        <w:rPr>
          <w:rFonts w:ascii="標楷體" w:eastAsia="標楷體" w:hAnsi="標楷體" w:hint="eastAsia"/>
          <w:color w:val="FF0000"/>
          <w:highlight w:val="yellow"/>
        </w:rPr>
        <w:t>內及表外風險部位產生損失之風險。</w:t>
      </w:r>
      <w:r w:rsidRPr="003373CB">
        <w:rPr>
          <w:rFonts w:ascii="標楷體" w:eastAsia="標楷體" w:hAnsi="標楷體"/>
          <w:color w:val="FF0000"/>
          <w:highlight w:val="yellow"/>
        </w:rPr>
        <w:tab/>
      </w:r>
    </w:p>
    <w:p w:rsidR="003373CB" w:rsidRPr="003373CB" w:rsidRDefault="003373CB" w:rsidP="009F0ECC">
      <w:pPr>
        <w:pStyle w:val="a3"/>
        <w:numPr>
          <w:ilvl w:val="1"/>
          <w:numId w:val="14"/>
        </w:numPr>
        <w:ind w:leftChars="0"/>
        <w:rPr>
          <w:rFonts w:ascii="標楷體" w:eastAsia="標楷體" w:hAnsi="標楷體"/>
          <w:color w:val="FF0000"/>
          <w:highlight w:val="yellow"/>
        </w:rPr>
      </w:pPr>
      <w:r w:rsidRPr="003373CB">
        <w:rPr>
          <w:rFonts w:ascii="標楷體" w:eastAsia="標楷體" w:hAnsi="標楷體" w:hint="eastAsia"/>
          <w:color w:val="FF0000"/>
          <w:highlight w:val="yellow"/>
        </w:rPr>
        <w:t>避險：具相關性金融工具的長及短</w:t>
      </w:r>
      <w:proofErr w:type="gramStart"/>
      <w:r w:rsidRPr="003373CB">
        <w:rPr>
          <w:rFonts w:ascii="標楷體" w:eastAsia="標楷體" w:hAnsi="標楷體" w:hint="eastAsia"/>
          <w:color w:val="FF0000"/>
          <w:highlight w:val="yellow"/>
        </w:rPr>
        <w:t>部位暴險之</w:t>
      </w:r>
      <w:proofErr w:type="gramEnd"/>
      <w:r w:rsidRPr="003373CB">
        <w:rPr>
          <w:rFonts w:ascii="標楷體" w:eastAsia="標楷體" w:hAnsi="標楷體" w:hint="eastAsia"/>
          <w:color w:val="FF0000"/>
          <w:highlight w:val="yellow"/>
        </w:rPr>
        <w:t>風險抗衡的過程。</w:t>
      </w:r>
    </w:p>
    <w:p w:rsidR="00426B93" w:rsidRPr="00AD4816" w:rsidRDefault="00426B93" w:rsidP="00A915FC">
      <w:pPr>
        <w:pStyle w:val="a3"/>
        <w:ind w:leftChars="0" w:left="992"/>
        <w:rPr>
          <w:rFonts w:ascii="標楷體" w:eastAsia="標楷體" w:hAnsi="標楷體"/>
        </w:rPr>
      </w:pPr>
      <w:bookmarkStart w:id="1" w:name="_GoBack"/>
      <w:bookmarkEnd w:id="1"/>
    </w:p>
    <w:p w:rsidR="008F6012" w:rsidRPr="00A8030B" w:rsidRDefault="008F6012" w:rsidP="008F6012">
      <w:pPr>
        <w:pStyle w:val="a3"/>
        <w:ind w:leftChars="0" w:left="992"/>
        <w:rPr>
          <w:rFonts w:asciiTheme="minorEastAsia" w:eastAsiaTheme="minorEastAsia" w:hAnsiTheme="minorEastAsia"/>
        </w:rPr>
      </w:pPr>
    </w:p>
    <w:p w:rsidR="00714BE7" w:rsidRDefault="00714BE7" w:rsidP="009F0ECC">
      <w:pPr>
        <w:pStyle w:val="a3"/>
        <w:numPr>
          <w:ilvl w:val="0"/>
          <w:numId w:val="3"/>
        </w:numPr>
        <w:ind w:leftChars="0" w:hangingChars="177"/>
        <w:outlineLvl w:val="0"/>
        <w:rPr>
          <w:rFonts w:ascii="標楷體" w:eastAsia="標楷體" w:hAnsi="標楷體"/>
        </w:rPr>
      </w:pPr>
      <w:bookmarkStart w:id="2"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2"/>
    </w:p>
    <w:p w:rsidR="00714BE7" w:rsidRDefault="00714BE7"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Pr="006D6367">
        <w:rPr>
          <w:rFonts w:ascii="標楷體" w:eastAsia="標楷體" w:hAnsi="標楷體"/>
        </w:rPr>
        <w:t>交易簿的範圍</w:t>
      </w:r>
    </w:p>
    <w:p w:rsidR="00714BE7" w:rsidRPr="00333761" w:rsidRDefault="00714BE7" w:rsidP="00714BE7">
      <w:pPr>
        <w:autoSpaceDE w:val="0"/>
        <w:autoSpaceDN w:val="0"/>
        <w:spacing w:before="40" w:after="40"/>
        <w:ind w:left="785"/>
        <w:jc w:val="both"/>
        <w:rPr>
          <w:rFonts w:ascii="標楷體" w:eastAsia="標楷體" w:hAnsi="標楷體"/>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E12CDF">
        <w:rPr>
          <w:rFonts w:ascii="標楷體" w:eastAsia="標楷體" w:hAnsi="標楷體" w:cs="Calibri" w:hint="eastAsia"/>
          <w:kern w:val="0"/>
          <w:szCs w:val="24"/>
        </w:rPr>
        <w:t>屬交易簿之工具可以只包含單一金融工具、外匯或商品工具，並且在出售或完全</w:t>
      </w:r>
      <w:proofErr w:type="gramStart"/>
      <w:r w:rsidRPr="00E12CDF">
        <w:rPr>
          <w:rFonts w:ascii="標楷體" w:eastAsia="標楷體" w:hAnsi="標楷體" w:cs="Calibri" w:hint="eastAsia"/>
          <w:kern w:val="0"/>
          <w:szCs w:val="24"/>
        </w:rPr>
        <w:t>避險時不</w:t>
      </w:r>
      <w:proofErr w:type="gramEnd"/>
      <w:r w:rsidRPr="00E12CDF">
        <w:rPr>
          <w:rFonts w:ascii="標楷體" w:eastAsia="標楷體" w:hAnsi="標楷體" w:cs="Calibri" w:hint="eastAsia"/>
          <w:kern w:val="0"/>
          <w:szCs w:val="24"/>
        </w:rPr>
        <w:t>受法律上之限制。</w:t>
      </w:r>
    </w:p>
    <w:p w:rsidR="00714BE7" w:rsidRPr="00333761" w:rsidRDefault="00714BE7" w:rsidP="009F0ECC">
      <w:pPr>
        <w:pStyle w:val="a3"/>
        <w:numPr>
          <w:ilvl w:val="0"/>
          <w:numId w:val="19"/>
        </w:numPr>
        <w:ind w:leftChars="0"/>
        <w:outlineLvl w:val="0"/>
        <w:rPr>
          <w:rFonts w:ascii="標楷體" w:eastAsia="標楷體" w:hAnsi="標楷體"/>
        </w:rPr>
      </w:pPr>
      <w:r>
        <w:rPr>
          <w:rFonts w:eastAsia="標楷體" w:cstheme="minorHAnsi" w:hint="eastAsia"/>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依工具支持有目的符合下列任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sidRPr="00426B93">
        <w:rPr>
          <w:rFonts w:ascii="標楷體" w:eastAsia="標楷體" w:hAnsi="標楷體"/>
        </w:rPr>
        <w:t>此須</w:t>
      </w:r>
      <w:r>
        <w:rPr>
          <w:rFonts w:ascii="標楷體" w:eastAsia="標楷體" w:hAnsi="標楷體" w:hint="eastAsia"/>
        </w:rPr>
        <w:t>列入交易簿</w:t>
      </w:r>
      <w:r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lastRenderedPageBreak/>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 xml:space="preserve">法定排除項目(legislated </w:t>
      </w:r>
      <w:proofErr w:type="spellStart"/>
      <w:r w:rsidRPr="00CD495A">
        <w:rPr>
          <w:rFonts w:ascii="標楷體" w:eastAsia="標楷體" w:hAnsi="標楷體" w:hint="eastAsia"/>
        </w:rPr>
        <w:t>programmes</w:t>
      </w:r>
      <w:proofErr w:type="spellEnd"/>
      <w:r w:rsidRPr="00CD495A">
        <w:rPr>
          <w:rFonts w:ascii="標楷體" w:eastAsia="標楷體" w:hAnsi="標楷體" w:hint="eastAsia"/>
        </w:rPr>
        <w:t>)。</w:t>
      </w:r>
    </w:p>
    <w:p w:rsidR="00714BE7" w:rsidRPr="0042283E" w:rsidRDefault="00714BE7" w:rsidP="009F0ECC">
      <w:pPr>
        <w:pStyle w:val="a3"/>
        <w:numPr>
          <w:ilvl w:val="0"/>
          <w:numId w:val="19"/>
        </w:numPr>
        <w:ind w:leftChars="0"/>
        <w:outlineLvl w:val="0"/>
        <w:rPr>
          <w:rFonts w:ascii="標楷體" w:eastAsia="標楷體" w:hAnsi="標楷體"/>
          <w:color w:val="FF0000"/>
          <w:highlight w:val="yellow"/>
        </w:rPr>
      </w:pPr>
      <w:r w:rsidRPr="00C059CB">
        <w:rPr>
          <w:rFonts w:ascii="標楷體" w:eastAsia="標楷體" w:hAnsi="標楷體" w:hint="eastAsia"/>
          <w:color w:val="FF0000"/>
        </w:rPr>
        <w:t xml:space="preserve"> </w:t>
      </w:r>
      <w:r w:rsidRPr="0042283E">
        <w:rPr>
          <w:rFonts w:ascii="標楷體" w:eastAsia="標楷體" w:hAnsi="標楷體"/>
          <w:color w:val="FF0000"/>
          <w:highlight w:val="yellow"/>
        </w:rPr>
        <w:t>交易簿的</w:t>
      </w:r>
      <w:r w:rsidRPr="0042283E">
        <w:rPr>
          <w:rFonts w:ascii="標楷體" w:eastAsia="標楷體" w:hAnsi="標楷體" w:hint="eastAsia"/>
          <w:color w:val="FF0000"/>
          <w:highlight w:val="yellow"/>
        </w:rPr>
        <w:t>相關規定</w:t>
      </w:r>
    </w:p>
    <w:p w:rsidR="00714BE7" w:rsidRPr="00C059CB" w:rsidRDefault="00714BE7" w:rsidP="00714BE7">
      <w:pPr>
        <w:autoSpaceDE w:val="0"/>
        <w:autoSpaceDN w:val="0"/>
        <w:spacing w:before="40" w:after="40"/>
        <w:ind w:left="785"/>
        <w:jc w:val="both"/>
        <w:rPr>
          <w:rFonts w:ascii="標楷體" w:eastAsia="標楷體" w:hAnsi="標楷體"/>
          <w:color w:val="FF0000"/>
        </w:rPr>
      </w:pPr>
      <w:r w:rsidRPr="0042283E">
        <w:rPr>
          <w:rFonts w:eastAsia="標楷體" w:cstheme="minorHAnsi" w:hint="eastAsia"/>
          <w:color w:val="FF0000"/>
          <w:highlight w:val="yellow"/>
        </w:rPr>
        <w:t>若本行認為工具可排除</w:t>
      </w:r>
      <w:proofErr w:type="gramStart"/>
      <w:r w:rsidRPr="0042283E">
        <w:rPr>
          <w:rFonts w:eastAsia="標楷體" w:cstheme="minorHAnsi" w:hint="eastAsia"/>
          <w:color w:val="FF0000"/>
          <w:highlight w:val="yellow"/>
        </w:rPr>
        <w:t>交易簿認列</w:t>
      </w:r>
      <w:proofErr w:type="gramEnd"/>
      <w:r w:rsidRPr="0042283E">
        <w:rPr>
          <w:rFonts w:eastAsia="標楷體" w:cstheme="minorHAnsi" w:hint="eastAsia"/>
          <w:color w:val="FF0000"/>
          <w:highlight w:val="yellow"/>
        </w:rPr>
        <w:t>標準</w:t>
      </w:r>
      <w:r w:rsidRPr="0042283E">
        <w:rPr>
          <w:rFonts w:eastAsia="標楷體" w:cstheme="minorHAnsi" w:hint="eastAsia"/>
          <w:color w:val="FF0000"/>
          <w:highlight w:val="yellow"/>
        </w:rPr>
        <w:t>(4)</w:t>
      </w:r>
      <w:r w:rsidRPr="0042283E">
        <w:rPr>
          <w:rFonts w:eastAsia="標楷體" w:cstheme="minorHAnsi" w:hint="eastAsia"/>
          <w:color w:val="FF0000"/>
          <w:highlight w:val="yellow"/>
        </w:rPr>
        <w:t>之規範，則必須</w:t>
      </w:r>
      <w:proofErr w:type="gramStart"/>
      <w:r w:rsidRPr="0042283E">
        <w:rPr>
          <w:rFonts w:eastAsia="標楷體" w:cstheme="minorHAnsi" w:hint="eastAsia"/>
          <w:color w:val="FF0000"/>
          <w:highlight w:val="yellow"/>
        </w:rPr>
        <w:t>備妥該工具</w:t>
      </w:r>
      <w:proofErr w:type="gramEnd"/>
      <w:r w:rsidRPr="0042283E">
        <w:rPr>
          <w:rFonts w:eastAsia="標楷體" w:cstheme="minorHAnsi" w:hint="eastAsia"/>
          <w:color w:val="FF0000"/>
          <w:highlight w:val="yellow"/>
        </w:rPr>
        <w:t>之相關證明文件向金管會提出申請並經核准後方可排除。若向金管會提出申請但未經核准之工具仍須認列交易簿。且本行必須持續地詳實紀錄任何排除情況的明細清單。</w:t>
      </w: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3"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3"/>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F0741B" w:rsidRDefault="006D79BF" w:rsidP="006D79BF">
      <w:pPr>
        <w:spacing w:beforeLines="50" w:before="180"/>
        <w:jc w:val="both"/>
        <w:rPr>
          <w:rFonts w:eastAsia="標楷體" w:cstheme="minorHAnsi"/>
          <w:color w:val="FF0000"/>
        </w:rPr>
      </w:pPr>
      <w:r>
        <w:rPr>
          <w:rFonts w:ascii="標楷體" w:eastAsia="標楷體" w:hAnsi="標楷體" w:hint="eastAsia"/>
        </w:rPr>
        <w:t xml:space="preserve">        </w:t>
      </w:r>
      <w:r w:rsidR="00CA542D" w:rsidRPr="00F0741B">
        <w:rPr>
          <w:rFonts w:ascii="標楷體" w:eastAsia="標楷體" w:hAnsi="標楷體"/>
          <w:color w:val="FF0000"/>
        </w:rPr>
        <w:t>任何非屬交易簿之工具，皆</w:t>
      </w:r>
      <w:r w:rsidR="004A3775" w:rsidRPr="00F0741B">
        <w:rPr>
          <w:rFonts w:ascii="標楷體" w:eastAsia="標楷體" w:hAnsi="標楷體"/>
          <w:color w:val="FF0000"/>
        </w:rPr>
        <w:t>認列為銀行簿</w:t>
      </w:r>
      <w:r w:rsidR="00946BF5" w:rsidRPr="00F0741B">
        <w:rPr>
          <w:rFonts w:ascii="標楷體" w:eastAsia="標楷體" w:hAnsi="標楷體" w:hint="eastAsia"/>
          <w:color w:val="FF0000"/>
        </w:rPr>
        <w:t>，</w:t>
      </w:r>
      <w:r w:rsidR="00A63932" w:rsidRPr="00F0741B">
        <w:rPr>
          <w:rFonts w:eastAsia="標楷體" w:cstheme="minorHAnsi" w:hint="eastAsia"/>
          <w:color w:val="FF0000"/>
        </w:rPr>
        <w:t>依巴賽爾資本協定</w:t>
      </w:r>
      <w:r w:rsidR="00A63932" w:rsidRPr="00F0741B">
        <w:rPr>
          <w:rFonts w:eastAsia="標楷體" w:cstheme="minorHAnsi"/>
          <w:color w:val="FF0000"/>
        </w:rPr>
        <w:t>信用風險</w:t>
      </w:r>
      <w:r w:rsidRPr="00F0741B">
        <w:rPr>
          <w:rFonts w:eastAsia="標楷體" w:cstheme="minorHAnsi" w:hint="eastAsia"/>
          <w:color w:val="FF0000"/>
        </w:rPr>
        <w:t xml:space="preserve">                            </w:t>
      </w:r>
    </w:p>
    <w:p w:rsidR="00413CEC" w:rsidRPr="00F0741B" w:rsidRDefault="006D79BF" w:rsidP="006D79BF">
      <w:pPr>
        <w:spacing w:beforeLines="50" w:before="180"/>
        <w:jc w:val="both"/>
        <w:rPr>
          <w:rFonts w:eastAsia="標楷體" w:cstheme="minorHAnsi"/>
          <w:color w:val="FF0000"/>
        </w:rPr>
      </w:pPr>
      <w:r w:rsidRPr="00F0741B">
        <w:rPr>
          <w:rFonts w:eastAsia="標楷體" w:cstheme="minorHAnsi" w:hint="eastAsia"/>
          <w:color w:val="FF0000"/>
        </w:rPr>
        <w:t xml:space="preserve">        </w:t>
      </w:r>
      <w:r w:rsidR="00A63932" w:rsidRPr="00F0741B">
        <w:rPr>
          <w:rFonts w:eastAsia="標楷體" w:cstheme="minorHAnsi"/>
          <w:color w:val="FF0000"/>
        </w:rPr>
        <w:t>資本要求規範</w:t>
      </w:r>
      <w:r w:rsidRPr="00F0741B">
        <w:rPr>
          <w:rFonts w:ascii="標楷體" w:eastAsia="標楷體" w:hAnsi="標楷體" w:hint="eastAsia"/>
          <w:color w:val="FF0000"/>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認定為證券化零售資產之工具。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lastRenderedPageBreak/>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4"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4"/>
    </w:p>
    <w:p w:rsidR="00826945" w:rsidRPr="00576B0B" w:rsidRDefault="00826945" w:rsidP="009F0ECC">
      <w:pPr>
        <w:pStyle w:val="a3"/>
        <w:widowControl w:val="0"/>
        <w:numPr>
          <w:ilvl w:val="0"/>
          <w:numId w:val="4"/>
        </w:numPr>
        <w:spacing w:beforeLines="50" w:before="180"/>
        <w:ind w:leftChars="0" w:left="964" w:hanging="482"/>
        <w:jc w:val="both"/>
        <w:rPr>
          <w:rFonts w:ascii="標楷體" w:eastAsia="標楷體" w:hAnsi="標楷體"/>
        </w:rPr>
      </w:pPr>
      <w:r w:rsidRPr="00576B0B">
        <w:rPr>
          <w:rFonts w:ascii="標楷體" w:eastAsia="標楷體" w:hAnsi="標楷體"/>
        </w:rPr>
        <w:t>工具因市場事件、</w:t>
      </w:r>
      <w:r w:rsidRPr="00576B0B">
        <w:rPr>
          <w:rFonts w:ascii="標楷體" w:eastAsia="標楷體" w:hAnsi="標楷體" w:hint="eastAsia"/>
        </w:rPr>
        <w:t>金融</w:t>
      </w:r>
      <w:r w:rsidRPr="00576B0B">
        <w:rPr>
          <w:rFonts w:ascii="標楷體" w:eastAsia="標楷體" w:hAnsi="標楷體"/>
        </w:rPr>
        <w:t>工具的流動性變化或交易目的改變等理由而進行交易簿與銀行簿間之移轉，並非是重新指定工具到</w:t>
      </w:r>
      <w:proofErr w:type="gramStart"/>
      <w:r w:rsidRPr="00576B0B">
        <w:rPr>
          <w:rFonts w:ascii="標楷體" w:eastAsia="標楷體" w:hAnsi="標楷體"/>
        </w:rPr>
        <w:t>不同簿別</w:t>
      </w:r>
      <w:proofErr w:type="gramEnd"/>
      <w:r w:rsidRPr="00576B0B">
        <w:rPr>
          <w:rFonts w:ascii="標楷體" w:eastAsia="標楷體" w:hAnsi="標楷體"/>
        </w:rPr>
        <w:t>。必須確保移轉部位嚴格遵守工具</w:t>
      </w:r>
      <w:proofErr w:type="gramStart"/>
      <w:r w:rsidRPr="00576B0B">
        <w:rPr>
          <w:rFonts w:ascii="標楷體" w:eastAsia="標楷體" w:hAnsi="標楷體"/>
        </w:rPr>
        <w:t>簿別認</w:t>
      </w:r>
      <w:proofErr w:type="gramEnd"/>
      <w:r w:rsidRPr="00576B0B">
        <w:rPr>
          <w:rFonts w:ascii="標楷體" w:eastAsia="標楷體" w:hAnsi="標楷體"/>
        </w:rPr>
        <w:t>列規定</w:t>
      </w:r>
      <w:r w:rsidRPr="00576B0B">
        <w:rPr>
          <w:rFonts w:ascii="標楷體" w:eastAsia="標楷體" w:hAnsi="標楷體" w:hint="eastAsia"/>
          <w:lang w:eastAsia="zh-HK"/>
        </w:rPr>
        <w:t>，並</w:t>
      </w:r>
      <w:r w:rsidRPr="00576B0B">
        <w:rPr>
          <w:rFonts w:ascii="標楷體" w:eastAsia="標楷體" w:hAnsi="標楷體"/>
        </w:rPr>
        <w:t>須</w:t>
      </w:r>
      <w:r w:rsidRPr="00576B0B">
        <w:rPr>
          <w:rFonts w:ascii="標楷體" w:eastAsia="標楷體" w:hAnsi="標楷體" w:hint="eastAsia"/>
          <w:lang w:eastAsia="zh-HK"/>
        </w:rPr>
        <w:t>符合下列要求：</w:t>
      </w:r>
    </w:p>
    <w:p w:rsidR="00826945" w:rsidRPr="00576B0B" w:rsidRDefault="00826945" w:rsidP="00826945">
      <w:pPr>
        <w:pStyle w:val="a3"/>
        <w:widowControl w:val="0"/>
        <w:spacing w:beforeLines="50" w:before="180"/>
        <w:ind w:leftChars="0" w:left="964"/>
        <w:jc w:val="both"/>
        <w:rPr>
          <w:rFonts w:ascii="標楷體" w:eastAsia="標楷體" w:hAnsi="標楷體"/>
        </w:rPr>
      </w:pPr>
      <w:r w:rsidRPr="00576B0B">
        <w:rPr>
          <w:rFonts w:ascii="標楷體" w:eastAsia="標楷體" w:hAnsi="標楷體"/>
        </w:rPr>
        <w:t>計算</w:t>
      </w:r>
      <w:proofErr w:type="gramStart"/>
      <w:r w:rsidRPr="00576B0B">
        <w:rPr>
          <w:rFonts w:ascii="標楷體" w:eastAsia="標楷體" w:hAnsi="標楷體"/>
        </w:rPr>
        <w:t>工具簿別移轉</w:t>
      </w:r>
      <w:proofErr w:type="gramEnd"/>
      <w:r w:rsidRPr="00576B0B">
        <w:rPr>
          <w:rFonts w:ascii="標楷體" w:eastAsia="標楷體" w:hAnsi="標楷體"/>
        </w:rPr>
        <w:t>前及移轉當下其總資本要求(跨銀行簿和交易簿)，若該資本要求因移轉而減少，應依據</w:t>
      </w:r>
      <w:r w:rsidRPr="00576B0B">
        <w:rPr>
          <w:rFonts w:ascii="標楷體" w:eastAsia="標楷體" w:hAnsi="標楷體" w:hint="eastAsia"/>
        </w:rPr>
        <w:t>金管</w:t>
      </w:r>
      <w:r w:rsidRPr="00576B0B">
        <w:rPr>
          <w:rFonts w:ascii="標楷體" w:eastAsia="標楷體" w:hAnsi="標楷體"/>
        </w:rPr>
        <w:t>會同意之方式將移轉時計算的差額附註揭露於第一支柱資本要求，且該差額註記須持續至部位到</w:t>
      </w:r>
      <w:r w:rsidR="00576B0B" w:rsidRPr="00576B0B">
        <w:rPr>
          <w:rFonts w:ascii="標楷體" w:eastAsia="標楷體" w:hAnsi="標楷體" w:hint="eastAsia"/>
        </w:rPr>
        <w:t>期</w:t>
      </w:r>
      <w:r w:rsidRPr="00576B0B">
        <w:rPr>
          <w:rFonts w:ascii="標楷體" w:eastAsia="標楷體" w:hAnsi="標楷體"/>
        </w:rPr>
        <w:t>。因該部位須持續遵循於移轉</w:t>
      </w:r>
      <w:proofErr w:type="gramStart"/>
      <w:r w:rsidRPr="00576B0B">
        <w:rPr>
          <w:rFonts w:ascii="標楷體" w:eastAsia="標楷體" w:hAnsi="標楷體"/>
        </w:rPr>
        <w:t>後簿別</w:t>
      </w:r>
      <w:proofErr w:type="gramEnd"/>
      <w:r w:rsidRPr="00576B0B">
        <w:rPr>
          <w:rFonts w:ascii="標楷體" w:eastAsia="標楷體" w:hAnsi="標楷體"/>
        </w:rPr>
        <w:t>的資本要求，該差額僅須</w:t>
      </w:r>
      <w:proofErr w:type="gramStart"/>
      <w:r w:rsidRPr="00576B0B">
        <w:rPr>
          <w:rFonts w:ascii="標楷體" w:eastAsia="標楷體" w:hAnsi="標楷體"/>
        </w:rPr>
        <w:t>於簿別</w:t>
      </w:r>
      <w:proofErr w:type="gramEnd"/>
      <w:r w:rsidRPr="00576B0B">
        <w:rPr>
          <w:rFonts w:ascii="標楷體" w:eastAsia="標楷體" w:hAnsi="標楷體"/>
        </w:rPr>
        <w:t>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任何簿別間的</w:t>
      </w:r>
      <w:proofErr w:type="gramEnd"/>
      <w:r w:rsidRPr="004E272E">
        <w:rPr>
          <w:rFonts w:ascii="標楷體" w:eastAsia="標楷體" w:hAnsi="標楷體"/>
        </w:rPr>
        <w:t>重新</w:t>
      </w:r>
      <w:proofErr w:type="gramStart"/>
      <w:r w:rsidRPr="004E272E">
        <w:rPr>
          <w:rFonts w:ascii="標楷體" w:eastAsia="標楷體" w:hAnsi="標楷體"/>
        </w:rPr>
        <w:t>認列須由</w:t>
      </w:r>
      <w:proofErr w:type="gramEnd"/>
      <w:r w:rsidRPr="004E272E">
        <w:rPr>
          <w:rFonts w:ascii="標楷體" w:eastAsia="標楷體" w:hAnsi="標楷體"/>
          <w:color w:val="FF0000"/>
        </w:rPr>
        <w:t>高階</w:t>
      </w:r>
      <w:r w:rsidRPr="004E272E">
        <w:rPr>
          <w:rFonts w:ascii="標楷體" w:eastAsia="標楷體" w:hAnsi="標楷體"/>
        </w:rPr>
        <w:t>管理階層核准並詳細記錄，經內部審查確定與銀行政策相符，並由</w:t>
      </w:r>
      <w:r w:rsidR="00A57421" w:rsidRPr="004E272E">
        <w:rPr>
          <w:rFonts w:ascii="標楷體" w:eastAsia="標楷體" w:hAnsi="標楷體" w:hint="eastAsia"/>
          <w:lang w:eastAsia="zh-HK"/>
        </w:rPr>
        <w:t>本</w:t>
      </w:r>
      <w:r w:rsidRPr="004E272E">
        <w:rPr>
          <w:rFonts w:ascii="標楷體" w:eastAsia="標楷體" w:hAnsi="標楷體"/>
        </w:rPr>
        <w:t>行提供說明文件，以取得</w:t>
      </w:r>
      <w:r w:rsidR="00041C25" w:rsidRPr="004E272E">
        <w:rPr>
          <w:rFonts w:ascii="標楷體" w:eastAsia="標楷體" w:hAnsi="標楷體"/>
        </w:rPr>
        <w:t>金管</w:t>
      </w:r>
      <w:r w:rsidRPr="004E272E">
        <w:rPr>
          <w:rFonts w:ascii="標楷體" w:eastAsia="標楷體" w:hAnsi="標楷體"/>
        </w:rPr>
        <w:t>會的事先核准，並且需進行公開揭露。</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F0052F" w:rsidRPr="004E272E" w:rsidRDefault="00E445CF" w:rsidP="009F0ECC">
      <w:pPr>
        <w:pStyle w:val="a3"/>
        <w:widowControl w:val="0"/>
        <w:numPr>
          <w:ilvl w:val="2"/>
          <w:numId w:val="8"/>
        </w:numPr>
        <w:spacing w:beforeLines="50" w:before="180"/>
        <w:ind w:leftChars="0"/>
        <w:jc w:val="both"/>
        <w:rPr>
          <w:rFonts w:ascii="標楷體" w:eastAsia="標楷體" w:hAnsi="標楷體"/>
        </w:rPr>
      </w:pPr>
      <w:r w:rsidRPr="004E272E">
        <w:rPr>
          <w:rFonts w:ascii="標楷體" w:eastAsia="標楷體" w:hAnsi="標楷體"/>
        </w:rPr>
        <w:t>若重分類為會計帳上屬交易性資產或負債之工具，則假定該工具為交易簿。在這種情況下自動移轉可以毋須本會的核准。</w:t>
      </w:r>
    </w:p>
    <w:p w:rsidR="00AD61C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lang w:eastAsia="zh-HK"/>
        </w:rPr>
      </w:pPr>
      <w:r w:rsidRPr="004E272E">
        <w:rPr>
          <w:rFonts w:ascii="標楷體" w:eastAsia="標楷體" w:hAnsi="標楷體"/>
          <w:lang w:eastAsia="zh-HK"/>
        </w:rPr>
        <w:t>須至少每年根據前一年度所有被辨識的異常事件分析更新</w:t>
      </w:r>
      <w:r w:rsidRPr="004E272E">
        <w:rPr>
          <w:rFonts w:ascii="標楷體" w:eastAsia="標楷體" w:hAnsi="標楷體" w:hint="eastAsia"/>
          <w:lang w:eastAsia="zh-HK"/>
        </w:rPr>
        <w:t>本</w:t>
      </w:r>
      <w:r w:rsidR="006E1C32" w:rsidRPr="004E272E">
        <w:rPr>
          <w:rFonts w:ascii="標楷體" w:eastAsia="標楷體" w:hAnsi="標楷體" w:hint="eastAsia"/>
          <w:lang w:eastAsia="zh-HK"/>
        </w:rPr>
        <w:t>準則</w:t>
      </w:r>
      <w:r w:rsidRPr="004E272E">
        <w:rPr>
          <w:rFonts w:ascii="標楷體" w:eastAsia="標楷體" w:hAnsi="標楷體"/>
          <w:lang w:eastAsia="zh-HK"/>
        </w:rPr>
        <w:t>，如有顯著變更的更新必須陳報</w:t>
      </w:r>
      <w:r w:rsidRPr="004E272E">
        <w:rPr>
          <w:rFonts w:ascii="標楷體" w:eastAsia="標楷體" w:hAnsi="標楷體" w:hint="eastAsia"/>
          <w:lang w:eastAsia="zh-HK"/>
        </w:rPr>
        <w:t>金管</w:t>
      </w:r>
      <w:r w:rsidRPr="004E272E">
        <w:rPr>
          <w:rFonts w:ascii="標楷體" w:eastAsia="標楷體" w:hAnsi="標楷體"/>
          <w:lang w:eastAsia="zh-HK"/>
        </w:rPr>
        <w:t>會，</w:t>
      </w:r>
      <w:r w:rsidR="00477116" w:rsidRPr="004E272E">
        <w:rPr>
          <w:rFonts w:ascii="標楷體" w:eastAsia="標楷體" w:hAnsi="標楷體" w:hint="eastAsia"/>
          <w:lang w:eastAsia="zh-HK"/>
        </w:rPr>
        <w:t>其內容</w:t>
      </w:r>
      <w:r w:rsidRPr="004E272E">
        <w:rPr>
          <w:rFonts w:ascii="標楷體" w:eastAsia="標楷體" w:hAnsi="標楷體"/>
          <w:lang w:eastAsia="zh-HK"/>
        </w:rPr>
        <w:t>必須包括下列事項：</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proofErr w:type="gramStart"/>
      <w:r w:rsidRPr="004E272E">
        <w:rPr>
          <w:rFonts w:ascii="標楷體" w:eastAsia="標楷體" w:hAnsi="標楷體"/>
        </w:rPr>
        <w:t>工具簿別重新</w:t>
      </w:r>
      <w:proofErr w:type="gramEnd"/>
      <w:r w:rsidRPr="004E272E">
        <w:rPr>
          <w:rFonts w:ascii="標楷體" w:eastAsia="標楷體" w:hAnsi="標楷體"/>
        </w:rPr>
        <w:t>認列之限制要求；</w:t>
      </w:r>
      <w:proofErr w:type="gramStart"/>
      <w:r w:rsidRPr="004E272E">
        <w:rPr>
          <w:rFonts w:ascii="標楷體" w:eastAsia="標楷體" w:hAnsi="標楷體"/>
        </w:rPr>
        <w:t>簿別移轉</w:t>
      </w:r>
      <w:proofErr w:type="gramEnd"/>
      <w:r w:rsidRPr="004E272E">
        <w:rPr>
          <w:rFonts w:ascii="標楷體" w:eastAsia="標楷體" w:hAnsi="標楷體"/>
        </w:rPr>
        <w:t>之情況、條件及標準。</w:t>
      </w:r>
    </w:p>
    <w:p w:rsidR="00AD61C5" w:rsidRPr="004E272E" w:rsidRDefault="00593B3F"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移轉過程應得到高階管理階層及</w:t>
      </w:r>
      <w:r w:rsidRPr="004E272E">
        <w:rPr>
          <w:rFonts w:ascii="標楷體" w:eastAsia="標楷體" w:hAnsi="標楷體" w:hint="eastAsia"/>
          <w:lang w:eastAsia="zh-HK"/>
        </w:rPr>
        <w:t>金管</w:t>
      </w:r>
      <w:r w:rsidR="00AD61C5" w:rsidRPr="004E272E">
        <w:rPr>
          <w:rFonts w:ascii="標楷體" w:eastAsia="標楷體" w:hAnsi="標楷體"/>
        </w:rPr>
        <w:t>會核准。</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異常事件之辨識。</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應在最近的報告日公開揭露重新分類而納入或排除於交易簿之部位</w:t>
      </w:r>
      <w:r w:rsidRPr="004E272E">
        <w:rPr>
          <w:rFonts w:ascii="標楷體" w:eastAsia="標楷體" w:hAnsi="標楷體" w:hint="eastAsia"/>
          <w:lang w:eastAsia="zh-HK"/>
        </w:rPr>
        <w:t>。</w:t>
      </w:r>
    </w:p>
    <w:p w:rsidR="008C4758" w:rsidRDefault="004C7489" w:rsidP="009F0ECC">
      <w:pPr>
        <w:pStyle w:val="a3"/>
        <w:widowControl w:val="0"/>
        <w:numPr>
          <w:ilvl w:val="0"/>
          <w:numId w:val="4"/>
        </w:numPr>
        <w:spacing w:beforeLines="50" w:before="180"/>
        <w:ind w:leftChars="0" w:left="964" w:hanging="482"/>
        <w:jc w:val="both"/>
        <w:rPr>
          <w:rFonts w:ascii="標楷體" w:eastAsia="標楷體" w:hAnsi="標楷體"/>
          <w:lang w:eastAsia="zh-HK"/>
        </w:rPr>
      </w:pPr>
      <w:r w:rsidRPr="004E272E">
        <w:rPr>
          <w:rFonts w:ascii="標楷體" w:eastAsia="標楷體" w:hAnsi="標楷體"/>
          <w:lang w:eastAsia="zh-HK"/>
        </w:rPr>
        <w:t>除經金管會核准外(例如重大的公開宣布事件，如銀行重組導致交易台永久關閉、適用於工具或投資組合之營業活動的需求終止、會計準則改變而允許該工具透過損益按公允價值衡量)，工具在交易簿、銀行</w:t>
      </w:r>
      <w:proofErr w:type="gramStart"/>
      <w:r w:rsidRPr="004E272E">
        <w:rPr>
          <w:rFonts w:ascii="標楷體" w:eastAsia="標楷體" w:hAnsi="標楷體"/>
          <w:lang w:eastAsia="zh-HK"/>
        </w:rPr>
        <w:t>簿</w:t>
      </w:r>
      <w:proofErr w:type="gramEnd"/>
      <w:r w:rsidRPr="004E272E">
        <w:rPr>
          <w:rFonts w:ascii="標楷體" w:eastAsia="標楷體" w:hAnsi="標楷體"/>
          <w:lang w:eastAsia="zh-HK"/>
        </w:rPr>
        <w:t>之間進行移轉皆須依據</w:t>
      </w:r>
      <w:r w:rsidR="00A60C0A" w:rsidRPr="004E272E">
        <w:rPr>
          <w:rFonts w:ascii="標楷體" w:eastAsia="標楷體" w:hAnsi="標楷體" w:hint="eastAsia"/>
          <w:lang w:eastAsia="zh-HK"/>
        </w:rPr>
        <w:t>本準則</w:t>
      </w:r>
      <w:r w:rsidRPr="004E272E">
        <w:rPr>
          <w:rFonts w:ascii="標楷體" w:eastAsia="標楷體" w:hAnsi="標楷體"/>
          <w:lang w:eastAsia="zh-HK"/>
        </w:rPr>
        <w:t>之規範，嚴禁因資本套利而</w:t>
      </w:r>
      <w:proofErr w:type="gramStart"/>
      <w:r w:rsidRPr="004E272E">
        <w:rPr>
          <w:rFonts w:ascii="標楷體" w:eastAsia="標楷體" w:hAnsi="標楷體"/>
          <w:lang w:eastAsia="zh-HK"/>
        </w:rPr>
        <w:t>進行簿別移轉</w:t>
      </w:r>
      <w:proofErr w:type="gramEnd"/>
      <w:r w:rsidRPr="004E272E">
        <w:rPr>
          <w:rFonts w:ascii="標楷體" w:eastAsia="標楷體" w:hAnsi="標楷體"/>
          <w:lang w:eastAsia="zh-HK"/>
        </w:rPr>
        <w:t>。</w:t>
      </w:r>
    </w:p>
    <w:p w:rsidR="004E272E" w:rsidRDefault="004E272E" w:rsidP="004E272E">
      <w:pPr>
        <w:pStyle w:val="a3"/>
        <w:widowControl w:val="0"/>
        <w:spacing w:beforeLines="50" w:before="180"/>
        <w:ind w:leftChars="0" w:left="964"/>
        <w:jc w:val="both"/>
        <w:rPr>
          <w:rFonts w:ascii="標楷體" w:eastAsia="標楷體" w:hAnsi="標楷體"/>
          <w:lang w:eastAsia="zh-HK"/>
        </w:rPr>
      </w:pPr>
    </w:p>
    <w:p w:rsidR="004E272E" w:rsidRPr="004E272E" w:rsidRDefault="004E272E" w:rsidP="004E272E">
      <w:pPr>
        <w:pStyle w:val="a3"/>
        <w:widowControl w:val="0"/>
        <w:spacing w:beforeLines="50" w:before="180"/>
        <w:ind w:leftChars="0" w:left="964"/>
        <w:jc w:val="both"/>
        <w:rPr>
          <w:rFonts w:ascii="標楷體" w:eastAsia="標楷體" w:hAnsi="標楷體"/>
          <w:lang w:eastAsia="zh-HK"/>
        </w:rPr>
      </w:pPr>
    </w:p>
    <w:p w:rsidR="004C7489" w:rsidRPr="00A8030B"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4E272E" w:rsidRDefault="00E90E89" w:rsidP="009F0ECC">
      <w:pPr>
        <w:pStyle w:val="a3"/>
        <w:numPr>
          <w:ilvl w:val="0"/>
          <w:numId w:val="3"/>
        </w:numPr>
        <w:ind w:leftChars="0" w:hangingChars="177"/>
        <w:outlineLvl w:val="0"/>
        <w:rPr>
          <w:rFonts w:ascii="標楷體" w:eastAsia="標楷體" w:hAnsi="標楷體"/>
        </w:rPr>
      </w:pPr>
      <w:bookmarkStart w:id="5" w:name="_Toc111194932"/>
      <w:r w:rsidRPr="004E272E">
        <w:rPr>
          <w:rFonts w:ascii="標楷體" w:eastAsia="標楷體" w:hAnsi="標楷體" w:hint="eastAsia"/>
          <w:lang w:eastAsia="zh-HK"/>
        </w:rPr>
        <w:t>內部風險移轉處理相關規定</w:t>
      </w:r>
      <w:bookmarkEnd w:id="5"/>
    </w:p>
    <w:p w:rsidR="00DA6114" w:rsidRPr="004E272E" w:rsidRDefault="00DA6114" w:rsidP="009F0ECC">
      <w:pPr>
        <w:pStyle w:val="a3"/>
        <w:numPr>
          <w:ilvl w:val="0"/>
          <w:numId w:val="15"/>
        </w:numPr>
        <w:spacing w:beforeLines="50" w:before="180"/>
        <w:ind w:leftChars="0"/>
        <w:jc w:val="both"/>
        <w:rPr>
          <w:rFonts w:ascii="標楷體" w:eastAsia="標楷體" w:hAnsi="標楷體"/>
          <w:lang w:eastAsia="zh-HK"/>
        </w:rPr>
      </w:pPr>
      <w:r w:rsidRPr="004E272E">
        <w:rPr>
          <w:rFonts w:ascii="標楷體" w:eastAsia="標楷體" w:hAnsi="標楷體"/>
          <w:lang w:eastAsia="zh-HK"/>
        </w:rPr>
        <w:t>內部風險移轉是指在銀行簿內、銀行簿和交易</w:t>
      </w:r>
      <w:proofErr w:type="gramStart"/>
      <w:r w:rsidRPr="004E272E">
        <w:rPr>
          <w:rFonts w:ascii="標楷體" w:eastAsia="標楷體" w:hAnsi="標楷體"/>
          <w:lang w:eastAsia="zh-HK"/>
        </w:rPr>
        <w:t>簿</w:t>
      </w:r>
      <w:proofErr w:type="gramEnd"/>
      <w:r w:rsidRPr="004E272E">
        <w:rPr>
          <w:rFonts w:ascii="標楷體" w:eastAsia="標楷體" w:hAnsi="標楷體"/>
          <w:lang w:eastAsia="zh-HK"/>
        </w:rPr>
        <w:t>間或交易簿內(不同交易台間)之移轉風險的內部書面紀錄。本</w:t>
      </w:r>
      <w:r w:rsidRPr="004E272E">
        <w:rPr>
          <w:rFonts w:ascii="標楷體" w:eastAsia="標楷體" w:hAnsi="標楷體" w:hint="eastAsia"/>
          <w:lang w:eastAsia="zh-HK"/>
        </w:rPr>
        <w:t>準則</w:t>
      </w:r>
      <w:proofErr w:type="gramStart"/>
      <w:r w:rsidRPr="004E272E">
        <w:rPr>
          <w:rFonts w:ascii="標楷體" w:eastAsia="標楷體" w:hAnsi="標楷體"/>
          <w:lang w:eastAsia="zh-HK"/>
        </w:rPr>
        <w:t>不</w:t>
      </w:r>
      <w:proofErr w:type="gramEnd"/>
      <w:r w:rsidRPr="004E272E">
        <w:rPr>
          <w:rFonts w:ascii="標楷體" w:eastAsia="標楷體" w:hAnsi="標楷體"/>
          <w:lang w:eastAsia="zh-HK"/>
        </w:rPr>
        <w:t>考量</w:t>
      </w:r>
      <w:proofErr w:type="gramStart"/>
      <w:r w:rsidRPr="004E272E">
        <w:rPr>
          <w:rFonts w:ascii="標楷體" w:eastAsia="標楷體" w:hAnsi="標楷體"/>
          <w:lang w:eastAsia="zh-HK"/>
        </w:rPr>
        <w:t>交易簿至銀行</w:t>
      </w:r>
      <w:proofErr w:type="gramEnd"/>
      <w:r w:rsidRPr="004E272E">
        <w:rPr>
          <w:rFonts w:ascii="標楷體" w:eastAsia="標楷體" w:hAnsi="標楷體"/>
          <w:lang w:eastAsia="zh-HK"/>
        </w:rPr>
        <w:t>簿的內部風險移轉。</w:t>
      </w:r>
    </w:p>
    <w:p w:rsidR="00DA6114" w:rsidRDefault="00DA6114" w:rsidP="009F0ECC">
      <w:pPr>
        <w:pStyle w:val="a3"/>
        <w:numPr>
          <w:ilvl w:val="0"/>
          <w:numId w:val="15"/>
        </w:numPr>
        <w:spacing w:beforeLines="50" w:before="180"/>
        <w:ind w:leftChars="0"/>
        <w:jc w:val="both"/>
        <w:rPr>
          <w:rFonts w:asciiTheme="minorEastAsia" w:hAnsiTheme="minorEastAsia"/>
          <w:lang w:eastAsia="zh-HK"/>
        </w:rPr>
      </w:pPr>
      <w:proofErr w:type="gramStart"/>
      <w:r w:rsidRPr="00DA6114">
        <w:rPr>
          <w:rFonts w:asciiTheme="minorEastAsia" w:hAnsiTheme="minorEastAsia"/>
          <w:lang w:eastAsia="zh-HK"/>
        </w:rPr>
        <w:t>銀行簿至交易</w:t>
      </w:r>
      <w:proofErr w:type="gramEnd"/>
      <w:r w:rsidRPr="00DA6114">
        <w:rPr>
          <w:rFonts w:asciiTheme="minorEastAsia" w:hAnsiTheme="minorEastAsia"/>
          <w:lang w:eastAsia="zh-HK"/>
        </w:rPr>
        <w:t>簿的內部風險移轉</w:t>
      </w:r>
      <w:r>
        <w:rPr>
          <w:rFonts w:asciiTheme="minorEastAsia" w:hAnsiTheme="minorEastAsia" w:hint="eastAsia"/>
          <w:lang w:eastAsia="zh-HK"/>
        </w:rPr>
        <w:t>符合</w:t>
      </w:r>
      <w:r w:rsidRPr="00DA6114">
        <w:rPr>
          <w:rFonts w:asciiTheme="minorEastAsia" w:hAnsiTheme="minorEastAsia"/>
          <w:lang w:eastAsia="zh-HK"/>
        </w:rPr>
        <w:t>下述</w:t>
      </w:r>
      <w:r>
        <w:rPr>
          <w:rFonts w:asciiTheme="minorEastAsia" w:hAnsiTheme="minorEastAsia" w:hint="eastAsia"/>
          <w:lang w:eastAsia="zh-HK"/>
        </w:rPr>
        <w:t>規定：</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信用與權益證券風險</w:t>
      </w:r>
      <w:r w:rsidRPr="005B5A12">
        <w:rPr>
          <w:rFonts w:asciiTheme="minorEastAsia" w:eastAsiaTheme="minorEastAsia" w:hAnsiTheme="minorEastAsia"/>
        </w:rPr>
        <w:t>之內部風險移轉，即當銀行利用</w:t>
      </w:r>
      <w:proofErr w:type="gramStart"/>
      <w:r w:rsidRPr="005B5A12">
        <w:rPr>
          <w:rFonts w:asciiTheme="minorEastAsia" w:eastAsiaTheme="minorEastAsia" w:hAnsiTheme="minorEastAsia"/>
        </w:rPr>
        <w:t>交易簿避險</w:t>
      </w:r>
      <w:proofErr w:type="gramEnd"/>
      <w:r w:rsidRPr="005B5A12">
        <w:rPr>
          <w:rFonts w:asciiTheme="minorEastAsia" w:eastAsiaTheme="minorEastAsia" w:hAnsiTheme="minorEastAsia"/>
        </w:rPr>
        <w:t>交易以規避銀行</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信用</w:t>
      </w:r>
      <w:proofErr w:type="gramStart"/>
      <w:r w:rsidRPr="005B5A12">
        <w:rPr>
          <w:rFonts w:asciiTheme="minorEastAsia" w:eastAsiaTheme="minorEastAsia" w:hAnsiTheme="minorEastAsia"/>
        </w:rPr>
        <w:t>風險暴險或</w:t>
      </w:r>
      <w:proofErr w:type="gramEnd"/>
      <w:r w:rsidRPr="005B5A12">
        <w:rPr>
          <w:rFonts w:asciiTheme="minorEastAsia" w:eastAsiaTheme="minorEastAsia" w:hAnsiTheme="minorEastAsia"/>
        </w:rPr>
        <w:t>權益證券</w:t>
      </w:r>
      <w:proofErr w:type="gramStart"/>
      <w:r w:rsidRPr="005B5A12">
        <w:rPr>
          <w:rFonts w:asciiTheme="minorEastAsia" w:eastAsiaTheme="minorEastAsia" w:hAnsiTheme="minorEastAsia"/>
        </w:rPr>
        <w:t>風險暴險</w:t>
      </w:r>
      <w:proofErr w:type="gramEnd"/>
      <w:r w:rsidRPr="005B5A12">
        <w:rPr>
          <w:rFonts w:asciiTheme="minorEastAsia" w:eastAsiaTheme="minorEastAsia" w:hAnsiTheme="minorEastAsia"/>
        </w:rPr>
        <w:t>(例如採用內部風險移轉)</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r>
        <w:rPr>
          <w:rFonts w:asciiTheme="minorEastAsia" w:eastAsiaTheme="minorEastAsia" w:hAnsiTheme="minorEastAsia"/>
        </w:rPr>
        <w:t>…</w:t>
      </w:r>
    </w:p>
    <w:p w:rsidR="005B5A12" w:rsidRDefault="005B5A12" w:rsidP="009F0ECC">
      <w:pPr>
        <w:pStyle w:val="a3"/>
        <w:widowControl w:val="0"/>
        <w:numPr>
          <w:ilvl w:val="0"/>
          <w:numId w:val="16"/>
        </w:numPr>
        <w:spacing w:beforeLines="50" w:before="180"/>
        <w:ind w:leftChars="0"/>
        <w:jc w:val="both"/>
        <w:rPr>
          <w:rFonts w:asciiTheme="minorEastAsia" w:eastAsiaTheme="minorEastAsia" w:hAnsiTheme="minorEastAsia"/>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一般利率風險</w:t>
      </w:r>
      <w:r w:rsidRPr="005B5A12">
        <w:rPr>
          <w:rFonts w:asciiTheme="minorEastAsia" w:eastAsiaTheme="minorEastAsia" w:hAnsiTheme="minorEastAsia"/>
        </w:rPr>
        <w:t>之內部風險移轉，即當銀行利用交易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內部風險移轉規避銀行</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利率風險時，此內部風險移轉之交易</w:t>
      </w:r>
      <w:proofErr w:type="gramStart"/>
      <w:r w:rsidRPr="005B5A12">
        <w:rPr>
          <w:rFonts w:asciiTheme="minorEastAsia" w:eastAsiaTheme="minorEastAsia" w:hAnsiTheme="minorEastAsia"/>
        </w:rPr>
        <w:t>簿端被</w:t>
      </w:r>
      <w:proofErr w:type="gramEnd"/>
      <w:r w:rsidRPr="005B5A12">
        <w:rPr>
          <w:rFonts w:asciiTheme="minorEastAsia" w:eastAsiaTheme="minorEastAsia" w:hAnsiTheme="minorEastAsia"/>
        </w:rPr>
        <w:t>當作是市場風險架構下的交易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工具，必須完全符合下列條件：</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應將避險的銀行</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利率風險之內部風險移轉文件化</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內部風險移轉被</w:t>
      </w:r>
      <w:r w:rsidRPr="005B5A12">
        <w:rPr>
          <w:rFonts w:asciiTheme="minorEastAsia" w:eastAsiaTheme="minorEastAsia" w:hAnsiTheme="minorEastAsia" w:cstheme="minorHAnsi" w:hint="eastAsia"/>
          <w:lang w:eastAsia="zh-HK"/>
        </w:rPr>
        <w:t>金管</w:t>
      </w:r>
      <w:r w:rsidRPr="005B5A12">
        <w:rPr>
          <w:rFonts w:asciiTheme="minorEastAsia" w:eastAsiaTheme="minorEastAsia" w:hAnsiTheme="minorEastAsia" w:cstheme="minorHAnsi"/>
        </w:rPr>
        <w:t>會所認可之專門且為此目的的內部風險移轉交易台所執行</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內部風險移轉應獨立依據本計算說明之市場風險資本計提規則計算，以利與交易</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其他交易所產生的一般利率風險或其他市場風險進行區別。</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p>
    <w:p w:rsidR="00350CBB" w:rsidRDefault="00DA6114" w:rsidP="009F0ECC">
      <w:pPr>
        <w:pStyle w:val="a3"/>
        <w:numPr>
          <w:ilvl w:val="0"/>
          <w:numId w:val="15"/>
        </w:numPr>
        <w:spacing w:beforeLines="50" w:before="180"/>
        <w:ind w:leftChars="0"/>
        <w:jc w:val="both"/>
        <w:rPr>
          <w:rFonts w:asciiTheme="minorEastAsia" w:hAnsiTheme="minorEastAsia"/>
          <w:lang w:eastAsia="zh-HK"/>
        </w:rPr>
      </w:pPr>
      <w:r>
        <w:rPr>
          <w:rFonts w:asciiTheme="minorEastAsia" w:hAnsiTheme="minorEastAsia" w:hint="eastAsia"/>
          <w:lang w:eastAsia="zh-HK"/>
        </w:rPr>
        <w:t>信用評價調整</w:t>
      </w:r>
      <w:r w:rsidR="00250695">
        <w:rPr>
          <w:rFonts w:asciiTheme="minorEastAsia" w:hAnsiTheme="minorEastAsia" w:hint="eastAsia"/>
          <w:lang w:eastAsia="zh-HK"/>
        </w:rPr>
        <w:t>資本要求之合格避險</w:t>
      </w:r>
    </w:p>
    <w:p w:rsidR="00250695" w:rsidRDefault="00250695" w:rsidP="009F0ECC">
      <w:pPr>
        <w:pStyle w:val="a3"/>
        <w:numPr>
          <w:ilvl w:val="0"/>
          <w:numId w:val="17"/>
        </w:numPr>
        <w:spacing w:beforeLines="50" w:before="180"/>
        <w:ind w:leftChars="0"/>
        <w:jc w:val="both"/>
        <w:rPr>
          <w:rFonts w:asciiTheme="minorEastAsia" w:hAnsiTheme="minorEastAsia"/>
          <w:lang w:eastAsia="zh-HK"/>
        </w:rPr>
      </w:pPr>
      <w:r w:rsidRPr="002D0D8A">
        <w:rPr>
          <w:rFonts w:asciiTheme="minorEastAsia" w:hAnsiTheme="minorEastAsia"/>
          <w:lang w:eastAsia="zh-HK"/>
        </w:rPr>
        <w:t>…</w:t>
      </w:r>
    </w:p>
    <w:p w:rsidR="002D0D8A" w:rsidRPr="002D0D8A" w:rsidRDefault="002D0D8A" w:rsidP="009F0ECC">
      <w:pPr>
        <w:pStyle w:val="a3"/>
        <w:numPr>
          <w:ilvl w:val="0"/>
          <w:numId w:val="17"/>
        </w:numPr>
        <w:spacing w:beforeLines="50" w:before="180"/>
        <w:ind w:leftChars="0"/>
        <w:jc w:val="both"/>
        <w:rPr>
          <w:rFonts w:asciiTheme="minorEastAsia" w:hAnsiTheme="minorEastAsia"/>
          <w:lang w:eastAsia="zh-HK"/>
        </w:rPr>
      </w:pPr>
    </w:p>
    <w:p w:rsidR="00EB3F78" w:rsidRPr="00A8030B" w:rsidRDefault="00EB3F78" w:rsidP="009F0ECC">
      <w:pPr>
        <w:pStyle w:val="a3"/>
        <w:numPr>
          <w:ilvl w:val="0"/>
          <w:numId w:val="3"/>
        </w:numPr>
        <w:ind w:leftChars="0" w:hangingChars="177"/>
        <w:outlineLvl w:val="0"/>
        <w:rPr>
          <w:rFonts w:asciiTheme="minorEastAsia" w:eastAsiaTheme="minorEastAsia" w:hAnsiTheme="minorEastAsia"/>
        </w:rPr>
      </w:pPr>
      <w:bookmarkStart w:id="6" w:name="_Toc111194933"/>
      <w:r w:rsidRPr="00A8030B">
        <w:rPr>
          <w:rFonts w:asciiTheme="minorEastAsia" w:eastAsiaTheme="minorEastAsia" w:hAnsiTheme="minorEastAsia" w:hint="eastAsia"/>
        </w:rPr>
        <w:t>其他管理事項</w:t>
      </w:r>
      <w:bookmarkEnd w:id="6"/>
    </w:p>
    <w:p w:rsidR="003911F2" w:rsidRPr="00A8030B" w:rsidRDefault="00023115"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lang w:eastAsia="zh-HK"/>
        </w:rPr>
        <w:t>部位</w:t>
      </w:r>
      <w:r w:rsidR="007C3621" w:rsidRPr="00A8030B">
        <w:rPr>
          <w:rFonts w:asciiTheme="minorEastAsia" w:eastAsiaTheme="minorEastAsia" w:hAnsiTheme="minorEastAsia" w:hint="eastAsia"/>
        </w:rPr>
        <w:t>風險</w:t>
      </w:r>
      <w:r w:rsidR="0010507B" w:rsidRPr="00A8030B">
        <w:rPr>
          <w:rFonts w:asciiTheme="minorEastAsia" w:eastAsiaTheme="minorEastAsia" w:hAnsiTheme="minorEastAsia" w:hint="eastAsia"/>
        </w:rPr>
        <w:t>胃納</w:t>
      </w:r>
      <w:r>
        <w:rPr>
          <w:rFonts w:asciiTheme="minorEastAsia" w:eastAsiaTheme="minorEastAsia" w:hAnsiTheme="minorEastAsia" w:hint="eastAsia"/>
          <w:lang w:eastAsia="zh-HK"/>
        </w:rPr>
        <w:t>管理</w:t>
      </w:r>
      <w:r w:rsidR="003911F2" w:rsidRPr="00A8030B">
        <w:rPr>
          <w:rFonts w:asciiTheme="minorEastAsia" w:eastAsiaTheme="minorEastAsia" w:hAnsiTheme="minorEastAsia"/>
        </w:rPr>
        <w:t>須</w:t>
      </w:r>
      <w:r w:rsidR="00B76033">
        <w:rPr>
          <w:rFonts w:asciiTheme="minorEastAsia" w:eastAsiaTheme="minorEastAsia" w:hAnsiTheme="minorEastAsia" w:hint="eastAsia"/>
          <w:lang w:eastAsia="zh-HK"/>
        </w:rPr>
        <w:t>指明</w:t>
      </w:r>
      <w:r w:rsidR="003911F2" w:rsidRPr="00A8030B">
        <w:rPr>
          <w:rFonts w:asciiTheme="minorEastAsia" w:eastAsiaTheme="minorEastAsia" w:hAnsiTheme="minorEastAsia"/>
        </w:rPr>
        <w:t>下列事項：</w:t>
      </w:r>
    </w:p>
    <w:p w:rsidR="003911F2" w:rsidRPr="00A8030B" w:rsidRDefault="0072708F"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交易</w:t>
      </w:r>
      <w:r w:rsidR="0010507B" w:rsidRPr="00A8030B">
        <w:rPr>
          <w:rFonts w:asciiTheme="minorEastAsia" w:eastAsiaTheme="minorEastAsia" w:hAnsiTheme="minorEastAsia" w:hint="eastAsia"/>
        </w:rPr>
        <w:t>標的，含</w:t>
      </w:r>
      <w:proofErr w:type="gramStart"/>
      <w:r w:rsidR="0010507B" w:rsidRPr="00A8030B">
        <w:rPr>
          <w:rFonts w:asciiTheme="minorEastAsia" w:eastAsiaTheme="minorEastAsia" w:hAnsiTheme="minorEastAsia" w:hint="eastAsia"/>
        </w:rPr>
        <w:t>承作</w:t>
      </w:r>
      <w:proofErr w:type="gramEnd"/>
      <w:r w:rsidRPr="00A8030B">
        <w:rPr>
          <w:rFonts w:asciiTheme="minorEastAsia" w:eastAsiaTheme="minorEastAsia" w:hAnsiTheme="minorEastAsia" w:hint="eastAsia"/>
        </w:rPr>
        <w:t>工具及其避險工具</w:t>
      </w:r>
    </w:p>
    <w:p w:rsidR="0010507B" w:rsidRPr="00A8030B" w:rsidRDefault="005F1BAB"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會計金融資產分類</w:t>
      </w:r>
    </w:p>
    <w:p w:rsidR="0072708F" w:rsidRPr="00A8030B" w:rsidRDefault="0010507B"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法定資本計</w:t>
      </w:r>
      <w:proofErr w:type="gramStart"/>
      <w:r w:rsidRPr="00A8030B">
        <w:rPr>
          <w:rFonts w:asciiTheme="minorEastAsia" w:eastAsiaTheme="minorEastAsia" w:hAnsiTheme="minorEastAsia" w:hint="eastAsia"/>
        </w:rPr>
        <w:t>提簿別</w:t>
      </w:r>
      <w:proofErr w:type="gramEnd"/>
    </w:p>
    <w:p w:rsidR="00DD3054" w:rsidRPr="00A8030B" w:rsidRDefault="00565955"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lastRenderedPageBreak/>
        <w:t>從銀行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發行的負債包含嵌入式衍生性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並且符合第</w:t>
      </w:r>
      <w:r w:rsidRPr="00A8030B">
        <w:rPr>
          <w:rFonts w:asciiTheme="minorEastAsia" w:eastAsiaTheme="minorEastAsia" w:hAnsiTheme="minorEastAsia" w:hint="eastAsia"/>
        </w:rPr>
        <w:t>三</w:t>
      </w:r>
      <w:r w:rsidRPr="00A8030B">
        <w:rPr>
          <w:rFonts w:asciiTheme="minorEastAsia" w:eastAsiaTheme="minorEastAsia" w:hAnsiTheme="minorEastAsia"/>
        </w:rPr>
        <w:t>大點第4點第</w:t>
      </w:r>
      <w:r w:rsidRPr="00A8030B">
        <w:rPr>
          <w:rFonts w:asciiTheme="minorEastAsia" w:eastAsiaTheme="minorEastAsia" w:hAnsiTheme="minorEastAsia" w:hint="eastAsia"/>
        </w:rPr>
        <w:t>(</w:t>
      </w:r>
      <w:r w:rsidRPr="00A8030B">
        <w:rPr>
          <w:rFonts w:asciiTheme="minorEastAsia" w:eastAsiaTheme="minorEastAsia" w:hAnsiTheme="minorEastAsia"/>
        </w:rPr>
        <w:t>6)項標準</w:t>
      </w:r>
      <w:r w:rsidR="00B601CB" w:rsidRPr="00A8030B">
        <w:rPr>
          <w:rFonts w:asciiTheme="minorEastAsia" w:eastAsiaTheme="minorEastAsia" w:hAnsiTheme="minorEastAsia" w:hint="eastAsia"/>
        </w:rPr>
        <w:t>，此負債</w:t>
      </w:r>
      <w:r w:rsidRPr="00A8030B">
        <w:rPr>
          <w:rFonts w:asciiTheme="minorEastAsia" w:eastAsiaTheme="minorEastAsia" w:hAnsiTheme="minorEastAsia"/>
        </w:rPr>
        <w:t>要分成兩部分：(</w:t>
      </w:r>
      <w:proofErr w:type="spellStart"/>
      <w:r w:rsidRPr="00A8030B">
        <w:rPr>
          <w:rFonts w:asciiTheme="minorEastAsia" w:eastAsiaTheme="minorEastAsia" w:hAnsiTheme="minorEastAsia"/>
        </w:rPr>
        <w:t>i</w:t>
      </w:r>
      <w:proofErr w:type="spellEnd"/>
      <w:r w:rsidRPr="00A8030B">
        <w:rPr>
          <w:rFonts w:asciiTheme="minorEastAsia" w:eastAsiaTheme="minorEastAsia" w:hAnsiTheme="minorEastAsia"/>
        </w:rPr>
        <w:t>)分配到交易簿的嵌入式衍生性</w:t>
      </w:r>
      <w:r w:rsidR="004E0CCA"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和(ii)剩餘負債仍維持銀行簿。</w:t>
      </w:r>
      <w:r w:rsidR="00DD3054" w:rsidRPr="00A8030B">
        <w:rPr>
          <w:rFonts w:asciiTheme="minorEastAsia" w:eastAsiaTheme="minorEastAsia" w:hAnsiTheme="minorEastAsia" w:hint="eastAsia"/>
        </w:rPr>
        <w:t>此</w:t>
      </w:r>
      <w:r w:rsidRPr="00A8030B">
        <w:rPr>
          <w:rFonts w:asciiTheme="minorEastAsia" w:eastAsiaTheme="minorEastAsia" w:hAnsiTheme="minorEastAsia"/>
        </w:rPr>
        <w:t>分群不需要內部風險轉移。</w:t>
      </w:r>
    </w:p>
    <w:p w:rsidR="00565955" w:rsidRPr="00A8030B" w:rsidRDefault="00565955" w:rsidP="00DD3054">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當這類負債被解約或嵌入式選擇權被執行時，概念上交易簿和銀行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組成部位之解約與執行將同時發生；交易簿和銀行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之間不需要移轉。</w:t>
      </w:r>
    </w:p>
    <w:p w:rsidR="00897487" w:rsidRPr="00A8030B" w:rsidRDefault="00897487"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工具之持有目的符合</w:t>
      </w:r>
      <w:proofErr w:type="gramStart"/>
      <w:r w:rsidRPr="00A8030B">
        <w:rPr>
          <w:rFonts w:asciiTheme="minorEastAsia" w:eastAsiaTheme="minorEastAsia" w:hAnsiTheme="minorEastAsia"/>
        </w:rPr>
        <w:t>交易簿所列</w:t>
      </w:r>
      <w:proofErr w:type="gramEnd"/>
      <w:r w:rsidRPr="00A8030B">
        <w:rPr>
          <w:rFonts w:asciiTheme="minorEastAsia" w:eastAsiaTheme="minorEastAsia" w:hAnsiTheme="minorEastAsia"/>
        </w:rPr>
        <w:t>規範之證明文件。假如</w:t>
      </w:r>
      <w:r w:rsidRPr="00A8030B">
        <w:rPr>
          <w:rFonts w:asciiTheme="minorEastAsia" w:eastAsiaTheme="minorEastAsia" w:hAnsiTheme="minorEastAsia" w:hint="eastAsia"/>
          <w:lang w:eastAsia="zh-HK"/>
        </w:rPr>
        <w:t>金管會</w:t>
      </w:r>
      <w:r w:rsidRPr="00A8030B">
        <w:rPr>
          <w:rFonts w:asciiTheme="minorEastAsia" w:eastAsiaTheme="minorEastAsia" w:hAnsiTheme="minorEastAsia"/>
        </w:rPr>
        <w:t>認為</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行未提供足夠的證明或認為該工具慣例上屬銀行簿，則</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會可要求</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銀行將該工具列為銀行簿，除非該工具為交易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規範3所列的工具。</w:t>
      </w:r>
      <w:r w:rsidRPr="00A8030B">
        <w:rPr>
          <w:rFonts w:asciiTheme="minorEastAsia" w:eastAsiaTheme="minorEastAsia" w:hAnsiTheme="minorEastAsia"/>
        </w:rPr>
        <w:br/>
      </w:r>
      <w:r w:rsidR="00644F05"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00644F05"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會之要求提供銀行</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w:t>
      </w:r>
      <w:r w:rsidR="00644F05" w:rsidRPr="00A8030B">
        <w:rPr>
          <w:rFonts w:asciiTheme="minorEastAsia" w:eastAsiaTheme="minorEastAsia" w:hAnsiTheme="minorEastAsia"/>
        </w:rPr>
        <w:t>之持有目的不符合</w:t>
      </w:r>
      <w:proofErr w:type="gramStart"/>
      <w:r w:rsidR="00644F05" w:rsidRPr="00A8030B">
        <w:rPr>
          <w:rFonts w:asciiTheme="minorEastAsia" w:eastAsiaTheme="minorEastAsia" w:hAnsiTheme="minorEastAsia"/>
        </w:rPr>
        <w:t>交易簿所列</w:t>
      </w:r>
      <w:proofErr w:type="gramEnd"/>
      <w:r w:rsidR="00644F05" w:rsidRPr="00A8030B">
        <w:rPr>
          <w:rFonts w:asciiTheme="minorEastAsia" w:eastAsiaTheme="minorEastAsia" w:hAnsiTheme="minorEastAsia"/>
        </w:rPr>
        <w:t>規範之證明文件。假如本會認為</w:t>
      </w:r>
      <w:r w:rsidR="00644F05"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行未提供足夠的證明，或認為該工具慣例上屬交易簿，則可要求銀行將該工具列為交易簿，除非該工具為銀行</w:t>
      </w:r>
      <w:proofErr w:type="gramStart"/>
      <w:r w:rsidRPr="00A8030B">
        <w:rPr>
          <w:rFonts w:asciiTheme="minorEastAsia" w:eastAsiaTheme="minorEastAsia" w:hAnsiTheme="minorEastAsia"/>
        </w:rPr>
        <w:t>簿</w:t>
      </w:r>
      <w:proofErr w:type="gramEnd"/>
      <w:r w:rsidR="00644F05"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w:t>
      </w:r>
      <w:r w:rsidR="00644F05" w:rsidRPr="00A8030B">
        <w:rPr>
          <w:rFonts w:asciiTheme="minorEastAsia" w:eastAsiaTheme="minorEastAsia" w:hAnsiTheme="minorEastAsia"/>
        </w:rPr>
        <w:t>2</w:t>
      </w:r>
      <w:r w:rsidRPr="00A8030B">
        <w:rPr>
          <w:rFonts w:asciiTheme="minorEastAsia" w:eastAsiaTheme="minorEastAsia" w:hAnsiTheme="minorEastAsia"/>
        </w:rPr>
        <w:t>所列之工具。</w:t>
      </w:r>
    </w:p>
    <w:p w:rsidR="00FC4459" w:rsidRDefault="00E51641"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對於遵循</w:t>
      </w:r>
      <w:r w:rsidRPr="00A8030B">
        <w:rPr>
          <w:rFonts w:asciiTheme="minorEastAsia" w:eastAsiaTheme="minorEastAsia" w:hAnsiTheme="minorEastAsia" w:hint="eastAsia"/>
          <w:lang w:eastAsia="zh-HK"/>
        </w:rPr>
        <w:t>本</w:t>
      </w:r>
      <w:r w:rsidR="00F34EBD" w:rsidRPr="00A8030B">
        <w:rPr>
          <w:rFonts w:asciiTheme="minorEastAsia" w:eastAsiaTheme="minorEastAsia" w:hAnsiTheme="minorEastAsia" w:hint="eastAsia"/>
          <w:lang w:eastAsia="zh-HK"/>
        </w:rPr>
        <w:t>準則</w:t>
      </w:r>
      <w:r w:rsidRPr="00A8030B">
        <w:rPr>
          <w:rFonts w:asciiTheme="minorEastAsia" w:eastAsiaTheme="minorEastAsia" w:hAnsiTheme="minorEastAsia"/>
        </w:rPr>
        <w:t>之執行情形，應保有完善書面紀錄，並應每年至少一次受到內部稽核之查核。</w:t>
      </w:r>
    </w:p>
    <w:p w:rsidR="00A8030B" w:rsidRPr="00FC4459" w:rsidRDefault="00FC4459"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FC4459">
        <w:rPr>
          <w:rFonts w:asciiTheme="minorEastAsia" w:eastAsiaTheme="minorEastAsia" w:hAnsiTheme="minorEastAsia" w:hint="eastAsia"/>
        </w:rPr>
        <w:t>本準則未盡事宜，悉依有關法令及本行相關規定辦理。</w:t>
      </w:r>
    </w:p>
    <w:p w:rsidR="00FC4459" w:rsidRPr="00FC4459" w:rsidRDefault="00FC4459" w:rsidP="00FC4459">
      <w:pPr>
        <w:pStyle w:val="a3"/>
        <w:widowControl w:val="0"/>
        <w:spacing w:beforeLines="50" w:before="180"/>
        <w:ind w:leftChars="0" w:left="964"/>
        <w:jc w:val="both"/>
        <w:rPr>
          <w:rFonts w:asciiTheme="minorEastAsia" w:eastAsiaTheme="minorEastAsia" w:hAnsiTheme="minorEastAsia"/>
        </w:rPr>
      </w:pPr>
    </w:p>
    <w:p w:rsidR="00077751" w:rsidRDefault="00A8030B" w:rsidP="009F0ECC">
      <w:pPr>
        <w:pStyle w:val="a3"/>
        <w:numPr>
          <w:ilvl w:val="0"/>
          <w:numId w:val="3"/>
        </w:numPr>
        <w:ind w:leftChars="0" w:hangingChars="177"/>
        <w:outlineLvl w:val="0"/>
        <w:rPr>
          <w:rFonts w:asciiTheme="minorEastAsia" w:eastAsiaTheme="minorEastAsia" w:hAnsiTheme="minorEastAsia"/>
        </w:rPr>
      </w:pPr>
      <w:bookmarkStart w:id="7" w:name="_Toc111194934"/>
      <w:r w:rsidRPr="00A8030B">
        <w:rPr>
          <w:rFonts w:asciiTheme="minorEastAsia" w:eastAsiaTheme="minorEastAsia" w:hAnsiTheme="minorEastAsia"/>
        </w:rPr>
        <w:t>準則之制訂及修訂</w:t>
      </w:r>
      <w:bookmarkEnd w:id="7"/>
    </w:p>
    <w:p w:rsidR="00FC4459" w:rsidRPr="002D0D8A" w:rsidRDefault="00077751" w:rsidP="002D0D8A">
      <w:pPr>
        <w:pStyle w:val="a3"/>
        <w:ind w:leftChars="0" w:left="425"/>
        <w:rPr>
          <w:rFonts w:asciiTheme="minorEastAsia" w:eastAsiaTheme="minorEastAsia" w:hAnsiTheme="minorEastAsia"/>
        </w:rPr>
      </w:pPr>
      <w:r w:rsidRPr="00077751">
        <w:rPr>
          <w:rFonts w:asciiTheme="minorEastAsia" w:eastAsiaTheme="minorEastAsia" w:hAnsiTheme="minorEastAsia" w:hint="eastAsia"/>
        </w:rPr>
        <w:t>本準則之修訂由金融市場管理部負責，經呈報</w:t>
      </w:r>
      <w:r w:rsidR="00B612CA">
        <w:rPr>
          <w:rFonts w:asciiTheme="minorEastAsia" w:eastAsiaTheme="minorEastAsia" w:hAnsiTheme="minorEastAsia"/>
        </w:rPr>
        <w:t>OOOOO</w:t>
      </w:r>
      <w:r w:rsidRPr="00077751">
        <w:rPr>
          <w:rFonts w:asciiTheme="minorEastAsia" w:eastAsiaTheme="minorEastAsia" w:hAnsiTheme="minorEastAsia" w:hint="eastAsia"/>
        </w:rPr>
        <w:t>審定並經金融市場事業總處執行長核定後實施，修訂時亦同。</w:t>
      </w:r>
    </w:p>
    <w:p w:rsidR="00FC4459" w:rsidRPr="00FC4459" w:rsidRDefault="002D0D8A" w:rsidP="00FC4459">
      <w:pPr>
        <w:pStyle w:val="a3"/>
        <w:ind w:leftChars="0" w:left="425"/>
        <w:rPr>
          <w:rFonts w:asciiTheme="minorEastAsia" w:eastAsiaTheme="minorEastAsia" w:hAnsiTheme="minorEastAsia"/>
        </w:rPr>
      </w:pPr>
      <w:r>
        <w:rPr>
          <w:rFonts w:asciiTheme="minorEastAsia" w:eastAsiaTheme="minorEastAsia" w:hAnsiTheme="minorEastAsia" w:hint="eastAsia"/>
        </w:rPr>
        <w:t>(</w:t>
      </w:r>
      <w:r w:rsidR="00FC4459" w:rsidRPr="00077751">
        <w:rPr>
          <w:rFonts w:asciiTheme="minorEastAsia" w:eastAsiaTheme="minorEastAsia" w:hAnsiTheme="minorEastAsia" w:hint="eastAsia"/>
        </w:rPr>
        <w:t>本準則之修訂由金融市場管理部負責，</w:t>
      </w:r>
      <w:r w:rsidR="00FC4459" w:rsidRPr="00FC4459">
        <w:rPr>
          <w:rFonts w:asciiTheme="minorEastAsia" w:eastAsiaTheme="minorEastAsia" w:hAnsiTheme="minorEastAsia" w:hint="eastAsia"/>
        </w:rPr>
        <w:t>經銀行總經理核定後實施</w:t>
      </w:r>
      <w:r w:rsidR="00FC4459" w:rsidRPr="00077751">
        <w:rPr>
          <w:rFonts w:asciiTheme="minorEastAsia" w:eastAsiaTheme="minorEastAsia" w:hAnsiTheme="minorEastAsia" w:hint="eastAsia"/>
        </w:rPr>
        <w:t>。</w:t>
      </w:r>
      <w:r>
        <w:rPr>
          <w:rFonts w:asciiTheme="minorEastAsia" w:eastAsiaTheme="minorEastAsia" w:hAnsiTheme="minorEastAsia" w:hint="eastAsia"/>
        </w:rPr>
        <w:t>)</w:t>
      </w:r>
    </w:p>
    <w:p w:rsidR="00A8030B" w:rsidRPr="00D53481" w:rsidRDefault="00A8030B" w:rsidP="00A8030B">
      <w:pPr>
        <w:spacing w:beforeLines="50" w:before="180"/>
        <w:jc w:val="both"/>
        <w:rPr>
          <w:rFonts w:asciiTheme="minorEastAsia" w:hAnsiTheme="minorEastAsia"/>
          <w:szCs w:val="24"/>
        </w:rPr>
      </w:pPr>
    </w:p>
    <w:p w:rsidR="00FC4459" w:rsidRDefault="00FC4459" w:rsidP="00A8030B">
      <w:pPr>
        <w:spacing w:beforeLines="50" w:before="180"/>
        <w:jc w:val="both"/>
        <w:rPr>
          <w:rFonts w:asciiTheme="minorEastAsia" w:hAnsiTheme="minorEastAsia"/>
          <w:szCs w:val="24"/>
        </w:rPr>
      </w:pPr>
    </w:p>
    <w:p w:rsidR="00FC4459" w:rsidRPr="00A8030B" w:rsidRDefault="00FC4459" w:rsidP="00A8030B">
      <w:pPr>
        <w:spacing w:beforeLines="50" w:before="180"/>
        <w:jc w:val="both"/>
        <w:rPr>
          <w:rFonts w:asciiTheme="minorEastAsia" w:hAnsiTheme="minorEastAsia"/>
          <w:szCs w:val="24"/>
        </w:rPr>
      </w:pPr>
    </w:p>
    <w:p w:rsidR="0068093B" w:rsidRPr="00A8030B" w:rsidRDefault="0068093B" w:rsidP="0068093B">
      <w:pPr>
        <w:rPr>
          <w:rFonts w:asciiTheme="minorEastAsia" w:hAnsiTheme="minorEastAsia"/>
          <w:szCs w:val="24"/>
        </w:rPr>
      </w:pPr>
      <w:r w:rsidRPr="00A8030B">
        <w:rPr>
          <w:rFonts w:asciiTheme="minorEastAsia" w:hAnsiTheme="minorEastAsia" w:hint="eastAsia"/>
          <w:szCs w:val="24"/>
          <w:lang w:eastAsia="zh-HK"/>
        </w:rPr>
        <w:t>參考文件：</w:t>
      </w:r>
    </w:p>
    <w:p w:rsidR="0068093B" w:rsidRPr="00A8030B" w:rsidRDefault="0068093B" w:rsidP="009F0ECC">
      <w:pPr>
        <w:pStyle w:val="a3"/>
        <w:numPr>
          <w:ilvl w:val="0"/>
          <w:numId w:val="11"/>
        </w:numPr>
        <w:ind w:leftChars="0"/>
        <w:rPr>
          <w:rFonts w:asciiTheme="minorEastAsia" w:eastAsiaTheme="minorEastAsia" w:hAnsiTheme="minorEastAsia"/>
        </w:rPr>
      </w:pPr>
      <w:r w:rsidRPr="00A8030B">
        <w:rPr>
          <w:rFonts w:asciiTheme="minorEastAsia" w:eastAsiaTheme="minorEastAsia" w:hAnsiTheme="minorEastAsia"/>
        </w:rPr>
        <w:t>金管會銀行局法規：</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銀行資本適足性及資本等級管理辦法；</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第二部分  信用風險標準法及內部評等法；</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合格外部信用評等公司之評等對照；</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第五部分 市場風險(新版尚未公佈)；</w:t>
      </w:r>
    </w:p>
    <w:p w:rsidR="0068093B" w:rsidRPr="00A8030B" w:rsidRDefault="0068093B" w:rsidP="009F0ECC">
      <w:pPr>
        <w:pStyle w:val="a3"/>
        <w:numPr>
          <w:ilvl w:val="0"/>
          <w:numId w:val="11"/>
        </w:numPr>
        <w:ind w:leftChars="0"/>
        <w:rPr>
          <w:rFonts w:asciiTheme="minorEastAsia" w:eastAsiaTheme="minorEastAsia" w:hAnsiTheme="minorEastAsia"/>
        </w:rPr>
      </w:pPr>
      <w:r w:rsidRPr="00A8030B">
        <w:rPr>
          <w:rFonts w:asciiTheme="minorEastAsia" w:eastAsiaTheme="minorEastAsia" w:hAnsiTheme="minorEastAsia"/>
        </w:rPr>
        <w:t>銀行內部相關規範：</w:t>
      </w:r>
    </w:p>
    <w:p w:rsidR="0068093B" w:rsidRPr="00A8030B" w:rsidRDefault="0068093B" w:rsidP="0068093B">
      <w:pPr>
        <w:ind w:firstLine="360"/>
        <w:rPr>
          <w:rFonts w:asciiTheme="minorEastAsia" w:hAnsiTheme="minorEastAsia"/>
          <w:szCs w:val="24"/>
        </w:rPr>
      </w:pPr>
      <w:r w:rsidRPr="00A8030B">
        <w:rPr>
          <w:rFonts w:asciiTheme="minorEastAsia" w:hAnsiTheme="minorEastAsia" w:hint="eastAsia"/>
          <w:szCs w:val="24"/>
        </w:rPr>
        <w:t>綜合企劃處；</w:t>
      </w:r>
    </w:p>
    <w:p w:rsidR="0068093B" w:rsidRPr="00A8030B" w:rsidRDefault="0068093B" w:rsidP="009F0ECC">
      <w:pPr>
        <w:pStyle w:val="a3"/>
        <w:numPr>
          <w:ilvl w:val="0"/>
          <w:numId w:val="13"/>
        </w:numPr>
        <w:ind w:leftChars="0"/>
        <w:rPr>
          <w:rFonts w:asciiTheme="minorEastAsia" w:eastAsiaTheme="minorEastAsia" w:hAnsiTheme="minorEastAsia"/>
        </w:rPr>
      </w:pPr>
      <w:r w:rsidRPr="00A8030B">
        <w:rPr>
          <w:rFonts w:asciiTheme="minorEastAsia" w:eastAsiaTheme="minorEastAsia" w:hAnsiTheme="minorEastAsia" w:hint="eastAsia"/>
        </w:rPr>
        <w:t>台新銀行資本適足性管理準則；</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color w:val="auto"/>
          <w:kern w:val="2"/>
        </w:rPr>
        <w:t>風險管理處：</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lastRenderedPageBreak/>
        <w:t>台新銀行風險管理政策</w:t>
      </w:r>
      <w:r w:rsidRPr="00A8030B">
        <w:rPr>
          <w:rFonts w:asciiTheme="minorEastAsia" w:eastAsiaTheme="minorEastAsia" w:hAnsiTheme="minorEastAsia" w:hint="eastAsia"/>
          <w:color w:val="auto"/>
        </w:rPr>
        <w:t>；</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績效管理處會計部：</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金融工具會計處理程序；</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混合合約會計處理程序；</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避險會計處理程序；</w:t>
      </w:r>
    </w:p>
    <w:p w:rsidR="0068093B" w:rsidRPr="00A8030B" w:rsidRDefault="0068093B" w:rsidP="0068093B">
      <w:pPr>
        <w:spacing w:beforeLines="50" w:before="180"/>
        <w:jc w:val="both"/>
        <w:rPr>
          <w:rFonts w:asciiTheme="minorEastAsia" w:hAnsiTheme="minorEastAsia"/>
          <w:szCs w:val="24"/>
        </w:rPr>
      </w:pPr>
    </w:p>
    <w:p w:rsidR="000E4C18" w:rsidRPr="00A8030B" w:rsidRDefault="000E4C18">
      <w:pPr>
        <w:widowControl/>
        <w:rPr>
          <w:rFonts w:asciiTheme="minorEastAsia" w:hAnsiTheme="minorEastAsia"/>
          <w:szCs w:val="24"/>
        </w:rPr>
      </w:pPr>
    </w:p>
    <w:sectPr w:rsidR="000E4C18" w:rsidRPr="00A8030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646" w:rsidRDefault="00692646" w:rsidP="00AF17CE">
      <w:r>
        <w:separator/>
      </w:r>
    </w:p>
  </w:endnote>
  <w:endnote w:type="continuationSeparator" w:id="0">
    <w:p w:rsidR="00692646" w:rsidRDefault="00692646"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A915FC" w:rsidRPr="00A915FC">
          <w:rPr>
            <w:noProof/>
            <w:lang w:val="zh-TW"/>
          </w:rPr>
          <w:t>8</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646" w:rsidRDefault="00692646" w:rsidP="00AF17CE">
      <w:r>
        <w:separator/>
      </w:r>
    </w:p>
  </w:footnote>
  <w:footnote w:type="continuationSeparator" w:id="0">
    <w:p w:rsidR="00692646" w:rsidRDefault="00692646"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A70D1B"/>
    <w:multiLevelType w:val="hybridMultilevel"/>
    <w:tmpl w:val="D1BA4848"/>
    <w:lvl w:ilvl="0" w:tplc="40A4319E">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nsid w:val="62C3246A"/>
    <w:multiLevelType w:val="hybridMultilevel"/>
    <w:tmpl w:val="D65AC56E"/>
    <w:lvl w:ilvl="0" w:tplc="542C95BC">
      <w:start w:val="1"/>
      <w:numFmt w:val="decimal"/>
      <w:lvlText w:val="(%1)"/>
      <w:lvlJc w:val="left"/>
      <w:pPr>
        <w:ind w:left="133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2A447EA"/>
    <w:multiLevelType w:val="hybridMultilevel"/>
    <w:tmpl w:val="380CB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4"/>
  </w:num>
  <w:num w:numId="2">
    <w:abstractNumId w:val="3"/>
  </w:num>
  <w:num w:numId="3">
    <w:abstractNumId w:val="11"/>
  </w:num>
  <w:num w:numId="4">
    <w:abstractNumId w:val="12"/>
  </w:num>
  <w:num w:numId="5">
    <w:abstractNumId w:val="0"/>
  </w:num>
  <w:num w:numId="6">
    <w:abstractNumId w:val="16"/>
  </w:num>
  <w:num w:numId="7">
    <w:abstractNumId w:val="8"/>
  </w:num>
  <w:num w:numId="8">
    <w:abstractNumId w:val="9"/>
  </w:num>
  <w:num w:numId="9">
    <w:abstractNumId w:val="6"/>
  </w:num>
  <w:num w:numId="10">
    <w:abstractNumId w:val="2"/>
  </w:num>
  <w:num w:numId="11">
    <w:abstractNumId w:val="15"/>
  </w:num>
  <w:num w:numId="12">
    <w:abstractNumId w:val="17"/>
  </w:num>
  <w:num w:numId="13">
    <w:abstractNumId w:val="13"/>
  </w:num>
  <w:num w:numId="14">
    <w:abstractNumId w:val="10"/>
  </w:num>
  <w:num w:numId="15">
    <w:abstractNumId w:val="18"/>
  </w:num>
  <w:num w:numId="16">
    <w:abstractNumId w:val="4"/>
  </w:num>
  <w:num w:numId="17">
    <w:abstractNumId w:val="1"/>
  </w:num>
  <w:num w:numId="18">
    <w:abstractNumId w:val="7"/>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23115"/>
    <w:rsid w:val="00041C25"/>
    <w:rsid w:val="000603F8"/>
    <w:rsid w:val="0007076A"/>
    <w:rsid w:val="00077751"/>
    <w:rsid w:val="000A4CA2"/>
    <w:rsid w:val="000C7020"/>
    <w:rsid w:val="000D50C2"/>
    <w:rsid w:val="000E4C18"/>
    <w:rsid w:val="000F0C47"/>
    <w:rsid w:val="0010507B"/>
    <w:rsid w:val="001172A6"/>
    <w:rsid w:val="0012145D"/>
    <w:rsid w:val="00121F65"/>
    <w:rsid w:val="00123880"/>
    <w:rsid w:val="00126874"/>
    <w:rsid w:val="001360D7"/>
    <w:rsid w:val="00145B44"/>
    <w:rsid w:val="0016301E"/>
    <w:rsid w:val="00175363"/>
    <w:rsid w:val="00176346"/>
    <w:rsid w:val="00181B3B"/>
    <w:rsid w:val="001A56A0"/>
    <w:rsid w:val="001C31D4"/>
    <w:rsid w:val="001C3C79"/>
    <w:rsid w:val="001D096B"/>
    <w:rsid w:val="001D6632"/>
    <w:rsid w:val="001E2F07"/>
    <w:rsid w:val="00220801"/>
    <w:rsid w:val="002343C8"/>
    <w:rsid w:val="002357E9"/>
    <w:rsid w:val="00250695"/>
    <w:rsid w:val="002777CF"/>
    <w:rsid w:val="00294DD9"/>
    <w:rsid w:val="002B1B18"/>
    <w:rsid w:val="002C4ACC"/>
    <w:rsid w:val="002D0D8A"/>
    <w:rsid w:val="002E4CD9"/>
    <w:rsid w:val="002E519D"/>
    <w:rsid w:val="003118BC"/>
    <w:rsid w:val="00314658"/>
    <w:rsid w:val="00320768"/>
    <w:rsid w:val="00325F21"/>
    <w:rsid w:val="003373CB"/>
    <w:rsid w:val="0034272A"/>
    <w:rsid w:val="00350CBB"/>
    <w:rsid w:val="00351AF7"/>
    <w:rsid w:val="00363E61"/>
    <w:rsid w:val="00382166"/>
    <w:rsid w:val="003911F2"/>
    <w:rsid w:val="00396D69"/>
    <w:rsid w:val="003B0BAB"/>
    <w:rsid w:val="003B6620"/>
    <w:rsid w:val="003C3922"/>
    <w:rsid w:val="003C60CB"/>
    <w:rsid w:val="003D15B7"/>
    <w:rsid w:val="003E407F"/>
    <w:rsid w:val="003F1A2F"/>
    <w:rsid w:val="00413CEC"/>
    <w:rsid w:val="0042283E"/>
    <w:rsid w:val="00426B93"/>
    <w:rsid w:val="004310BD"/>
    <w:rsid w:val="0043141A"/>
    <w:rsid w:val="004337F0"/>
    <w:rsid w:val="00437AFA"/>
    <w:rsid w:val="00461AEB"/>
    <w:rsid w:val="004672D0"/>
    <w:rsid w:val="00477116"/>
    <w:rsid w:val="004A3775"/>
    <w:rsid w:val="004B0BB7"/>
    <w:rsid w:val="004B3036"/>
    <w:rsid w:val="004C163F"/>
    <w:rsid w:val="004C25B1"/>
    <w:rsid w:val="004C7489"/>
    <w:rsid w:val="004E0CCA"/>
    <w:rsid w:val="004E1819"/>
    <w:rsid w:val="004E272E"/>
    <w:rsid w:val="004E2AC8"/>
    <w:rsid w:val="004E56B0"/>
    <w:rsid w:val="004F20E1"/>
    <w:rsid w:val="0050521C"/>
    <w:rsid w:val="00521168"/>
    <w:rsid w:val="005358DA"/>
    <w:rsid w:val="005410FD"/>
    <w:rsid w:val="00552E2C"/>
    <w:rsid w:val="00565955"/>
    <w:rsid w:val="00574F82"/>
    <w:rsid w:val="00575A6D"/>
    <w:rsid w:val="00576B0B"/>
    <w:rsid w:val="00585D7C"/>
    <w:rsid w:val="00586F00"/>
    <w:rsid w:val="00593B3F"/>
    <w:rsid w:val="0059752C"/>
    <w:rsid w:val="005A1B6A"/>
    <w:rsid w:val="005B5A12"/>
    <w:rsid w:val="005F1BAB"/>
    <w:rsid w:val="00635D1B"/>
    <w:rsid w:val="00644F05"/>
    <w:rsid w:val="006530D3"/>
    <w:rsid w:val="00654B61"/>
    <w:rsid w:val="00671461"/>
    <w:rsid w:val="0068093B"/>
    <w:rsid w:val="00692646"/>
    <w:rsid w:val="00694BC7"/>
    <w:rsid w:val="006A7A5B"/>
    <w:rsid w:val="006B0B19"/>
    <w:rsid w:val="006B58BE"/>
    <w:rsid w:val="006C1F98"/>
    <w:rsid w:val="006D6367"/>
    <w:rsid w:val="006D72F3"/>
    <w:rsid w:val="006D79BF"/>
    <w:rsid w:val="006E0E26"/>
    <w:rsid w:val="006E1C32"/>
    <w:rsid w:val="006E5846"/>
    <w:rsid w:val="006F0448"/>
    <w:rsid w:val="006F285D"/>
    <w:rsid w:val="006F41AF"/>
    <w:rsid w:val="00714BE7"/>
    <w:rsid w:val="00714DA2"/>
    <w:rsid w:val="007222A0"/>
    <w:rsid w:val="0072708F"/>
    <w:rsid w:val="0075383B"/>
    <w:rsid w:val="0075514F"/>
    <w:rsid w:val="00774E70"/>
    <w:rsid w:val="0078572A"/>
    <w:rsid w:val="00786378"/>
    <w:rsid w:val="007917B7"/>
    <w:rsid w:val="007B28C1"/>
    <w:rsid w:val="007B6419"/>
    <w:rsid w:val="007C3621"/>
    <w:rsid w:val="007D2B69"/>
    <w:rsid w:val="007D69C6"/>
    <w:rsid w:val="007F0EE5"/>
    <w:rsid w:val="007F3C96"/>
    <w:rsid w:val="007F4B37"/>
    <w:rsid w:val="00805F78"/>
    <w:rsid w:val="008208EB"/>
    <w:rsid w:val="00826945"/>
    <w:rsid w:val="00831B75"/>
    <w:rsid w:val="00832EA7"/>
    <w:rsid w:val="00844FB6"/>
    <w:rsid w:val="00850005"/>
    <w:rsid w:val="008516B2"/>
    <w:rsid w:val="008830E1"/>
    <w:rsid w:val="00885B1C"/>
    <w:rsid w:val="008963FD"/>
    <w:rsid w:val="00897487"/>
    <w:rsid w:val="008C4758"/>
    <w:rsid w:val="008F6012"/>
    <w:rsid w:val="00902A0E"/>
    <w:rsid w:val="00917AFB"/>
    <w:rsid w:val="009357F3"/>
    <w:rsid w:val="00942235"/>
    <w:rsid w:val="00946BF5"/>
    <w:rsid w:val="009519AB"/>
    <w:rsid w:val="00960F5B"/>
    <w:rsid w:val="00987C8E"/>
    <w:rsid w:val="009937AB"/>
    <w:rsid w:val="009A0231"/>
    <w:rsid w:val="009F0ECC"/>
    <w:rsid w:val="009F4711"/>
    <w:rsid w:val="00A11EDB"/>
    <w:rsid w:val="00A30566"/>
    <w:rsid w:val="00A57421"/>
    <w:rsid w:val="00A60C0A"/>
    <w:rsid w:val="00A62E1A"/>
    <w:rsid w:val="00A63932"/>
    <w:rsid w:val="00A8030B"/>
    <w:rsid w:val="00A86006"/>
    <w:rsid w:val="00A915FC"/>
    <w:rsid w:val="00A924FE"/>
    <w:rsid w:val="00AA16A5"/>
    <w:rsid w:val="00AA7EC9"/>
    <w:rsid w:val="00AD4816"/>
    <w:rsid w:val="00AD61C5"/>
    <w:rsid w:val="00AD74CD"/>
    <w:rsid w:val="00AF17CE"/>
    <w:rsid w:val="00AF3B96"/>
    <w:rsid w:val="00AF7013"/>
    <w:rsid w:val="00B27A3A"/>
    <w:rsid w:val="00B46A79"/>
    <w:rsid w:val="00B50267"/>
    <w:rsid w:val="00B51656"/>
    <w:rsid w:val="00B601CB"/>
    <w:rsid w:val="00B612CA"/>
    <w:rsid w:val="00B632C1"/>
    <w:rsid w:val="00B76033"/>
    <w:rsid w:val="00B8619D"/>
    <w:rsid w:val="00B93188"/>
    <w:rsid w:val="00B9390E"/>
    <w:rsid w:val="00BA3D40"/>
    <w:rsid w:val="00BD2260"/>
    <w:rsid w:val="00BE06C5"/>
    <w:rsid w:val="00BE3860"/>
    <w:rsid w:val="00C147BC"/>
    <w:rsid w:val="00C46CA7"/>
    <w:rsid w:val="00C50357"/>
    <w:rsid w:val="00C52593"/>
    <w:rsid w:val="00C56CAB"/>
    <w:rsid w:val="00C56F9F"/>
    <w:rsid w:val="00C67073"/>
    <w:rsid w:val="00C7594C"/>
    <w:rsid w:val="00CA542D"/>
    <w:rsid w:val="00CB1BA9"/>
    <w:rsid w:val="00CC25A6"/>
    <w:rsid w:val="00CD54FD"/>
    <w:rsid w:val="00CF0AF3"/>
    <w:rsid w:val="00CF1B64"/>
    <w:rsid w:val="00D22EA4"/>
    <w:rsid w:val="00D3647C"/>
    <w:rsid w:val="00D4497F"/>
    <w:rsid w:val="00D53481"/>
    <w:rsid w:val="00D54C49"/>
    <w:rsid w:val="00D55596"/>
    <w:rsid w:val="00D63690"/>
    <w:rsid w:val="00D6682E"/>
    <w:rsid w:val="00D75DC4"/>
    <w:rsid w:val="00D7614A"/>
    <w:rsid w:val="00DA6114"/>
    <w:rsid w:val="00DD3054"/>
    <w:rsid w:val="00DF24ED"/>
    <w:rsid w:val="00DF5C8C"/>
    <w:rsid w:val="00E23229"/>
    <w:rsid w:val="00E445CF"/>
    <w:rsid w:val="00E51641"/>
    <w:rsid w:val="00E51EA9"/>
    <w:rsid w:val="00E520EA"/>
    <w:rsid w:val="00E80BA4"/>
    <w:rsid w:val="00E81FF9"/>
    <w:rsid w:val="00E8327F"/>
    <w:rsid w:val="00E84D90"/>
    <w:rsid w:val="00E873FA"/>
    <w:rsid w:val="00E90E89"/>
    <w:rsid w:val="00EA7369"/>
    <w:rsid w:val="00EB0F66"/>
    <w:rsid w:val="00EB3F78"/>
    <w:rsid w:val="00EE7F94"/>
    <w:rsid w:val="00EF1AFE"/>
    <w:rsid w:val="00F0052F"/>
    <w:rsid w:val="00F0741B"/>
    <w:rsid w:val="00F132EF"/>
    <w:rsid w:val="00F27195"/>
    <w:rsid w:val="00F34EBD"/>
    <w:rsid w:val="00F4309B"/>
    <w:rsid w:val="00F62148"/>
    <w:rsid w:val="00F6425F"/>
    <w:rsid w:val="00F800C6"/>
    <w:rsid w:val="00F876CA"/>
    <w:rsid w:val="00F928A7"/>
    <w:rsid w:val="00F97555"/>
    <w:rsid w:val="00FB3F48"/>
    <w:rsid w:val="00FB5982"/>
    <w:rsid w:val="00FC3912"/>
    <w:rsid w:val="00FC445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872FD-8B47-424F-AEA5-100F44A1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王信閎</cp:lastModifiedBy>
  <cp:revision>18</cp:revision>
  <dcterms:created xsi:type="dcterms:W3CDTF">2022-08-22T10:02:00Z</dcterms:created>
  <dcterms:modified xsi:type="dcterms:W3CDTF">2022-08-23T09:15:00Z</dcterms:modified>
</cp:coreProperties>
</file>