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w:t>
      </w:r>
      <w:proofErr w:type="gramStart"/>
      <w:r w:rsidRPr="0012145D">
        <w:rPr>
          <w:rFonts w:asciiTheme="minorEastAsia" w:hAnsiTheme="minorEastAsia"/>
          <w:b/>
          <w:sz w:val="28"/>
          <w:szCs w:val="24"/>
        </w:rPr>
        <w:t>協定</w:t>
      </w:r>
      <w:r w:rsidR="003B6620" w:rsidRPr="0012145D">
        <w:rPr>
          <w:rFonts w:asciiTheme="minorEastAsia" w:hAnsiTheme="minorEastAsia"/>
          <w:b/>
          <w:sz w:val="28"/>
          <w:szCs w:val="24"/>
        </w:rPr>
        <w:t>簿別管理</w:t>
      </w:r>
      <w:proofErr w:type="gramEnd"/>
      <w:r w:rsidR="003B6620" w:rsidRPr="0012145D">
        <w:rPr>
          <w:rFonts w:asciiTheme="minorEastAsia" w:hAnsiTheme="minorEastAsia"/>
          <w:b/>
          <w:sz w:val="28"/>
          <w:szCs w:val="24"/>
        </w:rPr>
        <w:t>準則</w:t>
      </w:r>
    </w:p>
    <w:p w:rsidR="007F4B37" w:rsidRPr="00F8051D" w:rsidRDefault="007F4B37" w:rsidP="0012145D">
      <w:pPr>
        <w:widowControl/>
        <w:jc w:val="center"/>
        <w:rPr>
          <w:rFonts w:asciiTheme="minorEastAsia" w:hAnsiTheme="minorEastAsia"/>
          <w:b/>
          <w:sz w:val="28"/>
          <w:szCs w:val="24"/>
        </w:rPr>
      </w:pPr>
    </w:p>
    <w:p w:rsidR="0012145D" w:rsidRPr="00FD0329" w:rsidRDefault="0012145D" w:rsidP="001D096B">
      <w:pPr>
        <w:pStyle w:val="11"/>
        <w:rPr>
          <w:rFonts w:ascii="標楷體" w:eastAsia="標楷體" w:hAnsi="標楷體"/>
          <w:kern w:val="2"/>
          <w:sz w:val="24"/>
          <w:szCs w:val="24"/>
        </w:rPr>
      </w:pPr>
      <w:r w:rsidRPr="00FD0329">
        <w:rPr>
          <w:rFonts w:ascii="標楷體" w:eastAsia="標楷體" w:hAnsi="標楷體"/>
          <w:b/>
          <w:sz w:val="24"/>
          <w:szCs w:val="24"/>
        </w:rPr>
        <w:fldChar w:fldCharType="begin"/>
      </w:r>
      <w:r w:rsidRPr="00FD0329">
        <w:rPr>
          <w:rFonts w:ascii="標楷體" w:eastAsia="標楷體" w:hAnsi="標楷體"/>
          <w:b/>
          <w:sz w:val="24"/>
          <w:szCs w:val="24"/>
        </w:rPr>
        <w:instrText xml:space="preserve"> TOC \o "1-1" \h \z \u </w:instrText>
      </w:r>
      <w:r w:rsidRPr="00FD0329">
        <w:rPr>
          <w:rFonts w:ascii="標楷體" w:eastAsia="標楷體" w:hAnsi="標楷體"/>
          <w:b/>
          <w:sz w:val="24"/>
          <w:szCs w:val="24"/>
        </w:rPr>
        <w:fldChar w:fldCharType="separate"/>
      </w:r>
      <w:hyperlink w:anchor="_Toc111194927" w:history="1">
        <w:r w:rsidRPr="00FD0329">
          <w:rPr>
            <w:rStyle w:val="ad"/>
            <w:rFonts w:ascii="標楷體" w:eastAsia="標楷體" w:hAnsi="標楷體" w:hint="eastAsia"/>
            <w:color w:val="auto"/>
            <w:sz w:val="24"/>
            <w:szCs w:val="24"/>
          </w:rPr>
          <w:t>一、</w:t>
        </w:r>
        <w:r w:rsidRPr="00FD0329">
          <w:rPr>
            <w:rFonts w:ascii="標楷體" w:eastAsia="標楷體" w:hAnsi="標楷體"/>
            <w:kern w:val="2"/>
            <w:sz w:val="24"/>
            <w:szCs w:val="24"/>
          </w:rPr>
          <w:tab/>
        </w:r>
        <w:r w:rsidR="000F39FF" w:rsidRPr="00FD0329">
          <w:rPr>
            <w:rStyle w:val="ad"/>
            <w:rFonts w:ascii="標楷體" w:eastAsia="標楷體" w:hAnsi="標楷體" w:hint="eastAsia"/>
            <w:color w:val="auto"/>
            <w:sz w:val="24"/>
            <w:szCs w:val="24"/>
          </w:rPr>
          <w:t>序論</w:t>
        </w:r>
        <w:r w:rsidRPr="00FD0329">
          <w:rPr>
            <w:rFonts w:ascii="標楷體" w:eastAsia="標楷體" w:hAnsi="標楷體"/>
            <w:webHidden/>
            <w:sz w:val="24"/>
            <w:szCs w:val="24"/>
          </w:rPr>
          <w:tab/>
        </w:r>
        <w:r w:rsidRPr="00FD0329">
          <w:rPr>
            <w:rFonts w:ascii="標楷體" w:eastAsia="標楷體" w:hAnsi="標楷體"/>
            <w:webHidden/>
            <w:sz w:val="24"/>
            <w:szCs w:val="24"/>
          </w:rPr>
          <w:fldChar w:fldCharType="begin"/>
        </w:r>
        <w:r w:rsidRPr="00FD0329">
          <w:rPr>
            <w:rFonts w:ascii="標楷體" w:eastAsia="標楷體" w:hAnsi="標楷體"/>
            <w:webHidden/>
            <w:sz w:val="24"/>
            <w:szCs w:val="24"/>
          </w:rPr>
          <w:instrText xml:space="preserve"> PAGEREF _Toc111194927 \h </w:instrText>
        </w:r>
        <w:r w:rsidRPr="00FD0329">
          <w:rPr>
            <w:rFonts w:ascii="標楷體" w:eastAsia="標楷體" w:hAnsi="標楷體"/>
            <w:webHidden/>
            <w:sz w:val="24"/>
            <w:szCs w:val="24"/>
          </w:rPr>
        </w:r>
        <w:r w:rsidRPr="00FD0329">
          <w:rPr>
            <w:rFonts w:ascii="標楷體" w:eastAsia="標楷體" w:hAnsi="標楷體"/>
            <w:webHidden/>
            <w:sz w:val="24"/>
            <w:szCs w:val="24"/>
          </w:rPr>
          <w:fldChar w:fldCharType="separate"/>
        </w:r>
        <w:r w:rsidRPr="00FD0329">
          <w:rPr>
            <w:rFonts w:ascii="標楷體" w:eastAsia="標楷體" w:hAnsi="標楷體"/>
            <w:webHidden/>
            <w:sz w:val="24"/>
            <w:szCs w:val="24"/>
          </w:rPr>
          <w:t>2</w:t>
        </w:r>
        <w:r w:rsidRPr="00FD0329">
          <w:rPr>
            <w:rFonts w:ascii="標楷體" w:eastAsia="標楷體" w:hAnsi="標楷體"/>
            <w:webHidden/>
            <w:sz w:val="24"/>
            <w:szCs w:val="24"/>
          </w:rPr>
          <w:fldChar w:fldCharType="end"/>
        </w:r>
      </w:hyperlink>
    </w:p>
    <w:p w:rsidR="0012145D" w:rsidRPr="00FD0329" w:rsidRDefault="00AA7808" w:rsidP="001D096B">
      <w:pPr>
        <w:pStyle w:val="11"/>
        <w:rPr>
          <w:rFonts w:ascii="標楷體" w:eastAsia="標楷體" w:hAnsi="標楷體"/>
          <w:kern w:val="2"/>
          <w:sz w:val="24"/>
          <w:szCs w:val="24"/>
        </w:rPr>
      </w:pPr>
      <w:hyperlink w:anchor="_Toc111194928" w:history="1">
        <w:r w:rsidR="0012145D" w:rsidRPr="00FD0329">
          <w:rPr>
            <w:rStyle w:val="ad"/>
            <w:rFonts w:ascii="標楷體" w:eastAsia="標楷體" w:hAnsi="標楷體" w:hint="eastAsia"/>
            <w:color w:val="auto"/>
            <w:sz w:val="24"/>
            <w:szCs w:val="24"/>
          </w:rPr>
          <w:t>二、</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用詞定義</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_Toc111194928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2</w:t>
        </w:r>
        <w:r w:rsidR="0012145D" w:rsidRPr="00FD0329">
          <w:rPr>
            <w:rFonts w:ascii="標楷體" w:eastAsia="標楷體" w:hAnsi="標楷體"/>
            <w:webHidden/>
            <w:sz w:val="24"/>
            <w:szCs w:val="24"/>
          </w:rPr>
          <w:fldChar w:fldCharType="end"/>
        </w:r>
      </w:hyperlink>
    </w:p>
    <w:p w:rsidR="0012145D" w:rsidRPr="00FD0329" w:rsidRDefault="00AA7808" w:rsidP="001D096B">
      <w:pPr>
        <w:pStyle w:val="11"/>
        <w:rPr>
          <w:rFonts w:ascii="標楷體" w:eastAsia="標楷體" w:hAnsi="標楷體"/>
          <w:kern w:val="2"/>
          <w:sz w:val="24"/>
          <w:szCs w:val="24"/>
        </w:rPr>
      </w:pPr>
      <w:hyperlink w:anchor="_Toc111194929" w:history="1">
        <w:r w:rsidR="0012145D" w:rsidRPr="00FD0329">
          <w:rPr>
            <w:rStyle w:val="ad"/>
            <w:rFonts w:ascii="標楷體" w:eastAsia="標楷體" w:hAnsi="標楷體" w:hint="eastAsia"/>
            <w:color w:val="auto"/>
            <w:sz w:val="24"/>
            <w:szCs w:val="24"/>
          </w:rPr>
          <w:t>三、</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交易簿的</w:t>
        </w:r>
        <w:r w:rsidR="0012145D" w:rsidRPr="00FD0329">
          <w:rPr>
            <w:rStyle w:val="ad"/>
            <w:rFonts w:ascii="標楷體" w:eastAsia="標楷體" w:hAnsi="標楷體" w:hint="eastAsia"/>
            <w:color w:val="auto"/>
            <w:sz w:val="24"/>
            <w:szCs w:val="24"/>
            <w:lang w:eastAsia="zh-HK"/>
          </w:rPr>
          <w:t>認定</w:t>
        </w:r>
        <w:r w:rsidR="0012145D" w:rsidRPr="00FD0329">
          <w:rPr>
            <w:rStyle w:val="ad"/>
            <w:rFonts w:ascii="標楷體" w:eastAsia="標楷體" w:hAnsi="標楷體" w:hint="eastAsia"/>
            <w:color w:val="auto"/>
            <w:sz w:val="24"/>
            <w:szCs w:val="24"/>
          </w:rPr>
          <w:t>及</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hyperlink>
      <w:r w:rsidR="000F39FF" w:rsidRPr="00FD0329">
        <w:rPr>
          <w:rFonts w:ascii="標楷體" w:eastAsia="標楷體" w:hAnsi="標楷體" w:hint="eastAsia"/>
          <w:sz w:val="24"/>
          <w:szCs w:val="24"/>
        </w:rPr>
        <w:t>3</w:t>
      </w:r>
    </w:p>
    <w:p w:rsidR="0012145D" w:rsidRPr="00FD0329" w:rsidRDefault="00AA7808" w:rsidP="001D096B">
      <w:pPr>
        <w:pStyle w:val="11"/>
        <w:rPr>
          <w:rFonts w:ascii="標楷體" w:eastAsia="標楷體" w:hAnsi="標楷體"/>
          <w:kern w:val="2"/>
          <w:sz w:val="24"/>
          <w:szCs w:val="24"/>
        </w:rPr>
      </w:pPr>
      <w:hyperlink w:anchor="_Toc111194930" w:history="1">
        <w:r w:rsidR="0012145D" w:rsidRPr="00FD0329">
          <w:rPr>
            <w:rStyle w:val="ad"/>
            <w:rFonts w:ascii="標楷體" w:eastAsia="標楷體" w:hAnsi="標楷體" w:hint="eastAsia"/>
            <w:color w:val="auto"/>
            <w:sz w:val="24"/>
            <w:szCs w:val="24"/>
          </w:rPr>
          <w:t>四、</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銀行簿的</w:t>
        </w:r>
        <w:r w:rsidR="0012145D" w:rsidRPr="00FD0329">
          <w:rPr>
            <w:rStyle w:val="ad"/>
            <w:rFonts w:ascii="標楷體" w:eastAsia="標楷體" w:hAnsi="標楷體" w:hint="eastAsia"/>
            <w:color w:val="auto"/>
            <w:sz w:val="24"/>
            <w:szCs w:val="24"/>
            <w:lang w:eastAsia="zh-HK"/>
          </w:rPr>
          <w:t>認定</w:t>
        </w:r>
        <w:r w:rsidR="0012145D" w:rsidRPr="00FD0329">
          <w:rPr>
            <w:rStyle w:val="ad"/>
            <w:rFonts w:ascii="標楷體" w:eastAsia="標楷體" w:hAnsi="標楷體" w:hint="eastAsia"/>
            <w:color w:val="auto"/>
            <w:sz w:val="24"/>
            <w:szCs w:val="24"/>
          </w:rPr>
          <w:t>及</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_Toc111194930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3</w:t>
        </w:r>
        <w:r w:rsidR="0012145D" w:rsidRPr="00FD0329">
          <w:rPr>
            <w:rFonts w:ascii="標楷體" w:eastAsia="標楷體" w:hAnsi="標楷體"/>
            <w:webHidden/>
            <w:sz w:val="24"/>
            <w:szCs w:val="24"/>
          </w:rPr>
          <w:fldChar w:fldCharType="end"/>
        </w:r>
      </w:hyperlink>
    </w:p>
    <w:p w:rsidR="0012145D" w:rsidRPr="00FD0329" w:rsidRDefault="00AA7808" w:rsidP="001D096B">
      <w:pPr>
        <w:pStyle w:val="11"/>
        <w:rPr>
          <w:rFonts w:ascii="標楷體" w:eastAsia="標楷體" w:hAnsi="標楷體"/>
          <w:kern w:val="2"/>
          <w:sz w:val="24"/>
          <w:szCs w:val="24"/>
        </w:rPr>
      </w:pPr>
      <w:hyperlink w:anchor="_Toc111194931" w:history="1">
        <w:r w:rsidR="0012145D" w:rsidRPr="00FD0329">
          <w:rPr>
            <w:rStyle w:val="ad"/>
            <w:rFonts w:ascii="標楷體" w:eastAsia="標楷體" w:hAnsi="標楷體" w:hint="eastAsia"/>
            <w:color w:val="auto"/>
            <w:sz w:val="24"/>
            <w:szCs w:val="24"/>
          </w:rPr>
          <w:t>五、</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簿別間重新認列</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r w:rsidR="000F39FF" w:rsidRPr="00FD0329">
          <w:rPr>
            <w:rFonts w:ascii="標楷體" w:eastAsia="標楷體" w:hAnsi="標楷體" w:hint="eastAsia"/>
            <w:webHidden/>
            <w:sz w:val="24"/>
            <w:szCs w:val="24"/>
          </w:rPr>
          <w:t>5</w:t>
        </w:r>
      </w:hyperlink>
    </w:p>
    <w:p w:rsidR="0012145D" w:rsidRPr="00FD0329" w:rsidRDefault="00AA7808" w:rsidP="00FD0329">
      <w:pPr>
        <w:jc w:val="both"/>
        <w:outlineLvl w:val="0"/>
        <w:rPr>
          <w:rFonts w:ascii="標楷體" w:eastAsia="標楷體" w:hAnsi="標楷體"/>
          <w:szCs w:val="24"/>
        </w:rPr>
      </w:pPr>
      <w:hyperlink w:anchor="_Toc111194932" w:history="1">
        <w:r w:rsidR="0012145D" w:rsidRPr="00FD0329">
          <w:rPr>
            <w:rStyle w:val="ad"/>
            <w:rFonts w:ascii="標楷體" w:eastAsia="標楷體" w:hAnsi="標楷體" w:hint="eastAsia"/>
            <w:color w:val="auto"/>
            <w:szCs w:val="24"/>
          </w:rPr>
          <w:t>六、</w:t>
        </w:r>
        <w:r w:rsidR="00FD0329" w:rsidRPr="00FD0329">
          <w:rPr>
            <w:rFonts w:ascii="標楷體" w:eastAsia="標楷體" w:hAnsi="標楷體"/>
            <w:szCs w:val="24"/>
          </w:rPr>
          <w:t xml:space="preserve">  </w:t>
        </w:r>
        <w:r w:rsidR="00FD0329" w:rsidRPr="00FD0329">
          <w:rPr>
            <w:rFonts w:ascii="標楷體" w:eastAsia="標楷體" w:hAnsi="標楷體"/>
            <w:szCs w:val="24"/>
            <w:lang w:eastAsia="zh-HK"/>
          </w:rPr>
          <w:t>銀行簿至交易簿</w:t>
        </w:r>
        <w:r w:rsidR="00FD0329" w:rsidRPr="00FD0329">
          <w:rPr>
            <w:rFonts w:ascii="標楷體" w:eastAsia="標楷體" w:hAnsi="標楷體" w:hint="eastAsia"/>
            <w:szCs w:val="24"/>
            <w:lang w:eastAsia="zh-HK"/>
          </w:rPr>
          <w:t>內部風險移轉處理相關規定</w:t>
        </w:r>
        <w:r w:rsidR="00195FF1" w:rsidRPr="00EE664D">
          <w:rPr>
            <w:rFonts w:ascii="標楷體" w:eastAsia="標楷體" w:hAnsi="標楷體" w:hint="eastAsia"/>
            <w:noProof/>
            <w:kern w:val="0"/>
            <w:szCs w:val="24"/>
          </w:rPr>
          <w:t>. . . . . . . . . . . . . .</w:t>
        </w:r>
        <w:r w:rsidR="0012145D" w:rsidRPr="00FD0329">
          <w:rPr>
            <w:rFonts w:ascii="標楷體" w:eastAsia="標楷體" w:hAnsi="標楷體"/>
            <w:webHidden/>
            <w:szCs w:val="24"/>
          </w:rPr>
          <w:fldChar w:fldCharType="begin"/>
        </w:r>
        <w:r w:rsidR="0012145D" w:rsidRPr="00FD0329">
          <w:rPr>
            <w:rFonts w:ascii="標楷體" w:eastAsia="標楷體" w:hAnsi="標楷體"/>
            <w:webHidden/>
            <w:szCs w:val="24"/>
          </w:rPr>
          <w:instrText xml:space="preserve"> PAGEREF _Toc111194932 \h </w:instrText>
        </w:r>
        <w:r w:rsidR="0012145D" w:rsidRPr="00FD0329">
          <w:rPr>
            <w:rFonts w:ascii="標楷體" w:eastAsia="標楷體" w:hAnsi="標楷體"/>
            <w:webHidden/>
            <w:szCs w:val="24"/>
          </w:rPr>
        </w:r>
        <w:r w:rsidR="0012145D" w:rsidRPr="00FD0329">
          <w:rPr>
            <w:rFonts w:ascii="標楷體" w:eastAsia="標楷體" w:hAnsi="標楷體"/>
            <w:webHidden/>
            <w:szCs w:val="24"/>
          </w:rPr>
          <w:fldChar w:fldCharType="separate"/>
        </w:r>
        <w:r w:rsidR="0012145D" w:rsidRPr="00FD0329">
          <w:rPr>
            <w:rFonts w:ascii="標楷體" w:eastAsia="標楷體" w:hAnsi="標楷體"/>
            <w:webHidden/>
            <w:szCs w:val="24"/>
          </w:rPr>
          <w:t>5</w:t>
        </w:r>
        <w:r w:rsidR="0012145D" w:rsidRPr="00FD0329">
          <w:rPr>
            <w:rFonts w:ascii="標楷體" w:eastAsia="標楷體" w:hAnsi="標楷體"/>
            <w:webHidden/>
            <w:szCs w:val="24"/>
          </w:rPr>
          <w:fldChar w:fldCharType="end"/>
        </w:r>
      </w:hyperlink>
    </w:p>
    <w:p w:rsidR="0012145D" w:rsidRPr="00FD0329" w:rsidRDefault="00AA7808" w:rsidP="001D096B">
      <w:pPr>
        <w:pStyle w:val="11"/>
        <w:rPr>
          <w:rFonts w:ascii="標楷體" w:eastAsia="標楷體" w:hAnsi="標楷體"/>
          <w:kern w:val="2"/>
          <w:sz w:val="24"/>
          <w:szCs w:val="24"/>
        </w:rPr>
      </w:pPr>
      <w:hyperlink w:anchor="_Toc111194933" w:history="1">
        <w:r w:rsidR="0012145D" w:rsidRPr="00FD0329">
          <w:rPr>
            <w:rStyle w:val="ad"/>
            <w:rFonts w:ascii="標楷體" w:eastAsia="標楷體" w:hAnsi="標楷體" w:hint="eastAsia"/>
            <w:color w:val="auto"/>
            <w:sz w:val="24"/>
            <w:szCs w:val="24"/>
          </w:rPr>
          <w:t>七、</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其他管理事項</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_Toc111194933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6</w:t>
        </w:r>
        <w:r w:rsidR="0012145D" w:rsidRPr="00FD0329">
          <w:rPr>
            <w:rFonts w:ascii="標楷體" w:eastAsia="標楷體" w:hAnsi="標楷體"/>
            <w:webHidden/>
            <w:sz w:val="24"/>
            <w:szCs w:val="24"/>
          </w:rPr>
          <w:fldChar w:fldCharType="end"/>
        </w:r>
      </w:hyperlink>
    </w:p>
    <w:p w:rsidR="0012145D" w:rsidRPr="00FD0329" w:rsidRDefault="00AA7808" w:rsidP="001D096B">
      <w:pPr>
        <w:pStyle w:val="11"/>
        <w:rPr>
          <w:rFonts w:ascii="標楷體" w:eastAsia="標楷體" w:hAnsi="標楷體"/>
          <w:kern w:val="2"/>
          <w:sz w:val="24"/>
          <w:szCs w:val="24"/>
        </w:rPr>
      </w:pPr>
      <w:hyperlink w:anchor="_Toc111194934" w:history="1">
        <w:r w:rsidR="0012145D" w:rsidRPr="00FD0329">
          <w:rPr>
            <w:rStyle w:val="ad"/>
            <w:rFonts w:ascii="標楷體" w:eastAsia="標楷體" w:hAnsi="標楷體" w:hint="eastAsia"/>
            <w:color w:val="auto"/>
            <w:sz w:val="24"/>
            <w:szCs w:val="24"/>
          </w:rPr>
          <w:t>八、</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準則之制訂及修訂</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_Toc111194934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6</w:t>
        </w:r>
        <w:r w:rsidR="0012145D" w:rsidRPr="00FD0329">
          <w:rPr>
            <w:rFonts w:ascii="標楷體" w:eastAsia="標楷體" w:hAnsi="標楷體"/>
            <w:webHidden/>
            <w:sz w:val="24"/>
            <w:szCs w:val="24"/>
          </w:rPr>
          <w:fldChar w:fldCharType="end"/>
        </w:r>
      </w:hyperlink>
    </w:p>
    <w:p w:rsidR="00D55596" w:rsidRPr="00A8030B" w:rsidRDefault="0012145D" w:rsidP="00AF17CE">
      <w:pPr>
        <w:rPr>
          <w:rFonts w:asciiTheme="minorEastAsia" w:hAnsiTheme="minorEastAsia"/>
          <w:szCs w:val="24"/>
        </w:rPr>
      </w:pPr>
      <w:r w:rsidRPr="00FD0329">
        <w:rPr>
          <w:rFonts w:ascii="標楷體" w:eastAsia="標楷體" w:hAnsi="標楷體"/>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1360D7" w:rsidRDefault="001360D7" w:rsidP="009F0ECC">
      <w:pPr>
        <w:pStyle w:val="a3"/>
        <w:numPr>
          <w:ilvl w:val="0"/>
          <w:numId w:val="6"/>
        </w:numPr>
        <w:ind w:leftChars="0" w:hangingChars="177"/>
        <w:outlineLvl w:val="0"/>
        <w:rPr>
          <w:rFonts w:ascii="標楷體" w:eastAsia="標楷體" w:hAnsi="標楷體"/>
        </w:rPr>
      </w:pPr>
      <w:r w:rsidRPr="001360D7">
        <w:rPr>
          <w:rFonts w:ascii="標楷體" w:eastAsia="標楷體" w:hAnsi="標楷體" w:hint="eastAsia"/>
        </w:rPr>
        <w:t>序論</w:t>
      </w:r>
    </w:p>
    <w:p w:rsidR="001360D7" w:rsidRDefault="001360D7" w:rsidP="009F0ECC">
      <w:pPr>
        <w:pStyle w:val="a3"/>
        <w:numPr>
          <w:ilvl w:val="1"/>
          <w:numId w:val="7"/>
        </w:numPr>
        <w:ind w:leftChars="0"/>
        <w:rPr>
          <w:rFonts w:ascii="標楷體" w:eastAsia="標楷體" w:hAnsi="標楷體"/>
        </w:rPr>
      </w:pPr>
      <w:r>
        <w:rPr>
          <w:rFonts w:ascii="標楷體" w:eastAsia="標楷體" w:hAnsi="標楷體" w:hint="eastAsia"/>
        </w:rPr>
        <w:t>目的與效力</w:t>
      </w:r>
    </w:p>
    <w:p w:rsidR="00AF7013" w:rsidRPr="00A24ADB" w:rsidRDefault="001360D7" w:rsidP="00AF7013">
      <w:pPr>
        <w:pStyle w:val="a3"/>
        <w:ind w:leftChars="0" w:left="992"/>
        <w:rPr>
          <w:rFonts w:ascii="標楷體" w:eastAsia="標楷體" w:hAnsi="標楷體"/>
          <w:color w:val="FF0000"/>
          <w:lang w:eastAsia="zh-HK"/>
        </w:rPr>
      </w:pPr>
      <w:r w:rsidRPr="001360D7">
        <w:rPr>
          <w:rFonts w:ascii="標楷體" w:eastAsia="標楷體" w:hAnsi="標楷體" w:hint="eastAsia"/>
        </w:rPr>
        <w:t>為求本行資本適足性規範與國際接軌</w:t>
      </w:r>
      <w:r w:rsidRPr="001360D7">
        <w:rPr>
          <w:rFonts w:ascii="標楷體" w:eastAsia="標楷體" w:hAnsi="標楷體" w:cstheme="minorBidi" w:hint="eastAsia"/>
          <w:kern w:val="2"/>
        </w:rPr>
        <w:t>，</w:t>
      </w:r>
      <w:r w:rsidR="00946BF5">
        <w:rPr>
          <w:rFonts w:ascii="標楷體" w:eastAsia="標楷體" w:hAnsi="標楷體" w:cstheme="minorBidi" w:hint="eastAsia"/>
          <w:kern w:val="2"/>
        </w:rPr>
        <w:t>且</w:t>
      </w:r>
      <w:r w:rsidRPr="001360D7">
        <w:rPr>
          <w:rFonts w:ascii="標楷體" w:eastAsia="標楷體" w:hAnsi="標楷體" w:cstheme="minorBidi"/>
          <w:kern w:val="2"/>
        </w:rPr>
        <w:t>在業務面、行為面、公司治理面能全面帶動提升經營之穩定及</w:t>
      </w:r>
      <w:proofErr w:type="gramStart"/>
      <w:r w:rsidRPr="001360D7">
        <w:rPr>
          <w:rFonts w:ascii="標楷體" w:eastAsia="標楷體" w:hAnsi="標楷體" w:cstheme="minorBidi"/>
          <w:kern w:val="2"/>
        </w:rPr>
        <w:t>健全</w:t>
      </w:r>
      <w:r w:rsidRPr="001360D7">
        <w:rPr>
          <w:rFonts w:ascii="標楷體" w:eastAsia="標楷體" w:hAnsi="標楷體" w:cstheme="minorBidi" w:hint="eastAsia"/>
          <w:kern w:val="2"/>
        </w:rPr>
        <w:t>，</w:t>
      </w:r>
      <w:proofErr w:type="gramEnd"/>
      <w:r w:rsidRPr="001360D7">
        <w:rPr>
          <w:rFonts w:ascii="標楷體" w:eastAsia="標楷體" w:hAnsi="標楷體" w:cstheme="minorBidi" w:hint="eastAsia"/>
          <w:kern w:val="2"/>
        </w:rPr>
        <w:t>依</w:t>
      </w:r>
      <w:r w:rsidR="00A86006" w:rsidRPr="001360D7">
        <w:rPr>
          <w:rFonts w:ascii="標楷體" w:eastAsia="標楷體" w:hAnsi="標楷體"/>
        </w:rPr>
        <w:t>據</w:t>
      </w:r>
      <w:r w:rsidR="00A86006" w:rsidRPr="001360D7">
        <w:rPr>
          <w:rFonts w:ascii="標楷體" w:eastAsia="標楷體" w:hAnsi="標楷體" w:hint="eastAsia"/>
          <w:lang w:eastAsia="zh-HK"/>
        </w:rPr>
        <w:t>金管會銀行局</w:t>
      </w:r>
      <w:r w:rsidR="00A86006" w:rsidRPr="001360D7">
        <w:rPr>
          <w:rFonts w:ascii="標楷體" w:eastAsia="標楷體" w:hAnsi="標楷體"/>
        </w:rPr>
        <w:t>「</w:t>
      </w:r>
      <w:r w:rsidR="00A86006" w:rsidRPr="001360D7">
        <w:rPr>
          <w:rFonts w:ascii="標楷體" w:eastAsia="標楷體" w:hAnsi="標楷體" w:hint="eastAsia"/>
        </w:rPr>
        <w:t>銀行資本適足性及資本等級管理辦法</w:t>
      </w:r>
      <w:r w:rsidR="00A86006" w:rsidRPr="001360D7">
        <w:rPr>
          <w:rFonts w:ascii="標楷體" w:eastAsia="標楷體" w:hAnsi="標楷體"/>
        </w:rPr>
        <w:t>」制定</w:t>
      </w:r>
      <w:r w:rsidR="00AF7013" w:rsidRPr="001360D7">
        <w:rPr>
          <w:rFonts w:ascii="標楷體" w:eastAsia="標楷體" w:hAnsi="標楷體"/>
        </w:rPr>
        <w:t>「台新銀行巴塞爾資本</w:t>
      </w:r>
      <w:proofErr w:type="gramStart"/>
      <w:r w:rsidR="00AF7013" w:rsidRPr="001360D7">
        <w:rPr>
          <w:rFonts w:ascii="標楷體" w:eastAsia="標楷體" w:hAnsi="標楷體"/>
        </w:rPr>
        <w:t>協定簿別管理</w:t>
      </w:r>
      <w:proofErr w:type="gramEnd"/>
      <w:r w:rsidR="00AF7013" w:rsidRPr="001360D7">
        <w:rPr>
          <w:rFonts w:ascii="標楷體" w:eastAsia="標楷體" w:hAnsi="標楷體"/>
        </w:rPr>
        <w:t>準則</w:t>
      </w:r>
      <w:r w:rsidR="00AF7013" w:rsidRPr="001360D7">
        <w:rPr>
          <w:rFonts w:ascii="標楷體" w:eastAsia="標楷體" w:hAnsi="標楷體" w:hint="eastAsia"/>
          <w:lang w:eastAsia="zh-HK"/>
        </w:rPr>
        <w:t>」</w:t>
      </w:r>
      <w:r w:rsidR="00AF7013" w:rsidRPr="001360D7">
        <w:rPr>
          <w:rFonts w:ascii="標楷體" w:eastAsia="標楷體" w:hAnsi="標楷體"/>
        </w:rPr>
        <w:t>(</w:t>
      </w:r>
      <w:r w:rsidR="00AF7013" w:rsidRPr="001360D7">
        <w:rPr>
          <w:rFonts w:ascii="標楷體" w:eastAsia="標楷體" w:hAnsi="標楷體" w:hint="eastAsia"/>
          <w:lang w:eastAsia="zh-HK"/>
        </w:rPr>
        <w:t>下稱</w:t>
      </w:r>
      <w:r w:rsidR="00AF7013" w:rsidRPr="001360D7">
        <w:rPr>
          <w:rFonts w:ascii="標楷體" w:eastAsia="標楷體" w:hAnsi="標楷體"/>
        </w:rPr>
        <w:t>「本</w:t>
      </w:r>
      <w:r w:rsidR="00AF7013" w:rsidRPr="001360D7">
        <w:rPr>
          <w:rFonts w:ascii="標楷體" w:eastAsia="標楷體" w:hAnsi="標楷體" w:hint="eastAsia"/>
          <w:lang w:eastAsia="zh-HK"/>
        </w:rPr>
        <w:t>準則」)。</w:t>
      </w:r>
      <w:r w:rsidR="00844FB6">
        <w:rPr>
          <w:rFonts w:ascii="標楷體" w:eastAsia="標楷體" w:hAnsi="標楷體"/>
          <w:color w:val="FF0000"/>
        </w:rPr>
        <w:t>本準則之修訂由金融市場管理部負責</w:t>
      </w:r>
      <w:r w:rsidR="0075514F" w:rsidRPr="00844FB6">
        <w:rPr>
          <w:rFonts w:ascii="標楷體" w:eastAsia="標楷體" w:hAnsi="標楷體" w:hint="eastAsia"/>
          <w:color w:val="FF0000"/>
        </w:rPr>
        <w:t>，經銀行總經理核定後實施。</w:t>
      </w:r>
      <w:r w:rsidR="00A24ADB">
        <w:rPr>
          <w:rFonts w:ascii="標楷體" w:eastAsia="標楷體" w:hAnsi="標楷體"/>
          <w:color w:val="FF0000"/>
        </w:rPr>
        <w:t>O</w:t>
      </w:r>
      <w:r w:rsidR="00A24ADB">
        <w:rPr>
          <w:rFonts w:ascii="標楷體" w:eastAsia="標楷體" w:hAnsi="標楷體" w:hint="eastAsia"/>
          <w:color w:val="FF0000"/>
        </w:rPr>
        <w:t>r 經呈報xxx審定並經金融事業總處執行長核定後實施,修訂時亦同</w:t>
      </w:r>
      <w:r w:rsidR="00A24ADB" w:rsidRPr="00844FB6">
        <w:rPr>
          <w:rFonts w:ascii="標楷體" w:eastAsia="標楷體" w:hAnsi="標楷體" w:hint="eastAsia"/>
          <w:color w:val="FF0000"/>
        </w:rPr>
        <w:t>。</w:t>
      </w:r>
    </w:p>
    <w:p w:rsidR="00AD4816" w:rsidRPr="00AD4816" w:rsidRDefault="001360D7" w:rsidP="009F0ECC">
      <w:pPr>
        <w:pStyle w:val="a3"/>
        <w:numPr>
          <w:ilvl w:val="1"/>
          <w:numId w:val="7"/>
        </w:numPr>
        <w:ind w:leftChars="0"/>
        <w:rPr>
          <w:rFonts w:ascii="標楷體" w:eastAsia="標楷體" w:hAnsi="標楷體"/>
          <w:lang w:eastAsia="zh-HK"/>
        </w:rPr>
      </w:pPr>
      <w:r w:rsidRPr="00AD4816">
        <w:rPr>
          <w:rFonts w:ascii="標楷體" w:eastAsia="標楷體" w:hAnsi="標楷體" w:hint="eastAsia"/>
        </w:rPr>
        <w:t>適用範圍</w:t>
      </w:r>
    </w:p>
    <w:p w:rsidR="00AF7013" w:rsidRPr="002C6959" w:rsidRDefault="00AF7013" w:rsidP="00AD4816">
      <w:pPr>
        <w:pStyle w:val="a3"/>
        <w:ind w:leftChars="0" w:left="992"/>
        <w:rPr>
          <w:rFonts w:ascii="標楷體" w:eastAsia="標楷體" w:hAnsi="標楷體"/>
          <w:lang w:eastAsia="zh-HK"/>
        </w:rPr>
      </w:pPr>
      <w:r w:rsidRPr="002C6959">
        <w:rPr>
          <w:rFonts w:ascii="標楷體" w:eastAsia="標楷體" w:hAnsi="標楷體"/>
          <w:lang w:eastAsia="zh-HK"/>
        </w:rPr>
        <w:t>本準則適用於本行(含海外分行)</w:t>
      </w:r>
      <w:r w:rsidR="00FC3912" w:rsidRPr="002C6959">
        <w:rPr>
          <w:rFonts w:ascii="標楷體" w:eastAsia="標楷體" w:hAnsi="標楷體"/>
          <w:lang w:eastAsia="zh-HK"/>
        </w:rPr>
        <w:t>各交易單位</w:t>
      </w:r>
      <w:proofErr w:type="gramStart"/>
      <w:r w:rsidR="004B0BB7" w:rsidRPr="002C6959">
        <w:rPr>
          <w:rFonts w:ascii="標楷體" w:eastAsia="標楷體" w:hAnsi="標楷體" w:hint="eastAsia"/>
        </w:rPr>
        <w:t>承作</w:t>
      </w:r>
      <w:proofErr w:type="gramEnd"/>
      <w:r w:rsidR="00FC3912" w:rsidRPr="002C6959">
        <w:rPr>
          <w:rFonts w:ascii="標楷體" w:eastAsia="標楷體" w:hAnsi="標楷體"/>
          <w:lang w:eastAsia="zh-HK"/>
        </w:rPr>
        <w:t>之金融</w:t>
      </w:r>
      <w:r w:rsidR="00FC3912" w:rsidRPr="002C6959">
        <w:rPr>
          <w:rFonts w:ascii="標楷體" w:eastAsia="標楷體" w:hAnsi="標楷體" w:hint="eastAsia"/>
        </w:rPr>
        <w:t>工具</w:t>
      </w:r>
      <w:r w:rsidRPr="002C6959">
        <w:rPr>
          <w:rFonts w:ascii="標楷體" w:eastAsia="標楷體" w:hAnsi="標楷體"/>
          <w:lang w:eastAsia="zh-HK"/>
        </w:rPr>
        <w:t>。</w:t>
      </w:r>
      <w:r w:rsidR="00AD4816" w:rsidRPr="002C6959">
        <w:rPr>
          <w:rFonts w:ascii="標楷體" w:eastAsia="標楷體" w:hAnsi="標楷體"/>
        </w:rPr>
        <w:t>海外分行當地金融法規</w:t>
      </w:r>
      <w:r w:rsidR="0075514F" w:rsidRPr="002C6959">
        <w:rPr>
          <w:rFonts w:ascii="標楷體" w:eastAsia="標楷體" w:hAnsi="標楷體"/>
        </w:rPr>
        <w:t>另有規定者，</w:t>
      </w:r>
      <w:r w:rsidR="00917AFB" w:rsidRPr="002C6959">
        <w:rPr>
          <w:rFonts w:ascii="標楷體" w:eastAsia="標楷體" w:hAnsi="標楷體" w:hint="eastAsia"/>
        </w:rPr>
        <w:t>需提供相關規範</w:t>
      </w:r>
      <w:r w:rsidR="00AD4816" w:rsidRPr="002C6959">
        <w:rPr>
          <w:rFonts w:ascii="標楷體" w:eastAsia="標楷體" w:hAnsi="標楷體"/>
        </w:rPr>
        <w:t>，</w:t>
      </w:r>
      <w:r w:rsidR="00917AFB" w:rsidRPr="002C6959">
        <w:rPr>
          <w:rFonts w:ascii="標楷體" w:eastAsia="標楷體" w:hAnsi="標楷體" w:hint="eastAsia"/>
        </w:rPr>
        <w:t>增修本準則</w:t>
      </w:r>
      <w:r w:rsidR="00AD4816" w:rsidRPr="002C6959">
        <w:rPr>
          <w:rFonts w:ascii="標楷體" w:eastAsia="標楷體" w:hAnsi="標楷體" w:hint="eastAsia"/>
          <w:lang w:eastAsia="zh-HK"/>
        </w:rPr>
        <w:t>。</w:t>
      </w:r>
    </w:p>
    <w:p w:rsidR="00AD4816" w:rsidRPr="00AD4816" w:rsidRDefault="00AD4816" w:rsidP="009F0ECC">
      <w:pPr>
        <w:pStyle w:val="a3"/>
        <w:numPr>
          <w:ilvl w:val="1"/>
          <w:numId w:val="7"/>
        </w:numPr>
        <w:ind w:leftChars="0"/>
        <w:rPr>
          <w:rFonts w:asciiTheme="minorEastAsia" w:eastAsiaTheme="minorEastAsia" w:hAnsiTheme="minorEastAsia"/>
        </w:rPr>
      </w:pPr>
      <w:proofErr w:type="gramStart"/>
      <w:r>
        <w:rPr>
          <w:rFonts w:ascii="標楷體" w:eastAsia="標楷體" w:hAnsi="標楷體" w:hint="eastAsia"/>
        </w:rPr>
        <w:t>簿別劃分</w:t>
      </w:r>
      <w:proofErr w:type="gramEnd"/>
    </w:p>
    <w:p w:rsidR="00AF7013" w:rsidRDefault="00AF7013" w:rsidP="00AD4816">
      <w:pPr>
        <w:pStyle w:val="a3"/>
        <w:ind w:leftChars="0" w:left="992"/>
        <w:rPr>
          <w:rFonts w:asciiTheme="minorEastAsia" w:eastAsiaTheme="minorEastAsia" w:hAnsiTheme="minorEastAsia"/>
        </w:rPr>
      </w:pPr>
      <w:r w:rsidRPr="001360D7">
        <w:rPr>
          <w:rFonts w:ascii="標楷體" w:eastAsia="標楷體" w:hAnsi="標楷體" w:hint="eastAsia"/>
          <w:lang w:eastAsia="zh-HK"/>
        </w:rPr>
        <w:t>金融工具須依持有目的</w:t>
      </w:r>
      <w:proofErr w:type="gramStart"/>
      <w:r w:rsidRPr="001360D7">
        <w:rPr>
          <w:rFonts w:ascii="標楷體" w:eastAsia="標楷體" w:hAnsi="標楷體" w:hint="eastAsia"/>
          <w:lang w:eastAsia="zh-HK"/>
        </w:rPr>
        <w:t>劃分簿別</w:t>
      </w:r>
      <w:proofErr w:type="gramEnd"/>
      <w:r w:rsidRPr="001360D7">
        <w:rPr>
          <w:rFonts w:ascii="標楷體" w:eastAsia="標楷體" w:hAnsi="標楷體" w:hint="eastAsia"/>
          <w:lang w:eastAsia="zh-HK"/>
        </w:rPr>
        <w:t>，並依</w:t>
      </w:r>
      <w:proofErr w:type="gramStart"/>
      <w:r w:rsidRPr="001360D7">
        <w:rPr>
          <w:rFonts w:ascii="標楷體" w:eastAsia="標楷體" w:hAnsi="標楷體" w:hint="eastAsia"/>
          <w:lang w:eastAsia="zh-HK"/>
        </w:rPr>
        <w:t>其簿別</w:t>
      </w:r>
      <w:proofErr w:type="gramEnd"/>
      <w:r w:rsidRPr="001360D7">
        <w:rPr>
          <w:rFonts w:ascii="標楷體" w:eastAsia="標楷體" w:hAnsi="標楷體" w:hint="eastAsia"/>
          <w:lang w:eastAsia="zh-HK"/>
        </w:rPr>
        <w:t>計算</w:t>
      </w:r>
      <w:r w:rsidRPr="001360D7">
        <w:rPr>
          <w:rFonts w:ascii="標楷體" w:eastAsia="標楷體" w:hAnsi="標楷體" w:hint="eastAsia"/>
        </w:rPr>
        <w:t>風險</w:t>
      </w:r>
      <w:r w:rsidRPr="001360D7">
        <w:rPr>
          <w:rFonts w:ascii="標楷體" w:eastAsia="標楷體" w:hAnsi="標楷體"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D4816" w:rsidRDefault="00CF1B64" w:rsidP="009F0ECC">
      <w:pPr>
        <w:pStyle w:val="a3"/>
        <w:numPr>
          <w:ilvl w:val="0"/>
          <w:numId w:val="6"/>
        </w:numPr>
        <w:ind w:leftChars="0" w:hangingChars="177"/>
        <w:outlineLvl w:val="0"/>
        <w:rPr>
          <w:rFonts w:ascii="標楷體" w:eastAsia="標楷體" w:hAnsi="標楷體"/>
        </w:rPr>
      </w:pPr>
      <w:bookmarkStart w:id="0" w:name="_Toc111194928"/>
      <w:r w:rsidRPr="00AD4816">
        <w:rPr>
          <w:rFonts w:ascii="標楷體" w:eastAsia="標楷體" w:hAnsi="標楷體"/>
        </w:rPr>
        <w:t>用詞定義</w:t>
      </w:r>
      <w:bookmarkEnd w:id="0"/>
    </w:p>
    <w:p w:rsidR="00AA7EC9" w:rsidRPr="00AD4816" w:rsidRDefault="00CF1B64" w:rsidP="009F0ECC">
      <w:pPr>
        <w:pStyle w:val="a3"/>
        <w:numPr>
          <w:ilvl w:val="1"/>
          <w:numId w:val="14"/>
        </w:numPr>
        <w:ind w:leftChars="0"/>
        <w:rPr>
          <w:rFonts w:ascii="標楷體" w:eastAsia="標楷體" w:hAnsi="標楷體"/>
        </w:rPr>
      </w:pPr>
      <w:r w:rsidRPr="00AD4816">
        <w:rPr>
          <w:rFonts w:ascii="標楷體" w:eastAsia="標楷體" w:hAnsi="標楷體"/>
        </w:rPr>
        <w:t>會計帳上屬交易性資產或負債科目之工具：在IFRS9下，工具納入交易經營模式且帳列為透過損益按公允價值衡量會計科目；</w:t>
      </w:r>
    </w:p>
    <w:p w:rsidR="00AA7EC9" w:rsidRPr="00AD4816" w:rsidRDefault="00AA7EC9" w:rsidP="009F0ECC">
      <w:pPr>
        <w:pStyle w:val="a3"/>
        <w:numPr>
          <w:ilvl w:val="1"/>
          <w:numId w:val="14"/>
        </w:numPr>
        <w:ind w:leftChars="0"/>
        <w:rPr>
          <w:rFonts w:ascii="標楷體" w:eastAsia="標楷體" w:hAnsi="標楷體"/>
        </w:rPr>
      </w:pPr>
      <w:r w:rsidRPr="00AD4816">
        <w:rPr>
          <w:rFonts w:ascii="標楷體" w:eastAsia="標楷體" w:hAnsi="標楷體" w:cs="標楷體"/>
        </w:rPr>
        <w:t>混合合約</w:t>
      </w:r>
      <w:r w:rsidRPr="00AD4816">
        <w:rPr>
          <w:rFonts w:ascii="標楷體" w:eastAsia="標楷體" w:hAnsi="標楷體" w:cs="標楷體" w:hint="eastAsia"/>
          <w:lang w:eastAsia="zh-HK"/>
        </w:rPr>
        <w:t>：</w:t>
      </w:r>
      <w:r w:rsidRPr="00AD4816">
        <w:rPr>
          <w:rFonts w:ascii="標楷體" w:eastAsia="標楷體" w:hAnsi="標楷體" w:cs="標楷體"/>
        </w:rPr>
        <w:t>係指非衍生工具主契約及嵌入式衍生工具。</w:t>
      </w:r>
    </w:p>
    <w:p w:rsidR="001172A6" w:rsidRDefault="001172A6" w:rsidP="009F0ECC">
      <w:pPr>
        <w:pStyle w:val="a3"/>
        <w:numPr>
          <w:ilvl w:val="1"/>
          <w:numId w:val="14"/>
        </w:numPr>
        <w:ind w:leftChars="0"/>
        <w:rPr>
          <w:rFonts w:ascii="標楷體" w:eastAsia="標楷體" w:hAnsi="標楷體"/>
        </w:rPr>
      </w:pPr>
      <w:r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工具係混合合約之一項組成部分；混合合約包含衍生</w:t>
      </w:r>
      <w:r w:rsidR="00B50267" w:rsidRPr="00F4309B">
        <w:rPr>
          <w:rFonts w:ascii="標楷體" w:eastAsia="標楷體" w:hAnsi="標楷體" w:hint="eastAsia"/>
          <w:lang w:eastAsia="zh-HK"/>
        </w:rPr>
        <w:t>性</w:t>
      </w:r>
      <w:r w:rsidRPr="00F4309B">
        <w:rPr>
          <w:rFonts w:ascii="標楷體" w:eastAsia="標楷體" w:hAnsi="標楷體"/>
        </w:rPr>
        <w:t>工具及非衍生</w:t>
      </w:r>
      <w:r w:rsidR="00B50267" w:rsidRPr="00F4309B">
        <w:rPr>
          <w:rFonts w:ascii="標楷體" w:eastAsia="標楷體" w:hAnsi="標楷體" w:hint="eastAsia"/>
          <w:lang w:eastAsia="zh-HK"/>
        </w:rPr>
        <w:t>性</w:t>
      </w:r>
      <w:r w:rsidRPr="00F4309B">
        <w:rPr>
          <w:rFonts w:ascii="標楷體" w:eastAsia="標楷體" w:hAnsi="標楷體"/>
        </w:rPr>
        <w:t>工具主契約，具有使該結合工具之部分現金流量變動與單獨衍生工具相似之效果，此類包含在混合合約中之衍生</w:t>
      </w:r>
      <w:r w:rsidR="00B50267" w:rsidRPr="00F4309B">
        <w:rPr>
          <w:rFonts w:ascii="標楷體" w:eastAsia="標楷體" w:hAnsi="標楷體" w:hint="eastAsia"/>
          <w:lang w:eastAsia="zh-HK"/>
        </w:rPr>
        <w:t>性</w:t>
      </w:r>
      <w:r w:rsidRPr="00F4309B">
        <w:rPr>
          <w:rFonts w:ascii="標楷體" w:eastAsia="標楷體" w:hAnsi="標楷體"/>
        </w:rPr>
        <w:t>工具即稱為嵌入式衍生</w:t>
      </w:r>
      <w:r w:rsidR="00B50267" w:rsidRPr="00F4309B">
        <w:rPr>
          <w:rFonts w:ascii="標楷體" w:eastAsia="標楷體" w:hAnsi="標楷體" w:hint="eastAsia"/>
          <w:lang w:eastAsia="zh-HK"/>
        </w:rPr>
        <w:t>性</w:t>
      </w:r>
      <w:r w:rsidRPr="00F4309B">
        <w:rPr>
          <w:rFonts w:ascii="標楷體" w:eastAsia="標楷體" w:hAnsi="標楷體"/>
        </w:rPr>
        <w:t>工具。嵌入式衍生</w:t>
      </w:r>
      <w:r w:rsidR="00B50267" w:rsidRPr="00F4309B">
        <w:rPr>
          <w:rFonts w:ascii="標楷體" w:eastAsia="標楷體" w:hAnsi="標楷體" w:hint="eastAsia"/>
          <w:lang w:eastAsia="zh-HK"/>
        </w:rPr>
        <w:t>性</w:t>
      </w:r>
      <w:r w:rsidRPr="00F4309B">
        <w:rPr>
          <w:rFonts w:ascii="標楷體" w:eastAsia="標楷體" w:hAnsi="標楷體"/>
        </w:rPr>
        <w:t>工具導致合約原規定之部分或全部現金流量，須隨特定利率、金融工具價格、商品價格、匯率、價格或費率指數、信用評等或信用指數、抑或其他變數而更改。隨附於金融工具之衍生</w:t>
      </w:r>
      <w:r w:rsidR="00B50267" w:rsidRPr="00F4309B">
        <w:rPr>
          <w:rFonts w:ascii="標楷體" w:eastAsia="標楷體" w:hAnsi="標楷體" w:hint="eastAsia"/>
          <w:lang w:eastAsia="zh-HK"/>
        </w:rPr>
        <w:t>性</w:t>
      </w:r>
      <w:r w:rsidRPr="00F4309B">
        <w:rPr>
          <w:rFonts w:ascii="標楷體" w:eastAsia="標楷體" w:hAnsi="標楷體"/>
        </w:rPr>
        <w:t>工具，但依合約得與該工具分開而獨立移轉者，或有不同交易對方者，則為單獨金融工具而非屬嵌入式衍生</w:t>
      </w:r>
      <w:r w:rsidR="00B50267" w:rsidRPr="00F4309B">
        <w:rPr>
          <w:rFonts w:ascii="標楷體" w:eastAsia="標楷體" w:hAnsi="標楷體" w:hint="eastAsia"/>
          <w:lang w:eastAsia="zh-HK"/>
        </w:rPr>
        <w:t>性</w:t>
      </w:r>
      <w:r w:rsidRPr="00F4309B">
        <w:rPr>
          <w:rFonts w:ascii="標楷體" w:eastAsia="標楷體" w:hAnsi="標楷體"/>
        </w:rPr>
        <w:t>工具。例如，可轉換公司債所附之轉換權（選擇權之一種）因無法與主契約（公司債）分別單獨移轉，係屬嵌入式衍生</w:t>
      </w:r>
      <w:r w:rsidR="00B50267" w:rsidRPr="00F4309B">
        <w:rPr>
          <w:rFonts w:ascii="標楷體" w:eastAsia="標楷體" w:hAnsi="標楷體" w:hint="eastAsia"/>
          <w:lang w:eastAsia="zh-HK"/>
        </w:rPr>
        <w:t>性</w:t>
      </w:r>
      <w:r w:rsidRPr="00F4309B">
        <w:rPr>
          <w:rFonts w:ascii="標楷體" w:eastAsia="標楷體" w:hAnsi="標楷體"/>
        </w:rPr>
        <w:t>工具；分離型附認股權公司債之認股權證則因可與債券分開交易，故非屬</w:t>
      </w:r>
      <w:r w:rsidR="00B50267"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工具。(IFRS9</w:t>
      </w:r>
      <w:r w:rsidRPr="00F4309B">
        <w:rPr>
          <w:rFonts w:ascii="標楷體" w:eastAsia="標楷體" w:hAnsi="標楷體" w:hint="eastAsia"/>
        </w:rPr>
        <w:t xml:space="preserve"> </w:t>
      </w:r>
      <w:r w:rsidRPr="00F4309B">
        <w:rPr>
          <w:rFonts w:ascii="標楷體" w:eastAsia="標楷體" w:hAnsi="標楷體"/>
        </w:rPr>
        <w:t>4.3.1)</w:t>
      </w:r>
      <w:r w:rsidR="00426B93" w:rsidRPr="00F4309B">
        <w:rPr>
          <w:rFonts w:ascii="標楷體" w:eastAsia="標楷體" w:hAnsi="標楷體" w:hint="eastAsia"/>
        </w:rPr>
        <w:t xml:space="preserve"> </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金融工具：用以描述財務工具、外匯及商品(commodities)金融工具的名詞。</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財務工具：指一方產生金融資產亦同時使另一方產生金融負債或權益證券工具的契約。此財務工具包括原始財務工具（或現金工具）及衍生財務工具。</w:t>
      </w:r>
    </w:p>
    <w:p w:rsidR="00714BE7" w:rsidRPr="009A39FD" w:rsidRDefault="00714BE7" w:rsidP="009F0ECC">
      <w:pPr>
        <w:pStyle w:val="a3"/>
        <w:numPr>
          <w:ilvl w:val="1"/>
          <w:numId w:val="14"/>
        </w:numPr>
        <w:ind w:leftChars="0"/>
        <w:rPr>
          <w:rFonts w:ascii="標楷體" w:eastAsia="標楷體" w:hAnsi="標楷體"/>
        </w:rPr>
      </w:pPr>
      <w:r w:rsidRPr="009A39FD">
        <w:rPr>
          <w:rFonts w:ascii="標楷體" w:eastAsia="標楷體" w:hAnsi="標楷體" w:hint="eastAsia"/>
        </w:rPr>
        <w:t>市場風險：因市場價格變動而導致資產負債表</w:t>
      </w:r>
      <w:proofErr w:type="gramStart"/>
      <w:r w:rsidRPr="009A39FD">
        <w:rPr>
          <w:rFonts w:ascii="標楷體" w:eastAsia="標楷體" w:hAnsi="標楷體" w:hint="eastAsia"/>
        </w:rPr>
        <w:t>表</w:t>
      </w:r>
      <w:proofErr w:type="gramEnd"/>
      <w:r w:rsidRPr="009A39FD">
        <w:rPr>
          <w:rFonts w:ascii="標楷體" w:eastAsia="標楷體" w:hAnsi="標楷體" w:hint="eastAsia"/>
        </w:rPr>
        <w:t>內及表外風險部位產生損失之風險。</w:t>
      </w:r>
      <w:r w:rsidRPr="009A39FD">
        <w:rPr>
          <w:rFonts w:ascii="標楷體" w:eastAsia="標楷體" w:hAnsi="標楷體"/>
        </w:rPr>
        <w:tab/>
      </w:r>
    </w:p>
    <w:p w:rsidR="0076532A" w:rsidRDefault="003373CB" w:rsidP="0076532A">
      <w:pPr>
        <w:pStyle w:val="a3"/>
        <w:numPr>
          <w:ilvl w:val="1"/>
          <w:numId w:val="14"/>
        </w:numPr>
        <w:ind w:leftChars="0"/>
        <w:rPr>
          <w:rFonts w:ascii="標楷體" w:eastAsia="標楷體" w:hAnsi="標楷體"/>
        </w:rPr>
      </w:pPr>
      <w:r w:rsidRPr="009A39FD">
        <w:rPr>
          <w:rFonts w:ascii="標楷體" w:eastAsia="標楷體" w:hAnsi="標楷體" w:hint="eastAsia"/>
        </w:rPr>
        <w:lastRenderedPageBreak/>
        <w:t>避險：具相關性金融工具的長及短</w:t>
      </w:r>
      <w:proofErr w:type="gramStart"/>
      <w:r w:rsidRPr="009A39FD">
        <w:rPr>
          <w:rFonts w:ascii="標楷體" w:eastAsia="標楷體" w:hAnsi="標楷體" w:hint="eastAsia"/>
        </w:rPr>
        <w:t>部位暴險之</w:t>
      </w:r>
      <w:proofErr w:type="gramEnd"/>
      <w:r w:rsidRPr="009A39FD">
        <w:rPr>
          <w:rFonts w:ascii="標楷體" w:eastAsia="標楷體" w:hAnsi="標楷體" w:hint="eastAsia"/>
        </w:rPr>
        <w:t>風險抗衡的過程。</w:t>
      </w:r>
    </w:p>
    <w:p w:rsidR="0076532A" w:rsidRDefault="002D3A3A" w:rsidP="0076532A">
      <w:pPr>
        <w:pStyle w:val="a3"/>
        <w:numPr>
          <w:ilvl w:val="1"/>
          <w:numId w:val="14"/>
        </w:numPr>
        <w:ind w:leftChars="0"/>
        <w:rPr>
          <w:rFonts w:ascii="標楷體" w:eastAsia="標楷體" w:hAnsi="標楷體"/>
        </w:rPr>
      </w:pPr>
      <w:r w:rsidRPr="0076532A">
        <w:rPr>
          <w:rFonts w:ascii="標楷體" w:eastAsia="標楷體" w:hAnsi="標楷體"/>
          <w:lang w:eastAsia="zh-HK"/>
        </w:rPr>
        <w:t>內部風險移轉是指在銀行簿內、銀行簿和交易</w:t>
      </w:r>
      <w:proofErr w:type="gramStart"/>
      <w:r w:rsidRPr="0076532A">
        <w:rPr>
          <w:rFonts w:ascii="標楷體" w:eastAsia="標楷體" w:hAnsi="標楷體"/>
          <w:lang w:eastAsia="zh-HK"/>
        </w:rPr>
        <w:t>簿</w:t>
      </w:r>
      <w:proofErr w:type="gramEnd"/>
      <w:r w:rsidRPr="0076532A">
        <w:rPr>
          <w:rFonts w:ascii="標楷體" w:eastAsia="標楷體" w:hAnsi="標楷體"/>
          <w:lang w:eastAsia="zh-HK"/>
        </w:rPr>
        <w:t>間或交易簿內(不同交易台間)之移轉風險的內部書面紀錄。</w:t>
      </w:r>
    </w:p>
    <w:p w:rsidR="0076532A" w:rsidRPr="0076532A" w:rsidRDefault="0076532A" w:rsidP="0076532A">
      <w:pPr>
        <w:pStyle w:val="a3"/>
        <w:numPr>
          <w:ilvl w:val="1"/>
          <w:numId w:val="14"/>
        </w:numPr>
        <w:ind w:leftChars="0"/>
        <w:rPr>
          <w:rFonts w:ascii="標楷體" w:eastAsia="標楷體" w:hAnsi="標楷體"/>
        </w:rPr>
      </w:pPr>
      <w:proofErr w:type="gramStart"/>
      <w:r w:rsidRPr="0076532A">
        <w:rPr>
          <w:rFonts w:ascii="Times New Roman" w:eastAsia="標楷體" w:hAnsi="Times New Roman" w:cs="Times New Roman"/>
        </w:rPr>
        <w:t>交易簿至銀行</w:t>
      </w:r>
      <w:proofErr w:type="gramEnd"/>
      <w:r w:rsidRPr="0076532A">
        <w:rPr>
          <w:rFonts w:ascii="Times New Roman" w:eastAsia="標楷體" w:hAnsi="Times New Roman" w:cs="Times New Roman"/>
        </w:rPr>
        <w:t>簿的內部風險移轉未受法定資本認可，因此，若銀行從事由</w:t>
      </w:r>
      <w:proofErr w:type="gramStart"/>
      <w:r w:rsidRPr="0076532A">
        <w:rPr>
          <w:rFonts w:ascii="Times New Roman" w:eastAsia="標楷體" w:hAnsi="Times New Roman" w:cs="Times New Roman"/>
        </w:rPr>
        <w:t>交易簿至銀行</w:t>
      </w:r>
      <w:proofErr w:type="gramEnd"/>
      <w:r w:rsidRPr="0076532A">
        <w:rPr>
          <w:rFonts w:ascii="Times New Roman" w:eastAsia="標楷體" w:hAnsi="Times New Roman" w:cs="Times New Roman"/>
        </w:rPr>
        <w:t>簿的內部風險移轉</w:t>
      </w:r>
      <w:r w:rsidRPr="0076532A">
        <w:rPr>
          <w:rFonts w:ascii="Times New Roman" w:eastAsia="標楷體" w:hAnsi="Times New Roman" w:cs="Times New Roman"/>
        </w:rPr>
        <w:t>(</w:t>
      </w:r>
      <w:r w:rsidRPr="0076532A">
        <w:rPr>
          <w:rFonts w:ascii="Times New Roman" w:eastAsia="標楷體" w:hAnsi="Times New Roman" w:cs="Times New Roman"/>
        </w:rPr>
        <w:t>如因經濟因素</w:t>
      </w:r>
      <w:r w:rsidRPr="0076532A">
        <w:rPr>
          <w:rFonts w:ascii="Times New Roman" w:eastAsia="標楷體" w:hAnsi="Times New Roman" w:cs="Times New Roman"/>
        </w:rPr>
        <w:t>)</w:t>
      </w:r>
      <w:r w:rsidRPr="0076532A">
        <w:rPr>
          <w:rFonts w:ascii="Times New Roman" w:eastAsia="標楷體" w:hAnsi="Times New Roman" w:cs="Times New Roman"/>
        </w:rPr>
        <w:t>時，其法定資本要求將不考慮這種內部風險移轉。</w:t>
      </w:r>
      <w:r w:rsidRPr="0076532A">
        <w:rPr>
          <w:rFonts w:ascii="標楷體" w:eastAsia="標楷體" w:hAnsi="標楷體"/>
          <w:lang w:eastAsia="zh-HK"/>
        </w:rPr>
        <w:t>本</w:t>
      </w:r>
      <w:r w:rsidRPr="0076532A">
        <w:rPr>
          <w:rFonts w:ascii="標楷體" w:eastAsia="標楷體" w:hAnsi="標楷體" w:hint="eastAsia"/>
          <w:lang w:eastAsia="zh-HK"/>
        </w:rPr>
        <w:t>準則</w:t>
      </w:r>
      <w:proofErr w:type="gramStart"/>
      <w:r w:rsidRPr="0076532A">
        <w:rPr>
          <w:rFonts w:ascii="標楷體" w:eastAsia="標楷體" w:hAnsi="標楷體"/>
          <w:lang w:eastAsia="zh-HK"/>
        </w:rPr>
        <w:t>不</w:t>
      </w:r>
      <w:proofErr w:type="gramEnd"/>
      <w:r w:rsidRPr="0076532A">
        <w:rPr>
          <w:rFonts w:ascii="標楷體" w:eastAsia="標楷體" w:hAnsi="標楷體"/>
          <w:lang w:eastAsia="zh-HK"/>
        </w:rPr>
        <w:t>考量</w:t>
      </w:r>
      <w:proofErr w:type="gramStart"/>
      <w:r w:rsidRPr="0076532A">
        <w:rPr>
          <w:rFonts w:ascii="標楷體" w:eastAsia="標楷體" w:hAnsi="標楷體"/>
          <w:lang w:eastAsia="zh-HK"/>
        </w:rPr>
        <w:t>交易簿至銀行</w:t>
      </w:r>
      <w:proofErr w:type="gramEnd"/>
      <w:r w:rsidRPr="0076532A">
        <w:rPr>
          <w:rFonts w:ascii="標楷體" w:eastAsia="標楷體" w:hAnsi="標楷體"/>
          <w:lang w:eastAsia="zh-HK"/>
        </w:rPr>
        <w:t>簿的內部風險移轉。</w:t>
      </w:r>
    </w:p>
    <w:p w:rsidR="002D3A3A" w:rsidRPr="002D3A3A" w:rsidRDefault="002D3A3A" w:rsidP="0076532A">
      <w:pPr>
        <w:pStyle w:val="a3"/>
        <w:ind w:leftChars="0" w:left="992"/>
        <w:rPr>
          <w:rFonts w:ascii="標楷體" w:eastAsia="標楷體" w:hAnsi="標楷體"/>
        </w:rPr>
      </w:pPr>
    </w:p>
    <w:p w:rsidR="002D3A3A" w:rsidRDefault="002D3A3A" w:rsidP="002D3A3A">
      <w:pPr>
        <w:pStyle w:val="a3"/>
        <w:ind w:leftChars="0" w:left="992"/>
        <w:rPr>
          <w:rFonts w:ascii="標楷體" w:eastAsia="標楷體" w:hAnsi="標楷體"/>
        </w:rPr>
      </w:pPr>
    </w:p>
    <w:p w:rsidR="002C6959" w:rsidRPr="009A39FD" w:rsidRDefault="002C6959" w:rsidP="002C6959">
      <w:pPr>
        <w:pStyle w:val="a3"/>
        <w:ind w:leftChars="0" w:left="992"/>
        <w:rPr>
          <w:rFonts w:ascii="標楷體" w:eastAsia="標楷體" w:hAnsi="標楷體"/>
        </w:rPr>
      </w:pPr>
    </w:p>
    <w:p w:rsidR="00714BE7" w:rsidRDefault="00714BE7" w:rsidP="009F0ECC">
      <w:pPr>
        <w:pStyle w:val="a3"/>
        <w:numPr>
          <w:ilvl w:val="0"/>
          <w:numId w:val="3"/>
        </w:numPr>
        <w:ind w:leftChars="0" w:hangingChars="177"/>
        <w:outlineLvl w:val="0"/>
        <w:rPr>
          <w:rFonts w:ascii="標楷體" w:eastAsia="標楷體" w:hAnsi="標楷體"/>
        </w:rPr>
      </w:pPr>
      <w:bookmarkStart w:id="1" w:name="_Toc111194929"/>
      <w:r w:rsidRPr="00121F65">
        <w:rPr>
          <w:rFonts w:ascii="標楷體" w:eastAsia="標楷體" w:hAnsi="標楷體"/>
        </w:rPr>
        <w:t>交易簿的</w:t>
      </w:r>
      <w:r w:rsidRPr="00121F65">
        <w:rPr>
          <w:rFonts w:ascii="標楷體" w:eastAsia="標楷體" w:hAnsi="標楷體" w:hint="eastAsia"/>
          <w:lang w:eastAsia="zh-HK"/>
        </w:rPr>
        <w:t>認定</w:t>
      </w:r>
      <w:r w:rsidRPr="00121F65">
        <w:rPr>
          <w:rFonts w:ascii="標楷體" w:eastAsia="標楷體" w:hAnsi="標楷體"/>
        </w:rPr>
        <w:t>及</w:t>
      </w:r>
      <w:r w:rsidRPr="00121F65">
        <w:rPr>
          <w:rFonts w:ascii="標楷體" w:eastAsia="標楷體" w:hAnsi="標楷體" w:hint="eastAsia"/>
          <w:lang w:eastAsia="zh-HK"/>
        </w:rPr>
        <w:t>相關規定</w:t>
      </w:r>
      <w:bookmarkEnd w:id="1"/>
    </w:p>
    <w:p w:rsidR="00714BE7" w:rsidRDefault="00FA2D48" w:rsidP="009F0ECC">
      <w:pPr>
        <w:pStyle w:val="a3"/>
        <w:numPr>
          <w:ilvl w:val="0"/>
          <w:numId w:val="19"/>
        </w:numPr>
        <w:ind w:leftChars="0"/>
        <w:outlineLvl w:val="0"/>
        <w:rPr>
          <w:rFonts w:ascii="標楷體" w:eastAsia="標楷體" w:hAnsi="標楷體"/>
        </w:rPr>
      </w:pPr>
      <w:r>
        <w:rPr>
          <w:rFonts w:ascii="標楷體" w:eastAsia="標楷體" w:hAnsi="標楷體" w:hint="eastAsia"/>
        </w:rPr>
        <w:t xml:space="preserve"> </w:t>
      </w:r>
      <w:r w:rsidR="00714BE7" w:rsidRPr="006D6367">
        <w:rPr>
          <w:rFonts w:ascii="標楷體" w:eastAsia="標楷體" w:hAnsi="標楷體"/>
        </w:rPr>
        <w:t>交易簿的範圍</w:t>
      </w:r>
    </w:p>
    <w:p w:rsidR="00714BE7" w:rsidRPr="00334440" w:rsidRDefault="00714BE7" w:rsidP="00714BE7">
      <w:pPr>
        <w:autoSpaceDE w:val="0"/>
        <w:autoSpaceDN w:val="0"/>
        <w:spacing w:before="40" w:after="40"/>
        <w:ind w:left="785"/>
        <w:jc w:val="both"/>
        <w:rPr>
          <w:rFonts w:ascii="標楷體" w:eastAsia="標楷體" w:hAnsi="標楷體"/>
        </w:rPr>
      </w:pPr>
      <w:r w:rsidRPr="00426B93">
        <w:rPr>
          <w:rFonts w:eastAsia="標楷體" w:cstheme="minorHAnsi" w:hint="eastAsia"/>
        </w:rPr>
        <w:t>本</w:t>
      </w:r>
      <w:r w:rsidRPr="00426B93">
        <w:rPr>
          <w:rFonts w:eastAsia="標楷體" w:cstheme="minorHAnsi"/>
        </w:rPr>
        <w:t>行將持有之工具依其目的區分為交易簿</w:t>
      </w:r>
      <w:r w:rsidRPr="00426B93">
        <w:rPr>
          <w:rFonts w:eastAsia="標楷體" w:cstheme="minorHAnsi" w:hint="eastAsia"/>
        </w:rPr>
        <w:t>(</w:t>
      </w:r>
      <w:r>
        <w:rPr>
          <w:rFonts w:eastAsia="標楷體" w:cstheme="minorHAnsi" w:hint="eastAsia"/>
        </w:rPr>
        <w:t>依巴賽爾資本協定</w:t>
      </w:r>
      <w:r w:rsidRPr="00426B93">
        <w:rPr>
          <w:rFonts w:ascii="標楷體" w:eastAsia="標楷體" w:hAnsi="標楷體"/>
        </w:rPr>
        <w:t>市場風險</w:t>
      </w:r>
      <w:r>
        <w:rPr>
          <w:rFonts w:ascii="標楷體" w:eastAsia="標楷體" w:hAnsi="標楷體" w:hint="eastAsia"/>
        </w:rPr>
        <w:t xml:space="preserve"> </w:t>
      </w:r>
      <w:r w:rsidRPr="00333761">
        <w:rPr>
          <w:rFonts w:ascii="標楷體" w:eastAsia="標楷體" w:hAnsi="標楷體"/>
        </w:rPr>
        <w:t>資本要求規範</w:t>
      </w:r>
      <w:r w:rsidRPr="00333761">
        <w:rPr>
          <w:rFonts w:ascii="標楷體" w:eastAsia="標楷體" w:hAnsi="標楷體" w:hint="eastAsia"/>
        </w:rPr>
        <w:t>)</w:t>
      </w:r>
      <w:r w:rsidRPr="00333761">
        <w:rPr>
          <w:rFonts w:eastAsia="標楷體" w:cstheme="minorHAnsi"/>
        </w:rPr>
        <w:t>及銀行簿</w:t>
      </w:r>
      <w:r w:rsidRPr="00333761">
        <w:rPr>
          <w:rFonts w:eastAsia="標楷體" w:cstheme="minorHAnsi" w:hint="eastAsia"/>
        </w:rPr>
        <w:t>(</w:t>
      </w:r>
      <w:r w:rsidRPr="00333761">
        <w:rPr>
          <w:rFonts w:eastAsia="標楷體" w:cstheme="minorHAnsi" w:hint="eastAsia"/>
        </w:rPr>
        <w:t>依巴賽爾資本協定</w:t>
      </w:r>
      <w:r w:rsidRPr="00333761">
        <w:rPr>
          <w:rFonts w:eastAsia="標楷體" w:cstheme="minorHAnsi"/>
        </w:rPr>
        <w:t>信用風險資本要求規範</w:t>
      </w:r>
      <w:r w:rsidRPr="00333761">
        <w:rPr>
          <w:rFonts w:eastAsia="標楷體" w:cstheme="minorHAnsi" w:hint="eastAsia"/>
        </w:rPr>
        <w:t>)</w:t>
      </w:r>
      <w:r w:rsidRPr="00333761">
        <w:rPr>
          <w:rFonts w:eastAsia="標楷體" w:cstheme="minorHAnsi"/>
        </w:rPr>
        <w:t>。</w:t>
      </w:r>
      <w:r w:rsidRPr="00334440">
        <w:rPr>
          <w:rFonts w:ascii="標楷體" w:eastAsia="標楷體" w:hAnsi="標楷體" w:cs="Calibri" w:hint="eastAsia"/>
          <w:kern w:val="0"/>
          <w:szCs w:val="24"/>
        </w:rPr>
        <w:t>屬交易簿之工具可以只包含單一金融工具、外匯或商品工具，並且在出售或完全</w:t>
      </w:r>
      <w:proofErr w:type="gramStart"/>
      <w:r w:rsidRPr="00334440">
        <w:rPr>
          <w:rFonts w:ascii="標楷體" w:eastAsia="標楷體" w:hAnsi="標楷體" w:cs="Calibri" w:hint="eastAsia"/>
          <w:kern w:val="0"/>
          <w:szCs w:val="24"/>
        </w:rPr>
        <w:t>避險時不</w:t>
      </w:r>
      <w:proofErr w:type="gramEnd"/>
      <w:r w:rsidRPr="00334440">
        <w:rPr>
          <w:rFonts w:ascii="標楷體" w:eastAsia="標楷體" w:hAnsi="標楷體" w:cs="Calibri" w:hint="eastAsia"/>
          <w:kern w:val="0"/>
          <w:szCs w:val="24"/>
        </w:rPr>
        <w:t>受法律上之限制。</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eastAsia="標楷體" w:cstheme="minorHAnsi" w:hint="eastAsia"/>
        </w:rPr>
        <w:t>交易簿的認列標準</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w:t>
      </w:r>
      <w:r w:rsidR="00E366E5">
        <w:rPr>
          <w:rFonts w:ascii="標楷體" w:eastAsia="標楷體" w:hAnsi="標楷體" w:hint="eastAsia"/>
        </w:rPr>
        <w:t>依工具之</w:t>
      </w:r>
      <w:r>
        <w:rPr>
          <w:rFonts w:ascii="標楷體" w:eastAsia="標楷體" w:hAnsi="標楷體" w:hint="eastAsia"/>
        </w:rPr>
        <w:t>持有目的符合下列任</w:t>
      </w:r>
      <w:proofErr w:type="gramStart"/>
      <w:r>
        <w:rPr>
          <w:rFonts w:ascii="標楷體" w:eastAsia="標楷體" w:hAnsi="標楷體" w:hint="eastAsia"/>
        </w:rPr>
        <w:t>一</w:t>
      </w:r>
      <w:proofErr w:type="gramEnd"/>
      <w:r>
        <w:rPr>
          <w:rFonts w:ascii="標楷體" w:eastAsia="標楷體" w:hAnsi="標楷體" w:hint="eastAsia"/>
        </w:rPr>
        <w:t>者</w:t>
      </w:r>
      <w:r w:rsidRPr="00D22EA4">
        <w:rPr>
          <w:rFonts w:ascii="標楷體" w:eastAsia="標楷體" w:hAnsi="標楷體"/>
        </w:rPr>
        <w:t>，應認列為交易</w:t>
      </w:r>
      <w:proofErr w:type="gramStart"/>
      <w:r w:rsidRPr="00D22EA4">
        <w:rPr>
          <w:rFonts w:ascii="標楷體" w:eastAsia="標楷體" w:hAnsi="標楷體"/>
        </w:rPr>
        <w:t>簿</w:t>
      </w:r>
      <w:proofErr w:type="gramEnd"/>
      <w:r w:rsidRPr="00D22EA4">
        <w:rPr>
          <w:rFonts w:ascii="標楷體" w:eastAsia="標楷體" w:hAnsi="標楷體"/>
        </w:rPr>
        <w:t>工具</w:t>
      </w:r>
      <w:r w:rsidRPr="00D22EA4">
        <w:rPr>
          <w:rFonts w:ascii="標楷體" w:eastAsia="標楷體" w:hAnsi="標楷體" w:hint="eastAsia"/>
        </w:rPr>
        <w:t>，但不</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以下列</w:t>
      </w:r>
      <w:r w:rsidRPr="00D22EA4">
        <w:rPr>
          <w:rFonts w:ascii="標楷體" w:eastAsia="標楷體" w:hAnsi="標楷體" w:hint="eastAsia"/>
        </w:rPr>
        <w:t>認列標準為限</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短期持有以供出售</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從</w:t>
      </w:r>
      <w:r w:rsidRPr="00D22EA4">
        <w:rPr>
          <w:rFonts w:ascii="標楷體" w:eastAsia="標楷體" w:hAnsi="標楷體"/>
        </w:rPr>
        <w:t>短期價格波動中獲取利潤。</w:t>
      </w:r>
    </w:p>
    <w:p w:rsidR="00714BE7" w:rsidRDefault="00714BE7" w:rsidP="009F0ECC">
      <w:pPr>
        <w:pStyle w:val="a3"/>
        <w:numPr>
          <w:ilvl w:val="2"/>
          <w:numId w:val="19"/>
        </w:numPr>
        <w:ind w:leftChars="0"/>
        <w:outlineLvl w:val="0"/>
        <w:rPr>
          <w:rFonts w:ascii="標楷體" w:eastAsia="標楷體" w:hAnsi="標楷體"/>
        </w:rPr>
      </w:pPr>
      <w:proofErr w:type="gramStart"/>
      <w:r>
        <w:rPr>
          <w:rFonts w:ascii="標楷體" w:eastAsia="標楷體" w:hAnsi="標楷體" w:hint="eastAsia"/>
        </w:rPr>
        <w:t>鎖住套利</w:t>
      </w:r>
      <w:proofErr w:type="gramEnd"/>
      <w:r>
        <w:rPr>
          <w:rFonts w:ascii="標楷體" w:eastAsia="標楷體" w:hAnsi="標楷體" w:hint="eastAsia"/>
        </w:rPr>
        <w:t>利潤</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sidRPr="00D22EA4">
        <w:rPr>
          <w:rFonts w:ascii="標楷體" w:eastAsia="標楷體" w:hAnsi="標楷體"/>
        </w:rPr>
        <w:t>符合上述</w:t>
      </w:r>
      <w:r>
        <w:rPr>
          <w:rFonts w:ascii="標楷體" w:eastAsia="標楷體" w:hAnsi="標楷體" w:hint="eastAsia"/>
        </w:rPr>
        <w:t>a</w:t>
      </w:r>
      <w:r w:rsidRPr="00D22EA4">
        <w:rPr>
          <w:rFonts w:ascii="標楷體" w:eastAsia="標楷體" w:hAnsi="標楷體"/>
        </w:rPr>
        <w:t>、</w:t>
      </w:r>
      <w:r>
        <w:rPr>
          <w:rFonts w:ascii="標楷體" w:eastAsia="標楷體" w:hAnsi="標楷體"/>
        </w:rPr>
        <w:t>b</w:t>
      </w:r>
      <w:r w:rsidRPr="00D22EA4">
        <w:rPr>
          <w:rFonts w:ascii="標楷體" w:eastAsia="標楷體" w:hAnsi="標楷體"/>
        </w:rPr>
        <w:t>或</w:t>
      </w:r>
      <w:r>
        <w:rPr>
          <w:rFonts w:ascii="標楷體" w:eastAsia="標楷體" w:hAnsi="標楷體"/>
        </w:rPr>
        <w:t>c</w:t>
      </w:r>
      <w:r w:rsidRPr="00D22EA4">
        <w:rPr>
          <w:rFonts w:ascii="標楷體" w:eastAsia="標楷體" w:hAnsi="標楷體"/>
        </w:rPr>
        <w:t>範疇工具的避險。</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將被視為至少符合一項上述所列之持有目的，因此</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w:t>
      </w:r>
      <w:r w:rsidRPr="00426B93">
        <w:rPr>
          <w:rFonts w:ascii="標楷體" w:eastAsia="標楷體" w:hAnsi="標楷體"/>
        </w:rPr>
        <w:t>須列入</w:t>
      </w:r>
      <w:r>
        <w:rPr>
          <w:rFonts w:ascii="標楷體" w:eastAsia="標楷體" w:hAnsi="標楷體" w:hint="eastAsia"/>
        </w:rPr>
        <w:t>交易簿</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具相關性交易組合之工具</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銀行</w:t>
      </w:r>
      <w:proofErr w:type="gramStart"/>
      <w:r>
        <w:rPr>
          <w:rFonts w:ascii="標楷體" w:eastAsia="標楷體" w:hAnsi="標楷體" w:hint="eastAsia"/>
        </w:rPr>
        <w:t>簿</w:t>
      </w:r>
      <w:proofErr w:type="gramEnd"/>
      <w:r>
        <w:rPr>
          <w:rFonts w:ascii="標楷體" w:eastAsia="標楷體" w:hAnsi="標楷體" w:hint="eastAsia"/>
        </w:rPr>
        <w:t>信用或權益</w:t>
      </w:r>
      <w:proofErr w:type="gramStart"/>
      <w:r>
        <w:rPr>
          <w:rFonts w:ascii="標楷體" w:eastAsia="標楷體" w:hAnsi="標楷體" w:hint="eastAsia"/>
        </w:rPr>
        <w:t>證券淨短部位</w:t>
      </w:r>
      <w:proofErr w:type="gramEnd"/>
      <w:r>
        <w:rPr>
          <w:rFonts w:ascii="標楷體" w:eastAsia="標楷體" w:hAnsi="標楷體" w:hint="eastAsia"/>
        </w:rPr>
        <w:t>所引起的工具</w:t>
      </w:r>
      <w:r w:rsidRPr="00D22EA4">
        <w:rPr>
          <w:rFonts w:ascii="標楷體" w:eastAsia="標楷體" w:hAnsi="標楷體"/>
        </w:rPr>
        <w:t>。</w:t>
      </w:r>
    </w:p>
    <w:p w:rsidR="00714BE7" w:rsidRPr="00BD1FA2" w:rsidRDefault="00714BE7" w:rsidP="009F0ECC">
      <w:pPr>
        <w:pStyle w:val="a3"/>
        <w:numPr>
          <w:ilvl w:val="2"/>
          <w:numId w:val="19"/>
        </w:numPr>
        <w:ind w:leftChars="0"/>
        <w:outlineLvl w:val="0"/>
        <w:rPr>
          <w:rFonts w:ascii="標楷體" w:eastAsia="標楷體" w:hAnsi="標楷體"/>
        </w:rPr>
      </w:pPr>
      <w:r w:rsidRPr="0075383B">
        <w:rPr>
          <w:rFonts w:ascii="標楷體" w:eastAsia="標楷體" w:hAnsi="標楷體" w:hint="eastAsia"/>
        </w:rPr>
        <w:t>本行從事台外幣債券初級市場承銷業務之包銷債券標的及簽訂財務顧問合約輔導銷售之債券標的，於債券發行日尚未全數銷售完畢之剩餘待銷售部位。</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一般推定為至少符合一項上述所列之持有目的，因</w:t>
      </w:r>
      <w:r>
        <w:rPr>
          <w:rFonts w:ascii="標楷體" w:eastAsia="標楷體" w:hAnsi="標楷體" w:hint="eastAsia"/>
        </w:rPr>
        <w:t xml:space="preserve"> </w:t>
      </w:r>
    </w:p>
    <w:p w:rsidR="00714BE7" w:rsidRDefault="001347EE" w:rsidP="00714BE7">
      <w:pPr>
        <w:pStyle w:val="a3"/>
        <w:ind w:leftChars="0" w:left="1265"/>
        <w:outlineLvl w:val="0"/>
        <w:rPr>
          <w:rFonts w:ascii="標楷體" w:eastAsia="標楷體" w:hAnsi="標楷體"/>
        </w:rPr>
      </w:pPr>
      <w:r>
        <w:rPr>
          <w:rFonts w:ascii="標楷體" w:eastAsia="標楷體" w:hAnsi="標楷體" w:hint="eastAsia"/>
        </w:rPr>
        <w:t xml:space="preserve"> </w:t>
      </w:r>
      <w:r w:rsidR="00714BE7" w:rsidRPr="00426B93">
        <w:rPr>
          <w:rFonts w:ascii="標楷體" w:eastAsia="標楷體" w:hAnsi="標楷體"/>
        </w:rPr>
        <w:t>此須</w:t>
      </w:r>
      <w:r w:rsidR="00714BE7">
        <w:rPr>
          <w:rFonts w:ascii="標楷體" w:eastAsia="標楷體" w:hAnsi="標楷體" w:hint="eastAsia"/>
        </w:rPr>
        <w:t>列入交易簿</w:t>
      </w:r>
      <w:r w:rsidR="00714BE7" w:rsidRPr="0075383B">
        <w:rPr>
          <w:rFonts w:ascii="標楷體" w:eastAsia="標楷體" w:hAnsi="標楷體" w:hint="eastAsia"/>
        </w:rPr>
        <w:t>。</w:t>
      </w:r>
    </w:p>
    <w:p w:rsidR="00714BE7"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會計帳上屬交易性資產或負債科目之工具。</w:t>
      </w:r>
      <w:r>
        <w:rPr>
          <w:rFonts w:ascii="標楷體" w:eastAsia="標楷體" w:hAnsi="標楷體" w:hint="eastAsia"/>
        </w:rPr>
        <w:t xml:space="preserve"> </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自造市活動產生的工具。</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非歸屬於銀行</w:t>
      </w:r>
      <w:proofErr w:type="gramStart"/>
      <w:r w:rsidRPr="00426B93">
        <w:rPr>
          <w:rFonts w:ascii="標楷體" w:eastAsia="標楷體" w:hAnsi="標楷體"/>
        </w:rPr>
        <w:t>簿</w:t>
      </w:r>
      <w:proofErr w:type="gramEnd"/>
      <w:r w:rsidRPr="00426B93">
        <w:rPr>
          <w:rFonts w:ascii="標楷體" w:eastAsia="標楷體" w:hAnsi="標楷體"/>
        </w:rPr>
        <w:t>規範的基金股權投資。</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帳列透過損益按公允價值衡量(FVTPL)之上市櫃權益證券。</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lastRenderedPageBreak/>
        <w:t>交易相關之附買回型交易。</w:t>
      </w:r>
    </w:p>
    <w:p w:rsidR="00714BE7" w:rsidRPr="00E12CDF" w:rsidRDefault="00714BE7" w:rsidP="009F0ECC">
      <w:pPr>
        <w:pStyle w:val="a3"/>
        <w:widowControl w:val="0"/>
        <w:numPr>
          <w:ilvl w:val="2"/>
          <w:numId w:val="19"/>
        </w:numPr>
        <w:spacing w:beforeLines="50" w:before="180"/>
        <w:ind w:leftChars="0"/>
        <w:jc w:val="both"/>
        <w:outlineLvl w:val="0"/>
        <w:rPr>
          <w:rFonts w:ascii="標楷體" w:eastAsia="標楷體" w:hAnsi="標楷體"/>
        </w:rPr>
      </w:pPr>
      <w:r w:rsidRPr="00E12CDF">
        <w:rPr>
          <w:rFonts w:ascii="標楷體" w:eastAsia="標楷體" w:hAnsi="標楷體"/>
        </w:rPr>
        <w:t>源於銀行</w:t>
      </w:r>
      <w:proofErr w:type="gramStart"/>
      <w:r w:rsidRPr="00E12CDF">
        <w:rPr>
          <w:rFonts w:ascii="標楷體" w:eastAsia="標楷體" w:hAnsi="標楷體"/>
        </w:rPr>
        <w:t>簿</w:t>
      </w:r>
      <w:proofErr w:type="gramEnd"/>
      <w:r w:rsidRPr="00E12CDF">
        <w:rPr>
          <w:rFonts w:ascii="標楷體" w:eastAsia="標楷體" w:hAnsi="標楷體"/>
        </w:rPr>
        <w:t>信用或權益證券風險相關所發行的選擇權，包括嵌入式衍生性</w:t>
      </w:r>
      <w:r w:rsidRPr="00E12CDF">
        <w:rPr>
          <w:rFonts w:ascii="標楷體" w:eastAsia="標楷體" w:hAnsi="標楷體" w:hint="eastAsia"/>
          <w:lang w:eastAsia="zh-HK"/>
        </w:rPr>
        <w:t>工具</w:t>
      </w:r>
      <w:r w:rsidRPr="00E12CDF">
        <w:rPr>
          <w:rFonts w:ascii="標楷體" w:eastAsia="標楷體" w:hAnsi="標楷體"/>
        </w:rPr>
        <w:t>。</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下列上市櫃權益證券可被排除於</w:t>
      </w:r>
      <w:proofErr w:type="gramStart"/>
      <w:r>
        <w:rPr>
          <w:rFonts w:ascii="標楷體" w:eastAsia="標楷體" w:hAnsi="標楷體" w:hint="eastAsia"/>
        </w:rPr>
        <w:t>交易簿外</w:t>
      </w:r>
      <w:proofErr w:type="gramEnd"/>
      <w:r>
        <w:rPr>
          <w:rFonts w:ascii="標楷體" w:eastAsia="標楷體" w:hAnsi="標楷體" w:hint="eastAsia"/>
        </w:rPr>
        <w:t>：</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於遞延補償計畫產生之權益證券部位、</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可轉換負債有價證券、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利息以股權酬金(equity kickers)形式支付的放款產品、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以先前之負債合約產生的權益證券、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本行擁有的人壽保險產品，</w:t>
      </w:r>
    </w:p>
    <w:p w:rsidR="00714BE7" w:rsidRPr="008324D2" w:rsidRDefault="00714BE7" w:rsidP="009F0ECC">
      <w:pPr>
        <w:pStyle w:val="a3"/>
        <w:numPr>
          <w:ilvl w:val="2"/>
          <w:numId w:val="19"/>
        </w:numPr>
        <w:spacing w:beforeLines="50" w:before="180"/>
        <w:ind w:leftChars="0"/>
        <w:jc w:val="both"/>
        <w:rPr>
          <w:rFonts w:ascii="標楷體" w:eastAsia="標楷體" w:hAnsi="標楷體"/>
        </w:rPr>
      </w:pPr>
      <w:r w:rsidRPr="008324D2">
        <w:rPr>
          <w:rFonts w:ascii="標楷體" w:eastAsia="標楷體" w:hAnsi="標楷體" w:hint="eastAsia"/>
        </w:rPr>
        <w:t xml:space="preserve">法定排除項目(legislated </w:t>
      </w:r>
      <w:proofErr w:type="spellStart"/>
      <w:r w:rsidRPr="008324D2">
        <w:rPr>
          <w:rFonts w:ascii="標楷體" w:eastAsia="標楷體" w:hAnsi="標楷體" w:hint="eastAsia"/>
        </w:rPr>
        <w:t>programmes</w:t>
      </w:r>
      <w:proofErr w:type="spellEnd"/>
      <w:r w:rsidRPr="008324D2">
        <w:rPr>
          <w:rFonts w:ascii="標楷體" w:eastAsia="標楷體" w:hAnsi="標楷體" w:hint="eastAsia"/>
        </w:rPr>
        <w:t>)。</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ascii="標楷體" w:eastAsia="標楷體" w:hAnsi="標楷體" w:hint="eastAsia"/>
        </w:rPr>
        <w:t xml:space="preserve"> </w:t>
      </w:r>
      <w:r w:rsidRPr="00334440">
        <w:rPr>
          <w:rFonts w:ascii="標楷體" w:eastAsia="標楷體" w:hAnsi="標楷體"/>
        </w:rPr>
        <w:t>交易簿的</w:t>
      </w:r>
      <w:r w:rsidRPr="00334440">
        <w:rPr>
          <w:rFonts w:ascii="標楷體" w:eastAsia="標楷體" w:hAnsi="標楷體" w:hint="eastAsia"/>
        </w:rPr>
        <w:t>相關規定</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若本行認為工具可排除</w:t>
      </w:r>
      <w:proofErr w:type="gramStart"/>
      <w:r w:rsidR="00714BE7" w:rsidRPr="00334440">
        <w:rPr>
          <w:rFonts w:eastAsia="標楷體" w:cstheme="minorHAnsi" w:hint="eastAsia"/>
        </w:rPr>
        <w:t>交易簿認列</w:t>
      </w:r>
      <w:proofErr w:type="gramEnd"/>
      <w:r w:rsidR="00714BE7" w:rsidRPr="00334440">
        <w:rPr>
          <w:rFonts w:eastAsia="標楷體" w:cstheme="minorHAnsi" w:hint="eastAsia"/>
        </w:rPr>
        <w:t>標準</w:t>
      </w:r>
      <w:r w:rsidRPr="00334440">
        <w:rPr>
          <w:rFonts w:eastAsia="標楷體" w:cstheme="minorHAnsi" w:hint="eastAsia"/>
        </w:rPr>
        <w:t>(</w:t>
      </w:r>
      <w:r w:rsidRPr="00900272">
        <w:rPr>
          <w:rFonts w:eastAsia="標楷體" w:cstheme="minorHAnsi" w:hint="eastAsia"/>
          <w:color w:val="FF0000"/>
        </w:rPr>
        <w:t>第三條第</w:t>
      </w:r>
      <w:r w:rsidRPr="00900272">
        <w:rPr>
          <w:rFonts w:eastAsia="標楷體" w:cstheme="minorHAnsi" w:hint="eastAsia"/>
          <w:color w:val="FF0000"/>
        </w:rPr>
        <w:t>2</w:t>
      </w:r>
      <w:r w:rsidRPr="00900272">
        <w:rPr>
          <w:rFonts w:eastAsia="標楷體" w:cstheme="minorHAnsi" w:hint="eastAsia"/>
          <w:color w:val="FF0000"/>
        </w:rPr>
        <w:t>項</w:t>
      </w:r>
      <w:r w:rsidRPr="00900272">
        <w:rPr>
          <w:rFonts w:eastAsia="標楷體" w:cstheme="minorHAnsi"/>
          <w:color w:val="FF0000"/>
        </w:rPr>
        <w:t>3</w:t>
      </w:r>
      <w:r w:rsidRPr="00900272">
        <w:rPr>
          <w:rFonts w:ascii="標楷體" w:eastAsia="標楷體" w:hAnsi="標楷體" w:cstheme="minorHAnsi" w:hint="eastAsia"/>
          <w:color w:val="FF0000"/>
        </w:rPr>
        <w:t>、</w:t>
      </w:r>
      <w:r w:rsidRPr="00900272">
        <w:rPr>
          <w:rFonts w:eastAsia="標楷體" w:cstheme="minorHAnsi"/>
          <w:color w:val="FF0000"/>
        </w:rPr>
        <w:t>4</w:t>
      </w:r>
      <w:r w:rsidRPr="00900272">
        <w:rPr>
          <w:rFonts w:eastAsia="標楷體" w:cstheme="minorHAnsi" w:hint="eastAsia"/>
          <w:color w:val="FF0000"/>
        </w:rPr>
        <w:t>款</w:t>
      </w:r>
      <w:r w:rsidRPr="00334440">
        <w:rPr>
          <w:rFonts w:eastAsia="標楷體" w:cstheme="minorHAnsi" w:hint="eastAsia"/>
        </w:rPr>
        <w:t>)</w:t>
      </w:r>
      <w:r w:rsidR="00714BE7" w:rsidRPr="00334440">
        <w:rPr>
          <w:rFonts w:eastAsia="標楷體" w:cstheme="minorHAnsi" w:hint="eastAsia"/>
        </w:rPr>
        <w:t>之規範，則</w:t>
      </w:r>
      <w:r w:rsidRPr="00334440">
        <w:rPr>
          <w:rFonts w:eastAsia="標楷體" w:cstheme="minorHAnsi" w:hint="eastAsia"/>
        </w:rPr>
        <w:t xml:space="preserve"> </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必須</w:t>
      </w:r>
      <w:proofErr w:type="gramStart"/>
      <w:r w:rsidR="00714BE7" w:rsidRPr="00334440">
        <w:rPr>
          <w:rFonts w:eastAsia="標楷體" w:cstheme="minorHAnsi" w:hint="eastAsia"/>
        </w:rPr>
        <w:t>備妥該工具</w:t>
      </w:r>
      <w:proofErr w:type="gramEnd"/>
      <w:r w:rsidR="00714BE7" w:rsidRPr="00334440">
        <w:rPr>
          <w:rFonts w:eastAsia="標楷體" w:cstheme="minorHAnsi" w:hint="eastAsia"/>
        </w:rPr>
        <w:t>之相關證明文件向金管會提出申請並經核准後方可排</w:t>
      </w:r>
      <w:r w:rsidRPr="00334440">
        <w:rPr>
          <w:rFonts w:eastAsia="標楷體" w:cstheme="minorHAnsi" w:hint="eastAsia"/>
        </w:rPr>
        <w:t xml:space="preserve"> </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除。若向金管會提出申請但未經核准之工具仍須認列交易簿。且本行必</w:t>
      </w:r>
    </w:p>
    <w:p w:rsidR="000E6253" w:rsidRPr="00334440" w:rsidRDefault="000E6253" w:rsidP="00714BE7">
      <w:pPr>
        <w:autoSpaceDE w:val="0"/>
        <w:autoSpaceDN w:val="0"/>
        <w:spacing w:before="40" w:after="40"/>
        <w:ind w:left="785"/>
        <w:jc w:val="both"/>
        <w:rPr>
          <w:rFonts w:ascii="標楷體" w:eastAsia="標楷體" w:hAnsi="標楷體"/>
        </w:rPr>
      </w:pPr>
      <w:r w:rsidRPr="00334440">
        <w:rPr>
          <w:rFonts w:eastAsia="標楷體" w:cstheme="minorHAnsi" w:hint="eastAsia"/>
        </w:rPr>
        <w:t xml:space="preserve"> </w:t>
      </w:r>
      <w:r w:rsidR="00714BE7" w:rsidRPr="00334440">
        <w:rPr>
          <w:rFonts w:eastAsia="標楷體" w:cstheme="minorHAnsi" w:hint="eastAsia"/>
        </w:rPr>
        <w:t>須持續地詳實紀錄任何排除情況的明細清單。</w:t>
      </w:r>
    </w:p>
    <w:p w:rsidR="007917B7" w:rsidRPr="00714BE7" w:rsidRDefault="007917B7" w:rsidP="007917B7">
      <w:pPr>
        <w:spacing w:beforeLines="50" w:before="180"/>
        <w:jc w:val="both"/>
        <w:rPr>
          <w:rFonts w:ascii="標楷體" w:eastAsia="標楷體" w:hAnsi="標楷體"/>
        </w:rPr>
      </w:pPr>
    </w:p>
    <w:p w:rsidR="00A924FE" w:rsidRPr="0043141A" w:rsidRDefault="00A924FE" w:rsidP="00A924FE">
      <w:pPr>
        <w:pStyle w:val="a3"/>
        <w:ind w:leftChars="0" w:left="425"/>
        <w:rPr>
          <w:rFonts w:ascii="標楷體" w:eastAsia="標楷體" w:hAnsi="標楷體"/>
        </w:rPr>
      </w:pPr>
    </w:p>
    <w:p w:rsidR="00A924FE" w:rsidRPr="0043141A" w:rsidRDefault="00A924FE" w:rsidP="009F0ECC">
      <w:pPr>
        <w:pStyle w:val="a3"/>
        <w:numPr>
          <w:ilvl w:val="0"/>
          <w:numId w:val="3"/>
        </w:numPr>
        <w:ind w:leftChars="0" w:hangingChars="177"/>
        <w:outlineLvl w:val="0"/>
        <w:rPr>
          <w:rFonts w:ascii="標楷體" w:eastAsia="標楷體" w:hAnsi="標楷體"/>
        </w:rPr>
      </w:pPr>
      <w:bookmarkStart w:id="2" w:name="_Toc111194930"/>
      <w:r w:rsidRPr="0043141A">
        <w:rPr>
          <w:rFonts w:ascii="標楷體" w:eastAsia="標楷體" w:hAnsi="標楷體"/>
        </w:rPr>
        <w:t>銀行簿的</w:t>
      </w:r>
      <w:r w:rsidR="004E56B0" w:rsidRPr="0043141A">
        <w:rPr>
          <w:rFonts w:ascii="標楷體" w:eastAsia="標楷體" w:hAnsi="標楷體" w:hint="eastAsia"/>
          <w:lang w:eastAsia="zh-HK"/>
        </w:rPr>
        <w:t>認定</w:t>
      </w:r>
      <w:r w:rsidR="004E56B0" w:rsidRPr="0043141A">
        <w:rPr>
          <w:rFonts w:ascii="標楷體" w:eastAsia="標楷體" w:hAnsi="標楷體"/>
        </w:rPr>
        <w:t>及</w:t>
      </w:r>
      <w:r w:rsidR="004E56B0" w:rsidRPr="0043141A">
        <w:rPr>
          <w:rFonts w:ascii="標楷體" w:eastAsia="標楷體" w:hAnsi="標楷體" w:hint="eastAsia"/>
          <w:lang w:eastAsia="zh-HK"/>
        </w:rPr>
        <w:t>相關規定</w:t>
      </w:r>
      <w:bookmarkEnd w:id="2"/>
    </w:p>
    <w:p w:rsidR="006D79BF" w:rsidRDefault="00413CEC"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銀行簿的範圍</w:t>
      </w:r>
    </w:p>
    <w:p w:rsidR="006D79BF" w:rsidRPr="00334440" w:rsidRDefault="006D79BF" w:rsidP="006D79BF">
      <w:pPr>
        <w:spacing w:beforeLines="50" w:before="180"/>
        <w:jc w:val="both"/>
        <w:rPr>
          <w:rFonts w:eastAsia="標楷體" w:cstheme="minorHAnsi"/>
        </w:rPr>
      </w:pPr>
      <w:r>
        <w:rPr>
          <w:rFonts w:ascii="標楷體" w:eastAsia="標楷體" w:hAnsi="標楷體" w:hint="eastAsia"/>
        </w:rPr>
        <w:t xml:space="preserve">        </w:t>
      </w:r>
      <w:r w:rsidR="00CA542D" w:rsidRPr="00334440">
        <w:rPr>
          <w:rFonts w:ascii="標楷體" w:eastAsia="標楷體" w:hAnsi="標楷體"/>
        </w:rPr>
        <w:t>任何非屬交易簿之工具，皆</w:t>
      </w:r>
      <w:r w:rsidR="004A3775" w:rsidRPr="00334440">
        <w:rPr>
          <w:rFonts w:ascii="標楷體" w:eastAsia="標楷體" w:hAnsi="標楷體"/>
        </w:rPr>
        <w:t>認列為銀行簿</w:t>
      </w:r>
      <w:r w:rsidR="00946BF5" w:rsidRPr="00334440">
        <w:rPr>
          <w:rFonts w:ascii="標楷體" w:eastAsia="標楷體" w:hAnsi="標楷體" w:hint="eastAsia"/>
        </w:rPr>
        <w:t>，</w:t>
      </w:r>
      <w:r w:rsidR="00A63932" w:rsidRPr="00334440">
        <w:rPr>
          <w:rFonts w:eastAsia="標楷體" w:cstheme="minorHAnsi" w:hint="eastAsia"/>
        </w:rPr>
        <w:t>依巴賽爾資本協定</w:t>
      </w:r>
      <w:r w:rsidR="00A63932" w:rsidRPr="00334440">
        <w:rPr>
          <w:rFonts w:eastAsia="標楷體" w:cstheme="minorHAnsi"/>
        </w:rPr>
        <w:t>信用風險</w:t>
      </w:r>
      <w:r w:rsidRPr="00334440">
        <w:rPr>
          <w:rFonts w:eastAsia="標楷體" w:cstheme="minorHAnsi" w:hint="eastAsia"/>
        </w:rPr>
        <w:t xml:space="preserve">                            </w:t>
      </w:r>
    </w:p>
    <w:p w:rsidR="00413CEC" w:rsidRPr="00334440" w:rsidRDefault="006D79BF" w:rsidP="006D79BF">
      <w:pPr>
        <w:spacing w:beforeLines="50" w:before="180"/>
        <w:jc w:val="both"/>
        <w:rPr>
          <w:rFonts w:eastAsia="標楷體" w:cstheme="minorHAnsi"/>
        </w:rPr>
      </w:pPr>
      <w:r w:rsidRPr="00334440">
        <w:rPr>
          <w:rFonts w:eastAsia="標楷體" w:cstheme="minorHAnsi" w:hint="eastAsia"/>
        </w:rPr>
        <w:t xml:space="preserve">        </w:t>
      </w:r>
      <w:r w:rsidR="00A63932" w:rsidRPr="00334440">
        <w:rPr>
          <w:rFonts w:eastAsia="標楷體" w:cstheme="minorHAnsi"/>
        </w:rPr>
        <w:t>資本要求規範</w:t>
      </w:r>
      <w:r w:rsidRPr="00334440">
        <w:rPr>
          <w:rFonts w:ascii="標楷體" w:eastAsia="標楷體" w:hAnsi="標楷體" w:hint="eastAsia"/>
        </w:rPr>
        <w:t>。</w:t>
      </w:r>
    </w:p>
    <w:p w:rsidR="004E56B0" w:rsidRPr="0043141A" w:rsidRDefault="004E56B0"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w:t>
      </w:r>
      <w:r w:rsidRPr="0043141A">
        <w:rPr>
          <w:rFonts w:ascii="標楷體" w:eastAsia="標楷體" w:hAnsi="標楷體" w:hint="eastAsia"/>
          <w:lang w:eastAsia="zh-HK"/>
        </w:rPr>
        <w:t>的</w:t>
      </w:r>
      <w:r w:rsidRPr="0043141A">
        <w:rPr>
          <w:rFonts w:ascii="標楷體" w:eastAsia="標楷體" w:hAnsi="標楷體"/>
        </w:rPr>
        <w:t>認列標準</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proofErr w:type="gramStart"/>
      <w:r w:rsidRPr="0043141A">
        <w:rPr>
          <w:rFonts w:ascii="標楷體" w:eastAsia="標楷體" w:hAnsi="標楷體"/>
        </w:rPr>
        <w:t>非屬帳列</w:t>
      </w:r>
      <w:proofErr w:type="gramEnd"/>
      <w:r w:rsidRPr="0043141A">
        <w:rPr>
          <w:rFonts w:ascii="標楷體" w:eastAsia="標楷體" w:hAnsi="標楷體"/>
        </w:rPr>
        <w:t>透過損益按公允價值衡量(FVTPL)之上市櫃權益證券。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未上市櫃權益證券。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認定為</w:t>
      </w:r>
      <w:r w:rsidRPr="0070278E">
        <w:rPr>
          <w:rFonts w:ascii="標楷體" w:eastAsia="標楷體" w:hAnsi="標楷體"/>
          <w:color w:val="FF0000"/>
        </w:rPr>
        <w:t>證券化零售資產</w:t>
      </w:r>
      <w:r w:rsidRPr="0043141A">
        <w:rPr>
          <w:rFonts w:ascii="標楷體" w:eastAsia="標楷體" w:hAnsi="標楷體"/>
        </w:rPr>
        <w:t>之工具。</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直接持有之不動產及以不動產為基礎之衍生性商品。</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零售及中小企業信用。</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基金股權投資，惟符合下列至少一項條件時，可排除於銀行簿之範圍：</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lastRenderedPageBreak/>
        <w:t>a. 可拆解基金之個別組成，提供的基金組成有充足且頻繁的訊息，並經獨立第三方驗證；或</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b. 可獲得基金的每日報價，並且可以獲得基金授權或法令規定管理此類投資基金的訊息。</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避險基金。</w:t>
      </w:r>
    </w:p>
    <w:p w:rsidR="00A924FE"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以上述工具類型為標的資產的衍生性工具及基金。</w:t>
      </w:r>
    </w:p>
    <w:p w:rsidR="00F4309B" w:rsidRDefault="00F4309B" w:rsidP="009F0ECC">
      <w:pPr>
        <w:pStyle w:val="a3"/>
        <w:widowControl w:val="0"/>
        <w:numPr>
          <w:ilvl w:val="0"/>
          <w:numId w:val="1"/>
        </w:numPr>
        <w:spacing w:beforeLines="50" w:before="180"/>
        <w:ind w:leftChars="0" w:left="1446" w:hanging="482"/>
        <w:jc w:val="both"/>
        <w:rPr>
          <w:rFonts w:ascii="標楷體" w:eastAsia="標楷體" w:hAnsi="標楷體"/>
        </w:rPr>
      </w:pPr>
      <w:r w:rsidRPr="007B6419">
        <w:rPr>
          <w:rFonts w:ascii="標楷體" w:eastAsia="標楷體" w:hAnsi="標楷體"/>
        </w:rPr>
        <w:t>為規避上述工具類型特定風險部位所持有之工具。</w:t>
      </w:r>
    </w:p>
    <w:p w:rsidR="006D79BF" w:rsidRPr="0043141A" w:rsidRDefault="006D79BF" w:rsidP="006D79BF">
      <w:pPr>
        <w:pStyle w:val="a3"/>
        <w:widowControl w:val="0"/>
        <w:spacing w:beforeLines="50" w:before="180"/>
        <w:ind w:leftChars="0" w:left="1446"/>
        <w:jc w:val="both"/>
        <w:rPr>
          <w:rFonts w:ascii="標楷體" w:eastAsia="標楷體" w:hAnsi="標楷體"/>
        </w:rPr>
      </w:pPr>
    </w:p>
    <w:p w:rsidR="00E445CF" w:rsidRPr="00576B0B" w:rsidRDefault="00B93188" w:rsidP="009F0ECC">
      <w:pPr>
        <w:pStyle w:val="a3"/>
        <w:numPr>
          <w:ilvl w:val="0"/>
          <w:numId w:val="3"/>
        </w:numPr>
        <w:ind w:leftChars="0" w:hangingChars="177"/>
        <w:outlineLvl w:val="0"/>
        <w:rPr>
          <w:rFonts w:ascii="標楷體" w:eastAsia="標楷體" w:hAnsi="標楷體"/>
        </w:rPr>
      </w:pPr>
      <w:bookmarkStart w:id="3" w:name="_Toc111194931"/>
      <w:proofErr w:type="gramStart"/>
      <w:r w:rsidRPr="00576B0B">
        <w:rPr>
          <w:rFonts w:ascii="標楷體" w:eastAsia="標楷體" w:hAnsi="標楷體"/>
        </w:rPr>
        <w:t>簿別間</w:t>
      </w:r>
      <w:proofErr w:type="gramEnd"/>
      <w:r w:rsidRPr="00576B0B">
        <w:rPr>
          <w:rFonts w:ascii="標楷體" w:eastAsia="標楷體" w:hAnsi="標楷體"/>
        </w:rPr>
        <w:t>重新認列</w:t>
      </w:r>
      <w:r w:rsidR="006E1C32" w:rsidRPr="00576B0B">
        <w:rPr>
          <w:rFonts w:ascii="標楷體" w:eastAsia="標楷體" w:hAnsi="標楷體" w:hint="eastAsia"/>
          <w:lang w:eastAsia="zh-HK"/>
        </w:rPr>
        <w:t>相關規定</w:t>
      </w:r>
      <w:bookmarkEnd w:id="3"/>
    </w:p>
    <w:p w:rsidR="00826945" w:rsidRPr="00107EFD" w:rsidRDefault="00C13749" w:rsidP="00CE3335">
      <w:pPr>
        <w:pStyle w:val="a3"/>
        <w:widowControl w:val="0"/>
        <w:numPr>
          <w:ilvl w:val="0"/>
          <w:numId w:val="4"/>
        </w:numPr>
        <w:spacing w:beforeLines="50" w:before="180"/>
        <w:ind w:leftChars="0" w:left="964" w:hanging="482"/>
        <w:jc w:val="both"/>
        <w:rPr>
          <w:rFonts w:ascii="標楷體" w:eastAsia="標楷體" w:hAnsi="標楷體"/>
        </w:rPr>
      </w:pPr>
      <w:r>
        <w:rPr>
          <w:rFonts w:ascii="標楷體" w:eastAsia="標楷體" w:hAnsi="標楷體" w:hint="eastAsia"/>
        </w:rPr>
        <w:t>嚴格禁止因監理資本套利而移轉金融工具</w:t>
      </w:r>
      <w:r w:rsidRPr="00421EC4">
        <w:rPr>
          <w:rFonts w:ascii="標楷體" w:eastAsia="標楷體" w:hAnsi="標楷體" w:hint="eastAsia"/>
        </w:rPr>
        <w:t>。</w:t>
      </w:r>
      <w:r>
        <w:rPr>
          <w:rFonts w:ascii="標楷體" w:eastAsia="標楷體" w:hAnsi="標楷體" w:hint="eastAsia"/>
        </w:rPr>
        <w:t>若</w:t>
      </w:r>
      <w:r w:rsidR="004B3931">
        <w:rPr>
          <w:rFonts w:ascii="標楷體" w:eastAsia="標楷體" w:hAnsi="標楷體"/>
        </w:rPr>
        <w:t>工具</w:t>
      </w:r>
      <w:r w:rsidR="004B3931">
        <w:rPr>
          <w:rFonts w:ascii="標楷體" w:eastAsia="標楷體" w:hAnsi="標楷體" w:hint="eastAsia"/>
        </w:rPr>
        <w:t>是</w:t>
      </w:r>
      <w:r w:rsidR="00F75952">
        <w:rPr>
          <w:rFonts w:ascii="標楷體" w:eastAsia="標楷體" w:hAnsi="標楷體" w:hint="eastAsia"/>
        </w:rPr>
        <w:t>因</w:t>
      </w:r>
      <w:r w:rsidR="00826945" w:rsidRPr="00107EFD">
        <w:rPr>
          <w:rFonts w:ascii="標楷體" w:eastAsia="標楷體" w:hAnsi="標楷體"/>
        </w:rPr>
        <w:t>市場事件、</w:t>
      </w:r>
      <w:r w:rsidR="00826945" w:rsidRPr="00107EFD">
        <w:rPr>
          <w:rFonts w:ascii="標楷體" w:eastAsia="標楷體" w:hAnsi="標楷體" w:hint="eastAsia"/>
        </w:rPr>
        <w:t>金融</w:t>
      </w:r>
      <w:r w:rsidR="00826945" w:rsidRPr="00107EFD">
        <w:rPr>
          <w:rFonts w:ascii="標楷體" w:eastAsia="標楷體" w:hAnsi="標楷體"/>
        </w:rPr>
        <w:t>工具的流動性變化或交易目的改變等理由而進行交易簿與銀行簿間之移轉，並非是重新指定工具到</w:t>
      </w:r>
      <w:proofErr w:type="gramStart"/>
      <w:r w:rsidR="00826945" w:rsidRPr="00107EFD">
        <w:rPr>
          <w:rFonts w:ascii="標楷體" w:eastAsia="標楷體" w:hAnsi="標楷體"/>
        </w:rPr>
        <w:t>不同簿別</w:t>
      </w:r>
      <w:proofErr w:type="gramEnd"/>
      <w:r w:rsidR="00826945" w:rsidRPr="00107EFD">
        <w:rPr>
          <w:rFonts w:ascii="標楷體" w:eastAsia="標楷體" w:hAnsi="標楷體"/>
        </w:rPr>
        <w:t>。移轉部位</w:t>
      </w:r>
      <w:r w:rsidR="004B3931">
        <w:rPr>
          <w:rFonts w:ascii="標楷體" w:eastAsia="標楷體" w:hAnsi="標楷體" w:hint="eastAsia"/>
        </w:rPr>
        <w:t>應</w:t>
      </w:r>
      <w:r w:rsidR="00826945" w:rsidRPr="00107EFD">
        <w:rPr>
          <w:rFonts w:ascii="標楷體" w:eastAsia="標楷體" w:hAnsi="標楷體"/>
        </w:rPr>
        <w:t>嚴格遵守工具</w:t>
      </w:r>
      <w:proofErr w:type="gramStart"/>
      <w:r w:rsidR="00826945" w:rsidRPr="00107EFD">
        <w:rPr>
          <w:rFonts w:ascii="標楷體" w:eastAsia="標楷體" w:hAnsi="標楷體"/>
        </w:rPr>
        <w:t>簿別認</w:t>
      </w:r>
      <w:proofErr w:type="gramEnd"/>
      <w:r w:rsidR="00826945" w:rsidRPr="00107EFD">
        <w:rPr>
          <w:rFonts w:ascii="標楷體" w:eastAsia="標楷體" w:hAnsi="標楷體"/>
        </w:rPr>
        <w:t>列規定</w:t>
      </w:r>
      <w:r w:rsidR="00826945" w:rsidRPr="00107EFD">
        <w:rPr>
          <w:rFonts w:ascii="標楷體" w:eastAsia="標楷體" w:hAnsi="標楷體" w:hint="eastAsia"/>
          <w:lang w:eastAsia="zh-HK"/>
        </w:rPr>
        <w:t>，並</w:t>
      </w:r>
      <w:r w:rsidR="00826945" w:rsidRPr="00107EFD">
        <w:rPr>
          <w:rFonts w:ascii="標楷體" w:eastAsia="標楷體" w:hAnsi="標楷體"/>
        </w:rPr>
        <w:t>須計算</w:t>
      </w:r>
      <w:proofErr w:type="gramStart"/>
      <w:r w:rsidR="00826945" w:rsidRPr="00107EFD">
        <w:rPr>
          <w:rFonts w:ascii="標楷體" w:eastAsia="標楷體" w:hAnsi="標楷體"/>
        </w:rPr>
        <w:t>工具簿別移轉</w:t>
      </w:r>
      <w:proofErr w:type="gramEnd"/>
      <w:r w:rsidR="00826945" w:rsidRPr="00107EFD">
        <w:rPr>
          <w:rFonts w:ascii="標楷體" w:eastAsia="標楷體" w:hAnsi="標楷體"/>
        </w:rPr>
        <w:t>前及移轉當下其總資本要求(跨銀行簿和交易簿)，若該資本要求因移轉而減少，應依據</w:t>
      </w:r>
      <w:r w:rsidR="00826945" w:rsidRPr="00107EFD">
        <w:rPr>
          <w:rFonts w:ascii="標楷體" w:eastAsia="標楷體" w:hAnsi="標楷體" w:hint="eastAsia"/>
        </w:rPr>
        <w:t>金管</w:t>
      </w:r>
      <w:r w:rsidR="00826945" w:rsidRPr="00107EFD">
        <w:rPr>
          <w:rFonts w:ascii="標楷體" w:eastAsia="標楷體" w:hAnsi="標楷體"/>
        </w:rPr>
        <w:t>會同意之方式將移轉時計算的差額附註揭露於第一支柱資本要求，且該差額註記須持續至部位到</w:t>
      </w:r>
      <w:r w:rsidR="00576B0B" w:rsidRPr="00107EFD">
        <w:rPr>
          <w:rFonts w:ascii="標楷體" w:eastAsia="標楷體" w:hAnsi="標楷體" w:hint="eastAsia"/>
        </w:rPr>
        <w:t>期</w:t>
      </w:r>
      <w:r w:rsidR="00826945" w:rsidRPr="00107EFD">
        <w:rPr>
          <w:rFonts w:ascii="標楷體" w:eastAsia="標楷體" w:hAnsi="標楷體"/>
        </w:rPr>
        <w:t>。因該部位須持續遵循於移轉</w:t>
      </w:r>
      <w:proofErr w:type="gramStart"/>
      <w:r w:rsidR="00826945" w:rsidRPr="00107EFD">
        <w:rPr>
          <w:rFonts w:ascii="標楷體" w:eastAsia="標楷體" w:hAnsi="標楷體"/>
        </w:rPr>
        <w:t>後簿別</w:t>
      </w:r>
      <w:proofErr w:type="gramEnd"/>
      <w:r w:rsidR="00826945" w:rsidRPr="00107EFD">
        <w:rPr>
          <w:rFonts w:ascii="標楷體" w:eastAsia="標楷體" w:hAnsi="標楷體"/>
        </w:rPr>
        <w:t>的資本要求，該差額僅須</w:t>
      </w:r>
      <w:proofErr w:type="gramStart"/>
      <w:r w:rsidR="00826945" w:rsidRPr="00107EFD">
        <w:rPr>
          <w:rFonts w:ascii="標楷體" w:eastAsia="標楷體" w:hAnsi="標楷體"/>
        </w:rPr>
        <w:t>於簿別</w:t>
      </w:r>
      <w:proofErr w:type="gramEnd"/>
      <w:r w:rsidR="00826945" w:rsidRPr="00107EFD">
        <w:rPr>
          <w:rFonts w:ascii="標楷體" w:eastAsia="標楷體" w:hAnsi="標楷體"/>
        </w:rPr>
        <w:t>移轉時計算一次，無須持續計算。</w:t>
      </w:r>
    </w:p>
    <w:p w:rsidR="0082694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rPr>
      </w:pPr>
      <w:proofErr w:type="gramStart"/>
      <w:r w:rsidRPr="004E272E">
        <w:rPr>
          <w:rFonts w:ascii="標楷體" w:eastAsia="標楷體" w:hAnsi="標楷體" w:hint="eastAsia"/>
          <w:lang w:eastAsia="zh-HK"/>
        </w:rPr>
        <w:t>任何</w:t>
      </w:r>
      <w:r w:rsidR="00826945" w:rsidRPr="004E272E">
        <w:rPr>
          <w:rFonts w:ascii="標楷體" w:eastAsia="標楷體" w:hAnsi="標楷體"/>
        </w:rPr>
        <w:t>簿別間</w:t>
      </w:r>
      <w:proofErr w:type="gramEnd"/>
      <w:r w:rsidR="00826945" w:rsidRPr="004E272E">
        <w:rPr>
          <w:rFonts w:ascii="標楷體" w:eastAsia="標楷體" w:hAnsi="標楷體"/>
        </w:rPr>
        <w:t>重新認列</w:t>
      </w:r>
      <w:r w:rsidR="00826945" w:rsidRPr="004E272E">
        <w:rPr>
          <w:rFonts w:ascii="標楷體" w:eastAsia="標楷體" w:hAnsi="標楷體" w:hint="eastAsia"/>
          <w:lang w:eastAsia="zh-HK"/>
        </w:rPr>
        <w:t>，</w:t>
      </w:r>
      <w:proofErr w:type="gramStart"/>
      <w:r w:rsidR="00826945" w:rsidRPr="004E272E">
        <w:rPr>
          <w:rFonts w:ascii="標楷體" w:eastAsia="標楷體" w:hAnsi="標楷體" w:hint="eastAsia"/>
          <w:lang w:eastAsia="zh-HK"/>
        </w:rPr>
        <w:t>均應符合</w:t>
      </w:r>
      <w:proofErr w:type="gramEnd"/>
      <w:r w:rsidR="00826945" w:rsidRPr="004E272E">
        <w:rPr>
          <w:rFonts w:ascii="標楷體" w:eastAsia="標楷體" w:hAnsi="標楷體" w:hint="eastAsia"/>
          <w:lang w:eastAsia="zh-HK"/>
        </w:rPr>
        <w:t>下列要求</w:t>
      </w:r>
      <w:r w:rsidRPr="004E272E">
        <w:rPr>
          <w:rFonts w:ascii="標楷體" w:eastAsia="標楷體" w:hAnsi="標楷體" w:hint="eastAsia"/>
          <w:lang w:eastAsia="zh-HK"/>
        </w:rPr>
        <w:t>。</w:t>
      </w:r>
    </w:p>
    <w:p w:rsidR="00DA1BAB" w:rsidRDefault="004B3931" w:rsidP="009F0ECC">
      <w:pPr>
        <w:pStyle w:val="a3"/>
        <w:widowControl w:val="0"/>
        <w:numPr>
          <w:ilvl w:val="2"/>
          <w:numId w:val="8"/>
        </w:numPr>
        <w:spacing w:beforeLines="50" w:before="180"/>
        <w:ind w:leftChars="0"/>
        <w:jc w:val="both"/>
        <w:rPr>
          <w:rFonts w:ascii="標楷體" w:eastAsia="標楷體" w:hAnsi="標楷體"/>
        </w:rPr>
      </w:pPr>
      <w:proofErr w:type="gramStart"/>
      <w:r>
        <w:rPr>
          <w:rFonts w:ascii="標楷體" w:eastAsia="標楷體" w:hAnsi="標楷體" w:hint="eastAsia"/>
        </w:rPr>
        <w:t>任何簿別間</w:t>
      </w:r>
      <w:proofErr w:type="gramEnd"/>
      <w:r>
        <w:rPr>
          <w:rFonts w:ascii="標楷體" w:eastAsia="標楷體" w:hAnsi="標楷體" w:hint="eastAsia"/>
        </w:rPr>
        <w:t>重新認列應</w:t>
      </w:r>
      <w:r w:rsidR="00DA1BAB">
        <w:rPr>
          <w:rFonts w:ascii="標楷體" w:eastAsia="標楷體" w:hAnsi="標楷體" w:hint="eastAsia"/>
        </w:rPr>
        <w:t>由</w:t>
      </w:r>
      <w:r w:rsidRPr="002F1847">
        <w:rPr>
          <w:rFonts w:ascii="標楷體" w:eastAsia="標楷體" w:hAnsi="標楷體" w:hint="eastAsia"/>
        </w:rPr>
        <w:t>原風險承擔單位</w:t>
      </w:r>
      <w:r w:rsidR="00DA1BAB">
        <w:rPr>
          <w:rFonts w:ascii="標楷體" w:eastAsia="標楷體" w:hAnsi="標楷體" w:hint="eastAsia"/>
        </w:rPr>
        <w:t>詳細</w:t>
      </w:r>
      <w:r>
        <w:rPr>
          <w:rFonts w:ascii="標楷體" w:eastAsia="標楷體" w:hAnsi="標楷體" w:hint="eastAsia"/>
        </w:rPr>
        <w:t>留存相關紀錄，呈報</w:t>
      </w:r>
      <w:r w:rsidR="00DA1BAB" w:rsidRPr="00AB73B5">
        <w:rPr>
          <w:rFonts w:ascii="標楷體" w:eastAsia="標楷體" w:hAnsi="標楷體" w:hint="eastAsia"/>
          <w:color w:val="FF0000"/>
        </w:rPr>
        <w:t>風險管理委員</w:t>
      </w:r>
      <w:r w:rsidR="00DA1BAB" w:rsidRPr="003E6893">
        <w:rPr>
          <w:rFonts w:ascii="標楷體" w:eastAsia="標楷體" w:hAnsi="標楷體" w:hint="eastAsia"/>
          <w:color w:val="FF0000"/>
        </w:rPr>
        <w:t>會</w:t>
      </w:r>
      <w:r>
        <w:rPr>
          <w:rFonts w:ascii="標楷體" w:eastAsia="標楷體" w:hAnsi="標楷體" w:hint="eastAsia"/>
        </w:rPr>
        <w:t>核定與</w:t>
      </w:r>
      <w:r w:rsidR="00DA1BAB">
        <w:rPr>
          <w:rFonts w:ascii="標楷體" w:eastAsia="標楷體" w:hAnsi="標楷體" w:hint="eastAsia"/>
        </w:rPr>
        <w:t>本準則相符</w:t>
      </w:r>
      <w:r w:rsidR="00DA1BAB">
        <w:rPr>
          <w:rFonts w:ascii="標楷體" w:eastAsia="標楷體" w:hAnsi="標楷體"/>
        </w:rPr>
        <w:t>，</w:t>
      </w:r>
      <w:r>
        <w:rPr>
          <w:rFonts w:ascii="標楷體" w:eastAsia="標楷體" w:hAnsi="標楷體" w:hint="eastAsia"/>
        </w:rPr>
        <w:t>再</w:t>
      </w:r>
      <w:r w:rsidR="00BC6757">
        <w:rPr>
          <w:rFonts w:ascii="標楷體" w:eastAsia="標楷體" w:hAnsi="標楷體" w:hint="eastAsia"/>
        </w:rPr>
        <w:t>呈</w:t>
      </w:r>
      <w:r>
        <w:rPr>
          <w:rFonts w:ascii="標楷體" w:eastAsia="標楷體" w:hAnsi="標楷體" w:hint="eastAsia"/>
        </w:rPr>
        <w:t>報</w:t>
      </w:r>
      <w:r w:rsidR="00DA1BAB" w:rsidRPr="00AB73B5">
        <w:rPr>
          <w:rFonts w:ascii="標楷體" w:eastAsia="標楷體" w:hAnsi="標楷體" w:hint="eastAsia"/>
          <w:color w:val="FF0000"/>
        </w:rPr>
        <w:t>董事會</w:t>
      </w:r>
      <w:r w:rsidR="00DA1BAB">
        <w:rPr>
          <w:rFonts w:ascii="標楷體" w:eastAsia="標楷體" w:hAnsi="標楷體" w:hint="eastAsia"/>
        </w:rPr>
        <w:t>核准</w:t>
      </w:r>
      <w:r w:rsidR="00BC6757" w:rsidRPr="004E272E">
        <w:rPr>
          <w:rFonts w:ascii="標楷體" w:eastAsia="標楷體" w:hAnsi="標楷體" w:hint="eastAsia"/>
          <w:lang w:eastAsia="zh-HK"/>
        </w:rPr>
        <w:t>，</w:t>
      </w:r>
      <w:r>
        <w:rPr>
          <w:rFonts w:ascii="標楷體" w:eastAsia="標楷體" w:hAnsi="標楷體" w:hint="eastAsia"/>
        </w:rPr>
        <w:t>並應事先取得</w:t>
      </w:r>
      <w:r w:rsidR="00DA1BAB">
        <w:rPr>
          <w:rFonts w:ascii="標楷體" w:eastAsia="標楷體" w:hAnsi="標楷體" w:hint="eastAsia"/>
        </w:rPr>
        <w:t>金管會核准</w:t>
      </w:r>
      <w:r w:rsidR="00DA1BAB">
        <w:rPr>
          <w:rFonts w:ascii="標楷體" w:eastAsia="標楷體" w:hAnsi="標楷體"/>
        </w:rPr>
        <w:t>，</w:t>
      </w:r>
      <w:r w:rsidR="00DA1BAB">
        <w:rPr>
          <w:rFonts w:ascii="標楷體" w:eastAsia="標楷體" w:hAnsi="標楷體" w:hint="eastAsia"/>
        </w:rPr>
        <w:t>進行公開</w:t>
      </w:r>
      <w:r w:rsidR="00BC6757">
        <w:rPr>
          <w:rFonts w:ascii="標楷體" w:eastAsia="標楷體" w:hAnsi="標楷體" w:hint="eastAsia"/>
        </w:rPr>
        <w:t>揭</w:t>
      </w:r>
      <w:r w:rsidR="00DA1BAB">
        <w:rPr>
          <w:rFonts w:ascii="標楷體" w:eastAsia="標楷體" w:hAnsi="標楷體" w:hint="eastAsia"/>
        </w:rPr>
        <w:t>露</w:t>
      </w:r>
      <w:r w:rsidR="00DA1BAB" w:rsidRPr="004E272E">
        <w:rPr>
          <w:rFonts w:ascii="標楷體" w:eastAsia="標楷體" w:hAnsi="標楷體"/>
        </w:rPr>
        <w:t>。</w:t>
      </w:r>
    </w:p>
    <w:p w:rsidR="00AB73B5" w:rsidRDefault="00E445CF" w:rsidP="00AB73B5">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除非簿別</w:t>
      </w:r>
      <w:proofErr w:type="gramEnd"/>
      <w:r w:rsidRPr="004E272E">
        <w:rPr>
          <w:rFonts w:ascii="標楷體" w:eastAsia="標楷體" w:hAnsi="標楷體"/>
        </w:rPr>
        <w:t>轉換工具之部位性質被要求改變，不然任何重新</w:t>
      </w:r>
      <w:proofErr w:type="gramStart"/>
      <w:r w:rsidRPr="004E272E">
        <w:rPr>
          <w:rFonts w:ascii="標楷體" w:eastAsia="標楷體" w:hAnsi="標楷體"/>
        </w:rPr>
        <w:t>認列皆不可</w:t>
      </w:r>
      <w:proofErr w:type="gramEnd"/>
      <w:r w:rsidRPr="004E272E">
        <w:rPr>
          <w:rFonts w:ascii="標楷體" w:eastAsia="標楷體" w:hAnsi="標楷體"/>
        </w:rPr>
        <w:t>撤銷。</w:t>
      </w:r>
    </w:p>
    <w:p w:rsidR="00B13506" w:rsidRDefault="00E445CF" w:rsidP="00B13506">
      <w:pPr>
        <w:pStyle w:val="a3"/>
        <w:widowControl w:val="0"/>
        <w:numPr>
          <w:ilvl w:val="2"/>
          <w:numId w:val="8"/>
        </w:numPr>
        <w:spacing w:beforeLines="50" w:before="180"/>
        <w:ind w:leftChars="0"/>
        <w:jc w:val="both"/>
        <w:rPr>
          <w:rFonts w:ascii="標楷體" w:eastAsia="標楷體" w:hAnsi="標楷體"/>
        </w:rPr>
      </w:pPr>
      <w:r w:rsidRPr="00AB73B5">
        <w:rPr>
          <w:rFonts w:ascii="標楷體" w:eastAsia="標楷體" w:hAnsi="標楷體"/>
        </w:rPr>
        <w:t>若重分類為會計帳上屬交易性資產或負債之工具，則假定該工具為交易簿。在這種情況下自動移轉毋須核准。</w:t>
      </w:r>
    </w:p>
    <w:p w:rsidR="004E272E" w:rsidRPr="00421EC4" w:rsidRDefault="00B13506" w:rsidP="00BA0034">
      <w:pPr>
        <w:pStyle w:val="a3"/>
        <w:widowControl w:val="0"/>
        <w:numPr>
          <w:ilvl w:val="0"/>
          <w:numId w:val="4"/>
        </w:numPr>
        <w:spacing w:beforeLines="50" w:before="180"/>
        <w:ind w:leftChars="0" w:left="964"/>
        <w:jc w:val="both"/>
        <w:rPr>
          <w:rFonts w:ascii="標楷體" w:eastAsia="標楷體" w:hAnsi="標楷體"/>
          <w:lang w:eastAsia="zh-HK"/>
        </w:rPr>
      </w:pPr>
      <w:r w:rsidRPr="00421EC4">
        <w:rPr>
          <w:rFonts w:ascii="標楷體" w:eastAsia="標楷體" w:hAnsi="標楷體" w:hint="eastAsia"/>
        </w:rPr>
        <w:t>除經由金管會在特殊情況核准</w:t>
      </w:r>
      <w:r w:rsidR="001E5ED5" w:rsidRPr="00421EC4">
        <w:rPr>
          <w:rFonts w:ascii="標楷體" w:eastAsia="標楷體" w:hAnsi="標楷體" w:hint="eastAsia"/>
        </w:rPr>
        <w:t>外</w:t>
      </w:r>
      <w:r w:rsidRPr="00421EC4">
        <w:rPr>
          <w:rFonts w:ascii="標楷體" w:eastAsia="標楷體" w:hAnsi="標楷體" w:hint="eastAsia"/>
        </w:rPr>
        <w:t>，</w:t>
      </w:r>
      <w:proofErr w:type="gramStart"/>
      <w:r w:rsidR="008C2D8F" w:rsidRPr="00421EC4">
        <w:rPr>
          <w:rFonts w:ascii="標楷體" w:eastAsia="標楷體" w:hAnsi="標楷體" w:hint="eastAsia"/>
          <w:lang w:eastAsia="zh-HK"/>
        </w:rPr>
        <w:t>任何</w:t>
      </w:r>
      <w:r w:rsidR="008C2D8F" w:rsidRPr="00421EC4">
        <w:rPr>
          <w:rFonts w:ascii="標楷體" w:eastAsia="標楷體" w:hAnsi="標楷體"/>
        </w:rPr>
        <w:t>簿別間</w:t>
      </w:r>
      <w:proofErr w:type="gramEnd"/>
      <w:r w:rsidR="008C2D8F" w:rsidRPr="00421EC4">
        <w:rPr>
          <w:rFonts w:ascii="標楷體" w:eastAsia="標楷體" w:hAnsi="標楷體"/>
        </w:rPr>
        <w:t>重新認列</w:t>
      </w:r>
      <w:r w:rsidRPr="00421EC4">
        <w:rPr>
          <w:rFonts w:ascii="標楷體" w:eastAsia="標楷體" w:hAnsi="標楷體" w:hint="eastAsia"/>
        </w:rPr>
        <w:t>必須嚴格遵守</w:t>
      </w:r>
      <w:r w:rsidR="00FD3E2A">
        <w:rPr>
          <w:rFonts w:ascii="標楷體" w:eastAsia="標楷體" w:hAnsi="標楷體" w:hint="eastAsia"/>
        </w:rPr>
        <w:t>(1)、(2)項要求</w:t>
      </w:r>
      <w:r w:rsidRPr="00421EC4">
        <w:rPr>
          <w:rFonts w:ascii="標楷體" w:eastAsia="標楷體" w:hAnsi="標楷體" w:hint="eastAsia"/>
        </w:rPr>
        <w:t>。</w:t>
      </w:r>
    </w:p>
    <w:p w:rsidR="00140681" w:rsidRPr="00FD3E2A" w:rsidRDefault="00140681" w:rsidP="004C7489">
      <w:pPr>
        <w:pStyle w:val="a3"/>
        <w:widowControl w:val="0"/>
        <w:spacing w:beforeLines="50" w:before="180"/>
        <w:ind w:leftChars="0" w:left="964"/>
        <w:jc w:val="both"/>
        <w:rPr>
          <w:rFonts w:asciiTheme="minorEastAsia" w:eastAsiaTheme="minorEastAsia" w:hAnsiTheme="minorEastAsia"/>
          <w:lang w:eastAsia="zh-HK"/>
        </w:rPr>
      </w:pPr>
    </w:p>
    <w:p w:rsidR="00E90E89" w:rsidRPr="007B1F20" w:rsidRDefault="008603F4" w:rsidP="009F0ECC">
      <w:pPr>
        <w:pStyle w:val="a3"/>
        <w:numPr>
          <w:ilvl w:val="0"/>
          <w:numId w:val="3"/>
        </w:numPr>
        <w:ind w:leftChars="0" w:hangingChars="177"/>
        <w:outlineLvl w:val="0"/>
        <w:rPr>
          <w:rFonts w:ascii="標楷體" w:eastAsia="標楷體" w:hAnsi="標楷體"/>
        </w:rPr>
      </w:pPr>
      <w:bookmarkStart w:id="4" w:name="_Toc111194932"/>
      <w:r w:rsidRPr="007B1F20">
        <w:rPr>
          <w:rFonts w:ascii="標楷體" w:eastAsia="標楷體" w:hAnsi="標楷體"/>
          <w:lang w:eastAsia="zh-HK"/>
        </w:rPr>
        <w:t>銀行</w:t>
      </w:r>
      <w:proofErr w:type="gramStart"/>
      <w:r w:rsidRPr="007B1F20">
        <w:rPr>
          <w:rFonts w:ascii="標楷體" w:eastAsia="標楷體" w:hAnsi="標楷體"/>
          <w:lang w:eastAsia="zh-HK"/>
        </w:rPr>
        <w:t>簿至交易簿</w:t>
      </w:r>
      <w:proofErr w:type="gramEnd"/>
      <w:r w:rsidR="00E90E89" w:rsidRPr="007B1F20">
        <w:rPr>
          <w:rFonts w:ascii="標楷體" w:eastAsia="標楷體" w:hAnsi="標楷體" w:hint="eastAsia"/>
          <w:lang w:eastAsia="zh-HK"/>
        </w:rPr>
        <w:t>內部風險移轉處理相關規定</w:t>
      </w:r>
      <w:bookmarkEnd w:id="4"/>
    </w:p>
    <w:p w:rsidR="005B5A12" w:rsidRPr="00104E49" w:rsidRDefault="00915713" w:rsidP="00104E49">
      <w:pPr>
        <w:pStyle w:val="a3"/>
        <w:numPr>
          <w:ilvl w:val="1"/>
          <w:numId w:val="1"/>
        </w:numPr>
        <w:spacing w:beforeLines="50" w:before="180"/>
        <w:ind w:leftChars="0"/>
        <w:jc w:val="both"/>
        <w:rPr>
          <w:rFonts w:ascii="標楷體" w:eastAsia="標楷體" w:hAnsi="標楷體"/>
          <w:lang w:eastAsia="zh-HK"/>
        </w:rPr>
      </w:pPr>
      <w:r w:rsidRPr="00104E49">
        <w:rPr>
          <w:rFonts w:ascii="標楷體" w:eastAsia="標楷體" w:hAnsi="標楷體" w:hint="eastAsia"/>
        </w:rPr>
        <w:t>銀行</w:t>
      </w:r>
      <w:proofErr w:type="gramStart"/>
      <w:r w:rsidRPr="00104E49">
        <w:rPr>
          <w:rFonts w:ascii="標楷體" w:eastAsia="標楷體" w:hAnsi="標楷體" w:hint="eastAsia"/>
        </w:rPr>
        <w:t>簿</w:t>
      </w:r>
      <w:proofErr w:type="gramEnd"/>
      <w:r w:rsidRPr="00104E49">
        <w:rPr>
          <w:rFonts w:ascii="標楷體" w:eastAsia="標楷體" w:hAnsi="標楷體" w:hint="eastAsia"/>
        </w:rPr>
        <w:t>信用風險之內部風險移轉</w:t>
      </w:r>
      <w:r w:rsidR="005B5A12" w:rsidRPr="00104E49">
        <w:rPr>
          <w:rFonts w:ascii="標楷體" w:eastAsia="標楷體" w:hAnsi="標楷體"/>
        </w:rPr>
        <w:t>，即當銀行利用</w:t>
      </w:r>
      <w:proofErr w:type="gramStart"/>
      <w:r w:rsidR="005B5A12" w:rsidRPr="00104E49">
        <w:rPr>
          <w:rFonts w:ascii="標楷體" w:eastAsia="標楷體" w:hAnsi="標楷體"/>
        </w:rPr>
        <w:t>交易簿避險</w:t>
      </w:r>
      <w:proofErr w:type="gramEnd"/>
      <w:r w:rsidR="005B5A12" w:rsidRPr="00104E49">
        <w:rPr>
          <w:rFonts w:ascii="標楷體" w:eastAsia="標楷體" w:hAnsi="標楷體"/>
        </w:rPr>
        <w:t>交易以規避銀行</w:t>
      </w:r>
      <w:proofErr w:type="gramStart"/>
      <w:r w:rsidR="005B5A12" w:rsidRPr="00104E49">
        <w:rPr>
          <w:rFonts w:ascii="標楷體" w:eastAsia="標楷體" w:hAnsi="標楷體"/>
        </w:rPr>
        <w:t>簿</w:t>
      </w:r>
      <w:proofErr w:type="gramEnd"/>
      <w:r w:rsidR="005B5A12" w:rsidRPr="00104E49">
        <w:rPr>
          <w:rFonts w:ascii="標楷體" w:eastAsia="標楷體" w:hAnsi="標楷體"/>
        </w:rPr>
        <w:t>信用風險</w:t>
      </w:r>
      <w:proofErr w:type="gramStart"/>
      <w:r w:rsidR="00F52CD3" w:rsidRPr="00104E49">
        <w:rPr>
          <w:rFonts w:ascii="標楷體" w:eastAsia="標楷體" w:hAnsi="標楷體" w:hint="eastAsia"/>
        </w:rPr>
        <w:t>之</w:t>
      </w:r>
      <w:r w:rsidR="005B5A12" w:rsidRPr="00104E49">
        <w:rPr>
          <w:rFonts w:ascii="標楷體" w:eastAsia="標楷體" w:hAnsi="標楷體"/>
        </w:rPr>
        <w:t>暴險</w:t>
      </w:r>
      <w:proofErr w:type="gramEnd"/>
      <w:r w:rsidR="00AF5CC2" w:rsidRPr="00104E49">
        <w:rPr>
          <w:rFonts w:ascii="標楷體" w:eastAsia="標楷體" w:hAnsi="標楷體" w:hint="eastAsia"/>
        </w:rPr>
        <w:t>，</w:t>
      </w:r>
      <w:r w:rsidRPr="00104E49">
        <w:rPr>
          <w:rFonts w:ascii="標楷體" w:eastAsia="標楷體" w:hAnsi="標楷體" w:hint="eastAsia"/>
        </w:rPr>
        <w:t>須符合下述規定：</w:t>
      </w:r>
    </w:p>
    <w:p w:rsidR="00104E49" w:rsidRDefault="0076532A" w:rsidP="004B273C">
      <w:pPr>
        <w:pStyle w:val="a3"/>
        <w:widowControl w:val="0"/>
        <w:numPr>
          <w:ilvl w:val="3"/>
          <w:numId w:val="4"/>
        </w:numPr>
        <w:autoSpaceDE w:val="0"/>
        <w:autoSpaceDN w:val="0"/>
        <w:spacing w:beforeLines="50" w:before="180" w:after="40"/>
        <w:ind w:leftChars="0"/>
        <w:jc w:val="both"/>
        <w:rPr>
          <w:rFonts w:ascii="標楷體" w:eastAsia="標楷體" w:hAnsi="標楷體"/>
          <w:lang w:eastAsia="zh-HK"/>
        </w:rPr>
      </w:pPr>
      <w:r w:rsidRPr="00104E49">
        <w:rPr>
          <w:rFonts w:ascii="標楷體" w:eastAsia="標楷體" w:hAnsi="標楷體" w:hint="eastAsia"/>
        </w:rPr>
        <w:lastRenderedPageBreak/>
        <w:t>信用</w:t>
      </w:r>
      <w:proofErr w:type="gramStart"/>
      <w:r w:rsidR="00915713" w:rsidRPr="00104E49">
        <w:rPr>
          <w:rFonts w:ascii="標楷體" w:eastAsia="標楷體" w:hAnsi="標楷體" w:hint="eastAsia"/>
        </w:rPr>
        <w:t>風險</w:t>
      </w:r>
      <w:r w:rsidRPr="00104E49">
        <w:rPr>
          <w:rFonts w:ascii="標楷體" w:eastAsia="標楷體" w:hAnsi="標楷體" w:hint="eastAsia"/>
        </w:rPr>
        <w:t>暴險內部</w:t>
      </w:r>
      <w:proofErr w:type="gramEnd"/>
      <w:r w:rsidRPr="00104E49">
        <w:rPr>
          <w:rFonts w:ascii="標楷體" w:eastAsia="標楷體" w:hAnsi="標楷體" w:hint="eastAsia"/>
        </w:rPr>
        <w:t>移轉需</w:t>
      </w:r>
      <w:r w:rsidR="00915713" w:rsidRPr="00104E49">
        <w:rPr>
          <w:rFonts w:ascii="標楷體" w:eastAsia="標楷體" w:hAnsi="標楷體" w:hint="eastAsia"/>
        </w:rPr>
        <w:t>由</w:t>
      </w:r>
      <w:r w:rsidRPr="00104E49">
        <w:rPr>
          <w:rFonts w:ascii="標楷體" w:eastAsia="標楷體" w:hAnsi="標楷體" w:cstheme="minorHAnsi"/>
        </w:rPr>
        <w:t>合格第三方保障提供者所供之交易</w:t>
      </w:r>
      <w:proofErr w:type="gramStart"/>
      <w:r w:rsidRPr="00104E49">
        <w:rPr>
          <w:rFonts w:ascii="標楷體" w:eastAsia="標楷體" w:hAnsi="標楷體" w:cstheme="minorHAnsi"/>
        </w:rPr>
        <w:t>簿</w:t>
      </w:r>
      <w:proofErr w:type="gramEnd"/>
      <w:r w:rsidRPr="00104E49">
        <w:rPr>
          <w:rFonts w:ascii="標楷體" w:eastAsia="標楷體" w:hAnsi="標楷體" w:cstheme="minorHAnsi"/>
        </w:rPr>
        <w:t>外部避險</w:t>
      </w:r>
      <w:r w:rsidR="00915713" w:rsidRPr="00104E49">
        <w:rPr>
          <w:rFonts w:ascii="標楷體" w:eastAsia="標楷體" w:hAnsi="標楷體" w:cstheme="minorHAnsi" w:hint="eastAsia"/>
        </w:rPr>
        <w:t>；此交易</w:t>
      </w:r>
      <w:proofErr w:type="gramStart"/>
      <w:r w:rsidR="00915713" w:rsidRPr="00104E49">
        <w:rPr>
          <w:rFonts w:ascii="標楷體" w:eastAsia="標楷體" w:hAnsi="標楷體" w:cstheme="minorHAnsi" w:hint="eastAsia"/>
        </w:rPr>
        <w:t>簿</w:t>
      </w:r>
      <w:proofErr w:type="gramEnd"/>
      <w:r w:rsidRPr="00104E49">
        <w:rPr>
          <w:rFonts w:ascii="標楷體" w:eastAsia="標楷體" w:hAnsi="標楷體" w:hint="eastAsia"/>
        </w:rPr>
        <w:t>外部</w:t>
      </w:r>
      <w:proofErr w:type="gramStart"/>
      <w:r w:rsidRPr="00104E49">
        <w:rPr>
          <w:rFonts w:ascii="標楷體" w:eastAsia="標楷體" w:hAnsi="標楷體" w:hint="eastAsia"/>
        </w:rPr>
        <w:t>避險</w:t>
      </w:r>
      <w:r w:rsidR="004E394E" w:rsidRPr="004E394E">
        <w:rPr>
          <w:rFonts w:ascii="標楷體" w:eastAsia="標楷體" w:hAnsi="標楷體" w:hint="eastAsia"/>
          <w:color w:val="FF0000"/>
          <w:highlight w:val="yellow"/>
        </w:rPr>
        <w:t>須</w:t>
      </w:r>
      <w:r w:rsidRPr="00104E49">
        <w:rPr>
          <w:rFonts w:ascii="標楷體" w:eastAsia="標楷體" w:hAnsi="標楷體" w:hint="eastAsia"/>
        </w:rPr>
        <w:t>符合</w:t>
      </w:r>
      <w:proofErr w:type="gramEnd"/>
      <w:r w:rsidRPr="00104E49">
        <w:rPr>
          <w:rFonts w:ascii="標楷體" w:eastAsia="標楷體" w:hAnsi="標楷體" w:hint="eastAsia"/>
        </w:rPr>
        <w:t>金管會銀行局「銀行資本適足性及資本等級管理辦法」第二部分信用風險標準法第三章第四大點中第</w:t>
      </w:r>
      <w:r w:rsidRPr="00104E49">
        <w:rPr>
          <w:rFonts w:ascii="標楷體" w:eastAsia="標楷體" w:hAnsi="標楷體"/>
        </w:rPr>
        <w:t>2</w:t>
      </w:r>
      <w:r w:rsidRPr="00104E49">
        <w:rPr>
          <w:rFonts w:ascii="標楷體" w:eastAsia="標楷體" w:hAnsi="標楷體" w:hint="eastAsia"/>
        </w:rPr>
        <w:t>點</w:t>
      </w:r>
      <w:r w:rsidRPr="00104E49">
        <w:rPr>
          <w:rFonts w:ascii="標楷體" w:eastAsia="標楷體" w:hAnsi="標楷體"/>
        </w:rPr>
        <w:t>(3)</w:t>
      </w:r>
      <w:r w:rsidRPr="00104E49">
        <w:rPr>
          <w:rFonts w:ascii="標楷體" w:eastAsia="標楷體" w:hAnsi="標楷體" w:hint="eastAsia"/>
        </w:rPr>
        <w:t>、第</w:t>
      </w:r>
      <w:r w:rsidRPr="00104E49">
        <w:rPr>
          <w:rFonts w:ascii="標楷體" w:eastAsia="標楷體" w:hAnsi="標楷體"/>
        </w:rPr>
        <w:t>3</w:t>
      </w:r>
      <w:r w:rsidRPr="00104E49">
        <w:rPr>
          <w:rFonts w:ascii="標楷體" w:eastAsia="標楷體" w:hAnsi="標楷體" w:hint="eastAsia"/>
        </w:rPr>
        <w:t>點以及第</w:t>
      </w:r>
      <w:r w:rsidRPr="00104E49">
        <w:rPr>
          <w:rFonts w:ascii="標楷體" w:eastAsia="標楷體" w:hAnsi="標楷體"/>
        </w:rPr>
        <w:t>6</w:t>
      </w:r>
      <w:r w:rsidRPr="00104E49">
        <w:rPr>
          <w:rFonts w:ascii="標楷體" w:eastAsia="標楷體" w:hAnsi="標楷體" w:hint="eastAsia"/>
        </w:rPr>
        <w:t>點</w:t>
      </w:r>
      <w:r w:rsidRPr="00104E49">
        <w:rPr>
          <w:rFonts w:ascii="標楷體" w:eastAsia="標楷體" w:hAnsi="標楷體"/>
        </w:rPr>
        <w:t>(1).a</w:t>
      </w:r>
      <w:r w:rsidR="00915713" w:rsidRPr="00104E49">
        <w:rPr>
          <w:rFonts w:ascii="標楷體" w:eastAsia="標楷體" w:hAnsi="標楷體" w:hint="eastAsia"/>
        </w:rPr>
        <w:t>所對應銀行</w:t>
      </w:r>
      <w:proofErr w:type="gramStart"/>
      <w:r w:rsidR="00915713" w:rsidRPr="00104E49">
        <w:rPr>
          <w:rFonts w:ascii="標楷體" w:eastAsia="標楷體" w:hAnsi="標楷體" w:hint="eastAsia"/>
        </w:rPr>
        <w:t>簿暴險</w:t>
      </w:r>
      <w:proofErr w:type="gramEnd"/>
      <w:r w:rsidR="00915713" w:rsidRPr="00104E49">
        <w:rPr>
          <w:rFonts w:ascii="標楷體" w:eastAsia="標楷體" w:hAnsi="標楷體" w:hint="eastAsia"/>
        </w:rPr>
        <w:t>之規範</w:t>
      </w:r>
      <w:r w:rsidRPr="00104E49">
        <w:rPr>
          <w:rFonts w:ascii="標楷體" w:eastAsia="標楷體" w:hAnsi="標楷體" w:hint="eastAsia"/>
        </w:rPr>
        <w:t>。</w:t>
      </w:r>
    </w:p>
    <w:p w:rsidR="0076532A" w:rsidRPr="00104E49" w:rsidRDefault="00915713" w:rsidP="004B273C">
      <w:pPr>
        <w:pStyle w:val="a3"/>
        <w:widowControl w:val="0"/>
        <w:numPr>
          <w:ilvl w:val="3"/>
          <w:numId w:val="4"/>
        </w:numPr>
        <w:autoSpaceDE w:val="0"/>
        <w:autoSpaceDN w:val="0"/>
        <w:spacing w:beforeLines="50" w:before="180" w:after="40"/>
        <w:ind w:leftChars="0"/>
        <w:jc w:val="both"/>
        <w:rPr>
          <w:rFonts w:ascii="標楷體" w:eastAsia="標楷體" w:hAnsi="標楷體"/>
          <w:lang w:eastAsia="zh-HK"/>
        </w:rPr>
      </w:pPr>
      <w:r w:rsidRPr="00104E49">
        <w:rPr>
          <w:rFonts w:ascii="Times New Roman" w:eastAsia="標楷體" w:hAnsi="Times New Roman" w:cs="Times New Roman" w:hint="eastAsia"/>
        </w:rPr>
        <w:t>交易</w:t>
      </w:r>
      <w:proofErr w:type="gramStart"/>
      <w:r w:rsidRPr="00104E49">
        <w:rPr>
          <w:rFonts w:ascii="Times New Roman" w:eastAsia="標楷體" w:hAnsi="Times New Roman" w:cs="Times New Roman" w:hint="eastAsia"/>
        </w:rPr>
        <w:t>簿</w:t>
      </w:r>
      <w:proofErr w:type="gramEnd"/>
      <w:r w:rsidR="0076532A" w:rsidRPr="00104E49">
        <w:rPr>
          <w:rFonts w:ascii="Times New Roman" w:eastAsia="標楷體" w:hAnsi="Times New Roman" w:cs="Times New Roman"/>
        </w:rPr>
        <w:t>外部避險可由多個交易對手的多筆交易組成，</w:t>
      </w:r>
      <w:r w:rsidR="00B53104" w:rsidRPr="00104E49">
        <w:rPr>
          <w:rFonts w:ascii="Times New Roman" w:eastAsia="標楷體" w:hAnsi="Times New Roman" w:cs="Times New Roman"/>
        </w:rPr>
        <w:t>加總</w:t>
      </w:r>
      <w:r w:rsidR="0076532A" w:rsidRPr="00104E49">
        <w:rPr>
          <w:rFonts w:ascii="Times New Roman" w:eastAsia="標楷體" w:hAnsi="Times New Roman" w:cs="Times New Roman"/>
        </w:rPr>
        <w:t>外部避險與內部風險轉移</w:t>
      </w:r>
      <w:r w:rsidR="00B53104" w:rsidRPr="00104E49">
        <w:rPr>
          <w:rFonts w:ascii="Times New Roman" w:eastAsia="標楷體" w:hAnsi="Times New Roman" w:cs="Times New Roman" w:hint="eastAsia"/>
        </w:rPr>
        <w:t>須</w:t>
      </w:r>
      <w:r w:rsidR="0076532A" w:rsidRPr="00104E49">
        <w:rPr>
          <w:rFonts w:ascii="Times New Roman" w:eastAsia="標楷體" w:hAnsi="Times New Roman" w:cs="Times New Roman"/>
        </w:rPr>
        <w:t>完全符合。</w:t>
      </w:r>
    </w:p>
    <w:p w:rsidR="00915713" w:rsidRPr="00104E49" w:rsidRDefault="00915713" w:rsidP="00104E49">
      <w:pPr>
        <w:pStyle w:val="a3"/>
        <w:numPr>
          <w:ilvl w:val="1"/>
          <w:numId w:val="1"/>
        </w:numPr>
        <w:spacing w:beforeLines="50" w:before="180"/>
        <w:ind w:leftChars="0"/>
        <w:jc w:val="both"/>
        <w:rPr>
          <w:rFonts w:ascii="標楷體" w:eastAsia="標楷體" w:hAnsi="標楷體"/>
          <w:lang w:eastAsia="zh-HK"/>
        </w:rPr>
      </w:pPr>
      <w:r w:rsidRPr="00104E49">
        <w:rPr>
          <w:rFonts w:ascii="標楷體" w:eastAsia="標楷體" w:hAnsi="標楷體" w:hint="eastAsia"/>
        </w:rPr>
        <w:t>銀行</w:t>
      </w:r>
      <w:proofErr w:type="gramStart"/>
      <w:r w:rsidRPr="00104E49">
        <w:rPr>
          <w:rFonts w:ascii="標楷體" w:eastAsia="標楷體" w:hAnsi="標楷體" w:hint="eastAsia"/>
        </w:rPr>
        <w:t>簿</w:t>
      </w:r>
      <w:proofErr w:type="gramEnd"/>
      <w:r w:rsidR="00140681" w:rsidRPr="00104E49">
        <w:rPr>
          <w:rFonts w:ascii="標楷體" w:eastAsia="標楷體" w:hAnsi="標楷體"/>
        </w:rPr>
        <w:t>權益證券風險之內部風險移轉，即當銀行利用</w:t>
      </w:r>
      <w:proofErr w:type="gramStart"/>
      <w:r w:rsidR="00140681" w:rsidRPr="00104E49">
        <w:rPr>
          <w:rFonts w:ascii="標楷體" w:eastAsia="標楷體" w:hAnsi="標楷體"/>
        </w:rPr>
        <w:t>交易簿避險</w:t>
      </w:r>
      <w:proofErr w:type="gramEnd"/>
      <w:r w:rsidR="00140681" w:rsidRPr="00104E49">
        <w:rPr>
          <w:rFonts w:ascii="標楷體" w:eastAsia="標楷體" w:hAnsi="標楷體"/>
        </w:rPr>
        <w:t>交易以規避銀行</w:t>
      </w:r>
      <w:proofErr w:type="gramStart"/>
      <w:r w:rsidR="00140681" w:rsidRPr="00104E49">
        <w:rPr>
          <w:rFonts w:ascii="標楷體" w:eastAsia="標楷體" w:hAnsi="標楷體"/>
        </w:rPr>
        <w:t>簿</w:t>
      </w:r>
      <w:proofErr w:type="gramEnd"/>
      <w:r w:rsidR="00140681" w:rsidRPr="00104E49">
        <w:rPr>
          <w:rFonts w:ascii="標楷體" w:eastAsia="標楷體" w:hAnsi="標楷體"/>
        </w:rPr>
        <w:t>權益證券風險</w:t>
      </w:r>
      <w:proofErr w:type="gramStart"/>
      <w:r w:rsidR="00140681" w:rsidRPr="00104E49">
        <w:rPr>
          <w:rFonts w:ascii="標楷體" w:eastAsia="標楷體" w:hAnsi="標楷體" w:hint="eastAsia"/>
        </w:rPr>
        <w:t>之</w:t>
      </w:r>
      <w:r w:rsidR="00140681" w:rsidRPr="00104E49">
        <w:rPr>
          <w:rFonts w:ascii="標楷體" w:eastAsia="標楷體" w:hAnsi="標楷體"/>
        </w:rPr>
        <w:t>暴險</w:t>
      </w:r>
      <w:proofErr w:type="gramEnd"/>
      <w:r w:rsidRPr="00104E49">
        <w:rPr>
          <w:rFonts w:ascii="標楷體" w:eastAsia="標楷體" w:hAnsi="標楷體" w:hint="eastAsia"/>
        </w:rPr>
        <w:t>，須符合下述規定：</w:t>
      </w:r>
    </w:p>
    <w:p w:rsidR="0076532A" w:rsidRPr="00104E49" w:rsidRDefault="0076532A" w:rsidP="00104E49">
      <w:pPr>
        <w:pStyle w:val="a3"/>
        <w:numPr>
          <w:ilvl w:val="4"/>
          <w:numId w:val="4"/>
        </w:numPr>
        <w:autoSpaceDE w:val="0"/>
        <w:autoSpaceDN w:val="0"/>
        <w:spacing w:beforeLines="50" w:before="180" w:after="40"/>
        <w:ind w:leftChars="0"/>
        <w:jc w:val="both"/>
        <w:rPr>
          <w:rFonts w:ascii="標楷體" w:eastAsia="標楷體" w:hAnsi="標楷體"/>
        </w:rPr>
      </w:pPr>
      <w:r w:rsidRPr="00104E49">
        <w:rPr>
          <w:rFonts w:ascii="標楷體" w:eastAsia="標楷體" w:hAnsi="標楷體" w:hint="eastAsia"/>
        </w:rPr>
        <w:t>權益證券</w:t>
      </w:r>
      <w:proofErr w:type="gramStart"/>
      <w:r w:rsidRPr="00104E49">
        <w:rPr>
          <w:rFonts w:ascii="標楷體" w:eastAsia="標楷體" w:hAnsi="標楷體" w:hint="eastAsia"/>
        </w:rPr>
        <w:t>風險暴險內部</w:t>
      </w:r>
      <w:proofErr w:type="gramEnd"/>
      <w:r w:rsidRPr="00104E49">
        <w:rPr>
          <w:rFonts w:ascii="標楷體" w:eastAsia="標楷體" w:hAnsi="標楷體" w:hint="eastAsia"/>
        </w:rPr>
        <w:t>移轉需</w:t>
      </w:r>
      <w:r w:rsidR="00915713" w:rsidRPr="00104E49">
        <w:rPr>
          <w:rFonts w:ascii="標楷體" w:eastAsia="標楷體" w:hAnsi="標楷體" w:hint="eastAsia"/>
        </w:rPr>
        <w:t>由</w:t>
      </w:r>
      <w:r w:rsidRPr="00104E49">
        <w:rPr>
          <w:rFonts w:eastAsia="標楷體" w:cstheme="minorHAnsi"/>
        </w:rPr>
        <w:t>合格第三方保障提供者所供之交易</w:t>
      </w:r>
      <w:proofErr w:type="gramStart"/>
      <w:r w:rsidRPr="00104E49">
        <w:rPr>
          <w:rFonts w:eastAsia="標楷體" w:cstheme="minorHAnsi"/>
        </w:rPr>
        <w:t>簿</w:t>
      </w:r>
      <w:proofErr w:type="gramEnd"/>
      <w:r w:rsidRPr="00104E49">
        <w:rPr>
          <w:rFonts w:eastAsia="標楷體" w:cstheme="minorHAnsi"/>
        </w:rPr>
        <w:t>外部避險</w:t>
      </w:r>
      <w:r w:rsidR="001879B7" w:rsidRPr="00104E49">
        <w:rPr>
          <w:rFonts w:ascii="標楷體" w:eastAsia="標楷體" w:hAnsi="標楷體" w:cstheme="minorHAnsi" w:hint="eastAsia"/>
        </w:rPr>
        <w:t>。</w:t>
      </w:r>
      <w:r w:rsidR="001879B7" w:rsidRPr="00104E49">
        <w:rPr>
          <w:rFonts w:ascii="標楷體" w:eastAsia="標楷體" w:hAnsi="標楷體"/>
        </w:rPr>
        <w:t xml:space="preserve"> </w:t>
      </w:r>
    </w:p>
    <w:p w:rsidR="003F1E66" w:rsidRPr="00104E49" w:rsidRDefault="001879B7" w:rsidP="00104E49">
      <w:pPr>
        <w:pStyle w:val="a3"/>
        <w:numPr>
          <w:ilvl w:val="0"/>
          <w:numId w:val="33"/>
        </w:numPr>
        <w:spacing w:beforeLines="50" w:before="180"/>
        <w:ind w:leftChars="0"/>
        <w:jc w:val="both"/>
        <w:rPr>
          <w:rFonts w:ascii="Times New Roman" w:eastAsia="標楷體" w:hAnsi="Times New Roman" w:cs="Times New Roman"/>
        </w:rPr>
      </w:pPr>
      <w:r w:rsidRPr="00104E49">
        <w:rPr>
          <w:rFonts w:ascii="Times New Roman" w:eastAsia="標楷體" w:hAnsi="Times New Roman" w:cs="Times New Roman" w:hint="eastAsia"/>
        </w:rPr>
        <w:t>符合</w:t>
      </w:r>
      <w:r w:rsidR="00590585" w:rsidRPr="00104E49">
        <w:rPr>
          <w:rFonts w:ascii="Times New Roman" w:eastAsia="標楷體" w:hAnsi="Times New Roman" w:cs="Times New Roman" w:hint="eastAsia"/>
        </w:rPr>
        <w:t>銀行</w:t>
      </w:r>
      <w:proofErr w:type="gramStart"/>
      <w:r w:rsidR="00590585" w:rsidRPr="00104E49">
        <w:rPr>
          <w:rFonts w:ascii="Times New Roman" w:eastAsia="標楷體" w:hAnsi="Times New Roman" w:cs="Times New Roman" w:hint="eastAsia"/>
        </w:rPr>
        <w:t>簿</w:t>
      </w:r>
      <w:proofErr w:type="gramEnd"/>
      <w:r w:rsidR="00590585" w:rsidRPr="00104E49">
        <w:rPr>
          <w:rFonts w:ascii="Times New Roman" w:eastAsia="標楷體" w:hAnsi="Times New Roman" w:cs="Times New Roman" w:hint="eastAsia"/>
        </w:rPr>
        <w:t>信用</w:t>
      </w:r>
      <w:proofErr w:type="gramStart"/>
      <w:r w:rsidR="00590585" w:rsidRPr="00104E49">
        <w:rPr>
          <w:rFonts w:ascii="Times New Roman" w:eastAsia="標楷體" w:hAnsi="Times New Roman" w:cs="Times New Roman" w:hint="eastAsia"/>
        </w:rPr>
        <w:t>風險暴險或</w:t>
      </w:r>
      <w:proofErr w:type="gramEnd"/>
      <w:r w:rsidR="00590585" w:rsidRPr="00104E49">
        <w:rPr>
          <w:rFonts w:ascii="Times New Roman" w:eastAsia="標楷體" w:hAnsi="Times New Roman" w:cs="Times New Roman" w:hint="eastAsia"/>
        </w:rPr>
        <w:t>權益證券</w:t>
      </w:r>
      <w:proofErr w:type="gramStart"/>
      <w:r w:rsidR="00590585" w:rsidRPr="00104E49">
        <w:rPr>
          <w:rFonts w:ascii="Times New Roman" w:eastAsia="標楷體" w:hAnsi="Times New Roman" w:cs="Times New Roman" w:hint="eastAsia"/>
        </w:rPr>
        <w:t>風險暴險之</w:t>
      </w:r>
      <w:proofErr w:type="gramEnd"/>
      <w:r w:rsidR="00590585" w:rsidRPr="00104E49">
        <w:rPr>
          <w:rFonts w:ascii="Times New Roman" w:eastAsia="標楷體" w:hAnsi="Times New Roman" w:cs="Times New Roman" w:hint="eastAsia"/>
        </w:rPr>
        <w:t>內部移轉</w:t>
      </w:r>
      <w:r w:rsidR="00590585" w:rsidRPr="00104E49">
        <w:rPr>
          <w:rFonts w:ascii="標楷體" w:eastAsia="標楷體" w:hAnsi="標楷體" w:cs="Times New Roman" w:hint="eastAsia"/>
        </w:rPr>
        <w:t>，</w:t>
      </w:r>
      <w:r w:rsidR="00590585" w:rsidRPr="00104E49">
        <w:rPr>
          <w:rFonts w:ascii="Times New Roman" w:eastAsia="標楷體" w:hAnsi="Times New Roman" w:cs="Times New Roman" w:hint="eastAsia"/>
        </w:rPr>
        <w:t>則此</w:t>
      </w:r>
      <w:r w:rsidR="003F1E66" w:rsidRPr="00104E49">
        <w:rPr>
          <w:rFonts w:ascii="Times New Roman" w:eastAsia="標楷體" w:hAnsi="Times New Roman" w:cs="Times New Roman" w:hint="eastAsia"/>
        </w:rPr>
        <w:t>銀行</w:t>
      </w:r>
      <w:proofErr w:type="gramStart"/>
      <w:r w:rsidR="003F1E66" w:rsidRPr="00104E49">
        <w:rPr>
          <w:rFonts w:ascii="Times New Roman" w:eastAsia="標楷體" w:hAnsi="Times New Roman" w:cs="Times New Roman"/>
        </w:rPr>
        <w:t>簿暴險</w:t>
      </w:r>
      <w:proofErr w:type="gramEnd"/>
      <w:r w:rsidR="003F1E66" w:rsidRPr="00104E49">
        <w:rPr>
          <w:rFonts w:ascii="Times New Roman" w:eastAsia="標楷體" w:hAnsi="Times New Roman" w:cs="Times New Roman"/>
        </w:rPr>
        <w:t>被視為是銀行</w:t>
      </w:r>
      <w:proofErr w:type="gramStart"/>
      <w:r w:rsidR="003F1E66" w:rsidRPr="00104E49">
        <w:rPr>
          <w:rFonts w:ascii="Times New Roman" w:eastAsia="標楷體" w:hAnsi="Times New Roman" w:cs="Times New Roman"/>
        </w:rPr>
        <w:t>簿</w:t>
      </w:r>
      <w:proofErr w:type="gramEnd"/>
      <w:r w:rsidR="003F1E66" w:rsidRPr="00104E49">
        <w:rPr>
          <w:rFonts w:ascii="Times New Roman" w:eastAsia="標楷體" w:hAnsi="Times New Roman" w:cs="Times New Roman"/>
        </w:rPr>
        <w:t>資本目的之內部風險移轉的銀行</w:t>
      </w:r>
      <w:proofErr w:type="gramStart"/>
      <w:r w:rsidR="003F1E66" w:rsidRPr="00104E49">
        <w:rPr>
          <w:rFonts w:ascii="Times New Roman" w:eastAsia="標楷體" w:hAnsi="Times New Roman" w:cs="Times New Roman"/>
        </w:rPr>
        <w:t>簿端避</w:t>
      </w:r>
      <w:proofErr w:type="gramEnd"/>
      <w:r w:rsidR="003F1E66" w:rsidRPr="00104E49">
        <w:rPr>
          <w:rFonts w:ascii="Times New Roman" w:eastAsia="標楷體" w:hAnsi="Times New Roman" w:cs="Times New Roman"/>
        </w:rPr>
        <w:t>險。並且內部風險移轉之</w:t>
      </w:r>
      <w:proofErr w:type="gramStart"/>
      <w:r w:rsidR="003F1E66" w:rsidRPr="00104E49">
        <w:rPr>
          <w:rFonts w:ascii="Times New Roman" w:eastAsia="標楷體" w:hAnsi="Times New Roman" w:cs="Times New Roman"/>
        </w:rPr>
        <w:t>交易簿端與</w:t>
      </w:r>
      <w:proofErr w:type="gramEnd"/>
      <w:r w:rsidR="003F1E66" w:rsidRPr="00104E49">
        <w:rPr>
          <w:rFonts w:ascii="Times New Roman" w:eastAsia="標楷體" w:hAnsi="Times New Roman" w:cs="Times New Roman"/>
        </w:rPr>
        <w:t>外部避險兩者皆必須計入市場風險資本要求</w:t>
      </w:r>
      <w:r w:rsidR="003F1E66" w:rsidRPr="00104E49">
        <w:rPr>
          <w:rFonts w:ascii="標楷體" w:eastAsia="標楷體" w:hAnsi="標楷體" w:cs="Times New Roman" w:hint="eastAsia"/>
        </w:rPr>
        <w:t>；</w:t>
      </w:r>
      <w:r w:rsidR="003F1E66" w:rsidRPr="00104E49">
        <w:rPr>
          <w:rFonts w:ascii="Times New Roman" w:eastAsia="標楷體" w:hAnsi="Times New Roman" w:cs="Times New Roman"/>
        </w:rPr>
        <w:t>若不符要求，則此銀行</w:t>
      </w:r>
      <w:proofErr w:type="gramStart"/>
      <w:r w:rsidR="003F1E66" w:rsidRPr="00104E49">
        <w:rPr>
          <w:rFonts w:ascii="Times New Roman" w:eastAsia="標楷體" w:hAnsi="Times New Roman" w:cs="Times New Roman"/>
        </w:rPr>
        <w:t>簿暴險不</w:t>
      </w:r>
      <w:proofErr w:type="gramEnd"/>
      <w:r w:rsidR="003F1E66" w:rsidRPr="00104E49">
        <w:rPr>
          <w:rFonts w:ascii="Times New Roman" w:eastAsia="標楷體" w:hAnsi="Times New Roman" w:cs="Times New Roman"/>
        </w:rPr>
        <w:t>被視為銀行</w:t>
      </w:r>
      <w:proofErr w:type="gramStart"/>
      <w:r w:rsidR="003F1E66" w:rsidRPr="00104E49">
        <w:rPr>
          <w:rFonts w:ascii="Times New Roman" w:eastAsia="標楷體" w:hAnsi="Times New Roman" w:cs="Times New Roman"/>
        </w:rPr>
        <w:t>簿</w:t>
      </w:r>
      <w:proofErr w:type="gramEnd"/>
      <w:r w:rsidR="003F1E66" w:rsidRPr="00104E49">
        <w:rPr>
          <w:rFonts w:ascii="Times New Roman" w:eastAsia="標楷體" w:hAnsi="Times New Roman" w:cs="Times New Roman"/>
        </w:rPr>
        <w:t>資本目的之內部風險移轉的銀行</w:t>
      </w:r>
      <w:proofErr w:type="gramStart"/>
      <w:r w:rsidR="003F1E66" w:rsidRPr="00104E49">
        <w:rPr>
          <w:rFonts w:ascii="Times New Roman" w:eastAsia="標楷體" w:hAnsi="Times New Roman" w:cs="Times New Roman"/>
        </w:rPr>
        <w:t>簿端避</w:t>
      </w:r>
      <w:proofErr w:type="gramEnd"/>
      <w:r w:rsidR="003F1E66" w:rsidRPr="00104E49">
        <w:rPr>
          <w:rFonts w:ascii="Times New Roman" w:eastAsia="標楷體" w:hAnsi="Times New Roman" w:cs="Times New Roman"/>
        </w:rPr>
        <w:t>險。並且第三</w:t>
      </w:r>
      <w:proofErr w:type="gramStart"/>
      <w:r w:rsidR="003F1E66" w:rsidRPr="00104E49">
        <w:rPr>
          <w:rFonts w:ascii="Times New Roman" w:eastAsia="標楷體" w:hAnsi="Times New Roman" w:cs="Times New Roman"/>
        </w:rPr>
        <w:t>方外部避險</w:t>
      </w:r>
      <w:proofErr w:type="gramEnd"/>
      <w:r w:rsidR="003F1E66" w:rsidRPr="00104E49">
        <w:rPr>
          <w:rFonts w:ascii="Times New Roman" w:eastAsia="標楷體" w:hAnsi="Times New Roman" w:cs="Times New Roman"/>
        </w:rPr>
        <w:t>必須完全計入市場風險資本要求，而內部風險移轉之</w:t>
      </w:r>
      <w:proofErr w:type="gramStart"/>
      <w:r w:rsidR="003F1E66" w:rsidRPr="00104E49">
        <w:rPr>
          <w:rFonts w:ascii="Times New Roman" w:eastAsia="標楷體" w:hAnsi="Times New Roman" w:cs="Times New Roman"/>
        </w:rPr>
        <w:t>交易簿端必須</w:t>
      </w:r>
      <w:proofErr w:type="gramEnd"/>
      <w:r w:rsidR="003F1E66" w:rsidRPr="00104E49">
        <w:rPr>
          <w:rFonts w:ascii="Times New Roman" w:eastAsia="標楷體" w:hAnsi="Times New Roman" w:cs="Times New Roman"/>
        </w:rPr>
        <w:t>完全排除在市場風險資本要求外。</w:t>
      </w:r>
    </w:p>
    <w:p w:rsidR="003F1E66" w:rsidRPr="00B53104" w:rsidRDefault="003F1E66" w:rsidP="00104E49">
      <w:pPr>
        <w:pStyle w:val="a3"/>
        <w:numPr>
          <w:ilvl w:val="0"/>
          <w:numId w:val="33"/>
        </w:numPr>
        <w:spacing w:beforeLines="50" w:before="180"/>
        <w:ind w:leftChars="0"/>
        <w:jc w:val="both"/>
        <w:rPr>
          <w:rFonts w:ascii="Times New Roman" w:eastAsia="標楷體" w:hAnsi="Times New Roman" w:cs="Times New Roman"/>
        </w:rPr>
      </w:pPr>
      <w:r w:rsidRPr="003F1E66">
        <w:rPr>
          <w:rFonts w:ascii="Times New Roman" w:eastAsia="標楷體" w:hAnsi="Times New Roman" w:cs="Times New Roman"/>
        </w:rPr>
        <w:t>由內部風險移轉產生且未依銀行</w:t>
      </w:r>
      <w:proofErr w:type="gramStart"/>
      <w:r w:rsidRPr="003F1E66">
        <w:rPr>
          <w:rFonts w:ascii="Times New Roman" w:eastAsia="標楷體" w:hAnsi="Times New Roman" w:cs="Times New Roman"/>
        </w:rPr>
        <w:t>簿規則計</w:t>
      </w:r>
      <w:proofErr w:type="gramEnd"/>
      <w:r w:rsidRPr="003F1E66">
        <w:rPr>
          <w:rFonts w:ascii="Times New Roman" w:eastAsia="標楷體" w:hAnsi="Times New Roman" w:cs="Times New Roman"/>
        </w:rPr>
        <w:t>提資本的銀行</w:t>
      </w:r>
      <w:proofErr w:type="gramStart"/>
      <w:r w:rsidRPr="003F1E66">
        <w:rPr>
          <w:rFonts w:ascii="Times New Roman" w:eastAsia="標楷體" w:hAnsi="Times New Roman" w:cs="Times New Roman"/>
        </w:rPr>
        <w:t>簿</w:t>
      </w:r>
      <w:proofErr w:type="gramEnd"/>
      <w:r w:rsidRPr="003F1E66">
        <w:rPr>
          <w:rFonts w:ascii="Times New Roman" w:eastAsia="標楷體" w:hAnsi="Times New Roman" w:cs="Times New Roman"/>
        </w:rPr>
        <w:t>信用短部位或銀行</w:t>
      </w:r>
      <w:proofErr w:type="gramStart"/>
      <w:r w:rsidRPr="003F1E66">
        <w:rPr>
          <w:rFonts w:ascii="Times New Roman" w:eastAsia="標楷體" w:hAnsi="Times New Roman" w:cs="Times New Roman"/>
        </w:rPr>
        <w:t>簿</w:t>
      </w:r>
      <w:proofErr w:type="gramEnd"/>
      <w:r w:rsidRPr="003F1E66">
        <w:rPr>
          <w:rFonts w:ascii="Times New Roman" w:eastAsia="標楷體" w:hAnsi="Times New Roman" w:cs="Times New Roman"/>
        </w:rPr>
        <w:t>權益證券短部位，必須與交易</w:t>
      </w:r>
      <w:proofErr w:type="gramStart"/>
      <w:r w:rsidRPr="003F1E66">
        <w:rPr>
          <w:rFonts w:ascii="Times New Roman" w:eastAsia="標楷體" w:hAnsi="Times New Roman" w:cs="Times New Roman"/>
        </w:rPr>
        <w:t>簿暴險</w:t>
      </w:r>
      <w:proofErr w:type="gramEnd"/>
      <w:r w:rsidRPr="003F1E66">
        <w:rPr>
          <w:rFonts w:ascii="Times New Roman" w:eastAsia="標楷體" w:hAnsi="Times New Roman" w:cs="Times New Roman"/>
        </w:rPr>
        <w:t>合併依市場風險</w:t>
      </w:r>
      <w:proofErr w:type="gramStart"/>
      <w:r w:rsidRPr="003F1E66">
        <w:rPr>
          <w:rFonts w:ascii="Times New Roman" w:eastAsia="標楷體" w:hAnsi="Times New Roman" w:cs="Times New Roman"/>
        </w:rPr>
        <w:t>規則計</w:t>
      </w:r>
      <w:proofErr w:type="gramEnd"/>
      <w:r w:rsidRPr="003F1E66">
        <w:rPr>
          <w:rFonts w:ascii="Times New Roman" w:eastAsia="標楷體" w:hAnsi="Times New Roman" w:cs="Times New Roman"/>
        </w:rPr>
        <w:t>提資本。</w:t>
      </w:r>
      <w:r w:rsidRPr="003F1E66">
        <w:rPr>
          <w:rFonts w:ascii="Times New Roman" w:eastAsia="標楷體" w:hAnsi="Times New Roman" w:cs="Times New Roman"/>
        </w:rPr>
        <w:t xml:space="preserve"> </w:t>
      </w:r>
    </w:p>
    <w:p w:rsidR="00B53104" w:rsidRPr="005C77CC" w:rsidRDefault="00B53104" w:rsidP="00104E49">
      <w:pPr>
        <w:pStyle w:val="a3"/>
        <w:widowControl w:val="0"/>
        <w:numPr>
          <w:ilvl w:val="0"/>
          <w:numId w:val="33"/>
        </w:numPr>
        <w:spacing w:beforeLines="50" w:before="180"/>
        <w:ind w:leftChars="0"/>
        <w:jc w:val="both"/>
        <w:rPr>
          <w:rFonts w:ascii="標楷體" w:eastAsia="標楷體" w:hAnsi="標楷體"/>
          <w:lang w:eastAsia="zh-HK"/>
        </w:rPr>
      </w:pPr>
      <w:r w:rsidRPr="005C77CC">
        <w:rPr>
          <w:rFonts w:ascii="標楷體" w:eastAsia="標楷體" w:hAnsi="標楷體"/>
        </w:rPr>
        <w:t>一般利率風險之內部風險移轉，即</w:t>
      </w:r>
      <w:r w:rsidRPr="005C77CC">
        <w:rPr>
          <w:rFonts w:ascii="標楷體" w:eastAsia="標楷體" w:hAnsi="標楷體" w:hint="eastAsia"/>
        </w:rPr>
        <w:t>當</w:t>
      </w:r>
      <w:r w:rsidRPr="005C77CC">
        <w:rPr>
          <w:rFonts w:ascii="標楷體" w:eastAsia="標楷體" w:hAnsi="標楷體"/>
        </w:rPr>
        <w:t>利用交易簿</w:t>
      </w:r>
      <w:r w:rsidRPr="005C77CC">
        <w:rPr>
          <w:rFonts w:ascii="標楷體" w:eastAsia="標楷體" w:hAnsi="標楷體" w:hint="eastAsia"/>
        </w:rPr>
        <w:t>之避險交易以</w:t>
      </w:r>
      <w:r w:rsidRPr="005C77CC">
        <w:rPr>
          <w:rFonts w:ascii="標楷體" w:eastAsia="標楷體" w:hAnsi="標楷體"/>
        </w:rPr>
        <w:t>規避銀行</w:t>
      </w:r>
      <w:proofErr w:type="gramStart"/>
      <w:r w:rsidRPr="005C77CC">
        <w:rPr>
          <w:rFonts w:ascii="標楷體" w:eastAsia="標楷體" w:hAnsi="標楷體"/>
        </w:rPr>
        <w:t>簿</w:t>
      </w:r>
      <w:proofErr w:type="gramEnd"/>
      <w:r w:rsidRPr="005C77CC">
        <w:rPr>
          <w:rFonts w:ascii="標楷體" w:eastAsia="標楷體" w:hAnsi="標楷體"/>
        </w:rPr>
        <w:t>利率</w:t>
      </w:r>
      <w:proofErr w:type="gramStart"/>
      <w:r w:rsidRPr="005C77CC">
        <w:rPr>
          <w:rFonts w:ascii="標楷體" w:eastAsia="標楷體" w:hAnsi="標楷體"/>
        </w:rPr>
        <w:t>風險</w:t>
      </w:r>
      <w:r w:rsidRPr="005C77CC">
        <w:rPr>
          <w:rFonts w:ascii="標楷體" w:eastAsia="標楷體" w:hAnsi="標楷體" w:hint="eastAsia"/>
        </w:rPr>
        <w:t>暴險</w:t>
      </w:r>
      <w:proofErr w:type="gramEnd"/>
      <w:r w:rsidRPr="005C77CC">
        <w:rPr>
          <w:rFonts w:ascii="標楷體" w:eastAsia="標楷體" w:hAnsi="標楷體" w:hint="eastAsia"/>
        </w:rPr>
        <w:t>。</w:t>
      </w:r>
      <w:r w:rsidRPr="005C77CC">
        <w:rPr>
          <w:rFonts w:ascii="標楷體" w:eastAsia="標楷體" w:hAnsi="標楷體"/>
        </w:rPr>
        <w:t>此內部風險移轉之</w:t>
      </w:r>
      <w:proofErr w:type="gramStart"/>
      <w:r w:rsidRPr="005C77CC">
        <w:rPr>
          <w:rFonts w:ascii="標楷體" w:eastAsia="標楷體" w:hAnsi="標楷體"/>
        </w:rPr>
        <w:t>交易簿端</w:t>
      </w:r>
      <w:r w:rsidRPr="005C77CC">
        <w:rPr>
          <w:rFonts w:ascii="標楷體" w:eastAsia="標楷體" w:hAnsi="標楷體" w:hint="eastAsia"/>
          <w:color w:val="FF0000"/>
        </w:rPr>
        <w:t>若</w:t>
      </w:r>
      <w:proofErr w:type="gramEnd"/>
      <w:r w:rsidRPr="005C77CC">
        <w:rPr>
          <w:rFonts w:ascii="標楷體" w:eastAsia="標楷體" w:hAnsi="標楷體" w:hint="eastAsia"/>
          <w:color w:val="FF0000"/>
        </w:rPr>
        <w:t>為</w:t>
      </w:r>
      <w:r w:rsidRPr="005C77CC">
        <w:rPr>
          <w:rFonts w:ascii="標楷體" w:eastAsia="標楷體" w:hAnsi="標楷體"/>
        </w:rPr>
        <w:t>市場風險架構下的交易</w:t>
      </w:r>
      <w:proofErr w:type="gramStart"/>
      <w:r w:rsidRPr="005C77CC">
        <w:rPr>
          <w:rFonts w:ascii="標楷體" w:eastAsia="標楷體" w:hAnsi="標楷體"/>
        </w:rPr>
        <w:t>簿</w:t>
      </w:r>
      <w:proofErr w:type="gramEnd"/>
      <w:r w:rsidRPr="005C77CC">
        <w:rPr>
          <w:rFonts w:ascii="標楷體" w:eastAsia="標楷體" w:hAnsi="標楷體"/>
        </w:rPr>
        <w:t>工具，必</w:t>
      </w:r>
      <w:r w:rsidRPr="005C77CC">
        <w:rPr>
          <w:rFonts w:ascii="標楷體" w:eastAsia="標楷體" w:hAnsi="標楷體" w:hint="eastAsia"/>
        </w:rPr>
        <w:t>須</w:t>
      </w:r>
      <w:r w:rsidRPr="005C77CC">
        <w:rPr>
          <w:rFonts w:ascii="標楷體" w:eastAsia="標楷體" w:hAnsi="標楷體"/>
        </w:rPr>
        <w:t>完全符合下列件：</w:t>
      </w:r>
    </w:p>
    <w:p w:rsidR="00B53104" w:rsidRPr="005C77CC" w:rsidRDefault="00B53104" w:rsidP="00104E49">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hint="eastAsia"/>
        </w:rPr>
        <w:t>內部風險移轉</w:t>
      </w:r>
      <w:proofErr w:type="gramStart"/>
      <w:r w:rsidRPr="005C77CC">
        <w:rPr>
          <w:rFonts w:ascii="標楷體" w:eastAsia="標楷體" w:hAnsi="標楷體" w:cstheme="minorHAnsi" w:hint="eastAsia"/>
        </w:rPr>
        <w:t>與被</w:t>
      </w:r>
      <w:r w:rsidRPr="005C77CC">
        <w:rPr>
          <w:rFonts w:ascii="標楷體" w:eastAsia="標楷體" w:hAnsi="標楷體" w:cstheme="minorHAnsi"/>
        </w:rPr>
        <w:t>避險</w:t>
      </w:r>
      <w:proofErr w:type="gramEnd"/>
      <w:r w:rsidRPr="005C77CC">
        <w:rPr>
          <w:rFonts w:ascii="標楷體" w:eastAsia="標楷體" w:hAnsi="標楷體" w:cstheme="minorHAnsi"/>
        </w:rPr>
        <w:t>的銀行</w:t>
      </w:r>
      <w:proofErr w:type="gramStart"/>
      <w:r w:rsidRPr="005C77CC">
        <w:rPr>
          <w:rFonts w:ascii="標楷體" w:eastAsia="標楷體" w:hAnsi="標楷體" w:cstheme="minorHAnsi"/>
        </w:rPr>
        <w:t>簿</w:t>
      </w:r>
      <w:proofErr w:type="gramEnd"/>
      <w:r w:rsidRPr="005C77CC">
        <w:rPr>
          <w:rFonts w:ascii="標楷體" w:eastAsia="標楷體" w:hAnsi="標楷體" w:cstheme="minorHAnsi"/>
        </w:rPr>
        <w:t>利率風險</w:t>
      </w:r>
      <w:r w:rsidRPr="005C77CC">
        <w:rPr>
          <w:rFonts w:ascii="標楷體" w:eastAsia="標楷體" w:hAnsi="標楷體" w:cstheme="minorHAnsi" w:hint="eastAsia"/>
        </w:rPr>
        <w:t>及此類風險</w:t>
      </w:r>
      <w:proofErr w:type="gramStart"/>
      <w:r w:rsidRPr="005C77CC">
        <w:rPr>
          <w:rFonts w:ascii="標楷體" w:eastAsia="標楷體" w:hAnsi="標楷體" w:cstheme="minorHAnsi" w:hint="eastAsia"/>
        </w:rPr>
        <w:t>來源均應留存</w:t>
      </w:r>
      <w:proofErr w:type="gramEnd"/>
      <w:r w:rsidRPr="005C77CC">
        <w:rPr>
          <w:rFonts w:ascii="標楷體" w:eastAsia="標楷體" w:hAnsi="標楷體" w:cstheme="minorHAnsi"/>
        </w:rPr>
        <w:t>文件</w:t>
      </w:r>
      <w:r w:rsidRPr="005C77CC">
        <w:rPr>
          <w:rFonts w:ascii="Times New Roman" w:eastAsia="標楷體" w:hAnsi="Times New Roman" w:cs="Times New Roman"/>
        </w:rPr>
        <w:t>。</w:t>
      </w:r>
    </w:p>
    <w:p w:rsidR="00B53104" w:rsidRPr="005C77CC" w:rsidRDefault="00B53104" w:rsidP="00B53104">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rPr>
        <w:t>內部風險移轉</w:t>
      </w:r>
      <w:r w:rsidRPr="005C77CC">
        <w:rPr>
          <w:rFonts w:ascii="標楷體" w:eastAsia="標楷體" w:hAnsi="標楷體" w:cstheme="minorHAnsi" w:hint="eastAsia"/>
        </w:rPr>
        <w:t>應由被</w:t>
      </w:r>
      <w:r w:rsidRPr="005C77CC">
        <w:rPr>
          <w:rFonts w:ascii="標楷體" w:eastAsia="標楷體" w:hAnsi="標楷體" w:cstheme="minorHAnsi" w:hint="eastAsia"/>
          <w:lang w:eastAsia="zh-HK"/>
        </w:rPr>
        <w:t>金管</w:t>
      </w:r>
      <w:r w:rsidRPr="005C77CC">
        <w:rPr>
          <w:rFonts w:ascii="標楷體" w:eastAsia="標楷體" w:hAnsi="標楷體" w:cstheme="minorHAnsi"/>
        </w:rPr>
        <w:t>會所認可之專門且為此目的的內部風險移轉交易台所執行</w:t>
      </w:r>
      <w:r w:rsidRPr="005C77CC">
        <w:rPr>
          <w:rFonts w:ascii="Times New Roman" w:eastAsia="標楷體" w:hAnsi="Times New Roman" w:cs="Times New Roman"/>
        </w:rPr>
        <w:t>。</w:t>
      </w:r>
    </w:p>
    <w:p w:rsidR="00B53104" w:rsidRPr="00072D98" w:rsidRDefault="00B53104" w:rsidP="00B53104">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rPr>
        <w:t>內部風險移轉應獨立依據</w:t>
      </w:r>
      <w:r w:rsidRPr="005C77CC">
        <w:rPr>
          <w:rFonts w:ascii="標楷體" w:eastAsia="標楷體" w:hAnsi="標楷體" w:hint="eastAsia"/>
          <w:lang w:eastAsia="zh-HK"/>
        </w:rPr>
        <w:t>金管會銀行局</w:t>
      </w:r>
      <w:r w:rsidRPr="005C77CC">
        <w:rPr>
          <w:rFonts w:ascii="標楷體" w:eastAsia="標楷體" w:hAnsi="標楷體"/>
        </w:rPr>
        <w:t>「</w:t>
      </w:r>
      <w:r w:rsidRPr="005C77CC">
        <w:rPr>
          <w:rFonts w:ascii="標楷體" w:eastAsia="標楷體" w:hAnsi="標楷體" w:hint="eastAsia"/>
        </w:rPr>
        <w:t>銀行資本適足性及資本等級管理辦法</w:t>
      </w:r>
      <w:r w:rsidRPr="005C77CC">
        <w:rPr>
          <w:rFonts w:ascii="標楷體" w:eastAsia="標楷體" w:hAnsi="標楷體"/>
        </w:rPr>
        <w:t>」</w:t>
      </w:r>
      <w:r w:rsidRPr="005C77CC">
        <w:rPr>
          <w:rFonts w:ascii="標楷體" w:eastAsia="標楷體" w:hAnsi="標楷體" w:cstheme="minorHAnsi"/>
        </w:rPr>
        <w:t>計算說明之市場風險資本計提規則計算，以利與交易</w:t>
      </w:r>
      <w:proofErr w:type="gramStart"/>
      <w:r w:rsidRPr="005C77CC">
        <w:rPr>
          <w:rFonts w:ascii="標楷體" w:eastAsia="標楷體" w:hAnsi="標楷體" w:cstheme="minorHAnsi"/>
        </w:rPr>
        <w:t>簿</w:t>
      </w:r>
      <w:proofErr w:type="gramEnd"/>
      <w:r w:rsidRPr="005C77CC">
        <w:rPr>
          <w:rFonts w:ascii="標楷體" w:eastAsia="標楷體" w:hAnsi="標楷體" w:cstheme="minorHAnsi"/>
        </w:rPr>
        <w:t>其他交易所產生的一般利率風險或其他市場風險進行區別。</w:t>
      </w:r>
    </w:p>
    <w:p w:rsidR="00B53104" w:rsidRPr="00072D98" w:rsidRDefault="00B53104" w:rsidP="00B53104">
      <w:pPr>
        <w:pStyle w:val="a3"/>
        <w:numPr>
          <w:ilvl w:val="0"/>
          <w:numId w:val="31"/>
        </w:numPr>
        <w:spacing w:beforeLines="50" w:before="180"/>
        <w:ind w:leftChars="0"/>
        <w:jc w:val="both"/>
        <w:rPr>
          <w:rFonts w:ascii="Times New Roman" w:eastAsia="標楷體" w:hAnsi="Times New Roman" w:cs="Times New Roman"/>
        </w:rPr>
      </w:pPr>
      <w:r w:rsidRPr="00072D98">
        <w:rPr>
          <w:rFonts w:ascii="標楷體" w:eastAsia="標楷體" w:hAnsi="標楷體" w:cstheme="minorHAnsi" w:hint="eastAsia"/>
        </w:rPr>
        <w:t>符合上述</w:t>
      </w:r>
      <w:r w:rsidR="00390410">
        <w:rPr>
          <w:rFonts w:ascii="標楷體" w:eastAsia="標楷體" w:hAnsi="標楷體" w:cstheme="minorHAnsi" w:hint="eastAsia"/>
        </w:rPr>
        <w:t>(1)</w:t>
      </w:r>
      <w:r w:rsidRPr="00072D98">
        <w:rPr>
          <w:rFonts w:ascii="標楷體" w:eastAsia="標楷體" w:hAnsi="標楷體" w:cstheme="minorHAnsi" w:hint="eastAsia"/>
        </w:rPr>
        <w:t>、</w:t>
      </w:r>
      <w:r w:rsidR="00390410">
        <w:rPr>
          <w:rFonts w:ascii="標楷體" w:eastAsia="標楷體" w:hAnsi="標楷體" w:cstheme="minorHAnsi" w:hint="eastAsia"/>
        </w:rPr>
        <w:t>(2)</w:t>
      </w:r>
      <w:r w:rsidRPr="00072D98">
        <w:rPr>
          <w:rFonts w:ascii="標楷體" w:eastAsia="標楷體" w:hAnsi="標楷體" w:cstheme="minorHAnsi" w:hint="eastAsia"/>
        </w:rPr>
        <w:t>、</w:t>
      </w:r>
      <w:r w:rsidR="00390410">
        <w:rPr>
          <w:rFonts w:ascii="標楷體" w:eastAsia="標楷體" w:hAnsi="標楷體" w:cstheme="minorHAnsi" w:hint="eastAsia"/>
        </w:rPr>
        <w:t>(3)</w:t>
      </w:r>
      <w:r w:rsidRPr="00072D98">
        <w:rPr>
          <w:rFonts w:ascii="標楷體" w:eastAsia="標楷體" w:hAnsi="標楷體" w:cstheme="minorHAnsi" w:hint="eastAsia"/>
        </w:rPr>
        <w:t>條件，</w:t>
      </w:r>
      <w:r w:rsidRPr="00072D98">
        <w:rPr>
          <w:rFonts w:ascii="Times New Roman" w:eastAsia="標楷體" w:hAnsi="Times New Roman" w:cs="Times New Roman"/>
        </w:rPr>
        <w:t>則此內部風險移轉之</w:t>
      </w:r>
      <w:proofErr w:type="gramStart"/>
      <w:r w:rsidRPr="00072D98">
        <w:rPr>
          <w:rFonts w:ascii="Times New Roman" w:eastAsia="標楷體" w:hAnsi="Times New Roman" w:cs="Times New Roman"/>
        </w:rPr>
        <w:t>銀行簿端必須</w:t>
      </w:r>
      <w:proofErr w:type="gramEnd"/>
      <w:r w:rsidRPr="00072D98">
        <w:rPr>
          <w:rFonts w:ascii="Times New Roman" w:eastAsia="標楷體" w:hAnsi="Times New Roman" w:cs="Times New Roman"/>
        </w:rPr>
        <w:t>被計入以法定資本為目的之銀行</w:t>
      </w:r>
      <w:proofErr w:type="gramStart"/>
      <w:r w:rsidRPr="00072D98">
        <w:rPr>
          <w:rFonts w:ascii="Times New Roman" w:eastAsia="標楷體" w:hAnsi="Times New Roman" w:cs="Times New Roman"/>
        </w:rPr>
        <w:t>簿</w:t>
      </w:r>
      <w:proofErr w:type="gramEnd"/>
      <w:r w:rsidRPr="00072D98">
        <w:rPr>
          <w:rFonts w:ascii="Times New Roman" w:eastAsia="標楷體" w:hAnsi="Times New Roman" w:cs="Times New Roman"/>
        </w:rPr>
        <w:t>利率</w:t>
      </w:r>
      <w:proofErr w:type="gramStart"/>
      <w:r w:rsidRPr="00072D98">
        <w:rPr>
          <w:rFonts w:ascii="Times New Roman" w:eastAsia="標楷體" w:hAnsi="Times New Roman" w:cs="Times New Roman"/>
        </w:rPr>
        <w:t>風險暴險衡量</w:t>
      </w:r>
      <w:proofErr w:type="gramEnd"/>
      <w:r w:rsidRPr="00072D98">
        <w:rPr>
          <w:rFonts w:ascii="Times New Roman" w:eastAsia="標楷體" w:hAnsi="Times New Roman" w:cs="Times New Roman"/>
        </w:rPr>
        <w:t>。</w:t>
      </w:r>
    </w:p>
    <w:p w:rsidR="00B53104" w:rsidRPr="00072D98" w:rsidRDefault="00B53104" w:rsidP="00B53104">
      <w:pPr>
        <w:pStyle w:val="a3"/>
        <w:numPr>
          <w:ilvl w:val="0"/>
          <w:numId w:val="31"/>
        </w:numPr>
        <w:spacing w:beforeLines="50" w:before="180"/>
        <w:ind w:leftChars="0"/>
        <w:jc w:val="both"/>
        <w:rPr>
          <w:rFonts w:ascii="Times New Roman" w:eastAsia="標楷體" w:hAnsi="Times New Roman" w:cs="Times New Roman"/>
        </w:rPr>
      </w:pPr>
      <w:r w:rsidRPr="00A14E2D">
        <w:rPr>
          <w:rFonts w:ascii="Times New Roman" w:eastAsia="標楷體" w:hAnsi="Times New Roman" w:cs="Times New Roman" w:hint="eastAsia"/>
          <w:strike/>
          <w:highlight w:val="yellow"/>
        </w:rPr>
        <w:lastRenderedPageBreak/>
        <w:t>主管</w:t>
      </w:r>
      <w:r w:rsidRPr="00A14E2D">
        <w:rPr>
          <w:rFonts w:ascii="Times New Roman" w:eastAsia="標楷體" w:hAnsi="Times New Roman" w:cs="Times New Roman"/>
          <w:strike/>
          <w:highlight w:val="yellow"/>
        </w:rPr>
        <w:t>機關</w:t>
      </w:r>
      <w:r w:rsidR="00A14E2D" w:rsidRPr="00A14E2D">
        <w:rPr>
          <w:rFonts w:ascii="Times New Roman" w:eastAsia="標楷體" w:hAnsi="Times New Roman" w:cs="Times New Roman" w:hint="eastAsia"/>
          <w:highlight w:val="yellow"/>
        </w:rPr>
        <w:t>金管會</w:t>
      </w:r>
      <w:bookmarkStart w:id="5" w:name="_GoBack"/>
      <w:bookmarkEnd w:id="5"/>
      <w:r w:rsidRPr="00072D98">
        <w:rPr>
          <w:rFonts w:ascii="Times New Roman" w:eastAsia="標楷體" w:hAnsi="Times New Roman" w:cs="Times New Roman"/>
        </w:rPr>
        <w:t>核可的內部風險移轉交易台可以</w:t>
      </w:r>
      <w:proofErr w:type="gramStart"/>
      <w:r w:rsidRPr="00072D98">
        <w:rPr>
          <w:rFonts w:ascii="Times New Roman" w:eastAsia="標楷體" w:hAnsi="Times New Roman" w:cs="Times New Roman"/>
        </w:rPr>
        <w:t>計入從市場</w:t>
      </w:r>
      <w:proofErr w:type="gramEnd"/>
      <w:r w:rsidRPr="00072D98">
        <w:rPr>
          <w:rFonts w:ascii="Times New Roman" w:eastAsia="標楷體" w:hAnsi="Times New Roman" w:cs="Times New Roman"/>
        </w:rPr>
        <w:t>上購入的金融工具</w:t>
      </w:r>
      <w:r w:rsidRPr="00072D98">
        <w:rPr>
          <w:rFonts w:ascii="標楷體" w:eastAsia="標楷體" w:hAnsi="標楷體" w:cs="Times New Roman" w:hint="eastAsia"/>
        </w:rPr>
        <w:t>；</w:t>
      </w:r>
      <w:r w:rsidRPr="00072D98">
        <w:rPr>
          <w:rFonts w:ascii="Times New Roman" w:eastAsia="標楷體" w:hAnsi="Times New Roman" w:cs="Times New Roman" w:hint="eastAsia"/>
        </w:rPr>
        <w:t>亦</w:t>
      </w:r>
      <w:r w:rsidRPr="00072D98">
        <w:rPr>
          <w:rFonts w:ascii="Times New Roman" w:eastAsia="標楷體" w:hAnsi="Times New Roman" w:cs="Times New Roman"/>
        </w:rPr>
        <w:t>可以透過其他非內部風險移轉的交易台擔任中介商到市場進行外部避險，</w:t>
      </w:r>
      <w:r w:rsidRPr="00072D98">
        <w:rPr>
          <w:rFonts w:ascii="Times New Roman" w:eastAsia="標楷體" w:hAnsi="Times New Roman" w:cs="Times New Roman" w:hint="eastAsia"/>
        </w:rPr>
        <w:t>但須</w:t>
      </w:r>
      <w:r w:rsidRPr="00072D98">
        <w:rPr>
          <w:rFonts w:ascii="Times New Roman" w:eastAsia="標楷體" w:hAnsi="Times New Roman" w:cs="Times New Roman"/>
        </w:rPr>
        <w:t>移轉的一般利率風險與市場上的外部避險交易完全相符的情況下適用。</w:t>
      </w:r>
    </w:p>
    <w:p w:rsidR="00EF3461" w:rsidRPr="00104E49" w:rsidRDefault="00104E49" w:rsidP="00104E49">
      <w:pPr>
        <w:pStyle w:val="a3"/>
        <w:numPr>
          <w:ilvl w:val="0"/>
          <w:numId w:val="3"/>
        </w:numPr>
        <w:spacing w:beforeLines="50" w:before="180"/>
        <w:ind w:leftChars="0"/>
        <w:jc w:val="both"/>
        <w:outlineLvl w:val="2"/>
        <w:rPr>
          <w:rFonts w:ascii="標楷體" w:eastAsia="標楷體" w:hAnsi="標楷體" w:cs="Times New Roman"/>
        </w:rPr>
      </w:pPr>
      <w:bookmarkStart w:id="6" w:name="_Toc35299650"/>
      <w:r w:rsidRPr="00104E49">
        <w:rPr>
          <w:rFonts w:ascii="標楷體" w:eastAsia="標楷體" w:hAnsi="標楷體" w:cs="Times New Roman"/>
        </w:rPr>
        <w:t>納入市場風險資本要求範疇的內部風險移轉</w:t>
      </w:r>
      <w:bookmarkEnd w:id="6"/>
    </w:p>
    <w:p w:rsidR="00104E49" w:rsidRDefault="00EF3461" w:rsidP="00104E49">
      <w:pPr>
        <w:pStyle w:val="a3"/>
        <w:numPr>
          <w:ilvl w:val="1"/>
          <w:numId w:val="33"/>
        </w:numPr>
        <w:spacing w:beforeLines="50" w:before="180"/>
        <w:ind w:leftChars="0"/>
        <w:jc w:val="both"/>
        <w:rPr>
          <w:rFonts w:ascii="標楷體" w:eastAsia="標楷體" w:hAnsi="標楷體" w:cs="Times New Roman"/>
        </w:rPr>
      </w:pPr>
      <w:r w:rsidRPr="00104E49">
        <w:rPr>
          <w:rFonts w:ascii="標楷體" w:eastAsia="標楷體" w:hAnsi="標楷體" w:cs="Times New Roman"/>
        </w:rPr>
        <w:t>應納入市場風險資本要求範疇的交易</w:t>
      </w:r>
      <w:proofErr w:type="gramStart"/>
      <w:r w:rsidRPr="00104E49">
        <w:rPr>
          <w:rFonts w:ascii="標楷體" w:eastAsia="標楷體" w:hAnsi="標楷體" w:cs="Times New Roman"/>
        </w:rPr>
        <w:t>台間的內部</w:t>
      </w:r>
      <w:proofErr w:type="gramEnd"/>
      <w:r w:rsidRPr="00104E49">
        <w:rPr>
          <w:rFonts w:ascii="標楷體" w:eastAsia="標楷體" w:hAnsi="標楷體" w:cs="Times New Roman"/>
        </w:rPr>
        <w:t>風險移轉（包括銀行</w:t>
      </w:r>
      <w:proofErr w:type="gramStart"/>
      <w:r w:rsidRPr="00104E49">
        <w:rPr>
          <w:rFonts w:ascii="標楷體" w:eastAsia="標楷體" w:hAnsi="標楷體" w:cs="Times New Roman"/>
        </w:rPr>
        <w:t>簿</w:t>
      </w:r>
      <w:proofErr w:type="gramEnd"/>
      <w:r w:rsidRPr="00104E49">
        <w:rPr>
          <w:rFonts w:ascii="標楷體" w:eastAsia="標楷體" w:hAnsi="標楷體" w:cs="Times New Roman"/>
        </w:rPr>
        <w:t>外匯風險以及商品風險）一般將受到法定資本認可。惟有符合</w:t>
      </w:r>
      <w:r w:rsidRPr="004E583D">
        <w:rPr>
          <w:rFonts w:ascii="標楷體" w:eastAsia="標楷體" w:hAnsi="標楷體" w:cs="Times New Roman"/>
          <w:color w:val="FF0000"/>
        </w:rPr>
        <w:t>[RBC25.25]</w:t>
      </w:r>
      <w:r w:rsidRPr="00104E49">
        <w:rPr>
          <w:rFonts w:ascii="標楷體" w:eastAsia="標楷體" w:hAnsi="標楷體" w:cs="Times New Roman"/>
        </w:rPr>
        <w:t>至</w:t>
      </w:r>
      <w:r w:rsidRPr="004E583D">
        <w:rPr>
          <w:rFonts w:ascii="標楷體" w:eastAsia="標楷體" w:hAnsi="標楷體" w:cs="Times New Roman"/>
          <w:color w:val="FF0000"/>
        </w:rPr>
        <w:t>[RBC25.27]</w:t>
      </w:r>
      <w:r w:rsidRPr="00104E49">
        <w:rPr>
          <w:rFonts w:ascii="標楷體" w:eastAsia="標楷體" w:hAnsi="標楷體" w:cs="Times New Roman"/>
        </w:rPr>
        <w:t>之限制，內部風險移轉交易台與其他交易</w:t>
      </w:r>
      <w:proofErr w:type="gramStart"/>
      <w:r w:rsidRPr="00104E49">
        <w:rPr>
          <w:rFonts w:ascii="標楷體" w:eastAsia="標楷體" w:hAnsi="標楷體" w:cs="Times New Roman"/>
        </w:rPr>
        <w:t>台間的內部</w:t>
      </w:r>
      <w:proofErr w:type="gramEnd"/>
      <w:r w:rsidRPr="00104E49">
        <w:rPr>
          <w:rFonts w:ascii="標楷體" w:eastAsia="標楷體" w:hAnsi="標楷體" w:cs="Times New Roman"/>
        </w:rPr>
        <w:t>風險移轉才能受到法定資本認可。</w:t>
      </w:r>
    </w:p>
    <w:p w:rsidR="001E64BA" w:rsidRPr="00104E49" w:rsidRDefault="00EF3461" w:rsidP="00104E49">
      <w:pPr>
        <w:pStyle w:val="a3"/>
        <w:numPr>
          <w:ilvl w:val="1"/>
          <w:numId w:val="33"/>
        </w:numPr>
        <w:spacing w:beforeLines="50" w:before="180"/>
        <w:ind w:leftChars="0"/>
        <w:jc w:val="both"/>
        <w:rPr>
          <w:rFonts w:ascii="標楷體" w:eastAsia="標楷體" w:hAnsi="標楷體" w:cs="Times New Roman"/>
        </w:rPr>
      </w:pPr>
      <w:r w:rsidRPr="00104E49">
        <w:rPr>
          <w:rFonts w:ascii="標楷體" w:eastAsia="標楷體" w:hAnsi="標楷體" w:cs="Times New Roman"/>
        </w:rPr>
        <w:t>內部風險移轉的</w:t>
      </w:r>
      <w:proofErr w:type="gramStart"/>
      <w:r w:rsidRPr="00104E49">
        <w:rPr>
          <w:rFonts w:ascii="標楷體" w:eastAsia="標楷體" w:hAnsi="標楷體" w:cs="Times New Roman"/>
        </w:rPr>
        <w:t>交易簿端必須</w:t>
      </w:r>
      <w:proofErr w:type="gramEnd"/>
      <w:r w:rsidRPr="00104E49">
        <w:rPr>
          <w:rFonts w:ascii="標楷體" w:eastAsia="標楷體" w:hAnsi="標楷體" w:cs="Times New Roman"/>
        </w:rPr>
        <w:t>符合</w:t>
      </w:r>
      <w:r w:rsidRPr="004E583D">
        <w:rPr>
          <w:rFonts w:ascii="標楷體" w:eastAsia="標楷體" w:hAnsi="標楷體" w:cs="Times New Roman"/>
          <w:color w:val="FF0000"/>
        </w:rPr>
        <w:t>[RBC25]</w:t>
      </w:r>
      <w:r w:rsidRPr="00104E49">
        <w:rPr>
          <w:rFonts w:ascii="標楷體" w:eastAsia="標楷體" w:hAnsi="標楷體" w:cs="Times New Roman"/>
        </w:rPr>
        <w:t>中與外部交易對手交易之交易</w:t>
      </w:r>
      <w:proofErr w:type="gramStart"/>
      <w:r w:rsidRPr="00104E49">
        <w:rPr>
          <w:rFonts w:ascii="標楷體" w:eastAsia="標楷體" w:hAnsi="標楷體" w:cs="Times New Roman"/>
        </w:rPr>
        <w:t>簿</w:t>
      </w:r>
      <w:proofErr w:type="gramEnd"/>
      <w:r w:rsidRPr="00104E49">
        <w:rPr>
          <w:rFonts w:ascii="標楷體" w:eastAsia="標楷體" w:hAnsi="標楷體" w:cs="Times New Roman"/>
        </w:rPr>
        <w:t>金融工具的相同規定</w:t>
      </w:r>
      <w:r w:rsidRPr="00104E49">
        <w:rPr>
          <w:rFonts w:ascii="標楷體" w:eastAsia="標楷體" w:hAnsi="標楷體" w:cs="Times New Roman"/>
          <w:b/>
        </w:rPr>
        <w:t>。</w:t>
      </w:r>
    </w:p>
    <w:p w:rsidR="00350CBB" w:rsidRPr="00E27AEA" w:rsidRDefault="00DA6114" w:rsidP="00E27AEA">
      <w:pPr>
        <w:pStyle w:val="a3"/>
        <w:numPr>
          <w:ilvl w:val="0"/>
          <w:numId w:val="3"/>
        </w:numPr>
        <w:spacing w:beforeLines="50" w:before="180"/>
        <w:ind w:leftChars="0"/>
        <w:jc w:val="both"/>
        <w:rPr>
          <w:rFonts w:ascii="標楷體" w:eastAsia="標楷體" w:hAnsi="標楷體"/>
          <w:lang w:eastAsia="zh-HK"/>
        </w:rPr>
      </w:pPr>
      <w:r w:rsidRPr="00E27AEA">
        <w:rPr>
          <w:rFonts w:ascii="標楷體" w:eastAsia="標楷體" w:hAnsi="標楷體" w:hint="eastAsia"/>
          <w:lang w:eastAsia="zh-HK"/>
        </w:rPr>
        <w:t>信用評價調整</w:t>
      </w:r>
      <w:r w:rsidR="00250695" w:rsidRPr="00E27AEA">
        <w:rPr>
          <w:rFonts w:ascii="標楷體" w:eastAsia="標楷體" w:hAnsi="標楷體" w:hint="eastAsia"/>
          <w:lang w:eastAsia="zh-HK"/>
        </w:rPr>
        <w:t>資本要求之合格避險</w:t>
      </w:r>
    </w:p>
    <w:p w:rsidR="003E4EC2" w:rsidRPr="003E4EC2" w:rsidRDefault="00650068" w:rsidP="00104E49">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被計入信用評價調整(CVA)資本要求之合格外部避險，必須排除</w:t>
      </w:r>
      <w:r w:rsidR="003E4EC2" w:rsidRPr="003E4EC2">
        <w:rPr>
          <w:rFonts w:ascii="標楷體" w:eastAsia="標楷體" w:hAnsi="標楷體" w:cstheme="minorHAnsi" w:hint="eastAsia"/>
        </w:rPr>
        <w:t xml:space="preserve">  </w:t>
      </w:r>
      <w:r w:rsidR="003E4EC2" w:rsidRPr="003E4EC2">
        <w:rPr>
          <w:rFonts w:ascii="標楷體" w:eastAsia="標楷體" w:hAnsi="標楷體" w:cstheme="minorHAnsi"/>
        </w:rPr>
        <w:t xml:space="preserve">    </w:t>
      </w:r>
      <w:r w:rsidRPr="003E4EC2">
        <w:rPr>
          <w:rFonts w:ascii="標楷體" w:eastAsia="標楷體" w:hAnsi="標楷體" w:cstheme="minorHAnsi"/>
        </w:rPr>
        <w:t>於銀行的市場風險資本要求計算。</w:t>
      </w:r>
    </w:p>
    <w:p w:rsidR="003E4EC2" w:rsidRPr="003E4EC2" w:rsidRDefault="003E4EC2"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 xml:space="preserve"> </w:t>
      </w:r>
      <w:r w:rsidR="00650068" w:rsidRPr="003E4EC2">
        <w:rPr>
          <w:rFonts w:ascii="標楷體" w:eastAsia="標楷體" w:hAnsi="標楷體" w:cstheme="minorHAnsi"/>
        </w:rPr>
        <w:t>CVA投資組合和交易</w:t>
      </w:r>
      <w:proofErr w:type="gramStart"/>
      <w:r w:rsidR="00650068" w:rsidRPr="003E4EC2">
        <w:rPr>
          <w:rFonts w:ascii="標楷體" w:eastAsia="標楷體" w:hAnsi="標楷體" w:cstheme="minorHAnsi"/>
        </w:rPr>
        <w:t>簿間可進行</w:t>
      </w:r>
      <w:proofErr w:type="gramEnd"/>
      <w:r w:rsidR="00650068" w:rsidRPr="003E4EC2">
        <w:rPr>
          <w:rFonts w:ascii="標楷體" w:eastAsia="標楷體" w:hAnsi="標楷體" w:cstheme="minorHAnsi"/>
        </w:rPr>
        <w:t>內部風險移轉，包括CVA投資組</w:t>
      </w:r>
      <w:r w:rsidRPr="003E4EC2">
        <w:rPr>
          <w:rFonts w:ascii="標楷體" w:eastAsia="標楷體" w:hAnsi="標楷體" w:cstheme="minorHAnsi" w:hint="eastAsia"/>
        </w:rPr>
        <w:t xml:space="preserve"> </w:t>
      </w:r>
      <w:proofErr w:type="gramStart"/>
      <w:r w:rsidR="00650068" w:rsidRPr="003E4EC2">
        <w:rPr>
          <w:rFonts w:ascii="標楷體" w:eastAsia="標楷體" w:hAnsi="標楷體" w:cstheme="minorHAnsi"/>
        </w:rPr>
        <w:t>合端和</w:t>
      </w:r>
      <w:proofErr w:type="gramEnd"/>
      <w:r w:rsidR="00650068" w:rsidRPr="003E4EC2">
        <w:rPr>
          <w:rFonts w:ascii="標楷體" w:eastAsia="標楷體" w:hAnsi="標楷體" w:cstheme="minorHAnsi"/>
        </w:rPr>
        <w:t>非CVA投資組合端。若內部風險移轉的CVA</w:t>
      </w:r>
      <w:proofErr w:type="gramStart"/>
      <w:r w:rsidR="00650068" w:rsidRPr="003E4EC2">
        <w:rPr>
          <w:rFonts w:ascii="標楷體" w:eastAsia="標楷體" w:hAnsi="標楷體" w:cstheme="minorHAnsi"/>
        </w:rPr>
        <w:t>投資組合端於</w:t>
      </w:r>
      <w:proofErr w:type="gramEnd"/>
      <w:r w:rsidR="00605AE5">
        <w:rPr>
          <w:rFonts w:ascii="標楷體" w:eastAsia="標楷體" w:hAnsi="標楷體" w:cstheme="minorHAnsi" w:hint="eastAsia"/>
        </w:rPr>
        <w:t>C</w:t>
      </w:r>
      <w:r w:rsidR="00650068" w:rsidRPr="003E4EC2">
        <w:rPr>
          <w:rFonts w:ascii="標楷體" w:eastAsia="標楷體" w:hAnsi="標楷體" w:cstheme="minorHAnsi"/>
        </w:rPr>
        <w:t>VA風險資本要求中認列，則CVA</w:t>
      </w:r>
      <w:proofErr w:type="gramStart"/>
      <w:r w:rsidR="00650068" w:rsidRPr="003E4EC2">
        <w:rPr>
          <w:rFonts w:ascii="標楷體" w:eastAsia="標楷體" w:hAnsi="標楷體" w:cstheme="minorHAnsi"/>
        </w:rPr>
        <w:t>投資組合端應排除</w:t>
      </w:r>
      <w:proofErr w:type="gramEnd"/>
      <w:r w:rsidR="00650068" w:rsidRPr="003E4EC2">
        <w:rPr>
          <w:rFonts w:ascii="標楷體" w:eastAsia="標楷體" w:hAnsi="標楷體" w:cstheme="minorHAnsi"/>
        </w:rPr>
        <w:t>於市場風險資本要求，而非CVA</w:t>
      </w:r>
      <w:proofErr w:type="gramStart"/>
      <w:r w:rsidR="00650068" w:rsidRPr="003E4EC2">
        <w:rPr>
          <w:rFonts w:ascii="標楷體" w:eastAsia="標楷體" w:hAnsi="標楷體" w:cstheme="minorHAnsi"/>
        </w:rPr>
        <w:t>投資組合端應納入</w:t>
      </w:r>
      <w:proofErr w:type="gramEnd"/>
      <w:r w:rsidR="00650068" w:rsidRPr="003E4EC2">
        <w:rPr>
          <w:rFonts w:ascii="標楷體" w:eastAsia="標楷體" w:hAnsi="標楷體" w:cstheme="minorHAnsi"/>
        </w:rPr>
        <w:t>市場風險資本要求。</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內部風險移轉須</w:t>
      </w:r>
      <w:proofErr w:type="gramStart"/>
      <w:r w:rsidRPr="003E4EC2">
        <w:rPr>
          <w:rFonts w:ascii="標楷體" w:eastAsia="標楷體" w:hAnsi="標楷體" w:cstheme="minorHAnsi"/>
        </w:rPr>
        <w:t>具有被避險</w:t>
      </w:r>
      <w:proofErr w:type="gramEnd"/>
      <w:r w:rsidRPr="003E4EC2">
        <w:rPr>
          <w:rFonts w:ascii="標楷體" w:eastAsia="標楷體" w:hAnsi="標楷體" w:cstheme="minorHAnsi"/>
        </w:rPr>
        <w:t>的CVA風險及其風險來源的證明文件，始可適用CVA風險移轉之資本要求規定。</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交易</w:t>
      </w:r>
      <w:proofErr w:type="gramStart"/>
      <w:r w:rsidRPr="003E4EC2">
        <w:rPr>
          <w:rFonts w:ascii="標楷體" w:eastAsia="標楷體" w:hAnsi="標楷體" w:cstheme="minorHAnsi"/>
        </w:rPr>
        <w:t>簿</w:t>
      </w:r>
      <w:proofErr w:type="gramEnd"/>
      <w:r w:rsidRPr="003E4EC2">
        <w:rPr>
          <w:rFonts w:ascii="標楷體" w:eastAsia="標楷體" w:hAnsi="標楷體" w:cstheme="minorHAnsi"/>
        </w:rPr>
        <w:t>使用由合格第三方保障提供者所提供之外部避險，且此外部避險完全符合內部風險移轉，則內部CVA風險移轉依本計算說明之標準法計算的curvature、違約風險或殘餘風險附加金額，須在CVA投資組合資本要求和市場風險資本要求中認列。</w:t>
      </w:r>
      <w:r w:rsidR="003E4EC2" w:rsidRPr="003E4EC2">
        <w:rPr>
          <w:rFonts w:ascii="標楷體" w:eastAsia="標楷體" w:hAnsi="標楷體" w:cstheme="minorHAnsi" w:hint="eastAsia"/>
        </w:rPr>
        <w:t xml:space="preserve"> </w:t>
      </w:r>
    </w:p>
    <w:p w:rsidR="00650068" w:rsidRPr="00D66A57" w:rsidRDefault="00650068" w:rsidP="001479B8">
      <w:pPr>
        <w:pStyle w:val="a3"/>
        <w:widowControl w:val="0"/>
        <w:numPr>
          <w:ilvl w:val="1"/>
          <w:numId w:val="15"/>
        </w:numPr>
        <w:spacing w:beforeLines="50" w:before="180"/>
        <w:ind w:leftChars="0"/>
        <w:jc w:val="both"/>
        <w:rPr>
          <w:rFonts w:ascii="標楷體" w:eastAsia="標楷體" w:hAnsi="標楷體"/>
          <w:lang w:eastAsia="zh-HK"/>
        </w:rPr>
      </w:pPr>
      <w:r w:rsidRPr="00D66A57">
        <w:rPr>
          <w:rFonts w:ascii="標楷體" w:eastAsia="標楷體" w:hAnsi="標楷體" w:cstheme="minorHAnsi"/>
        </w:rPr>
        <w:t>只要符合第二點第1項的要求，CVA投資組合和交易</w:t>
      </w:r>
      <w:proofErr w:type="gramStart"/>
      <w:r w:rsidRPr="00D66A57">
        <w:rPr>
          <w:rFonts w:ascii="標楷體" w:eastAsia="標楷體" w:hAnsi="標楷體" w:cstheme="minorHAnsi"/>
        </w:rPr>
        <w:t>簿間的內部</w:t>
      </w:r>
      <w:proofErr w:type="gramEnd"/>
      <w:r w:rsidRPr="00D66A57">
        <w:rPr>
          <w:rFonts w:ascii="標楷體" w:eastAsia="標楷體" w:hAnsi="標楷體" w:cstheme="minorHAnsi" w:hint="eastAsia"/>
        </w:rPr>
        <w:t>風險移轉可用於規避對交易簿或銀行</w:t>
      </w:r>
      <w:proofErr w:type="gramStart"/>
      <w:r w:rsidRPr="00D66A57">
        <w:rPr>
          <w:rFonts w:ascii="標楷體" w:eastAsia="標楷體" w:hAnsi="標楷體" w:cstheme="minorHAnsi" w:hint="eastAsia"/>
        </w:rPr>
        <w:t>簿</w:t>
      </w:r>
      <w:proofErr w:type="gramEnd"/>
      <w:r w:rsidRPr="00D66A57">
        <w:rPr>
          <w:rFonts w:ascii="標楷體" w:eastAsia="標楷體" w:hAnsi="標楷體" w:cstheme="minorHAnsi" w:hint="eastAsia"/>
        </w:rPr>
        <w:t>衍生性工具的交易對手信用</w:t>
      </w:r>
      <w:proofErr w:type="gramStart"/>
      <w:r w:rsidRPr="00D66A57">
        <w:rPr>
          <w:rFonts w:ascii="標楷體" w:eastAsia="標楷體" w:hAnsi="標楷體" w:cstheme="minorHAnsi" w:hint="eastAsia"/>
        </w:rPr>
        <w:t>風險暴險</w:t>
      </w:r>
      <w:proofErr w:type="gramEnd"/>
      <w:r w:rsidRPr="00D66A57">
        <w:rPr>
          <w:rFonts w:ascii="標楷體" w:eastAsia="標楷體" w:hAnsi="標楷體" w:cstheme="minorHAnsi" w:hint="eastAsia"/>
        </w:rPr>
        <w:t xml:space="preserve"> </w:t>
      </w:r>
      <w:r w:rsidRPr="00D66A57">
        <w:rPr>
          <w:rFonts w:ascii="標楷體" w:eastAsia="標楷體" w:hAnsi="標楷體" w:cstheme="minorHAnsi"/>
        </w:rPr>
        <w:t>。</w:t>
      </w:r>
    </w:p>
    <w:p w:rsidR="00D66A57" w:rsidRPr="00D66A57" w:rsidRDefault="00D66A57" w:rsidP="00D66A57">
      <w:pPr>
        <w:pStyle w:val="a3"/>
        <w:widowControl w:val="0"/>
        <w:spacing w:beforeLines="50" w:before="180"/>
        <w:ind w:leftChars="0" w:left="1352"/>
        <w:jc w:val="both"/>
        <w:rPr>
          <w:rFonts w:ascii="標楷體" w:eastAsia="標楷體" w:hAnsi="標楷體"/>
          <w:lang w:eastAsia="zh-HK"/>
        </w:rPr>
      </w:pPr>
    </w:p>
    <w:p w:rsidR="00EB3F78" w:rsidRPr="003432E4" w:rsidRDefault="00EB3F78" w:rsidP="009F0ECC">
      <w:pPr>
        <w:pStyle w:val="a3"/>
        <w:numPr>
          <w:ilvl w:val="0"/>
          <w:numId w:val="3"/>
        </w:numPr>
        <w:ind w:leftChars="0" w:hangingChars="177"/>
        <w:outlineLvl w:val="0"/>
        <w:rPr>
          <w:rFonts w:ascii="標楷體" w:eastAsia="標楷體" w:hAnsi="標楷體"/>
        </w:rPr>
      </w:pPr>
      <w:bookmarkStart w:id="7" w:name="_Toc111194933"/>
      <w:r w:rsidRPr="003432E4">
        <w:rPr>
          <w:rFonts w:ascii="標楷體" w:eastAsia="標楷體" w:hAnsi="標楷體" w:hint="eastAsia"/>
        </w:rPr>
        <w:t>其他管理事項</w:t>
      </w:r>
      <w:bookmarkEnd w:id="7"/>
    </w:p>
    <w:p w:rsidR="003911F2" w:rsidRPr="00F62282" w:rsidRDefault="00023115"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hint="eastAsia"/>
          <w:lang w:eastAsia="zh-HK"/>
        </w:rPr>
        <w:t>部位</w:t>
      </w:r>
      <w:r w:rsidR="007C3621" w:rsidRPr="00F62282">
        <w:rPr>
          <w:rFonts w:ascii="標楷體" w:eastAsia="標楷體" w:hAnsi="標楷體" w:hint="eastAsia"/>
        </w:rPr>
        <w:t>風險</w:t>
      </w:r>
      <w:r w:rsidR="0010507B" w:rsidRPr="00F62282">
        <w:rPr>
          <w:rFonts w:ascii="標楷體" w:eastAsia="標楷體" w:hAnsi="標楷體" w:hint="eastAsia"/>
        </w:rPr>
        <w:t>胃納</w:t>
      </w:r>
      <w:r w:rsidRPr="00F62282">
        <w:rPr>
          <w:rFonts w:ascii="標楷體" w:eastAsia="標楷體" w:hAnsi="標楷體" w:hint="eastAsia"/>
          <w:lang w:eastAsia="zh-HK"/>
        </w:rPr>
        <w:t>管理</w:t>
      </w:r>
      <w:r w:rsidR="003911F2" w:rsidRPr="00F62282">
        <w:rPr>
          <w:rFonts w:ascii="標楷體" w:eastAsia="標楷體" w:hAnsi="標楷體"/>
        </w:rPr>
        <w:t>須</w:t>
      </w:r>
      <w:r w:rsidR="00B76033" w:rsidRPr="00F62282">
        <w:rPr>
          <w:rFonts w:ascii="標楷體" w:eastAsia="標楷體" w:hAnsi="標楷體" w:hint="eastAsia"/>
          <w:lang w:eastAsia="zh-HK"/>
        </w:rPr>
        <w:t>指明</w:t>
      </w:r>
      <w:r w:rsidR="003911F2" w:rsidRPr="00F62282">
        <w:rPr>
          <w:rFonts w:ascii="標楷體" w:eastAsia="標楷體" w:hAnsi="標楷體"/>
        </w:rPr>
        <w:t>下列事項：</w:t>
      </w:r>
    </w:p>
    <w:p w:rsidR="003911F2" w:rsidRPr="00F62282" w:rsidRDefault="0072708F"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交易</w:t>
      </w:r>
      <w:r w:rsidR="0010507B" w:rsidRPr="00F62282">
        <w:rPr>
          <w:rFonts w:ascii="標楷體" w:eastAsia="標楷體" w:hAnsi="標楷體" w:hint="eastAsia"/>
        </w:rPr>
        <w:t>標的，含</w:t>
      </w:r>
      <w:proofErr w:type="gramStart"/>
      <w:r w:rsidR="0010507B" w:rsidRPr="00F62282">
        <w:rPr>
          <w:rFonts w:ascii="標楷體" w:eastAsia="標楷體" w:hAnsi="標楷體" w:hint="eastAsia"/>
        </w:rPr>
        <w:t>承作</w:t>
      </w:r>
      <w:proofErr w:type="gramEnd"/>
      <w:r w:rsidRPr="00F62282">
        <w:rPr>
          <w:rFonts w:ascii="標楷體" w:eastAsia="標楷體" w:hAnsi="標楷體" w:hint="eastAsia"/>
        </w:rPr>
        <w:t>工具及其避險工具</w:t>
      </w:r>
    </w:p>
    <w:p w:rsidR="0010507B" w:rsidRPr="00F62282" w:rsidRDefault="005F1BA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會計金融資產分類</w:t>
      </w:r>
    </w:p>
    <w:p w:rsidR="0072708F" w:rsidRPr="00F62282" w:rsidRDefault="0010507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lastRenderedPageBreak/>
        <w:t>法定資本計</w:t>
      </w:r>
      <w:proofErr w:type="gramStart"/>
      <w:r w:rsidRPr="00F62282">
        <w:rPr>
          <w:rFonts w:ascii="標楷體" w:eastAsia="標楷體" w:hAnsi="標楷體" w:hint="eastAsia"/>
        </w:rPr>
        <w:t>提簿別</w:t>
      </w:r>
      <w:proofErr w:type="gramEnd"/>
    </w:p>
    <w:p w:rsidR="00DD3054" w:rsidRPr="00F62282" w:rsidRDefault="00565955"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rPr>
        <w:t>從銀行</w:t>
      </w:r>
      <w:proofErr w:type="gramStart"/>
      <w:r w:rsidRPr="00F62282">
        <w:rPr>
          <w:rFonts w:ascii="標楷體" w:eastAsia="標楷體" w:hAnsi="標楷體"/>
        </w:rPr>
        <w:t>簿</w:t>
      </w:r>
      <w:proofErr w:type="gramEnd"/>
      <w:r w:rsidRPr="00F62282">
        <w:rPr>
          <w:rFonts w:ascii="標楷體" w:eastAsia="標楷體" w:hAnsi="標楷體"/>
        </w:rPr>
        <w:t>發行的負債包含嵌入式衍生性</w:t>
      </w:r>
      <w:r w:rsidR="00B50267" w:rsidRPr="00F62282">
        <w:rPr>
          <w:rFonts w:ascii="標楷體" w:eastAsia="標楷體" w:hAnsi="標楷體" w:hint="eastAsia"/>
          <w:lang w:eastAsia="zh-HK"/>
        </w:rPr>
        <w:t>工具</w:t>
      </w:r>
      <w:r w:rsidRPr="00F62282">
        <w:rPr>
          <w:rFonts w:ascii="標楷體" w:eastAsia="標楷體" w:hAnsi="標楷體"/>
        </w:rPr>
        <w:t>並且符合第</w:t>
      </w:r>
      <w:r w:rsidRPr="00F62282">
        <w:rPr>
          <w:rFonts w:ascii="標楷體" w:eastAsia="標楷體" w:hAnsi="標楷體" w:hint="eastAsia"/>
        </w:rPr>
        <w:t>三</w:t>
      </w:r>
      <w:r w:rsidRPr="00F62282">
        <w:rPr>
          <w:rFonts w:ascii="標楷體" w:eastAsia="標楷體" w:hAnsi="標楷體"/>
        </w:rPr>
        <w:t>大點第4點第</w:t>
      </w:r>
      <w:r w:rsidRPr="00F62282">
        <w:rPr>
          <w:rFonts w:ascii="標楷體" w:eastAsia="標楷體" w:hAnsi="標楷體" w:hint="eastAsia"/>
        </w:rPr>
        <w:t>(</w:t>
      </w:r>
      <w:r w:rsidRPr="00F62282">
        <w:rPr>
          <w:rFonts w:ascii="標楷體" w:eastAsia="標楷體" w:hAnsi="標楷體"/>
        </w:rPr>
        <w:t>6)項標準</w:t>
      </w:r>
      <w:r w:rsidR="00B601CB" w:rsidRPr="00F62282">
        <w:rPr>
          <w:rFonts w:ascii="標楷體" w:eastAsia="標楷體" w:hAnsi="標楷體" w:hint="eastAsia"/>
        </w:rPr>
        <w:t>，此負債</w:t>
      </w:r>
      <w:r w:rsidRPr="00F62282">
        <w:rPr>
          <w:rFonts w:ascii="標楷體" w:eastAsia="標楷體" w:hAnsi="標楷體"/>
        </w:rPr>
        <w:t>要分成兩部分：(</w:t>
      </w:r>
      <w:proofErr w:type="spellStart"/>
      <w:r w:rsidRPr="00F62282">
        <w:rPr>
          <w:rFonts w:ascii="標楷體" w:eastAsia="標楷體" w:hAnsi="標楷體"/>
        </w:rPr>
        <w:t>i</w:t>
      </w:r>
      <w:proofErr w:type="spellEnd"/>
      <w:r w:rsidRPr="00F62282">
        <w:rPr>
          <w:rFonts w:ascii="標楷體" w:eastAsia="標楷體" w:hAnsi="標楷體"/>
        </w:rPr>
        <w:t>)分配到交易簿的嵌入式衍生性</w:t>
      </w:r>
      <w:r w:rsidR="004E0CCA" w:rsidRPr="00F62282">
        <w:rPr>
          <w:rFonts w:ascii="標楷體" w:eastAsia="標楷體" w:hAnsi="標楷體" w:hint="eastAsia"/>
          <w:lang w:eastAsia="zh-HK"/>
        </w:rPr>
        <w:t>工具</w:t>
      </w:r>
      <w:r w:rsidRPr="00F62282">
        <w:rPr>
          <w:rFonts w:ascii="標楷體" w:eastAsia="標楷體" w:hAnsi="標楷體"/>
        </w:rPr>
        <w:t>和(ii)剩餘負債仍維持銀行簿。</w:t>
      </w:r>
      <w:r w:rsidR="00DD3054" w:rsidRPr="00F62282">
        <w:rPr>
          <w:rFonts w:ascii="標楷體" w:eastAsia="標楷體" w:hAnsi="標楷體" w:hint="eastAsia"/>
        </w:rPr>
        <w:t>此</w:t>
      </w:r>
      <w:r w:rsidRPr="00F62282">
        <w:rPr>
          <w:rFonts w:ascii="標楷體" w:eastAsia="標楷體" w:hAnsi="標楷體"/>
        </w:rPr>
        <w:t>分群不需要內部風險轉移。</w:t>
      </w:r>
    </w:p>
    <w:p w:rsidR="00565955" w:rsidRPr="00F62282" w:rsidRDefault="00565955" w:rsidP="00DD3054">
      <w:pPr>
        <w:pStyle w:val="a3"/>
        <w:widowControl w:val="0"/>
        <w:spacing w:beforeLines="50" w:before="180"/>
        <w:ind w:leftChars="0" w:left="964"/>
        <w:jc w:val="both"/>
        <w:rPr>
          <w:rFonts w:ascii="標楷體" w:eastAsia="標楷體" w:hAnsi="標楷體"/>
        </w:rPr>
      </w:pPr>
      <w:r w:rsidRPr="00F62282">
        <w:rPr>
          <w:rFonts w:ascii="標楷體" w:eastAsia="標楷體" w:hAnsi="標楷體"/>
        </w:rPr>
        <w:t>當這類負債被解約或嵌入式選擇權被執行時，概念上交易簿和銀行</w:t>
      </w:r>
      <w:proofErr w:type="gramStart"/>
      <w:r w:rsidRPr="00F62282">
        <w:rPr>
          <w:rFonts w:ascii="標楷體" w:eastAsia="標楷體" w:hAnsi="標楷體"/>
        </w:rPr>
        <w:t>簿</w:t>
      </w:r>
      <w:proofErr w:type="gramEnd"/>
      <w:r w:rsidRPr="00F62282">
        <w:rPr>
          <w:rFonts w:ascii="標楷體" w:eastAsia="標楷體" w:hAnsi="標楷體"/>
        </w:rPr>
        <w:t>組成部位之解約與執行將同時發生；交易簿和銀行</w:t>
      </w:r>
      <w:proofErr w:type="gramStart"/>
      <w:r w:rsidRPr="00F62282">
        <w:rPr>
          <w:rFonts w:ascii="標楷體" w:eastAsia="標楷體" w:hAnsi="標楷體"/>
        </w:rPr>
        <w:t>簿</w:t>
      </w:r>
      <w:proofErr w:type="gramEnd"/>
      <w:r w:rsidRPr="00F62282">
        <w:rPr>
          <w:rFonts w:ascii="標楷體" w:eastAsia="標楷體" w:hAnsi="標楷體"/>
        </w:rPr>
        <w:t>之間不需要移轉。</w:t>
      </w:r>
    </w:p>
    <w:p w:rsidR="00897487" w:rsidRPr="00F62282" w:rsidRDefault="00897487"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hint="eastAsia"/>
          <w:lang w:eastAsia="zh-HK"/>
        </w:rPr>
        <w:t>交易單位</w:t>
      </w:r>
      <w:r w:rsidRPr="00F62282">
        <w:rPr>
          <w:rFonts w:ascii="標楷體" w:eastAsia="標楷體" w:hAnsi="標楷體"/>
        </w:rPr>
        <w:t>應依據</w:t>
      </w:r>
      <w:r w:rsidRPr="00F62282">
        <w:rPr>
          <w:rFonts w:ascii="標楷體" w:eastAsia="標楷體" w:hAnsi="標楷體" w:hint="eastAsia"/>
          <w:lang w:eastAsia="zh-HK"/>
        </w:rPr>
        <w:t>金管</w:t>
      </w:r>
      <w:r w:rsidRPr="00F62282">
        <w:rPr>
          <w:rFonts w:ascii="標楷體" w:eastAsia="標楷體" w:hAnsi="標楷體"/>
        </w:rPr>
        <w:t>會之要求提供交易</w:t>
      </w:r>
      <w:proofErr w:type="gramStart"/>
      <w:r w:rsidRPr="00F62282">
        <w:rPr>
          <w:rFonts w:ascii="標楷體" w:eastAsia="標楷體" w:hAnsi="標楷體"/>
        </w:rPr>
        <w:t>簿</w:t>
      </w:r>
      <w:proofErr w:type="gramEnd"/>
      <w:r w:rsidRPr="00F62282">
        <w:rPr>
          <w:rFonts w:ascii="標楷體" w:eastAsia="標楷體" w:hAnsi="標楷體"/>
        </w:rPr>
        <w:t>工具之持有目的符合</w:t>
      </w:r>
      <w:proofErr w:type="gramStart"/>
      <w:r w:rsidRPr="00F62282">
        <w:rPr>
          <w:rFonts w:ascii="標楷體" w:eastAsia="標楷體" w:hAnsi="標楷體"/>
        </w:rPr>
        <w:t>交易簿所列</w:t>
      </w:r>
      <w:proofErr w:type="gramEnd"/>
      <w:r w:rsidRPr="00F62282">
        <w:rPr>
          <w:rFonts w:ascii="標楷體" w:eastAsia="標楷體" w:hAnsi="標楷體"/>
        </w:rPr>
        <w:t>規範之證明文件。假如</w:t>
      </w:r>
      <w:r w:rsidRPr="00F62282">
        <w:rPr>
          <w:rFonts w:ascii="標楷體" w:eastAsia="標楷體" w:hAnsi="標楷體" w:hint="eastAsia"/>
          <w:lang w:eastAsia="zh-HK"/>
        </w:rPr>
        <w:t>金管會</w:t>
      </w:r>
      <w:r w:rsidRPr="00F62282">
        <w:rPr>
          <w:rFonts w:ascii="標楷體" w:eastAsia="標楷體" w:hAnsi="標楷體"/>
        </w:rPr>
        <w:t>認為</w:t>
      </w:r>
      <w:r w:rsidRPr="00F62282">
        <w:rPr>
          <w:rFonts w:ascii="標楷體" w:eastAsia="標楷體" w:hAnsi="標楷體" w:hint="eastAsia"/>
          <w:lang w:eastAsia="zh-HK"/>
        </w:rPr>
        <w:t>本</w:t>
      </w:r>
      <w:r w:rsidRPr="00F62282">
        <w:rPr>
          <w:rFonts w:ascii="標楷體" w:eastAsia="標楷體" w:hAnsi="標楷體"/>
        </w:rPr>
        <w:t>行未提供足夠的證明或認為該工具慣例上屬銀行簿，則</w:t>
      </w:r>
      <w:r w:rsidRPr="00F62282">
        <w:rPr>
          <w:rFonts w:ascii="標楷體" w:eastAsia="標楷體" w:hAnsi="標楷體" w:hint="eastAsia"/>
          <w:lang w:eastAsia="zh-HK"/>
        </w:rPr>
        <w:t>金管</w:t>
      </w:r>
      <w:r w:rsidRPr="00F62282">
        <w:rPr>
          <w:rFonts w:ascii="標楷體" w:eastAsia="標楷體" w:hAnsi="標楷體"/>
        </w:rPr>
        <w:t>會可要求</w:t>
      </w:r>
      <w:r w:rsidRPr="00F62282">
        <w:rPr>
          <w:rFonts w:ascii="標楷體" w:eastAsia="標楷體" w:hAnsi="標楷體" w:hint="eastAsia"/>
          <w:lang w:eastAsia="zh-HK"/>
        </w:rPr>
        <w:t>本</w:t>
      </w:r>
      <w:r w:rsidRPr="00F62282">
        <w:rPr>
          <w:rFonts w:ascii="標楷體" w:eastAsia="標楷體" w:hAnsi="標楷體"/>
        </w:rPr>
        <w:t>銀行將該工具列為銀行簿，除非該工具為交易</w:t>
      </w:r>
      <w:proofErr w:type="gramStart"/>
      <w:r w:rsidRPr="00F62282">
        <w:rPr>
          <w:rFonts w:ascii="標楷體" w:eastAsia="標楷體" w:hAnsi="標楷體"/>
        </w:rPr>
        <w:t>簿</w:t>
      </w:r>
      <w:proofErr w:type="gramEnd"/>
      <w:r w:rsidRPr="00F62282">
        <w:rPr>
          <w:rFonts w:ascii="標楷體" w:eastAsia="標楷體" w:hAnsi="標楷體" w:hint="eastAsia"/>
          <w:lang w:eastAsia="zh-HK"/>
        </w:rPr>
        <w:t>範圍</w:t>
      </w:r>
      <w:r w:rsidRPr="00F62282">
        <w:rPr>
          <w:rFonts w:ascii="標楷體" w:eastAsia="標楷體" w:hAnsi="標楷體"/>
        </w:rPr>
        <w:t>規範3所列的工具。</w:t>
      </w:r>
      <w:r w:rsidRPr="00F62282">
        <w:rPr>
          <w:rFonts w:ascii="標楷體" w:eastAsia="標楷體" w:hAnsi="標楷體"/>
        </w:rPr>
        <w:br/>
      </w:r>
      <w:r w:rsidR="00644F05" w:rsidRPr="00F62282">
        <w:rPr>
          <w:rFonts w:ascii="標楷體" w:eastAsia="標楷體" w:hAnsi="標楷體" w:hint="eastAsia"/>
          <w:lang w:eastAsia="zh-HK"/>
        </w:rPr>
        <w:t>交易單位</w:t>
      </w:r>
      <w:r w:rsidRPr="00F62282">
        <w:rPr>
          <w:rFonts w:ascii="標楷體" w:eastAsia="標楷體" w:hAnsi="標楷體"/>
        </w:rPr>
        <w:t>應依據</w:t>
      </w:r>
      <w:r w:rsidR="00644F05" w:rsidRPr="00F62282">
        <w:rPr>
          <w:rFonts w:ascii="標楷體" w:eastAsia="標楷體" w:hAnsi="標楷體" w:hint="eastAsia"/>
          <w:lang w:eastAsia="zh-HK"/>
        </w:rPr>
        <w:t>金管</w:t>
      </w:r>
      <w:r w:rsidRPr="00F62282">
        <w:rPr>
          <w:rFonts w:ascii="標楷體" w:eastAsia="標楷體" w:hAnsi="標楷體"/>
        </w:rPr>
        <w:t>會之要求提供銀行</w:t>
      </w:r>
      <w:proofErr w:type="gramStart"/>
      <w:r w:rsidRPr="00F62282">
        <w:rPr>
          <w:rFonts w:ascii="標楷體" w:eastAsia="標楷體" w:hAnsi="標楷體"/>
        </w:rPr>
        <w:t>簿</w:t>
      </w:r>
      <w:proofErr w:type="gramEnd"/>
      <w:r w:rsidRPr="00F62282">
        <w:rPr>
          <w:rFonts w:ascii="標楷體" w:eastAsia="標楷體" w:hAnsi="標楷體"/>
        </w:rPr>
        <w:t>工具</w:t>
      </w:r>
      <w:r w:rsidR="00644F05" w:rsidRPr="00F62282">
        <w:rPr>
          <w:rFonts w:ascii="標楷體" w:eastAsia="標楷體" w:hAnsi="標楷體"/>
        </w:rPr>
        <w:t>之持有目的不符合</w:t>
      </w:r>
      <w:proofErr w:type="gramStart"/>
      <w:r w:rsidR="00644F05" w:rsidRPr="00F62282">
        <w:rPr>
          <w:rFonts w:ascii="標楷體" w:eastAsia="標楷體" w:hAnsi="標楷體"/>
        </w:rPr>
        <w:t>交易簿所列</w:t>
      </w:r>
      <w:proofErr w:type="gramEnd"/>
      <w:r w:rsidR="00644F05" w:rsidRPr="00F62282">
        <w:rPr>
          <w:rFonts w:ascii="標楷體" w:eastAsia="標楷體" w:hAnsi="標楷體"/>
        </w:rPr>
        <w:t>規範之證明文件。假如本會認為</w:t>
      </w:r>
      <w:r w:rsidR="00644F05" w:rsidRPr="00F62282">
        <w:rPr>
          <w:rFonts w:ascii="標楷體" w:eastAsia="標楷體" w:hAnsi="標楷體" w:hint="eastAsia"/>
          <w:lang w:eastAsia="zh-HK"/>
        </w:rPr>
        <w:t>本</w:t>
      </w:r>
      <w:r w:rsidRPr="00F62282">
        <w:rPr>
          <w:rFonts w:ascii="標楷體" w:eastAsia="標楷體" w:hAnsi="標楷體"/>
        </w:rPr>
        <w:t>行未提供足夠的證明，或認為該工具慣例上屬交易簿，則可要求銀行將該工具列為交易簿，除非該工具為銀行</w:t>
      </w:r>
      <w:proofErr w:type="gramStart"/>
      <w:r w:rsidRPr="00F62282">
        <w:rPr>
          <w:rFonts w:ascii="標楷體" w:eastAsia="標楷體" w:hAnsi="標楷體"/>
        </w:rPr>
        <w:t>簿</w:t>
      </w:r>
      <w:proofErr w:type="gramEnd"/>
      <w:r w:rsidR="00644F05" w:rsidRPr="00F62282">
        <w:rPr>
          <w:rFonts w:ascii="標楷體" w:eastAsia="標楷體" w:hAnsi="標楷體" w:hint="eastAsia"/>
          <w:lang w:eastAsia="zh-HK"/>
        </w:rPr>
        <w:t>範圍</w:t>
      </w:r>
      <w:r w:rsidRPr="00F62282">
        <w:rPr>
          <w:rFonts w:ascii="標楷體" w:eastAsia="標楷體" w:hAnsi="標楷體"/>
        </w:rPr>
        <w:t>規範</w:t>
      </w:r>
      <w:r w:rsidR="00644F05" w:rsidRPr="00F62282">
        <w:rPr>
          <w:rFonts w:ascii="標楷體" w:eastAsia="標楷體" w:hAnsi="標楷體"/>
        </w:rPr>
        <w:t>2</w:t>
      </w:r>
      <w:r w:rsidRPr="00F62282">
        <w:rPr>
          <w:rFonts w:ascii="標楷體" w:eastAsia="標楷體" w:hAnsi="標楷體"/>
        </w:rPr>
        <w:t>所列之工具。</w:t>
      </w:r>
    </w:p>
    <w:p w:rsidR="001E64BA" w:rsidRDefault="00E51641" w:rsidP="001E64BA">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rPr>
        <w:t>對於遵循</w:t>
      </w:r>
      <w:r w:rsidRPr="00F62282">
        <w:rPr>
          <w:rFonts w:ascii="標楷體" w:eastAsia="標楷體" w:hAnsi="標楷體" w:hint="eastAsia"/>
          <w:lang w:eastAsia="zh-HK"/>
        </w:rPr>
        <w:t>本</w:t>
      </w:r>
      <w:r w:rsidR="00F34EBD" w:rsidRPr="00F62282">
        <w:rPr>
          <w:rFonts w:ascii="標楷體" w:eastAsia="標楷體" w:hAnsi="標楷體" w:hint="eastAsia"/>
          <w:lang w:eastAsia="zh-HK"/>
        </w:rPr>
        <w:t>準則</w:t>
      </w:r>
      <w:r w:rsidRPr="00F62282">
        <w:rPr>
          <w:rFonts w:ascii="標楷體" w:eastAsia="標楷體" w:hAnsi="標楷體"/>
        </w:rPr>
        <w:t>之執行情形，應保有完善書面紀錄，並應每年至少一次受到內部稽核之查核。</w:t>
      </w:r>
    </w:p>
    <w:p w:rsidR="00630E4C" w:rsidRPr="001E64BA" w:rsidRDefault="00630E4C" w:rsidP="001E64BA">
      <w:pPr>
        <w:pStyle w:val="a3"/>
        <w:widowControl w:val="0"/>
        <w:numPr>
          <w:ilvl w:val="0"/>
          <w:numId w:val="9"/>
        </w:numPr>
        <w:spacing w:beforeLines="50" w:before="180"/>
        <w:ind w:leftChars="0" w:left="964" w:hanging="482"/>
        <w:jc w:val="both"/>
        <w:rPr>
          <w:rFonts w:ascii="標楷體" w:eastAsia="標楷體" w:hAnsi="標楷體"/>
        </w:rPr>
      </w:pPr>
      <w:r w:rsidRPr="001E64BA">
        <w:rPr>
          <w:rFonts w:ascii="標楷體" w:eastAsia="標楷體" w:hAnsi="標楷體"/>
          <w:lang w:eastAsia="zh-HK"/>
        </w:rPr>
        <w:t>須至少每年根據前一年度所有被辨識的異常事件分析更新</w:t>
      </w:r>
      <w:r w:rsidRPr="001E64BA">
        <w:rPr>
          <w:rFonts w:ascii="標楷體" w:eastAsia="標楷體" w:hAnsi="標楷體" w:hint="eastAsia"/>
          <w:lang w:eastAsia="zh-HK"/>
        </w:rPr>
        <w:t>本準則</w:t>
      </w:r>
      <w:r w:rsidRPr="001E64BA">
        <w:rPr>
          <w:rFonts w:ascii="標楷體" w:eastAsia="標楷體" w:hAnsi="標楷體"/>
          <w:lang w:eastAsia="zh-HK"/>
        </w:rPr>
        <w:t>，如有顯著變更的更新必須陳報</w:t>
      </w:r>
      <w:r w:rsidRPr="001E64BA">
        <w:rPr>
          <w:rFonts w:ascii="標楷體" w:eastAsia="標楷體" w:hAnsi="標楷體" w:hint="eastAsia"/>
          <w:lang w:eastAsia="zh-HK"/>
        </w:rPr>
        <w:t>金管</w:t>
      </w:r>
      <w:r w:rsidRPr="001E64BA">
        <w:rPr>
          <w:rFonts w:ascii="標楷體" w:eastAsia="標楷體" w:hAnsi="標楷體"/>
          <w:lang w:eastAsia="zh-HK"/>
        </w:rPr>
        <w:t>會，</w:t>
      </w:r>
      <w:r w:rsidRPr="001E64BA">
        <w:rPr>
          <w:rFonts w:ascii="標楷體" w:eastAsia="標楷體" w:hAnsi="標楷體" w:hint="eastAsia"/>
          <w:lang w:eastAsia="zh-HK"/>
        </w:rPr>
        <w:t>其內容</w:t>
      </w:r>
      <w:r w:rsidRPr="001E64BA">
        <w:rPr>
          <w:rFonts w:ascii="標楷體" w:eastAsia="標楷體" w:hAnsi="標楷體"/>
          <w:lang w:eastAsia="zh-HK"/>
        </w:rPr>
        <w:t>必須包括下列事項：</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proofErr w:type="gramStart"/>
      <w:r w:rsidRPr="003432E4">
        <w:rPr>
          <w:rFonts w:ascii="標楷體" w:eastAsia="標楷體" w:hAnsi="標楷體"/>
        </w:rPr>
        <w:t>工具簿別重新</w:t>
      </w:r>
      <w:proofErr w:type="gramEnd"/>
      <w:r w:rsidRPr="003432E4">
        <w:rPr>
          <w:rFonts w:ascii="標楷體" w:eastAsia="標楷體" w:hAnsi="標楷體"/>
        </w:rPr>
        <w:t>認列之限制要求；</w:t>
      </w:r>
      <w:proofErr w:type="gramStart"/>
      <w:r w:rsidRPr="003432E4">
        <w:rPr>
          <w:rFonts w:ascii="標楷體" w:eastAsia="標楷體" w:hAnsi="標楷體"/>
        </w:rPr>
        <w:t>簿別移轉</w:t>
      </w:r>
      <w:proofErr w:type="gramEnd"/>
      <w:r w:rsidRPr="003432E4">
        <w:rPr>
          <w:rFonts w:ascii="標楷體" w:eastAsia="標楷體" w:hAnsi="標楷體"/>
        </w:rPr>
        <w:t>之情況、條件及標準。</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r w:rsidRPr="003432E4">
        <w:rPr>
          <w:rFonts w:ascii="標楷體" w:eastAsia="標楷體" w:hAnsi="標楷體" w:hint="eastAsia"/>
        </w:rPr>
        <w:t>若</w:t>
      </w:r>
      <w:proofErr w:type="gramStart"/>
      <w:r w:rsidRPr="003432E4">
        <w:rPr>
          <w:rFonts w:ascii="標楷體" w:eastAsia="標楷體" w:hAnsi="標楷體" w:hint="eastAsia"/>
        </w:rPr>
        <w:t>有簿別</w:t>
      </w:r>
      <w:proofErr w:type="gramEnd"/>
      <w:r w:rsidRPr="003432E4">
        <w:rPr>
          <w:rFonts w:ascii="標楷體" w:eastAsia="標楷體" w:hAnsi="標楷體"/>
        </w:rPr>
        <w:t>移轉</w:t>
      </w:r>
      <w:r w:rsidRPr="003432E4">
        <w:rPr>
          <w:rFonts w:ascii="標楷體" w:eastAsia="標楷體" w:hAnsi="標楷體" w:hint="eastAsia"/>
        </w:rPr>
        <w:t>發生需依據第2點規範辦理</w:t>
      </w:r>
      <w:r w:rsidRPr="003432E4">
        <w:rPr>
          <w:rFonts w:ascii="標楷體" w:eastAsia="標楷體" w:hAnsi="標楷體"/>
        </w:rPr>
        <w:t>。</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r w:rsidRPr="003432E4">
        <w:rPr>
          <w:rFonts w:ascii="標楷體" w:eastAsia="標楷體" w:hAnsi="標楷體"/>
        </w:rPr>
        <w:t>異常事件</w:t>
      </w:r>
      <w:r w:rsidRPr="003432E4">
        <w:rPr>
          <w:rFonts w:ascii="標楷體" w:eastAsia="標楷體" w:hAnsi="標楷體" w:hint="eastAsia"/>
        </w:rPr>
        <w:t>說明</w:t>
      </w:r>
      <w:r w:rsidRPr="003432E4">
        <w:rPr>
          <w:rFonts w:ascii="標楷體" w:eastAsia="標楷體" w:hAnsi="標楷體"/>
        </w:rPr>
        <w:t>。</w:t>
      </w:r>
    </w:p>
    <w:p w:rsidR="00630E4C" w:rsidRPr="003432E4" w:rsidRDefault="00630E4C" w:rsidP="001E64BA">
      <w:pPr>
        <w:pStyle w:val="a3"/>
        <w:widowControl w:val="0"/>
        <w:numPr>
          <w:ilvl w:val="0"/>
          <w:numId w:val="32"/>
        </w:numPr>
        <w:spacing w:beforeLines="50" w:before="180"/>
        <w:ind w:leftChars="0"/>
        <w:jc w:val="both"/>
        <w:rPr>
          <w:rFonts w:ascii="標楷體" w:eastAsia="標楷體" w:hAnsi="標楷體"/>
        </w:rPr>
      </w:pPr>
      <w:r w:rsidRPr="003432E4">
        <w:rPr>
          <w:rFonts w:ascii="標楷體" w:eastAsia="標楷體" w:hAnsi="標楷體"/>
        </w:rPr>
        <w:t>應在最近的報告日公開揭露重新分類而納入或排除於交易簿之部位</w:t>
      </w:r>
      <w:r w:rsidRPr="003432E4">
        <w:rPr>
          <w:rFonts w:ascii="標楷體" w:eastAsia="標楷體" w:hAnsi="標楷體" w:hint="eastAsia"/>
          <w:lang w:eastAsia="zh-HK"/>
        </w:rPr>
        <w:t>。</w:t>
      </w:r>
      <w:r w:rsidR="00E51AA6">
        <w:rPr>
          <w:rFonts w:ascii="標楷體" w:eastAsia="標楷體" w:hAnsi="標楷體" w:hint="eastAsia"/>
        </w:rPr>
        <w:t xml:space="preserve"> </w:t>
      </w:r>
    </w:p>
    <w:p w:rsidR="00630E4C" w:rsidRPr="003432E4" w:rsidRDefault="003432E4" w:rsidP="009F0ECC">
      <w:pPr>
        <w:pStyle w:val="a3"/>
        <w:widowControl w:val="0"/>
        <w:numPr>
          <w:ilvl w:val="0"/>
          <w:numId w:val="9"/>
        </w:numPr>
        <w:spacing w:beforeLines="50" w:before="180"/>
        <w:ind w:leftChars="0" w:left="964" w:hanging="482"/>
        <w:jc w:val="both"/>
        <w:rPr>
          <w:rFonts w:ascii="標楷體" w:eastAsia="標楷體" w:hAnsi="標楷體"/>
        </w:rPr>
      </w:pPr>
      <w:r w:rsidRPr="003432E4">
        <w:rPr>
          <w:rFonts w:ascii="標楷體" w:eastAsia="標楷體" w:hAnsi="標楷體" w:hint="eastAsia"/>
        </w:rPr>
        <w:t>本準則未盡事宜，悉依有關法令及本行相關規定辦理。</w:t>
      </w:r>
    </w:p>
    <w:p w:rsidR="00FC4459" w:rsidRPr="00F62282" w:rsidRDefault="00FC4459" w:rsidP="00FC4459">
      <w:pPr>
        <w:pStyle w:val="a3"/>
        <w:widowControl w:val="0"/>
        <w:spacing w:beforeLines="50" w:before="180"/>
        <w:ind w:leftChars="0" w:left="964"/>
        <w:jc w:val="both"/>
        <w:rPr>
          <w:rFonts w:ascii="標楷體" w:eastAsia="標楷體" w:hAnsi="標楷體"/>
        </w:rPr>
      </w:pPr>
    </w:p>
    <w:p w:rsidR="00077751" w:rsidRPr="00F62282" w:rsidRDefault="00A8030B" w:rsidP="009F0ECC">
      <w:pPr>
        <w:pStyle w:val="a3"/>
        <w:numPr>
          <w:ilvl w:val="0"/>
          <w:numId w:val="3"/>
        </w:numPr>
        <w:ind w:leftChars="0" w:hangingChars="177"/>
        <w:outlineLvl w:val="0"/>
        <w:rPr>
          <w:rFonts w:ascii="標楷體" w:eastAsia="標楷體" w:hAnsi="標楷體"/>
        </w:rPr>
      </w:pPr>
      <w:bookmarkStart w:id="8" w:name="_Toc111194934"/>
      <w:r w:rsidRPr="00F62282">
        <w:rPr>
          <w:rFonts w:ascii="標楷體" w:eastAsia="標楷體" w:hAnsi="標楷體"/>
        </w:rPr>
        <w:t>準則之制訂及修訂</w:t>
      </w:r>
      <w:bookmarkEnd w:id="8"/>
    </w:p>
    <w:p w:rsidR="00FC4459" w:rsidRPr="00F62282" w:rsidRDefault="00077751" w:rsidP="002D0D8A">
      <w:pPr>
        <w:pStyle w:val="a3"/>
        <w:ind w:leftChars="0" w:left="425"/>
        <w:rPr>
          <w:rFonts w:ascii="標楷體" w:eastAsia="標楷體" w:hAnsi="標楷體"/>
        </w:rPr>
      </w:pPr>
      <w:r w:rsidRPr="00F62282">
        <w:rPr>
          <w:rFonts w:ascii="標楷體" w:eastAsia="標楷體" w:hAnsi="標楷體" w:hint="eastAsia"/>
        </w:rPr>
        <w:t>本準則之修訂由金融市場管理部負責，經呈報</w:t>
      </w:r>
      <w:r w:rsidR="00B612CA" w:rsidRPr="00F62282">
        <w:rPr>
          <w:rFonts w:ascii="標楷體" w:eastAsia="標楷體" w:hAnsi="標楷體"/>
        </w:rPr>
        <w:t>OOOOO</w:t>
      </w:r>
      <w:r w:rsidRPr="00F62282">
        <w:rPr>
          <w:rFonts w:ascii="標楷體" w:eastAsia="標楷體" w:hAnsi="標楷體" w:hint="eastAsia"/>
        </w:rPr>
        <w:t>審定並經金融市場事業總處執行長核定後實施，修訂時亦同。</w:t>
      </w:r>
    </w:p>
    <w:p w:rsidR="00FC4459" w:rsidRDefault="002D0D8A" w:rsidP="00FC4459">
      <w:pPr>
        <w:pStyle w:val="a3"/>
        <w:ind w:leftChars="0" w:left="425"/>
        <w:rPr>
          <w:rFonts w:ascii="標楷體" w:eastAsia="標楷體" w:hAnsi="標楷體"/>
        </w:rPr>
      </w:pPr>
      <w:r w:rsidRPr="00F62282">
        <w:rPr>
          <w:rFonts w:ascii="標楷體" w:eastAsia="標楷體" w:hAnsi="標楷體" w:hint="eastAsia"/>
        </w:rPr>
        <w:t>(</w:t>
      </w:r>
      <w:r w:rsidR="00FC4459" w:rsidRPr="00F62282">
        <w:rPr>
          <w:rFonts w:ascii="標楷體" w:eastAsia="標楷體" w:hAnsi="標楷體" w:hint="eastAsia"/>
        </w:rPr>
        <w:t>本準則之修訂由金融市場管理部負責，經銀行總經理核定後實施。</w:t>
      </w:r>
      <w:r w:rsidRPr="00F62282">
        <w:rPr>
          <w:rFonts w:ascii="標楷體" w:eastAsia="標楷體" w:hAnsi="標楷體" w:hint="eastAsia"/>
        </w:rPr>
        <w:t>)</w:t>
      </w:r>
    </w:p>
    <w:p w:rsidR="00D66A57" w:rsidRDefault="00D66A57" w:rsidP="00FC4459">
      <w:pPr>
        <w:pStyle w:val="a3"/>
        <w:ind w:leftChars="0" w:left="425"/>
        <w:rPr>
          <w:rFonts w:ascii="標楷體" w:eastAsia="標楷體" w:hAnsi="標楷體"/>
        </w:rPr>
      </w:pPr>
    </w:p>
    <w:p w:rsidR="00D66A57" w:rsidRDefault="00D66A57" w:rsidP="00FC4459">
      <w:pPr>
        <w:pStyle w:val="a3"/>
        <w:ind w:leftChars="0" w:left="425"/>
        <w:rPr>
          <w:rFonts w:ascii="標楷體" w:eastAsia="標楷體" w:hAnsi="標楷體"/>
        </w:rPr>
      </w:pPr>
    </w:p>
    <w:p w:rsidR="00D66A57" w:rsidRPr="00F62282" w:rsidRDefault="00D66A57" w:rsidP="00FC4459">
      <w:pPr>
        <w:pStyle w:val="a3"/>
        <w:ind w:leftChars="0" w:left="425"/>
        <w:rPr>
          <w:rFonts w:ascii="標楷體" w:eastAsia="標楷體" w:hAnsi="標楷體"/>
        </w:rPr>
      </w:pPr>
    </w:p>
    <w:p w:rsidR="00167E2A" w:rsidRDefault="00167E2A" w:rsidP="0068093B">
      <w:pPr>
        <w:rPr>
          <w:rFonts w:ascii="標楷體" w:eastAsia="標楷體" w:hAnsi="標楷體"/>
          <w:szCs w:val="24"/>
          <w:lang w:eastAsia="zh-HK"/>
        </w:rPr>
      </w:pPr>
    </w:p>
    <w:p w:rsidR="0068093B" w:rsidRPr="00F62282" w:rsidRDefault="0068093B" w:rsidP="0068093B">
      <w:pPr>
        <w:rPr>
          <w:rFonts w:ascii="標楷體" w:eastAsia="標楷體" w:hAnsi="標楷體"/>
          <w:szCs w:val="24"/>
        </w:rPr>
      </w:pPr>
      <w:r w:rsidRPr="00F62282">
        <w:rPr>
          <w:rFonts w:ascii="標楷體" w:eastAsia="標楷體" w:hAnsi="標楷體" w:hint="eastAsia"/>
          <w:szCs w:val="24"/>
          <w:lang w:eastAsia="zh-HK"/>
        </w:rPr>
        <w:lastRenderedPageBreak/>
        <w:t>參考文件：</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金管會銀行局法規：</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銀行資本適足性及資本等級管理辦法；</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第二部分  信用風險標準法及內部評等法；</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合格外部信用評等公司之評等對照；</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第五部分 市場風險(新版尚未公佈)；</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銀行內部相關規範：</w:t>
      </w:r>
    </w:p>
    <w:p w:rsidR="0068093B" w:rsidRPr="00F62282" w:rsidRDefault="0068093B" w:rsidP="0068093B">
      <w:pPr>
        <w:ind w:firstLine="360"/>
        <w:rPr>
          <w:rFonts w:ascii="標楷體" w:eastAsia="標楷體" w:hAnsi="標楷體"/>
          <w:szCs w:val="24"/>
        </w:rPr>
      </w:pPr>
      <w:r w:rsidRPr="00F62282">
        <w:rPr>
          <w:rFonts w:ascii="標楷體" w:eastAsia="標楷體" w:hAnsi="標楷體" w:hint="eastAsia"/>
          <w:szCs w:val="24"/>
        </w:rPr>
        <w:t>綜合企劃處；</w:t>
      </w:r>
    </w:p>
    <w:p w:rsidR="0068093B" w:rsidRPr="00F62282" w:rsidRDefault="0068093B" w:rsidP="009F0ECC">
      <w:pPr>
        <w:pStyle w:val="a3"/>
        <w:numPr>
          <w:ilvl w:val="0"/>
          <w:numId w:val="13"/>
        </w:numPr>
        <w:ind w:leftChars="0"/>
        <w:rPr>
          <w:rFonts w:ascii="標楷體" w:eastAsia="標楷體" w:hAnsi="標楷體"/>
        </w:rPr>
      </w:pPr>
      <w:r w:rsidRPr="00F62282">
        <w:rPr>
          <w:rFonts w:ascii="標楷體" w:eastAsia="標楷體" w:hAnsi="標楷體" w:hint="eastAsia"/>
        </w:rPr>
        <w:t>台新銀行資本適足性管理準則；</w:t>
      </w:r>
    </w:p>
    <w:p w:rsidR="0068093B" w:rsidRPr="00F62282" w:rsidRDefault="0068093B" w:rsidP="0068093B">
      <w:pPr>
        <w:pStyle w:val="Default"/>
        <w:ind w:firstLine="360"/>
        <w:rPr>
          <w:rFonts w:hAnsi="標楷體" w:cstheme="minorBidi"/>
          <w:color w:val="auto"/>
          <w:kern w:val="2"/>
        </w:rPr>
      </w:pPr>
      <w:r w:rsidRPr="00F62282">
        <w:rPr>
          <w:rFonts w:hAnsi="標楷體" w:cstheme="minorBidi"/>
          <w:color w:val="auto"/>
          <w:kern w:val="2"/>
        </w:rPr>
        <w:t>風險管理處：</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台新銀行風險管理政策</w:t>
      </w:r>
      <w:r w:rsidRPr="00F62282">
        <w:rPr>
          <w:rFonts w:hAnsi="標楷體" w:hint="eastAsia"/>
          <w:color w:val="auto"/>
        </w:rPr>
        <w:t>；</w:t>
      </w:r>
    </w:p>
    <w:p w:rsidR="0068093B" w:rsidRPr="00F62282" w:rsidRDefault="0068093B" w:rsidP="0068093B">
      <w:pPr>
        <w:pStyle w:val="Default"/>
        <w:ind w:firstLine="360"/>
        <w:rPr>
          <w:rFonts w:hAnsi="標楷體" w:cstheme="minorBidi"/>
          <w:color w:val="auto"/>
          <w:kern w:val="2"/>
        </w:rPr>
      </w:pPr>
      <w:r w:rsidRPr="00F62282">
        <w:rPr>
          <w:rFonts w:hAnsi="標楷體" w:cstheme="minorBidi" w:hint="eastAsia"/>
          <w:color w:val="auto"/>
          <w:kern w:val="2"/>
        </w:rPr>
        <w:t>績效管理處會計部：</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金融工具會計處理程序；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混合合約會計處理程序；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避險會計處理程序；</w:t>
      </w:r>
    </w:p>
    <w:p w:rsidR="0068093B" w:rsidRPr="00F62282" w:rsidRDefault="0068093B" w:rsidP="0068093B">
      <w:pPr>
        <w:spacing w:beforeLines="50" w:before="180"/>
        <w:jc w:val="both"/>
        <w:rPr>
          <w:rFonts w:ascii="標楷體" w:eastAsia="標楷體" w:hAnsi="標楷體"/>
          <w:szCs w:val="24"/>
        </w:rPr>
      </w:pPr>
    </w:p>
    <w:p w:rsidR="000E4C18" w:rsidRPr="00F62282" w:rsidRDefault="000E4C18">
      <w:pPr>
        <w:widowControl/>
        <w:rPr>
          <w:rFonts w:ascii="標楷體" w:eastAsia="標楷體" w:hAnsi="標楷體"/>
          <w:szCs w:val="24"/>
        </w:rPr>
      </w:pPr>
    </w:p>
    <w:sectPr w:rsidR="000E4C18" w:rsidRPr="00F62282">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808" w:rsidRDefault="00AA7808" w:rsidP="00AF17CE">
      <w:r>
        <w:separator/>
      </w:r>
    </w:p>
  </w:endnote>
  <w:endnote w:type="continuationSeparator" w:id="0">
    <w:p w:rsidR="00AA7808" w:rsidRDefault="00AA7808"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A14E2D" w:rsidRPr="00A14E2D">
          <w:rPr>
            <w:noProof/>
            <w:lang w:val="zh-TW"/>
          </w:rPr>
          <w:t>9</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808" w:rsidRDefault="00AA7808" w:rsidP="00AF17CE">
      <w:r>
        <w:separator/>
      </w:r>
    </w:p>
  </w:footnote>
  <w:footnote w:type="continuationSeparator" w:id="0">
    <w:p w:rsidR="00AA7808" w:rsidRDefault="00AA7808"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4EC"/>
    <w:multiLevelType w:val="hybridMultilevel"/>
    <w:tmpl w:val="5298E7F8"/>
    <w:lvl w:ilvl="0" w:tplc="7AB047C2">
      <w:start w:val="1"/>
      <w:numFmt w:val="decimal"/>
      <w:lvlText w:val="(%1)"/>
      <w:lvlJc w:val="left"/>
      <w:pPr>
        <w:ind w:left="1352" w:hanging="360"/>
      </w:pPr>
      <w:rPr>
        <w:rFonts w:hint="default"/>
      </w:rPr>
    </w:lvl>
    <w:lvl w:ilvl="1" w:tplc="04090019" w:tentative="1">
      <w:start w:val="1"/>
      <w:numFmt w:val="ideographTraditional"/>
      <w:lvlText w:val="%2、"/>
      <w:lvlJc w:val="left"/>
      <w:pPr>
        <w:ind w:left="2061" w:hanging="480"/>
      </w:pPr>
    </w:lvl>
    <w:lvl w:ilvl="2" w:tplc="0409001B" w:tentative="1">
      <w:start w:val="1"/>
      <w:numFmt w:val="lowerRoman"/>
      <w:lvlText w:val="%3."/>
      <w:lvlJc w:val="right"/>
      <w:pPr>
        <w:ind w:left="2541" w:hanging="480"/>
      </w:pPr>
    </w:lvl>
    <w:lvl w:ilvl="3" w:tplc="0409000F" w:tentative="1">
      <w:start w:val="1"/>
      <w:numFmt w:val="decimal"/>
      <w:lvlText w:val="%4."/>
      <w:lvlJc w:val="left"/>
      <w:pPr>
        <w:ind w:left="3021" w:hanging="480"/>
      </w:pPr>
    </w:lvl>
    <w:lvl w:ilvl="4" w:tplc="04090019" w:tentative="1">
      <w:start w:val="1"/>
      <w:numFmt w:val="ideographTraditional"/>
      <w:lvlText w:val="%5、"/>
      <w:lvlJc w:val="left"/>
      <w:pPr>
        <w:ind w:left="3501" w:hanging="480"/>
      </w:pPr>
    </w:lvl>
    <w:lvl w:ilvl="5" w:tplc="0409001B" w:tentative="1">
      <w:start w:val="1"/>
      <w:numFmt w:val="lowerRoman"/>
      <w:lvlText w:val="%6."/>
      <w:lvlJc w:val="right"/>
      <w:pPr>
        <w:ind w:left="3981" w:hanging="480"/>
      </w:pPr>
    </w:lvl>
    <w:lvl w:ilvl="6" w:tplc="0409000F" w:tentative="1">
      <w:start w:val="1"/>
      <w:numFmt w:val="decimal"/>
      <w:lvlText w:val="%7."/>
      <w:lvlJc w:val="left"/>
      <w:pPr>
        <w:ind w:left="4461" w:hanging="480"/>
      </w:pPr>
    </w:lvl>
    <w:lvl w:ilvl="7" w:tplc="04090019" w:tentative="1">
      <w:start w:val="1"/>
      <w:numFmt w:val="ideographTraditional"/>
      <w:lvlText w:val="%8、"/>
      <w:lvlJc w:val="left"/>
      <w:pPr>
        <w:ind w:left="4941" w:hanging="480"/>
      </w:pPr>
    </w:lvl>
    <w:lvl w:ilvl="8" w:tplc="0409001B" w:tentative="1">
      <w:start w:val="1"/>
      <w:numFmt w:val="lowerRoman"/>
      <w:lvlText w:val="%9."/>
      <w:lvlJc w:val="right"/>
      <w:pPr>
        <w:ind w:left="5421" w:hanging="480"/>
      </w:pPr>
    </w:lvl>
  </w:abstractNum>
  <w:abstractNum w:abstractNumId="1">
    <w:nsid w:val="0AEA6795"/>
    <w:multiLevelType w:val="hybridMultilevel"/>
    <w:tmpl w:val="44968038"/>
    <w:lvl w:ilvl="0" w:tplc="826CEF2C">
      <w:start w:val="3"/>
      <w:numFmt w:val="decimal"/>
      <w:lvlText w:val="%1."/>
      <w:lvlJc w:val="left"/>
      <w:pPr>
        <w:ind w:left="927" w:hanging="360"/>
      </w:pPr>
      <w:rPr>
        <w:rFonts w:hint="default"/>
      </w:rPr>
    </w:lvl>
    <w:lvl w:ilvl="1" w:tplc="4C6C5730">
      <w:start w:val="1"/>
      <w:numFmt w:val="decimal"/>
      <w:lvlText w:val="%2."/>
      <w:lvlJc w:val="left"/>
      <w:pPr>
        <w:ind w:left="960" w:hanging="480"/>
      </w:pPr>
      <w:rPr>
        <w:rFonts w:ascii="標楷體" w:eastAsia="標楷體" w:hAnsi="標楷體" w:cs="Times New Roman"/>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C8905E2"/>
    <w:multiLevelType w:val="hybridMultilevel"/>
    <w:tmpl w:val="A318616C"/>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299CCBBC">
      <w:start w:val="1"/>
      <w:numFmt w:val="lowerLetter"/>
      <w:lvlText w:val="%4."/>
      <w:lvlJc w:val="left"/>
      <w:pPr>
        <w:ind w:left="1777"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14D4382D"/>
    <w:multiLevelType w:val="hybridMultilevel"/>
    <w:tmpl w:val="8C22821A"/>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A70D1B"/>
    <w:multiLevelType w:val="hybridMultilevel"/>
    <w:tmpl w:val="D8FE215E"/>
    <w:lvl w:ilvl="0" w:tplc="40A4319E">
      <w:start w:val="1"/>
      <w:numFmt w:val="decimal"/>
      <w:lvlText w:val="(%1)"/>
      <w:lvlJc w:val="left"/>
      <w:pPr>
        <w:ind w:left="1440" w:hanging="480"/>
      </w:pPr>
      <w:rPr>
        <w:rFonts w:hint="eastAsia"/>
      </w:rPr>
    </w:lvl>
    <w:lvl w:ilvl="1" w:tplc="844CD672">
      <w:start w:val="1"/>
      <w:numFmt w:val="decimal"/>
      <w:lvlText w:val="%2."/>
      <w:lvlJc w:val="left"/>
      <w:pPr>
        <w:ind w:left="1330" w:hanging="480"/>
      </w:pPr>
      <w:rPr>
        <w:rFonts w:ascii="標楷體" w:eastAsia="標楷體" w:hAnsi="標楷體" w:cs="Times New Roman"/>
      </w:rPr>
    </w:lvl>
    <w:lvl w:ilvl="2" w:tplc="0409001B" w:tentative="1">
      <w:start w:val="1"/>
      <w:numFmt w:val="lowerRoman"/>
      <w:lvlText w:val="%3."/>
      <w:lvlJc w:val="right"/>
      <w:pPr>
        <w:ind w:left="2400" w:hanging="480"/>
      </w:pPr>
    </w:lvl>
    <w:lvl w:ilvl="3" w:tplc="0409000F">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22252915"/>
    <w:multiLevelType w:val="hybridMultilevel"/>
    <w:tmpl w:val="1D1616A0"/>
    <w:lvl w:ilvl="0" w:tplc="852686E8">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nsid w:val="22611377"/>
    <w:multiLevelType w:val="hybridMultilevel"/>
    <w:tmpl w:val="F8FA39FC"/>
    <w:lvl w:ilvl="0" w:tplc="8FC62EC8">
      <w:start w:val="1"/>
      <w:numFmt w:val="decimal"/>
      <w:lvlText w:val="%1."/>
      <w:lvlJc w:val="left"/>
      <w:pPr>
        <w:ind w:left="785" w:hanging="360"/>
      </w:pPr>
      <w:rPr>
        <w:rFonts w:hint="default"/>
      </w:rPr>
    </w:lvl>
    <w:lvl w:ilvl="1" w:tplc="D612F8D4">
      <w:start w:val="1"/>
      <w:numFmt w:val="decimal"/>
      <w:lvlText w:val="(%2)"/>
      <w:lvlJc w:val="left"/>
      <w:pPr>
        <w:ind w:left="1265" w:hanging="360"/>
      </w:pPr>
      <w:rPr>
        <w:rFonts w:ascii="Calibri" w:hAnsi="Calibri" w:cstheme="minorHAnsi" w:hint="default"/>
      </w:rPr>
    </w:lvl>
    <w:lvl w:ilvl="2" w:tplc="0624DFE2">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nsid w:val="25875F1B"/>
    <w:multiLevelType w:val="hybridMultilevel"/>
    <w:tmpl w:val="56AC57FE"/>
    <w:lvl w:ilvl="0" w:tplc="4ABECC68">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25D45FDD"/>
    <w:multiLevelType w:val="hybridMultilevel"/>
    <w:tmpl w:val="F1A035CC"/>
    <w:lvl w:ilvl="0" w:tplc="40A4319E">
      <w:start w:val="1"/>
      <w:numFmt w:val="decimal"/>
      <w:lvlText w:val="(%1)"/>
      <w:lvlJc w:val="left"/>
      <w:pPr>
        <w:ind w:left="1472" w:hanging="480"/>
      </w:pPr>
      <w:rPr>
        <w:rFonts w:hint="eastAsia"/>
      </w:rPr>
    </w:lvl>
    <w:lvl w:ilvl="1" w:tplc="04090019" w:tentative="1">
      <w:start w:val="1"/>
      <w:numFmt w:val="ideographTraditional"/>
      <w:lvlText w:val="%2、"/>
      <w:lvlJc w:val="left"/>
      <w:pPr>
        <w:ind w:left="992" w:hanging="480"/>
      </w:pPr>
    </w:lvl>
    <w:lvl w:ilvl="2" w:tplc="0409001B" w:tentative="1">
      <w:start w:val="1"/>
      <w:numFmt w:val="lowerRoman"/>
      <w:lvlText w:val="%3."/>
      <w:lvlJc w:val="right"/>
      <w:pPr>
        <w:ind w:left="1472" w:hanging="480"/>
      </w:pPr>
    </w:lvl>
    <w:lvl w:ilvl="3" w:tplc="0409000F" w:tentative="1">
      <w:start w:val="1"/>
      <w:numFmt w:val="decimal"/>
      <w:lvlText w:val="%4."/>
      <w:lvlJc w:val="left"/>
      <w:pPr>
        <w:ind w:left="1952" w:hanging="480"/>
      </w:pPr>
    </w:lvl>
    <w:lvl w:ilvl="4" w:tplc="04090019" w:tentative="1">
      <w:start w:val="1"/>
      <w:numFmt w:val="ideographTraditional"/>
      <w:lvlText w:val="%5、"/>
      <w:lvlJc w:val="left"/>
      <w:pPr>
        <w:ind w:left="2432" w:hanging="480"/>
      </w:pPr>
    </w:lvl>
    <w:lvl w:ilvl="5" w:tplc="0409001B" w:tentative="1">
      <w:start w:val="1"/>
      <w:numFmt w:val="lowerRoman"/>
      <w:lvlText w:val="%6."/>
      <w:lvlJc w:val="right"/>
      <w:pPr>
        <w:ind w:left="2912" w:hanging="480"/>
      </w:pPr>
    </w:lvl>
    <w:lvl w:ilvl="6" w:tplc="0409000F" w:tentative="1">
      <w:start w:val="1"/>
      <w:numFmt w:val="decimal"/>
      <w:lvlText w:val="%7."/>
      <w:lvlJc w:val="left"/>
      <w:pPr>
        <w:ind w:left="3392" w:hanging="480"/>
      </w:pPr>
    </w:lvl>
    <w:lvl w:ilvl="7" w:tplc="04090019" w:tentative="1">
      <w:start w:val="1"/>
      <w:numFmt w:val="ideographTraditional"/>
      <w:lvlText w:val="%8、"/>
      <w:lvlJc w:val="left"/>
      <w:pPr>
        <w:ind w:left="3872" w:hanging="480"/>
      </w:pPr>
    </w:lvl>
    <w:lvl w:ilvl="8" w:tplc="0409001B" w:tentative="1">
      <w:start w:val="1"/>
      <w:numFmt w:val="lowerRoman"/>
      <w:lvlText w:val="%9."/>
      <w:lvlJc w:val="right"/>
      <w:pPr>
        <w:ind w:left="4352" w:hanging="480"/>
      </w:pPr>
    </w:lvl>
  </w:abstractNum>
  <w:abstractNum w:abstractNumId="11">
    <w:nsid w:val="28FE5E7B"/>
    <w:multiLevelType w:val="hybridMultilevel"/>
    <w:tmpl w:val="AAB6813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nsid w:val="2E732021"/>
    <w:multiLevelType w:val="hybridMultilevel"/>
    <w:tmpl w:val="D1D202CE"/>
    <w:lvl w:ilvl="0" w:tplc="704C7AAE">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nsid w:val="368F447D"/>
    <w:multiLevelType w:val="hybridMultilevel"/>
    <w:tmpl w:val="A10E036C"/>
    <w:lvl w:ilvl="0" w:tplc="10A4CC50">
      <w:start w:val="1"/>
      <w:numFmt w:val="lowerLetter"/>
      <w:lvlText w:val="%1."/>
      <w:lvlJc w:val="left"/>
      <w:pPr>
        <w:ind w:left="1800" w:hanging="36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nsid w:val="44E66CF6"/>
    <w:multiLevelType w:val="multilevel"/>
    <w:tmpl w:val="18748960"/>
    <w:lvl w:ilvl="0">
      <w:start w:val="25"/>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4260BB1"/>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4A74775"/>
    <w:multiLevelType w:val="hybridMultilevel"/>
    <w:tmpl w:val="3B7EA3FC"/>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4ABECC68">
      <w:start w:val="1"/>
      <w:numFmt w:val="lowerLetter"/>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DC35F33"/>
    <w:multiLevelType w:val="hybridMultilevel"/>
    <w:tmpl w:val="50A2EF4C"/>
    <w:lvl w:ilvl="0" w:tplc="F3DCCAD4">
      <w:start w:val="1"/>
      <w:numFmt w:val="decimal"/>
      <w:lvlText w:val="(%1)"/>
      <w:lvlJc w:val="left"/>
      <w:pPr>
        <w:ind w:left="1800" w:hanging="360"/>
      </w:pPr>
      <w:rPr>
        <w:rFonts w:ascii="標楷體" w:eastAsia="標楷體" w:hAnsi="標楷體" w:cstheme="minorHAnsi"/>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F3415F9"/>
    <w:multiLevelType w:val="hybridMultilevel"/>
    <w:tmpl w:val="16B8F3FA"/>
    <w:lvl w:ilvl="0" w:tplc="0F8482A2">
      <w:start w:val="1"/>
      <w:numFmt w:val="decimal"/>
      <w:lvlText w:val="%1."/>
      <w:lvlJc w:val="left"/>
      <w:pPr>
        <w:ind w:left="927"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3B80EEDA">
      <w:start w:val="1"/>
      <w:numFmt w:val="decimal"/>
      <w:lvlText w:val="(%4)"/>
      <w:lvlJc w:val="left"/>
      <w:pPr>
        <w:ind w:left="1800" w:hanging="360"/>
      </w:pPr>
      <w:rPr>
        <w:rFonts w:hint="default"/>
      </w:rPr>
    </w:lvl>
    <w:lvl w:ilvl="4" w:tplc="73527F44">
      <w:start w:val="1"/>
      <w:numFmt w:val="decimal"/>
      <w:lvlText w:val="(%5)"/>
      <w:lvlJc w:val="left"/>
      <w:pPr>
        <w:ind w:left="1777" w:hanging="36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4">
    <w:nsid w:val="6288527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2C3246A"/>
    <w:multiLevelType w:val="hybridMultilevel"/>
    <w:tmpl w:val="ED86ADA2"/>
    <w:lvl w:ilvl="0" w:tplc="542C95BC">
      <w:start w:val="1"/>
      <w:numFmt w:val="decimal"/>
      <w:lvlText w:val="(%1)"/>
      <w:lvlJc w:val="left"/>
      <w:pPr>
        <w:ind w:left="1330" w:hanging="480"/>
      </w:pPr>
      <w:rPr>
        <w:rFonts w:hint="default"/>
      </w:rPr>
    </w:lvl>
    <w:lvl w:ilvl="1" w:tplc="9766A1B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2A447EA"/>
    <w:multiLevelType w:val="hybridMultilevel"/>
    <w:tmpl w:val="AFDCF9CC"/>
    <w:lvl w:ilvl="0" w:tplc="43CA09B2">
      <w:start w:val="1"/>
      <w:numFmt w:val="decimal"/>
      <w:lvlText w:val="%1."/>
      <w:lvlJc w:val="left"/>
      <w:pPr>
        <w:ind w:left="960" w:hanging="480"/>
      </w:pPr>
      <w:rPr>
        <w:color w:val="auto"/>
      </w:rPr>
    </w:lvl>
    <w:lvl w:ilvl="1" w:tplc="A0C08A5E">
      <w:start w:val="1"/>
      <w:numFmt w:val="decimal"/>
      <w:lvlText w:val="%2."/>
      <w:lvlJc w:val="left"/>
      <w:pPr>
        <w:ind w:left="1352" w:hanging="360"/>
      </w:pPr>
      <w:rPr>
        <w:rFonts w:ascii="標楷體" w:eastAsia="標楷體" w:hAnsi="標楷體" w:cstheme="minorHAnsi"/>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76236772"/>
    <w:multiLevelType w:val="hybridMultilevel"/>
    <w:tmpl w:val="7F9AD950"/>
    <w:lvl w:ilvl="0" w:tplc="690A366E">
      <w:start w:val="1"/>
      <w:numFmt w:val="lowerLetter"/>
      <w:lvlText w:val="%1."/>
      <w:lvlJc w:val="left"/>
      <w:pPr>
        <w:ind w:left="360" w:hanging="360"/>
      </w:pPr>
      <w:rPr>
        <w:rFonts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A124B72"/>
    <w:multiLevelType w:val="multilevel"/>
    <w:tmpl w:val="57D2978E"/>
    <w:lvl w:ilvl="0">
      <w:start w:val="2"/>
      <w:numFmt w:val="decimal"/>
      <w:lvlText w:val="(%1."/>
      <w:lvlJc w:val="left"/>
      <w:pPr>
        <w:ind w:left="600" w:hanging="600"/>
      </w:pPr>
      <w:rPr>
        <w:rFonts w:cstheme="minorHAnsi" w:hint="default"/>
      </w:rPr>
    </w:lvl>
    <w:lvl w:ilvl="1">
      <w:start w:val="2"/>
      <w:numFmt w:val="decimal"/>
      <w:lvlText w:val="(%1.%2)"/>
      <w:lvlJc w:val="left"/>
      <w:pPr>
        <w:ind w:left="2137" w:hanging="720"/>
      </w:pPr>
      <w:rPr>
        <w:rFonts w:cstheme="minorHAnsi" w:hint="default"/>
      </w:rPr>
    </w:lvl>
    <w:lvl w:ilvl="2">
      <w:start w:val="1"/>
      <w:numFmt w:val="decimal"/>
      <w:lvlText w:val="(%1.%2)%3."/>
      <w:lvlJc w:val="left"/>
      <w:pPr>
        <w:ind w:left="1080" w:hanging="108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440" w:hanging="1440"/>
      </w:pPr>
      <w:rPr>
        <w:rFonts w:cstheme="minorHAnsi" w:hint="default"/>
      </w:rPr>
    </w:lvl>
    <w:lvl w:ilvl="5">
      <w:start w:val="1"/>
      <w:numFmt w:val="decimal"/>
      <w:lvlText w:val="(%1.%2)%3.%4.%5.%6."/>
      <w:lvlJc w:val="left"/>
      <w:pPr>
        <w:ind w:left="1800" w:hanging="1800"/>
      </w:pPr>
      <w:rPr>
        <w:rFonts w:cstheme="minorHAnsi" w:hint="default"/>
      </w:rPr>
    </w:lvl>
    <w:lvl w:ilvl="6">
      <w:start w:val="1"/>
      <w:numFmt w:val="decimal"/>
      <w:lvlText w:val="(%1.%2)%3.%4.%5.%6.%7."/>
      <w:lvlJc w:val="left"/>
      <w:pPr>
        <w:ind w:left="1800" w:hanging="1800"/>
      </w:pPr>
      <w:rPr>
        <w:rFonts w:cstheme="minorHAnsi" w:hint="default"/>
      </w:rPr>
    </w:lvl>
    <w:lvl w:ilvl="7">
      <w:start w:val="1"/>
      <w:numFmt w:val="decimal"/>
      <w:lvlText w:val="(%1.%2)%3.%4.%5.%6.%7.%8."/>
      <w:lvlJc w:val="left"/>
      <w:pPr>
        <w:ind w:left="2160" w:hanging="2160"/>
      </w:pPr>
      <w:rPr>
        <w:rFonts w:cstheme="minorHAnsi" w:hint="default"/>
      </w:rPr>
    </w:lvl>
    <w:lvl w:ilvl="8">
      <w:start w:val="1"/>
      <w:numFmt w:val="decimal"/>
      <w:lvlText w:val="(%1.%2)%3.%4.%5.%6.%7.%8.%9."/>
      <w:lvlJc w:val="left"/>
      <w:pPr>
        <w:ind w:left="2520" w:hanging="2520"/>
      </w:pPr>
      <w:rPr>
        <w:rFonts w:cstheme="minorHAnsi" w:hint="default"/>
      </w:rPr>
    </w:lvl>
  </w:abstractNum>
  <w:abstractNum w:abstractNumId="32">
    <w:nsid w:val="7B3C7875"/>
    <w:multiLevelType w:val="hybridMultilevel"/>
    <w:tmpl w:val="7C3C84A8"/>
    <w:lvl w:ilvl="0" w:tplc="C108FE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5"/>
  </w:num>
  <w:num w:numId="3">
    <w:abstractNumId w:val="21"/>
  </w:num>
  <w:num w:numId="4">
    <w:abstractNumId w:val="22"/>
  </w:num>
  <w:num w:numId="5">
    <w:abstractNumId w:val="2"/>
  </w:num>
  <w:num w:numId="6">
    <w:abstractNumId w:val="27"/>
  </w:num>
  <w:num w:numId="7">
    <w:abstractNumId w:val="16"/>
  </w:num>
  <w:num w:numId="8">
    <w:abstractNumId w:val="18"/>
  </w:num>
  <w:num w:numId="9">
    <w:abstractNumId w:val="11"/>
  </w:num>
  <w:num w:numId="10">
    <w:abstractNumId w:val="4"/>
  </w:num>
  <w:num w:numId="11">
    <w:abstractNumId w:val="26"/>
  </w:num>
  <w:num w:numId="12">
    <w:abstractNumId w:val="28"/>
  </w:num>
  <w:num w:numId="13">
    <w:abstractNumId w:val="23"/>
  </w:num>
  <w:num w:numId="14">
    <w:abstractNumId w:val="20"/>
  </w:num>
  <w:num w:numId="15">
    <w:abstractNumId w:val="29"/>
  </w:num>
  <w:num w:numId="16">
    <w:abstractNumId w:val="6"/>
  </w:num>
  <w:num w:numId="17">
    <w:abstractNumId w:val="3"/>
  </w:num>
  <w:num w:numId="18">
    <w:abstractNumId w:val="13"/>
  </w:num>
  <w:num w:numId="19">
    <w:abstractNumId w:val="8"/>
  </w:num>
  <w:num w:numId="20">
    <w:abstractNumId w:val="17"/>
  </w:num>
  <w:num w:numId="21">
    <w:abstractNumId w:val="15"/>
  </w:num>
  <w:num w:numId="22">
    <w:abstractNumId w:val="32"/>
  </w:num>
  <w:num w:numId="23">
    <w:abstractNumId w:val="14"/>
  </w:num>
  <w:num w:numId="24">
    <w:abstractNumId w:val="0"/>
  </w:num>
  <w:num w:numId="25">
    <w:abstractNumId w:val="24"/>
  </w:num>
  <w:num w:numId="26">
    <w:abstractNumId w:val="31"/>
  </w:num>
  <w:num w:numId="27">
    <w:abstractNumId w:val="12"/>
  </w:num>
  <w:num w:numId="28">
    <w:abstractNumId w:val="7"/>
  </w:num>
  <w:num w:numId="29">
    <w:abstractNumId w:val="9"/>
  </w:num>
  <w:num w:numId="30">
    <w:abstractNumId w:val="30"/>
  </w:num>
  <w:num w:numId="31">
    <w:abstractNumId w:val="19"/>
  </w:num>
  <w:num w:numId="32">
    <w:abstractNumId w:val="10"/>
  </w:num>
  <w:num w:numId="33">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16DF6"/>
    <w:rsid w:val="00023115"/>
    <w:rsid w:val="00041C25"/>
    <w:rsid w:val="0004446C"/>
    <w:rsid w:val="00046BF6"/>
    <w:rsid w:val="0005711A"/>
    <w:rsid w:val="000603F8"/>
    <w:rsid w:val="0007076A"/>
    <w:rsid w:val="00072D98"/>
    <w:rsid w:val="00077751"/>
    <w:rsid w:val="00096533"/>
    <w:rsid w:val="000A4CA2"/>
    <w:rsid w:val="000A75C2"/>
    <w:rsid w:val="000C7020"/>
    <w:rsid w:val="000D50C2"/>
    <w:rsid w:val="000E4C18"/>
    <w:rsid w:val="000E6253"/>
    <w:rsid w:val="000F0C47"/>
    <w:rsid w:val="000F39FF"/>
    <w:rsid w:val="00104E49"/>
    <w:rsid w:val="0010507B"/>
    <w:rsid w:val="00107EFD"/>
    <w:rsid w:val="001172A6"/>
    <w:rsid w:val="0012145D"/>
    <w:rsid w:val="00121F65"/>
    <w:rsid w:val="00123880"/>
    <w:rsid w:val="00126874"/>
    <w:rsid w:val="001347EE"/>
    <w:rsid w:val="001360D7"/>
    <w:rsid w:val="00140681"/>
    <w:rsid w:val="00145B44"/>
    <w:rsid w:val="001556CB"/>
    <w:rsid w:val="0016093F"/>
    <w:rsid w:val="0016301E"/>
    <w:rsid w:val="00167E2A"/>
    <w:rsid w:val="00171510"/>
    <w:rsid w:val="00175363"/>
    <w:rsid w:val="00176346"/>
    <w:rsid w:val="00181B3B"/>
    <w:rsid w:val="001879B7"/>
    <w:rsid w:val="00187B42"/>
    <w:rsid w:val="0019548F"/>
    <w:rsid w:val="00195FF1"/>
    <w:rsid w:val="001A56A0"/>
    <w:rsid w:val="001C31D4"/>
    <w:rsid w:val="001D096B"/>
    <w:rsid w:val="001D6632"/>
    <w:rsid w:val="001E2F07"/>
    <w:rsid w:val="001E5ED5"/>
    <w:rsid w:val="001E64BA"/>
    <w:rsid w:val="00220801"/>
    <w:rsid w:val="002343C8"/>
    <w:rsid w:val="002357E9"/>
    <w:rsid w:val="00250695"/>
    <w:rsid w:val="002647D1"/>
    <w:rsid w:val="00267CCC"/>
    <w:rsid w:val="002777CF"/>
    <w:rsid w:val="00294DD9"/>
    <w:rsid w:val="002A52B9"/>
    <w:rsid w:val="002B1B18"/>
    <w:rsid w:val="002C4448"/>
    <w:rsid w:val="002C4ACC"/>
    <w:rsid w:val="002C6071"/>
    <w:rsid w:val="002C6959"/>
    <w:rsid w:val="002D0D8A"/>
    <w:rsid w:val="002D3A3A"/>
    <w:rsid w:val="002E4CD9"/>
    <w:rsid w:val="002E519D"/>
    <w:rsid w:val="002F1847"/>
    <w:rsid w:val="002F29C7"/>
    <w:rsid w:val="003118BC"/>
    <w:rsid w:val="00314658"/>
    <w:rsid w:val="00320768"/>
    <w:rsid w:val="00325F21"/>
    <w:rsid w:val="00334440"/>
    <w:rsid w:val="003373CB"/>
    <w:rsid w:val="0034272A"/>
    <w:rsid w:val="003432E4"/>
    <w:rsid w:val="00344698"/>
    <w:rsid w:val="00350CBB"/>
    <w:rsid w:val="00351AF7"/>
    <w:rsid w:val="00363E61"/>
    <w:rsid w:val="00363FBD"/>
    <w:rsid w:val="0036640F"/>
    <w:rsid w:val="00382166"/>
    <w:rsid w:val="00390410"/>
    <w:rsid w:val="003911F2"/>
    <w:rsid w:val="00396D69"/>
    <w:rsid w:val="003B0BAB"/>
    <w:rsid w:val="003B4636"/>
    <w:rsid w:val="003B6620"/>
    <w:rsid w:val="003C3922"/>
    <w:rsid w:val="003C60CB"/>
    <w:rsid w:val="003D15B7"/>
    <w:rsid w:val="003D6C52"/>
    <w:rsid w:val="003E407F"/>
    <w:rsid w:val="003E41F9"/>
    <w:rsid w:val="003E4EC2"/>
    <w:rsid w:val="003E6893"/>
    <w:rsid w:val="003F0279"/>
    <w:rsid w:val="003F1A2F"/>
    <w:rsid w:val="003F1E66"/>
    <w:rsid w:val="003F4EA9"/>
    <w:rsid w:val="00413CEC"/>
    <w:rsid w:val="00421EC4"/>
    <w:rsid w:val="0042283E"/>
    <w:rsid w:val="00426B93"/>
    <w:rsid w:val="004310BD"/>
    <w:rsid w:val="0043141A"/>
    <w:rsid w:val="004337F0"/>
    <w:rsid w:val="00437AFA"/>
    <w:rsid w:val="00456DA0"/>
    <w:rsid w:val="00457D0A"/>
    <w:rsid w:val="00461AEB"/>
    <w:rsid w:val="004672D0"/>
    <w:rsid w:val="00477116"/>
    <w:rsid w:val="004A3775"/>
    <w:rsid w:val="004B0BB7"/>
    <w:rsid w:val="004B3036"/>
    <w:rsid w:val="004B3931"/>
    <w:rsid w:val="004C163F"/>
    <w:rsid w:val="004C25B1"/>
    <w:rsid w:val="004C2BFF"/>
    <w:rsid w:val="004C7489"/>
    <w:rsid w:val="004E0CCA"/>
    <w:rsid w:val="004E1819"/>
    <w:rsid w:val="004E272E"/>
    <w:rsid w:val="004E2AC8"/>
    <w:rsid w:val="004E394E"/>
    <w:rsid w:val="004E56B0"/>
    <w:rsid w:val="004E583D"/>
    <w:rsid w:val="004F20E1"/>
    <w:rsid w:val="0050521C"/>
    <w:rsid w:val="005151FF"/>
    <w:rsid w:val="00521168"/>
    <w:rsid w:val="005358DA"/>
    <w:rsid w:val="00537D74"/>
    <w:rsid w:val="0054108E"/>
    <w:rsid w:val="005410FD"/>
    <w:rsid w:val="00547BA3"/>
    <w:rsid w:val="00552E2C"/>
    <w:rsid w:val="00565955"/>
    <w:rsid w:val="00574F82"/>
    <w:rsid w:val="00575A6D"/>
    <w:rsid w:val="00576B0B"/>
    <w:rsid w:val="00585D7C"/>
    <w:rsid w:val="00586F00"/>
    <w:rsid w:val="00590585"/>
    <w:rsid w:val="00593B3F"/>
    <w:rsid w:val="0059752C"/>
    <w:rsid w:val="005A1B6A"/>
    <w:rsid w:val="005B5A12"/>
    <w:rsid w:val="005C76A6"/>
    <w:rsid w:val="005C77CC"/>
    <w:rsid w:val="005C7DFD"/>
    <w:rsid w:val="005F1BAB"/>
    <w:rsid w:val="00604790"/>
    <w:rsid w:val="00605AE5"/>
    <w:rsid w:val="00630E4C"/>
    <w:rsid w:val="006343D3"/>
    <w:rsid w:val="00635D1B"/>
    <w:rsid w:val="00644F05"/>
    <w:rsid w:val="00650068"/>
    <w:rsid w:val="006530D3"/>
    <w:rsid w:val="00671461"/>
    <w:rsid w:val="0068093B"/>
    <w:rsid w:val="00694BC7"/>
    <w:rsid w:val="006954C0"/>
    <w:rsid w:val="006A6426"/>
    <w:rsid w:val="006A762F"/>
    <w:rsid w:val="006A7A5B"/>
    <w:rsid w:val="006B0B19"/>
    <w:rsid w:val="006B58BE"/>
    <w:rsid w:val="006C1F98"/>
    <w:rsid w:val="006C46C3"/>
    <w:rsid w:val="006C5290"/>
    <w:rsid w:val="006D20CE"/>
    <w:rsid w:val="006D6367"/>
    <w:rsid w:val="006D72F3"/>
    <w:rsid w:val="006D79BF"/>
    <w:rsid w:val="006E0E26"/>
    <w:rsid w:val="006E1C32"/>
    <w:rsid w:val="006E5846"/>
    <w:rsid w:val="006F0448"/>
    <w:rsid w:val="006F285D"/>
    <w:rsid w:val="006F41AF"/>
    <w:rsid w:val="0070278E"/>
    <w:rsid w:val="00714BE7"/>
    <w:rsid w:val="00714DA2"/>
    <w:rsid w:val="007214C6"/>
    <w:rsid w:val="007222A0"/>
    <w:rsid w:val="0072708F"/>
    <w:rsid w:val="0075383B"/>
    <w:rsid w:val="0075514F"/>
    <w:rsid w:val="0076532A"/>
    <w:rsid w:val="00774E70"/>
    <w:rsid w:val="0078572A"/>
    <w:rsid w:val="00786378"/>
    <w:rsid w:val="007917B7"/>
    <w:rsid w:val="007B1F20"/>
    <w:rsid w:val="007B28C1"/>
    <w:rsid w:val="007B29D1"/>
    <w:rsid w:val="007B6419"/>
    <w:rsid w:val="007C161E"/>
    <w:rsid w:val="007C3621"/>
    <w:rsid w:val="007D2B69"/>
    <w:rsid w:val="007D69C6"/>
    <w:rsid w:val="007F0EE5"/>
    <w:rsid w:val="007F3C96"/>
    <w:rsid w:val="007F4B37"/>
    <w:rsid w:val="007F7574"/>
    <w:rsid w:val="008047C6"/>
    <w:rsid w:val="00805F78"/>
    <w:rsid w:val="008208B6"/>
    <w:rsid w:val="008208EB"/>
    <w:rsid w:val="00826945"/>
    <w:rsid w:val="00831B75"/>
    <w:rsid w:val="008324D2"/>
    <w:rsid w:val="00832EA7"/>
    <w:rsid w:val="00836204"/>
    <w:rsid w:val="008414B2"/>
    <w:rsid w:val="00844FB6"/>
    <w:rsid w:val="0084799C"/>
    <w:rsid w:val="00850005"/>
    <w:rsid w:val="008516B2"/>
    <w:rsid w:val="008603F4"/>
    <w:rsid w:val="00876F81"/>
    <w:rsid w:val="00880B2F"/>
    <w:rsid w:val="008830E1"/>
    <w:rsid w:val="00883159"/>
    <w:rsid w:val="00885B1C"/>
    <w:rsid w:val="008963FD"/>
    <w:rsid w:val="00897487"/>
    <w:rsid w:val="008B7961"/>
    <w:rsid w:val="008C2D8F"/>
    <w:rsid w:val="008C4758"/>
    <w:rsid w:val="008F6012"/>
    <w:rsid w:val="00900272"/>
    <w:rsid w:val="00902A0E"/>
    <w:rsid w:val="00915713"/>
    <w:rsid w:val="00917AFB"/>
    <w:rsid w:val="00925B6F"/>
    <w:rsid w:val="009357F3"/>
    <w:rsid w:val="00942235"/>
    <w:rsid w:val="00946BF5"/>
    <w:rsid w:val="009519AB"/>
    <w:rsid w:val="00960F5B"/>
    <w:rsid w:val="00987C8E"/>
    <w:rsid w:val="009937AB"/>
    <w:rsid w:val="009A0231"/>
    <w:rsid w:val="009A39FD"/>
    <w:rsid w:val="009C2D8E"/>
    <w:rsid w:val="009C5A8A"/>
    <w:rsid w:val="009E7BDB"/>
    <w:rsid w:val="009F0ECB"/>
    <w:rsid w:val="009F0ECC"/>
    <w:rsid w:val="009F4711"/>
    <w:rsid w:val="00A026BC"/>
    <w:rsid w:val="00A11EDB"/>
    <w:rsid w:val="00A14E2D"/>
    <w:rsid w:val="00A24ADB"/>
    <w:rsid w:val="00A254B5"/>
    <w:rsid w:val="00A30566"/>
    <w:rsid w:val="00A45294"/>
    <w:rsid w:val="00A57421"/>
    <w:rsid w:val="00A60C0A"/>
    <w:rsid w:val="00A62E1A"/>
    <w:rsid w:val="00A63932"/>
    <w:rsid w:val="00A77D03"/>
    <w:rsid w:val="00A8030B"/>
    <w:rsid w:val="00A86006"/>
    <w:rsid w:val="00A924FE"/>
    <w:rsid w:val="00AA16A5"/>
    <w:rsid w:val="00AA7808"/>
    <w:rsid w:val="00AA7EC9"/>
    <w:rsid w:val="00AB73B5"/>
    <w:rsid w:val="00AD4816"/>
    <w:rsid w:val="00AD61C5"/>
    <w:rsid w:val="00AD74CD"/>
    <w:rsid w:val="00AE60D4"/>
    <w:rsid w:val="00AF17CE"/>
    <w:rsid w:val="00AF3B96"/>
    <w:rsid w:val="00AF5CC2"/>
    <w:rsid w:val="00AF7013"/>
    <w:rsid w:val="00B13506"/>
    <w:rsid w:val="00B27A3A"/>
    <w:rsid w:val="00B46A79"/>
    <w:rsid w:val="00B50267"/>
    <w:rsid w:val="00B50C12"/>
    <w:rsid w:val="00B51656"/>
    <w:rsid w:val="00B53104"/>
    <w:rsid w:val="00B601CB"/>
    <w:rsid w:val="00B612CA"/>
    <w:rsid w:val="00B632C1"/>
    <w:rsid w:val="00B76033"/>
    <w:rsid w:val="00B8619D"/>
    <w:rsid w:val="00B91180"/>
    <w:rsid w:val="00B93188"/>
    <w:rsid w:val="00B9390E"/>
    <w:rsid w:val="00BA3D40"/>
    <w:rsid w:val="00BB5CE7"/>
    <w:rsid w:val="00BB733B"/>
    <w:rsid w:val="00BC6757"/>
    <w:rsid w:val="00BD02DB"/>
    <w:rsid w:val="00BD2260"/>
    <w:rsid w:val="00BE06C5"/>
    <w:rsid w:val="00BE3860"/>
    <w:rsid w:val="00BE7D66"/>
    <w:rsid w:val="00BF3986"/>
    <w:rsid w:val="00C13749"/>
    <w:rsid w:val="00C147BC"/>
    <w:rsid w:val="00C41961"/>
    <w:rsid w:val="00C50357"/>
    <w:rsid w:val="00C52593"/>
    <w:rsid w:val="00C54DE0"/>
    <w:rsid w:val="00C56CAB"/>
    <w:rsid w:val="00C56F9F"/>
    <w:rsid w:val="00C67073"/>
    <w:rsid w:val="00C7594C"/>
    <w:rsid w:val="00CA542D"/>
    <w:rsid w:val="00CB1BA9"/>
    <w:rsid w:val="00CB1E19"/>
    <w:rsid w:val="00CC116B"/>
    <w:rsid w:val="00CC25A6"/>
    <w:rsid w:val="00CC491D"/>
    <w:rsid w:val="00CD54FD"/>
    <w:rsid w:val="00CE18EF"/>
    <w:rsid w:val="00CF0AF3"/>
    <w:rsid w:val="00CF1B64"/>
    <w:rsid w:val="00CF217B"/>
    <w:rsid w:val="00D13A72"/>
    <w:rsid w:val="00D154C5"/>
    <w:rsid w:val="00D2205A"/>
    <w:rsid w:val="00D22EA4"/>
    <w:rsid w:val="00D3647C"/>
    <w:rsid w:val="00D40F62"/>
    <w:rsid w:val="00D4497F"/>
    <w:rsid w:val="00D449F7"/>
    <w:rsid w:val="00D505C1"/>
    <w:rsid w:val="00D53481"/>
    <w:rsid w:val="00D54C49"/>
    <w:rsid w:val="00D55596"/>
    <w:rsid w:val="00D63690"/>
    <w:rsid w:val="00D6682E"/>
    <w:rsid w:val="00D66A57"/>
    <w:rsid w:val="00D75DC4"/>
    <w:rsid w:val="00D7614A"/>
    <w:rsid w:val="00D94859"/>
    <w:rsid w:val="00D97543"/>
    <w:rsid w:val="00DA1BAB"/>
    <w:rsid w:val="00DA6114"/>
    <w:rsid w:val="00DB0456"/>
    <w:rsid w:val="00DB0E7B"/>
    <w:rsid w:val="00DD3054"/>
    <w:rsid w:val="00DD340C"/>
    <w:rsid w:val="00DF24ED"/>
    <w:rsid w:val="00DF5C8C"/>
    <w:rsid w:val="00E07DD2"/>
    <w:rsid w:val="00E23229"/>
    <w:rsid w:val="00E275CC"/>
    <w:rsid w:val="00E27AEA"/>
    <w:rsid w:val="00E366E5"/>
    <w:rsid w:val="00E403DA"/>
    <w:rsid w:val="00E445CF"/>
    <w:rsid w:val="00E51641"/>
    <w:rsid w:val="00E51AA6"/>
    <w:rsid w:val="00E51EA9"/>
    <w:rsid w:val="00E520EA"/>
    <w:rsid w:val="00E656C7"/>
    <w:rsid w:val="00E67D85"/>
    <w:rsid w:val="00E80BA4"/>
    <w:rsid w:val="00E81FF9"/>
    <w:rsid w:val="00E8327F"/>
    <w:rsid w:val="00E84D90"/>
    <w:rsid w:val="00E873FA"/>
    <w:rsid w:val="00E90E89"/>
    <w:rsid w:val="00EA2CFC"/>
    <w:rsid w:val="00EA3B51"/>
    <w:rsid w:val="00EB0F66"/>
    <w:rsid w:val="00EB3F78"/>
    <w:rsid w:val="00EE664D"/>
    <w:rsid w:val="00EE7F94"/>
    <w:rsid w:val="00EF1AFE"/>
    <w:rsid w:val="00EF3461"/>
    <w:rsid w:val="00F0052F"/>
    <w:rsid w:val="00F0741B"/>
    <w:rsid w:val="00F129F5"/>
    <w:rsid w:val="00F12BAC"/>
    <w:rsid w:val="00F132EF"/>
    <w:rsid w:val="00F14B32"/>
    <w:rsid w:val="00F26325"/>
    <w:rsid w:val="00F27195"/>
    <w:rsid w:val="00F34EBD"/>
    <w:rsid w:val="00F4309B"/>
    <w:rsid w:val="00F464F2"/>
    <w:rsid w:val="00F52CD3"/>
    <w:rsid w:val="00F618EB"/>
    <w:rsid w:val="00F62148"/>
    <w:rsid w:val="00F62282"/>
    <w:rsid w:val="00F6425F"/>
    <w:rsid w:val="00F75952"/>
    <w:rsid w:val="00F800C6"/>
    <w:rsid w:val="00F8051D"/>
    <w:rsid w:val="00F876CA"/>
    <w:rsid w:val="00F928A7"/>
    <w:rsid w:val="00F97555"/>
    <w:rsid w:val="00FA2D48"/>
    <w:rsid w:val="00FB1DFD"/>
    <w:rsid w:val="00FB3F48"/>
    <w:rsid w:val="00FB5982"/>
    <w:rsid w:val="00FC3912"/>
    <w:rsid w:val="00FC4459"/>
    <w:rsid w:val="00FD0329"/>
    <w:rsid w:val="00FD3E2A"/>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1D096B"/>
    <w:pPr>
      <w:widowControl/>
      <w:tabs>
        <w:tab w:val="left" w:pos="720"/>
        <w:tab w:val="right" w:leader="dot" w:pos="8296"/>
      </w:tabs>
      <w:spacing w:after="100" w:line="276" w:lineRule="auto"/>
    </w:pPr>
    <w:rPr>
      <w:rFonts w:asciiTheme="minorEastAsia" w:hAnsiTheme="minorEastAsia"/>
      <w:noProof/>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 w:type="character" w:styleId="af1">
    <w:name w:val="annotation reference"/>
    <w:basedOn w:val="a0"/>
    <w:uiPriority w:val="99"/>
    <w:semiHidden/>
    <w:unhideWhenUsed/>
    <w:rsid w:val="00A77D03"/>
    <w:rPr>
      <w:sz w:val="18"/>
      <w:szCs w:val="18"/>
    </w:rPr>
  </w:style>
  <w:style w:type="paragraph" w:styleId="af2">
    <w:name w:val="annotation text"/>
    <w:basedOn w:val="a"/>
    <w:link w:val="af3"/>
    <w:uiPriority w:val="99"/>
    <w:semiHidden/>
    <w:unhideWhenUsed/>
    <w:rsid w:val="00A77D03"/>
  </w:style>
  <w:style w:type="character" w:customStyle="1" w:styleId="af3">
    <w:name w:val="註解文字 字元"/>
    <w:basedOn w:val="a0"/>
    <w:link w:val="af2"/>
    <w:uiPriority w:val="99"/>
    <w:semiHidden/>
    <w:rsid w:val="00A77D03"/>
  </w:style>
  <w:style w:type="paragraph" w:styleId="af4">
    <w:name w:val="annotation subject"/>
    <w:basedOn w:val="af2"/>
    <w:next w:val="af2"/>
    <w:link w:val="af5"/>
    <w:uiPriority w:val="99"/>
    <w:semiHidden/>
    <w:unhideWhenUsed/>
    <w:rsid w:val="00A77D03"/>
    <w:rPr>
      <w:b/>
      <w:bCs/>
    </w:rPr>
  </w:style>
  <w:style w:type="character" w:customStyle="1" w:styleId="af5">
    <w:name w:val="註解主旨 字元"/>
    <w:basedOn w:val="af3"/>
    <w:link w:val="af4"/>
    <w:uiPriority w:val="99"/>
    <w:semiHidden/>
    <w:rsid w:val="00A77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71589083">
      <w:bodyDiv w:val="1"/>
      <w:marLeft w:val="0"/>
      <w:marRight w:val="0"/>
      <w:marTop w:val="0"/>
      <w:marBottom w:val="0"/>
      <w:divBdr>
        <w:top w:val="none" w:sz="0" w:space="0" w:color="auto"/>
        <w:left w:val="none" w:sz="0" w:space="0" w:color="auto"/>
        <w:bottom w:val="none" w:sz="0" w:space="0" w:color="auto"/>
        <w:right w:val="none" w:sz="0" w:space="0" w:color="auto"/>
      </w:divBdr>
    </w:div>
    <w:div w:id="197594077">
      <w:bodyDiv w:val="1"/>
      <w:marLeft w:val="0"/>
      <w:marRight w:val="0"/>
      <w:marTop w:val="0"/>
      <w:marBottom w:val="0"/>
      <w:divBdr>
        <w:top w:val="none" w:sz="0" w:space="0" w:color="auto"/>
        <w:left w:val="none" w:sz="0" w:space="0" w:color="auto"/>
        <w:bottom w:val="none" w:sz="0" w:space="0" w:color="auto"/>
        <w:right w:val="none" w:sz="0" w:space="0" w:color="auto"/>
      </w:divBdr>
    </w:div>
    <w:div w:id="407389125">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226910861">
      <w:bodyDiv w:val="1"/>
      <w:marLeft w:val="0"/>
      <w:marRight w:val="0"/>
      <w:marTop w:val="0"/>
      <w:marBottom w:val="0"/>
      <w:divBdr>
        <w:top w:val="none" w:sz="0" w:space="0" w:color="auto"/>
        <w:left w:val="none" w:sz="0" w:space="0" w:color="auto"/>
        <w:bottom w:val="none" w:sz="0" w:space="0" w:color="auto"/>
        <w:right w:val="none" w:sz="0" w:space="0" w:color="auto"/>
      </w:divBdr>
    </w:div>
    <w:div w:id="1234319645">
      <w:bodyDiv w:val="1"/>
      <w:marLeft w:val="0"/>
      <w:marRight w:val="0"/>
      <w:marTop w:val="0"/>
      <w:marBottom w:val="0"/>
      <w:divBdr>
        <w:top w:val="none" w:sz="0" w:space="0" w:color="auto"/>
        <w:left w:val="none" w:sz="0" w:space="0" w:color="auto"/>
        <w:bottom w:val="none" w:sz="0" w:space="0" w:color="auto"/>
        <w:right w:val="none" w:sz="0" w:space="0" w:color="auto"/>
      </w:divBdr>
    </w:div>
    <w:div w:id="1333096279">
      <w:bodyDiv w:val="1"/>
      <w:marLeft w:val="0"/>
      <w:marRight w:val="0"/>
      <w:marTop w:val="0"/>
      <w:marBottom w:val="0"/>
      <w:divBdr>
        <w:top w:val="none" w:sz="0" w:space="0" w:color="auto"/>
        <w:left w:val="none" w:sz="0" w:space="0" w:color="auto"/>
        <w:bottom w:val="none" w:sz="0" w:space="0" w:color="auto"/>
        <w:right w:val="none" w:sz="0" w:space="0" w:color="auto"/>
      </w:divBdr>
    </w:div>
    <w:div w:id="1339766851">
      <w:bodyDiv w:val="1"/>
      <w:marLeft w:val="0"/>
      <w:marRight w:val="0"/>
      <w:marTop w:val="0"/>
      <w:marBottom w:val="0"/>
      <w:divBdr>
        <w:top w:val="none" w:sz="0" w:space="0" w:color="auto"/>
        <w:left w:val="none" w:sz="0" w:space="0" w:color="auto"/>
        <w:bottom w:val="none" w:sz="0" w:space="0" w:color="auto"/>
        <w:right w:val="none" w:sz="0" w:space="0" w:color="auto"/>
      </w:divBdr>
    </w:div>
    <w:div w:id="1445996020">
      <w:bodyDiv w:val="1"/>
      <w:marLeft w:val="0"/>
      <w:marRight w:val="0"/>
      <w:marTop w:val="0"/>
      <w:marBottom w:val="0"/>
      <w:divBdr>
        <w:top w:val="none" w:sz="0" w:space="0" w:color="auto"/>
        <w:left w:val="none" w:sz="0" w:space="0" w:color="auto"/>
        <w:bottom w:val="none" w:sz="0" w:space="0" w:color="auto"/>
        <w:right w:val="none" w:sz="0" w:space="0" w:color="auto"/>
      </w:divBdr>
    </w:div>
    <w:div w:id="1549413903">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 w:id="1669091938">
      <w:bodyDiv w:val="1"/>
      <w:marLeft w:val="0"/>
      <w:marRight w:val="0"/>
      <w:marTop w:val="0"/>
      <w:marBottom w:val="0"/>
      <w:divBdr>
        <w:top w:val="none" w:sz="0" w:space="0" w:color="auto"/>
        <w:left w:val="none" w:sz="0" w:space="0" w:color="auto"/>
        <w:bottom w:val="none" w:sz="0" w:space="0" w:color="auto"/>
        <w:right w:val="none" w:sz="0" w:space="0" w:color="auto"/>
      </w:divBdr>
    </w:div>
    <w:div w:id="1703743440">
      <w:bodyDiv w:val="1"/>
      <w:marLeft w:val="0"/>
      <w:marRight w:val="0"/>
      <w:marTop w:val="0"/>
      <w:marBottom w:val="0"/>
      <w:divBdr>
        <w:top w:val="none" w:sz="0" w:space="0" w:color="auto"/>
        <w:left w:val="none" w:sz="0" w:space="0" w:color="auto"/>
        <w:bottom w:val="none" w:sz="0" w:space="0" w:color="auto"/>
        <w:right w:val="none" w:sz="0" w:space="0" w:color="auto"/>
      </w:divBdr>
    </w:div>
    <w:div w:id="1771852352">
      <w:bodyDiv w:val="1"/>
      <w:marLeft w:val="0"/>
      <w:marRight w:val="0"/>
      <w:marTop w:val="0"/>
      <w:marBottom w:val="0"/>
      <w:divBdr>
        <w:top w:val="none" w:sz="0" w:space="0" w:color="auto"/>
        <w:left w:val="none" w:sz="0" w:space="0" w:color="auto"/>
        <w:bottom w:val="none" w:sz="0" w:space="0" w:color="auto"/>
        <w:right w:val="none" w:sz="0" w:space="0" w:color="auto"/>
      </w:divBdr>
    </w:div>
    <w:div w:id="2055079976">
      <w:bodyDiv w:val="1"/>
      <w:marLeft w:val="0"/>
      <w:marRight w:val="0"/>
      <w:marTop w:val="0"/>
      <w:marBottom w:val="0"/>
      <w:divBdr>
        <w:top w:val="none" w:sz="0" w:space="0" w:color="auto"/>
        <w:left w:val="none" w:sz="0" w:space="0" w:color="auto"/>
        <w:bottom w:val="none" w:sz="0" w:space="0" w:color="auto"/>
        <w:right w:val="none" w:sz="0" w:space="0" w:color="auto"/>
      </w:divBdr>
    </w:div>
    <w:div w:id="20738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8C835-4F38-4C9B-A8DE-B5C59FF9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9</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calvinyeh@taishinbank.com.tw</dc:creator>
  <cp:keywords/>
  <dc:description/>
  <cp:lastModifiedBy>王信閎</cp:lastModifiedBy>
  <cp:revision>27</cp:revision>
  <dcterms:created xsi:type="dcterms:W3CDTF">2022-09-07T03:23:00Z</dcterms:created>
  <dcterms:modified xsi:type="dcterms:W3CDTF">2022-09-12T09:58:00Z</dcterms:modified>
</cp:coreProperties>
</file>