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7E9D4" w14:textId="77777777" w:rsidR="00E403D6" w:rsidRDefault="00E403D6" w:rsidP="00E403D6">
      <w:r>
        <w:rPr>
          <w:rStyle w:val="imsender1"/>
          <w:rFonts w:hint="eastAsia"/>
        </w:rPr>
        <w:t>鄭凱鴻</w:t>
      </w:r>
      <w:r>
        <w:t xml:space="preserve"> </w:t>
      </w:r>
      <w:r>
        <w:rPr>
          <w:rStyle w:val="messagetimestamp1"/>
          <w:rFonts w:hint="eastAsia"/>
        </w:rPr>
        <w:t>上午</w:t>
      </w:r>
      <w:r>
        <w:rPr>
          <w:rStyle w:val="messagetimestamp1"/>
        </w:rPr>
        <w:t xml:space="preserve"> 09:05: </w:t>
      </w:r>
    </w:p>
    <w:p w14:paraId="1E624EF2" w14:textId="77777777" w:rsidR="00E403D6" w:rsidRDefault="00E403D6" w:rsidP="00E403D6">
      <w:pPr>
        <w:autoSpaceDE w:val="0"/>
        <w:autoSpaceDN w:val="0"/>
      </w:pPr>
      <w:r>
        <w:rPr>
          <w:rFonts w:ascii="新細明體" w:hAnsi="新細明體" w:hint="eastAsia"/>
          <w:b/>
          <w:bCs/>
          <w:sz w:val="32"/>
          <w:szCs w:val="32"/>
        </w:rPr>
        <w:t>離岸人民幣國債期貨時隔九年再</w:t>
      </w:r>
      <w:proofErr w:type="gramStart"/>
      <w:r>
        <w:rPr>
          <w:rFonts w:ascii="新細明體" w:hAnsi="新細明體" w:hint="eastAsia"/>
          <w:b/>
          <w:bCs/>
          <w:sz w:val="32"/>
          <w:szCs w:val="32"/>
        </w:rPr>
        <w:t>登港交</w:t>
      </w:r>
      <w:proofErr w:type="gramEnd"/>
      <w:r>
        <w:rPr>
          <w:rFonts w:ascii="新細明體" w:hAnsi="新細明體" w:hint="eastAsia"/>
          <w:b/>
          <w:bCs/>
          <w:sz w:val="32"/>
          <w:szCs w:val="32"/>
        </w:rPr>
        <w:t>所</w:t>
      </w:r>
      <w:r>
        <w:rPr>
          <w:rFonts w:ascii="Times New Roman" w:hAnsi="Times New Roman" w:cs="Times New Roman"/>
          <w:b/>
          <w:bCs/>
          <w:sz w:val="32"/>
          <w:szCs w:val="32"/>
        </w:rPr>
        <w:t xml:space="preserve"> </w:t>
      </w:r>
      <w:r>
        <w:rPr>
          <w:rFonts w:ascii="新細明體" w:hAnsi="新細明體" w:hint="eastAsia"/>
          <w:b/>
          <w:bCs/>
          <w:sz w:val="32"/>
          <w:szCs w:val="32"/>
        </w:rPr>
        <w:t>成交表現檢驗海外投資者需求</w:t>
      </w:r>
    </w:p>
    <w:p w14:paraId="3C7B6717" w14:textId="77777777" w:rsidR="00E403D6" w:rsidRDefault="00E403D6" w:rsidP="00E403D6">
      <w:pPr>
        <w:autoSpaceDE w:val="0"/>
        <w:autoSpaceDN w:val="0"/>
        <w:spacing w:before="100" w:after="100"/>
      </w:pPr>
      <w:r>
        <w:rPr>
          <w:rFonts w:ascii="新細明體" w:hAnsi="新細明體" w:hint="eastAsia"/>
        </w:rPr>
        <w:t>彭博新聞社報導</w:t>
      </w:r>
    </w:p>
    <w:p w14:paraId="652EBAA4" w14:textId="77777777" w:rsidR="00E403D6" w:rsidRDefault="00E403D6" w:rsidP="00E403D6">
      <w:pPr>
        <w:autoSpaceDE w:val="0"/>
        <w:autoSpaceDN w:val="0"/>
        <w:spacing w:before="100" w:after="100"/>
      </w:pPr>
      <w:r>
        <w:rPr>
          <w:rFonts w:ascii="新細明體" w:hAnsi="新細明體" w:hint="eastAsia"/>
        </w:rPr>
        <w:t>【彭博】</w:t>
      </w:r>
      <w:r>
        <w:rPr>
          <w:rFonts w:ascii="Times New Roman" w:hAnsi="Times New Roman" w:cs="Times New Roman"/>
        </w:rPr>
        <w:t>-- </w:t>
      </w:r>
      <w:r>
        <w:rPr>
          <w:rFonts w:ascii="新細明體" w:hAnsi="新細明體" w:hint="eastAsia"/>
        </w:rPr>
        <w:t>時隔九年，離岸人民幣國債期貨下周一將重新在香港上市交易，離岸人民幣利率風險管理體系獲進一步完善。市場關注首</w:t>
      </w:r>
      <w:proofErr w:type="gramStart"/>
      <w:r>
        <w:rPr>
          <w:rFonts w:ascii="新細明體" w:hAnsi="新細明體" w:hint="eastAsia"/>
        </w:rPr>
        <w:t>個</w:t>
      </w:r>
      <w:proofErr w:type="gramEnd"/>
      <w:r>
        <w:rPr>
          <w:rFonts w:ascii="Times New Roman" w:hAnsi="Times New Roman" w:cs="Times New Roman"/>
        </w:rPr>
        <w:t>5</w:t>
      </w:r>
      <w:r>
        <w:rPr>
          <w:rFonts w:ascii="新細明體" w:hAnsi="新細明體" w:hint="eastAsia"/>
        </w:rPr>
        <w:t>年期國債期貨品種的價格和成交量，其將成為衡量海外投資者對人民幣資產興趣的新指標。</w:t>
      </w:r>
    </w:p>
    <w:p w14:paraId="4CBB04E3" w14:textId="77777777" w:rsidR="00E403D6" w:rsidRDefault="00E403D6" w:rsidP="00E403D6">
      <w:pPr>
        <w:autoSpaceDE w:val="0"/>
        <w:autoSpaceDN w:val="0"/>
        <w:spacing w:before="100" w:after="100"/>
      </w:pPr>
      <w:r>
        <w:rPr>
          <w:rFonts w:ascii="新細明體" w:hAnsi="新細明體" w:hint="eastAsia"/>
        </w:rPr>
        <w:t>根據香港證監會披露，首</w:t>
      </w:r>
      <w:proofErr w:type="gramStart"/>
      <w:r>
        <w:rPr>
          <w:rFonts w:ascii="新細明體" w:hAnsi="新細明體" w:hint="eastAsia"/>
        </w:rPr>
        <w:t>個</w:t>
      </w:r>
      <w:proofErr w:type="gramEnd"/>
      <w:r>
        <w:rPr>
          <w:rFonts w:ascii="新細明體" w:hAnsi="新細明體" w:hint="eastAsia"/>
        </w:rPr>
        <w:t>上市的</w:t>
      </w:r>
      <w:r>
        <w:rPr>
          <w:rFonts w:ascii="Times New Roman" w:hAnsi="Times New Roman" w:cs="Times New Roman"/>
        </w:rPr>
        <w:t>5</w:t>
      </w:r>
      <w:r>
        <w:rPr>
          <w:rFonts w:ascii="新細明體" w:hAnsi="新細明體" w:hint="eastAsia"/>
        </w:rPr>
        <w:t>年期國債期貨將採用現金結算，價格按</w:t>
      </w:r>
      <w:proofErr w:type="gramStart"/>
      <w:r>
        <w:rPr>
          <w:rFonts w:ascii="新細明體" w:hAnsi="新細明體" w:hint="eastAsia"/>
        </w:rPr>
        <w:t>一</w:t>
      </w:r>
      <w:proofErr w:type="gramEnd"/>
      <w:r>
        <w:rPr>
          <w:rFonts w:ascii="新細明體" w:hAnsi="新細明體" w:hint="eastAsia"/>
        </w:rPr>
        <w:t>籃子中國國債釐定，而在岸品種採用實物交割的方式。香港國債期貨合約金額為</w:t>
      </w:r>
      <w:r>
        <w:rPr>
          <w:rFonts w:ascii="Times New Roman" w:hAnsi="Times New Roman" w:cs="Times New Roman"/>
        </w:rPr>
        <w:t>50</w:t>
      </w:r>
      <w:r>
        <w:rPr>
          <w:rFonts w:ascii="新細明體" w:hAnsi="新細明體" w:hint="eastAsia"/>
        </w:rPr>
        <w:t>萬元人民幣，僅為</w:t>
      </w:r>
      <w:proofErr w:type="gramStart"/>
      <w:r>
        <w:rPr>
          <w:rFonts w:ascii="新細明體" w:hAnsi="新細明體" w:hint="eastAsia"/>
        </w:rPr>
        <w:t>在岸同期限</w:t>
      </w:r>
      <w:proofErr w:type="gramEnd"/>
      <w:r>
        <w:rPr>
          <w:rFonts w:ascii="新細明體" w:hAnsi="新細明體" w:hint="eastAsia"/>
        </w:rPr>
        <w:t>品種的一半，其交易時間長於在岸市場。</w:t>
      </w:r>
    </w:p>
    <w:p w14:paraId="3DB7541A" w14:textId="77777777" w:rsidR="00E403D6" w:rsidRDefault="00E403D6" w:rsidP="00E403D6">
      <w:pPr>
        <w:autoSpaceDE w:val="0"/>
        <w:autoSpaceDN w:val="0"/>
        <w:spacing w:before="100" w:after="100"/>
      </w:pPr>
      <w:r>
        <w:rPr>
          <w:rFonts w:ascii="新細明體" w:hAnsi="新細明體" w:hint="eastAsia"/>
        </w:rPr>
        <w:t>隨著近年債券通、互換通等機制的推進以及在岸債券回購市場向外資開放，外資配置中國債券的便利度提升，管理人民幣利率風險和分散資產配置的需求亦隨之上升。市場人士預計，上市初期期貨投資的成長將主要由對沖需求驅動，而隨著成交和定價機制逐步成熟，各類套利交易策略或得到更廣泛運用。</w:t>
      </w:r>
    </w:p>
    <w:p w14:paraId="3D2248E8" w14:textId="77777777" w:rsidR="00E403D6" w:rsidRDefault="00E403D6" w:rsidP="00E403D6">
      <w:pPr>
        <w:autoSpaceDE w:val="0"/>
        <w:autoSpaceDN w:val="0"/>
        <w:spacing w:before="100" w:after="100"/>
      </w:pPr>
      <w:r>
        <w:rPr>
          <w:rFonts w:ascii="新細明體" w:hAnsi="新細明體" w:hint="eastAsia"/>
        </w:rPr>
        <w:t>「與五到十年前相比，無論從市場生態體系的完善程度，還是離岸人民幣市場的發行規模，目前支持這一產品發展的環境已經成熟得多。」</w:t>
      </w:r>
      <w:proofErr w:type="gramStart"/>
      <w:r>
        <w:rPr>
          <w:rFonts w:ascii="新細明體" w:hAnsi="新細明體" w:hint="eastAsia"/>
        </w:rPr>
        <w:t>景順亞太</w:t>
      </w:r>
      <w:proofErr w:type="gramEnd"/>
      <w:r>
        <w:rPr>
          <w:rFonts w:ascii="新細明體" w:hAnsi="新細明體" w:hint="eastAsia"/>
        </w:rPr>
        <w:t>區固定收益投資組合管理主管林純暉指出，「預計流動性主要將由對沖需求驅動，因此，持續提升海外投資者對人民幣資產的興趣、進一步拓寬投資者基礎，仍是未來發展的關鍵。」</w:t>
      </w:r>
      <w:r>
        <w:rPr>
          <w:rFonts w:ascii="Microsoft JhengHei UI" w:eastAsia="Microsoft JhengHei UI" w:hAnsi="Microsoft JhengHei UI" w:hint="eastAsia"/>
          <w:color w:val="000000"/>
          <w:sz w:val="20"/>
          <w:szCs w:val="20"/>
        </w:rPr>
        <w:t xml:space="preserve"> </w:t>
      </w:r>
      <w:r>
        <w:rPr>
          <w:rFonts w:ascii="Microsoft JhengHei UI" w:eastAsia="Microsoft JhengHei UI" w:hAnsi="Microsoft JhengHei UI" w:hint="eastAsia"/>
          <w:color w:val="000000"/>
          <w:sz w:val="20"/>
          <w:szCs w:val="20"/>
        </w:rPr>
        <w:br/>
      </w:r>
      <w:r>
        <w:rPr>
          <w:rFonts w:ascii="Microsoft JhengHei UI" w:eastAsia="Microsoft JhengHei UI" w:hAnsi="Microsoft JhengHei UI" w:hint="eastAsia"/>
          <w:color w:val="000000"/>
          <w:sz w:val="20"/>
          <w:szCs w:val="20"/>
        </w:rPr>
        <w:br/>
      </w:r>
      <w:r>
        <w:rPr>
          <w:rFonts w:ascii="新細明體" w:hAnsi="新細明體" w:hint="eastAsia"/>
        </w:rPr>
        <w:t>香港曾於</w:t>
      </w:r>
      <w:r>
        <w:rPr>
          <w:rFonts w:ascii="Times New Roman" w:hAnsi="Times New Roman" w:cs="Times New Roman"/>
        </w:rPr>
        <w:t>2017</w:t>
      </w:r>
      <w:r>
        <w:rPr>
          <w:rFonts w:ascii="新細明體" w:hAnsi="新細明體" w:hint="eastAsia"/>
        </w:rPr>
        <w:t>年</w:t>
      </w:r>
      <w:r>
        <w:rPr>
          <w:rFonts w:ascii="Times New Roman" w:hAnsi="Times New Roman" w:cs="Times New Roman"/>
        </w:rPr>
        <w:t>4</w:t>
      </w:r>
      <w:r>
        <w:rPr>
          <w:rFonts w:ascii="新細明體" w:hAnsi="新細明體" w:hint="eastAsia"/>
        </w:rPr>
        <w:t>月首次推出</w:t>
      </w:r>
      <w:r>
        <w:rPr>
          <w:rFonts w:ascii="Times New Roman" w:hAnsi="Times New Roman" w:cs="Times New Roman"/>
        </w:rPr>
        <w:t>5</w:t>
      </w:r>
      <w:r>
        <w:rPr>
          <w:rFonts w:ascii="新細明體" w:hAnsi="新細明體" w:hint="eastAsia"/>
        </w:rPr>
        <w:t>年期國債期貨，但由於進一步發展在港上市內地標的離岸衍生品需要更明確的兩地監管要求合作，同年</w:t>
      </w:r>
      <w:r>
        <w:rPr>
          <w:rFonts w:ascii="Times New Roman" w:hAnsi="Times New Roman" w:cs="Times New Roman"/>
        </w:rPr>
        <w:t>12</w:t>
      </w:r>
      <w:r>
        <w:rPr>
          <w:rFonts w:ascii="新細明體" w:hAnsi="新細明體" w:hint="eastAsia"/>
        </w:rPr>
        <w:t>月合約到期後暫停試點計畫。</w:t>
      </w:r>
      <w:r>
        <w:rPr>
          <w:rFonts w:ascii="Times New Roman" w:hAnsi="Times New Roman" w:cs="Times New Roman"/>
        </w:rPr>
        <w:t>2023</w:t>
      </w:r>
      <w:r>
        <w:rPr>
          <w:rFonts w:ascii="新細明體" w:hAnsi="新細明體" w:hint="eastAsia"/>
        </w:rPr>
        <w:t>年</w:t>
      </w:r>
      <w:r>
        <w:rPr>
          <w:rFonts w:ascii="Times New Roman" w:hAnsi="Times New Roman" w:cs="Times New Roman"/>
        </w:rPr>
        <w:t>11</w:t>
      </w:r>
      <w:r>
        <w:rPr>
          <w:rFonts w:ascii="新細明體" w:hAnsi="新細明體" w:hint="eastAsia"/>
        </w:rPr>
        <w:t>月，香港交易所再次表示擬推出中國國債期貨，此後公開信息少見。</w:t>
      </w:r>
    </w:p>
    <w:p w14:paraId="6753AF7D" w14:textId="77777777" w:rsidR="00E403D6" w:rsidRDefault="00E403D6" w:rsidP="00E403D6">
      <w:pPr>
        <w:autoSpaceDE w:val="0"/>
        <w:autoSpaceDN w:val="0"/>
        <w:spacing w:before="100" w:after="100"/>
      </w:pPr>
      <w:r>
        <w:rPr>
          <w:rFonts w:ascii="新細明體" w:hAnsi="新細明體" w:hint="eastAsia"/>
          <w:b/>
          <w:bCs/>
        </w:rPr>
        <w:t> </w:t>
      </w:r>
    </w:p>
    <w:p w14:paraId="10804BFE" w14:textId="77777777" w:rsidR="00E403D6" w:rsidRDefault="00E403D6" w:rsidP="00E403D6">
      <w:pPr>
        <w:rPr>
          <w:rFonts w:ascii="新細明體" w:hAnsi="新細明體" w:cs="新細明體"/>
        </w:rPr>
      </w:pPr>
      <w:r>
        <w:rPr>
          <w:rStyle w:val="imsender2"/>
          <w:rFonts w:hint="eastAsia"/>
        </w:rPr>
        <w:t>鄭凱鴻</w:t>
      </w:r>
      <w:r>
        <w:rPr>
          <w:rFonts w:ascii="新細明體" w:hAnsi="新細明體" w:cs="新細明體" w:hint="eastAsia"/>
        </w:rPr>
        <w:t xml:space="preserve"> </w:t>
      </w:r>
      <w:r>
        <w:rPr>
          <w:rStyle w:val="messagetimestamp2"/>
          <w:rFonts w:hint="eastAsia"/>
        </w:rPr>
        <w:t>上午</w:t>
      </w:r>
      <w:r>
        <w:rPr>
          <w:rStyle w:val="messagetimestamp2"/>
        </w:rPr>
        <w:t xml:space="preserve"> 09:05: </w:t>
      </w:r>
    </w:p>
    <w:p w14:paraId="24F0133C" w14:textId="77777777" w:rsidR="00E403D6" w:rsidRDefault="00E403D6" w:rsidP="00E403D6">
      <w:pPr>
        <w:autoSpaceDE w:val="0"/>
        <w:autoSpaceDN w:val="0"/>
        <w:rPr>
          <w:rFonts w:hint="eastAsia"/>
        </w:rPr>
      </w:pPr>
      <w:r>
        <w:rPr>
          <w:rFonts w:ascii="新細明體" w:hAnsi="新細明體" w:hint="eastAsia"/>
          <w:b/>
          <w:bCs/>
        </w:rPr>
        <w:t>對沖需求</w:t>
      </w:r>
      <w:r>
        <w:rPr>
          <w:rFonts w:ascii="Times New Roman" w:hAnsi="Times New Roman" w:cs="Times New Roman"/>
        </w:rPr>
        <w:t> </w:t>
      </w:r>
    </w:p>
    <w:p w14:paraId="291EB4F9" w14:textId="77777777" w:rsidR="00E403D6" w:rsidRDefault="00E403D6" w:rsidP="00E403D6">
      <w:pPr>
        <w:autoSpaceDE w:val="0"/>
        <w:autoSpaceDN w:val="0"/>
        <w:spacing w:before="100" w:after="100"/>
      </w:pPr>
      <w:r>
        <w:rPr>
          <w:rFonts w:ascii="新細明體" w:hAnsi="新細明體" w:hint="eastAsia"/>
        </w:rPr>
        <w:t>當前外資整體持有中國銀行間市場債券規模仍偏低，僅</w:t>
      </w:r>
      <w:proofErr w:type="gramStart"/>
      <w:r>
        <w:rPr>
          <w:rFonts w:ascii="新細明體" w:hAnsi="新細明體" w:hint="eastAsia"/>
        </w:rPr>
        <w:t>占總托管</w:t>
      </w:r>
      <w:proofErr w:type="gramEnd"/>
      <w:r>
        <w:rPr>
          <w:rFonts w:ascii="新細明體" w:hAnsi="新細明體" w:hint="eastAsia"/>
        </w:rPr>
        <w:t>量的不到</w:t>
      </w:r>
      <w:r>
        <w:rPr>
          <w:rFonts w:ascii="Times New Roman" w:hAnsi="Times New Roman" w:cs="Times New Roman"/>
        </w:rPr>
        <w:t>2%</w:t>
      </w:r>
      <w:r>
        <w:rPr>
          <w:rFonts w:ascii="新細明體" w:hAnsi="新細明體" w:hint="eastAsia"/>
        </w:rPr>
        <w:t>。長期以來，境外投資者可用於對沖人民幣利率風險的工具相對有限，增添了持有人民幣資產的顧慮。</w:t>
      </w:r>
    </w:p>
    <w:p w14:paraId="1A117593" w14:textId="77777777" w:rsidR="00E403D6" w:rsidRDefault="00E403D6" w:rsidP="00E403D6">
      <w:pPr>
        <w:autoSpaceDE w:val="0"/>
        <w:autoSpaceDN w:val="0"/>
        <w:spacing w:before="100" w:after="100"/>
      </w:pPr>
      <w:r>
        <w:rPr>
          <w:rFonts w:ascii="新細明體" w:hAnsi="新細明體" w:hint="eastAsia"/>
        </w:rPr>
        <w:t>現有人民幣利率互換</w:t>
      </w:r>
      <w:r>
        <w:rPr>
          <w:rFonts w:ascii="Times New Roman" w:hAnsi="Times New Roman" w:cs="Times New Roman"/>
        </w:rPr>
        <w:t>(IRS)</w:t>
      </w:r>
      <w:r>
        <w:rPr>
          <w:rFonts w:ascii="新細明體" w:hAnsi="新細明體" w:hint="eastAsia"/>
        </w:rPr>
        <w:t>和不可交割利率互換</w:t>
      </w:r>
      <w:r>
        <w:rPr>
          <w:rFonts w:ascii="Times New Roman" w:hAnsi="Times New Roman" w:cs="Times New Roman"/>
        </w:rPr>
        <w:t>(NDIRS)</w:t>
      </w:r>
      <w:r>
        <w:rPr>
          <w:rFonts w:ascii="新細明體" w:hAnsi="新細明體" w:hint="eastAsia"/>
        </w:rPr>
        <w:t>的交易主要集中在</w:t>
      </w:r>
      <w:r>
        <w:rPr>
          <w:rFonts w:ascii="Times New Roman" w:hAnsi="Times New Roman" w:cs="Times New Roman"/>
        </w:rPr>
        <w:t>5</w:t>
      </w:r>
      <w:r>
        <w:rPr>
          <w:rFonts w:ascii="新細明體" w:hAnsi="新細明體" w:hint="eastAsia"/>
        </w:rPr>
        <w:t>年期</w:t>
      </w:r>
      <w:proofErr w:type="gramStart"/>
      <w:r>
        <w:rPr>
          <w:rFonts w:ascii="新細明體" w:hAnsi="新細明體" w:hint="eastAsia"/>
        </w:rPr>
        <w:t>以內，</w:t>
      </w:r>
      <w:proofErr w:type="gramEnd"/>
      <w:r>
        <w:rPr>
          <w:rFonts w:ascii="新細明體" w:hAnsi="新細明體" w:hint="eastAsia"/>
        </w:rPr>
        <w:t>而國債期貨能更直接</w:t>
      </w:r>
      <w:proofErr w:type="gramStart"/>
      <w:r>
        <w:rPr>
          <w:rFonts w:ascii="新細明體" w:hAnsi="新細明體" w:hint="eastAsia"/>
        </w:rPr>
        <w:t>錨定國債殖</w:t>
      </w:r>
      <w:proofErr w:type="gramEnd"/>
      <w:r>
        <w:rPr>
          <w:rFonts w:ascii="新細明體" w:hAnsi="新細明體" w:hint="eastAsia"/>
        </w:rPr>
        <w:t>利率曲線，在對沖長久期風險方面更具優勢。今年</w:t>
      </w:r>
      <w:r>
        <w:rPr>
          <w:rFonts w:ascii="Times New Roman" w:hAnsi="Times New Roman" w:cs="Times New Roman"/>
        </w:rPr>
        <w:t>5</w:t>
      </w:r>
      <w:r>
        <w:rPr>
          <w:rFonts w:ascii="新細明體" w:hAnsi="新細明體" w:hint="eastAsia"/>
        </w:rPr>
        <w:t>月中國允許合格境外投資者參與在岸國債期貨交易，但交易目的僅</w:t>
      </w:r>
      <w:proofErr w:type="gramStart"/>
      <w:r>
        <w:rPr>
          <w:rFonts w:ascii="新細明體" w:hAnsi="新細明體" w:hint="eastAsia"/>
        </w:rPr>
        <w:t>限套期</w:t>
      </w:r>
      <w:proofErr w:type="gramEnd"/>
      <w:r>
        <w:rPr>
          <w:rFonts w:ascii="新細明體" w:hAnsi="新細明體" w:hint="eastAsia"/>
        </w:rPr>
        <w:t>保值。</w:t>
      </w:r>
    </w:p>
    <w:p w14:paraId="2AD835F6" w14:textId="77777777" w:rsidR="00E403D6" w:rsidRDefault="00E403D6" w:rsidP="00E403D6">
      <w:pPr>
        <w:autoSpaceDE w:val="0"/>
        <w:autoSpaceDN w:val="0"/>
        <w:spacing w:before="100" w:after="100"/>
      </w:pPr>
      <w:r>
        <w:rPr>
          <w:rFonts w:ascii="新細明體" w:hAnsi="新細明體" w:hint="eastAsia"/>
        </w:rPr>
        <w:lastRenderedPageBreak/>
        <w:t>值得注意的是，此次推出的離岸國債期貨採用現金交割，無需交付實際債券，避免了跨境債券托管等複雜流程，也降低了境外機構參與門檻。滙豐資本市場及證券服務香港區主管黃子卓表示，現金結算使該產品成為一種便捷的久期對沖工具，投資者無需占用流動性即可管理利率風險，而</w:t>
      </w:r>
      <w:r>
        <w:rPr>
          <w:rFonts w:ascii="Times New Roman" w:hAnsi="Times New Roman" w:cs="Times New Roman"/>
        </w:rPr>
        <w:t>50</w:t>
      </w:r>
      <w:r>
        <w:rPr>
          <w:rFonts w:ascii="新細明體" w:hAnsi="新細明體" w:hint="eastAsia"/>
        </w:rPr>
        <w:t>萬元人民幣的較小合約規模也有助於更精準地控制倉位。</w:t>
      </w:r>
    </w:p>
    <w:p w14:paraId="439AE2A1" w14:textId="77777777" w:rsidR="00E403D6" w:rsidRDefault="00E403D6" w:rsidP="00E403D6">
      <w:pPr>
        <w:autoSpaceDE w:val="0"/>
        <w:autoSpaceDN w:val="0"/>
        <w:spacing w:before="100" w:after="100"/>
      </w:pPr>
      <w:r>
        <w:rPr>
          <w:rFonts w:ascii="新細明體" w:hAnsi="新細明體" w:hint="eastAsia"/>
        </w:rPr>
        <w:t>當然現金交割亦有弊端。非實物交割特定</w:t>
      </w:r>
      <w:proofErr w:type="gramStart"/>
      <w:r>
        <w:rPr>
          <w:rFonts w:ascii="新細明體" w:hAnsi="新細明體" w:hint="eastAsia"/>
        </w:rPr>
        <w:t>券</w:t>
      </w:r>
      <w:proofErr w:type="gramEnd"/>
      <w:r>
        <w:rPr>
          <w:rFonts w:ascii="新細明體" w:hAnsi="新細明體" w:hint="eastAsia"/>
        </w:rPr>
        <w:t>種，可能導致期貨和現</w:t>
      </w:r>
      <w:proofErr w:type="gramStart"/>
      <w:r>
        <w:rPr>
          <w:rFonts w:ascii="新細明體" w:hAnsi="新細明體" w:hint="eastAsia"/>
        </w:rPr>
        <w:t>券</w:t>
      </w:r>
      <w:proofErr w:type="gramEnd"/>
      <w:r>
        <w:rPr>
          <w:rFonts w:ascii="新細明體" w:hAnsi="新細明體" w:hint="eastAsia"/>
        </w:rPr>
        <w:t>之間</w:t>
      </w:r>
      <w:proofErr w:type="gramStart"/>
      <w:r>
        <w:rPr>
          <w:rFonts w:ascii="新細明體" w:hAnsi="新細明體" w:hint="eastAsia"/>
        </w:rPr>
        <w:t>的基差有時</w:t>
      </w:r>
      <w:proofErr w:type="gramEnd"/>
      <w:r>
        <w:rPr>
          <w:rFonts w:ascii="新細明體" w:hAnsi="新細明體" w:hint="eastAsia"/>
        </w:rPr>
        <w:t>維持在較寬水平，依賴交割機制的套利空間預計相對有限，市場初期將更加依賴做市商提供連續報價和流動性支持。</w:t>
      </w:r>
      <w:proofErr w:type="gramStart"/>
      <w:r>
        <w:rPr>
          <w:rFonts w:ascii="新細明體" w:hAnsi="新細明體" w:hint="eastAsia"/>
        </w:rPr>
        <w:t>法巴證券</w:t>
      </w:r>
      <w:proofErr w:type="gramEnd"/>
      <w:r>
        <w:rPr>
          <w:rFonts w:ascii="新細明體" w:hAnsi="新細明體" w:hint="eastAsia"/>
        </w:rPr>
        <w:t>（中國）多資產投資總監李維預計，未來隨著交易活躍度提升，機構投資者有望在現貨和期貨、跨交易所品種之間進行套利，以增厚投資收益。</w:t>
      </w:r>
      <w:r>
        <w:rPr>
          <w:rFonts w:ascii="Microsoft JhengHei UI" w:eastAsia="Microsoft JhengHei UI" w:hAnsi="Microsoft JhengHei UI" w:hint="eastAsia"/>
          <w:color w:val="000000"/>
          <w:sz w:val="20"/>
          <w:szCs w:val="20"/>
        </w:rPr>
        <w:t xml:space="preserve"> </w:t>
      </w:r>
      <w:r>
        <w:rPr>
          <w:rFonts w:ascii="Microsoft JhengHei UI" w:eastAsia="Microsoft JhengHei UI" w:hAnsi="Microsoft JhengHei UI" w:hint="eastAsia"/>
          <w:color w:val="000000"/>
          <w:sz w:val="20"/>
          <w:szCs w:val="20"/>
        </w:rPr>
        <w:br/>
      </w:r>
      <w:r>
        <w:rPr>
          <w:rFonts w:ascii="Microsoft JhengHei UI" w:eastAsia="Microsoft JhengHei UI" w:hAnsi="Microsoft JhengHei UI" w:hint="eastAsia"/>
          <w:color w:val="000000"/>
          <w:sz w:val="20"/>
          <w:szCs w:val="20"/>
        </w:rPr>
        <w:br/>
      </w:r>
      <w:proofErr w:type="gramStart"/>
      <w:r>
        <w:rPr>
          <w:rFonts w:ascii="新細明體" w:hAnsi="新細明體" w:hint="eastAsia"/>
        </w:rPr>
        <w:t>此外，</w:t>
      </w:r>
      <w:proofErr w:type="gramEnd"/>
      <w:r>
        <w:rPr>
          <w:rFonts w:ascii="新細明體" w:hAnsi="新細明體" w:hint="eastAsia"/>
        </w:rPr>
        <w:t>香港國債期貨交易時間為</w:t>
      </w:r>
      <w:r>
        <w:rPr>
          <w:rFonts w:ascii="Times New Roman" w:hAnsi="Times New Roman" w:cs="Times New Roman"/>
        </w:rPr>
        <w:t>9:30</w:t>
      </w:r>
      <w:r>
        <w:rPr>
          <w:rFonts w:ascii="新細明體" w:hAnsi="新細明體" w:hint="eastAsia"/>
        </w:rPr>
        <w:t>至</w:t>
      </w:r>
      <w:r>
        <w:rPr>
          <w:rFonts w:ascii="Times New Roman" w:hAnsi="Times New Roman" w:cs="Times New Roman"/>
        </w:rPr>
        <w:t>16:30</w:t>
      </w:r>
      <w:r>
        <w:rPr>
          <w:rFonts w:ascii="新細明體" w:hAnsi="新細明體" w:hint="eastAsia"/>
        </w:rPr>
        <w:t>，收盤時間較</w:t>
      </w:r>
      <w:proofErr w:type="gramStart"/>
      <w:r>
        <w:rPr>
          <w:rFonts w:ascii="新細明體" w:hAnsi="新細明體" w:hint="eastAsia"/>
        </w:rPr>
        <w:t>內地晚逾</w:t>
      </w:r>
      <w:proofErr w:type="gramEnd"/>
      <w:r>
        <w:rPr>
          <w:rFonts w:ascii="新細明體" w:hAnsi="新細明體" w:hint="eastAsia"/>
        </w:rPr>
        <w:t>一個小時。</w:t>
      </w:r>
      <w:proofErr w:type="gramStart"/>
      <w:r>
        <w:rPr>
          <w:rFonts w:ascii="新細明體" w:hAnsi="新細明體" w:hint="eastAsia"/>
        </w:rPr>
        <w:t>澳新銀行</w:t>
      </w:r>
      <w:proofErr w:type="gramEnd"/>
      <w:r>
        <w:rPr>
          <w:rFonts w:ascii="新細明體" w:hAnsi="新細明體" w:hint="eastAsia"/>
        </w:rPr>
        <w:t>資深中國策略師邢兆鵬認為，香港的國債期貨將反映內地期貨市場收盤後的交易走勢，而離岸品種的尾盤價格也可能為次日內地國債期貨開盤提供參考。「隨著離岸國債期貨的推出，香港與</w:t>
      </w:r>
      <w:proofErr w:type="gramStart"/>
      <w:r>
        <w:rPr>
          <w:rFonts w:ascii="新細明體" w:hAnsi="新細明體" w:hint="eastAsia"/>
        </w:rPr>
        <w:t>內地債</w:t>
      </w:r>
      <w:proofErr w:type="gramEnd"/>
      <w:r>
        <w:rPr>
          <w:rFonts w:ascii="新細明體" w:hAnsi="新細明體" w:hint="eastAsia"/>
        </w:rPr>
        <w:t>市聯動將進一步增強。」他表示。</w:t>
      </w:r>
    </w:p>
    <w:p w14:paraId="27F5002C" w14:textId="77777777" w:rsidR="00E403D6" w:rsidRDefault="00E403D6" w:rsidP="00E403D6">
      <w:pPr>
        <w:autoSpaceDE w:val="0"/>
        <w:autoSpaceDN w:val="0"/>
        <w:spacing w:before="100" w:after="100"/>
      </w:pPr>
      <w:r>
        <w:rPr>
          <w:rFonts w:ascii="新細明體" w:hAnsi="新細明體" w:hint="eastAsia"/>
        </w:rPr>
        <w:t>渣打大中華區宏觀策略主管劉潔預計，未來幾年，離岸國債期貨市場將逐步形成覆蓋</w:t>
      </w:r>
      <w:r>
        <w:rPr>
          <w:rFonts w:ascii="Times New Roman" w:hAnsi="Times New Roman" w:cs="Times New Roman"/>
        </w:rPr>
        <w:t>2</w:t>
      </w:r>
      <w:r>
        <w:rPr>
          <w:rFonts w:ascii="新細明體" w:hAnsi="新細明體" w:hint="eastAsia"/>
        </w:rPr>
        <w:t>年至</w:t>
      </w:r>
      <w:r>
        <w:rPr>
          <w:rFonts w:ascii="Times New Roman" w:hAnsi="Times New Roman" w:cs="Times New Roman"/>
        </w:rPr>
        <w:t>30</w:t>
      </w:r>
      <w:r>
        <w:rPr>
          <w:rFonts w:ascii="新細明體" w:hAnsi="新細明體" w:hint="eastAsia"/>
        </w:rPr>
        <w:t>年期限的完整產品體系，與目前境內已有的國債期貨期限相呼應。</w:t>
      </w:r>
      <w:r>
        <w:rPr>
          <w:rFonts w:ascii="Microsoft JhengHei UI" w:eastAsia="Microsoft JhengHei UI" w:hAnsi="Microsoft JhengHei UI" w:hint="eastAsia"/>
          <w:color w:val="000000"/>
          <w:sz w:val="20"/>
          <w:szCs w:val="20"/>
        </w:rPr>
        <w:t xml:space="preserve">  </w:t>
      </w:r>
    </w:p>
    <w:p w14:paraId="468BD1CE" w14:textId="77777777" w:rsidR="00E403D6" w:rsidRPr="00E403D6" w:rsidRDefault="00E403D6"/>
    <w:sectPr w:rsidR="00E403D6" w:rsidRPr="00E403D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D6"/>
    <w:rsid w:val="00E403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E561"/>
  <w15:chartTrackingRefBased/>
  <w15:docId w15:val="{5DEC159A-60A1-404B-BA1C-FA54A8ACC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03D6"/>
    <w:rPr>
      <w:rFonts w:ascii="Calibri" w:eastAsia="新細明體" w:hAnsi="Calibri" w:cs="Calibri"/>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msender1">
    <w:name w:val="im_sender1"/>
    <w:basedOn w:val="a0"/>
    <w:rsid w:val="00E403D6"/>
    <w:rPr>
      <w:rFonts w:ascii="Segoe UI" w:hAnsi="Segoe UI" w:cs="Segoe UI" w:hint="default"/>
      <w:b/>
      <w:bCs/>
      <w:i w:val="0"/>
      <w:iCs w:val="0"/>
      <w:caps w:val="0"/>
      <w:smallCaps w:val="0"/>
      <w:strike w:val="0"/>
      <w:dstrike w:val="0"/>
      <w:color w:val="666666"/>
      <w:sz w:val="17"/>
      <w:szCs w:val="17"/>
      <w:u w:val="none"/>
      <w:effect w:val="none"/>
    </w:rPr>
  </w:style>
  <w:style w:type="character" w:customStyle="1" w:styleId="messagetimestamp1">
    <w:name w:val="message_timestamp1"/>
    <w:basedOn w:val="a0"/>
    <w:rsid w:val="00E403D6"/>
    <w:rPr>
      <w:rFonts w:ascii="Segoe UI" w:hAnsi="Segoe UI" w:cs="Segoe UI" w:hint="default"/>
      <w:b/>
      <w:bCs/>
      <w:i w:val="0"/>
      <w:iCs w:val="0"/>
      <w:caps w:val="0"/>
      <w:smallCaps w:val="0"/>
      <w:strike w:val="0"/>
      <w:dstrike w:val="0"/>
      <w:color w:val="666666"/>
      <w:sz w:val="17"/>
      <w:szCs w:val="17"/>
      <w:u w:val="none"/>
      <w:effect w:val="none"/>
    </w:rPr>
  </w:style>
  <w:style w:type="character" w:customStyle="1" w:styleId="imsender2">
    <w:name w:val="im_sender2"/>
    <w:basedOn w:val="a0"/>
    <w:rsid w:val="00E403D6"/>
    <w:rPr>
      <w:rFonts w:ascii="Segoe UI" w:hAnsi="Segoe UI" w:cs="Segoe UI" w:hint="default"/>
      <w:b/>
      <w:bCs/>
      <w:i w:val="0"/>
      <w:iCs w:val="0"/>
      <w:caps w:val="0"/>
      <w:smallCaps w:val="0"/>
      <w:strike w:val="0"/>
      <w:dstrike w:val="0"/>
      <w:color w:val="666666"/>
      <w:sz w:val="17"/>
      <w:szCs w:val="17"/>
      <w:u w:val="none"/>
      <w:effect w:val="none"/>
    </w:rPr>
  </w:style>
  <w:style w:type="character" w:customStyle="1" w:styleId="messagetimestamp2">
    <w:name w:val="message_timestamp2"/>
    <w:basedOn w:val="a0"/>
    <w:rsid w:val="00E403D6"/>
    <w:rPr>
      <w:rFonts w:ascii="Segoe UI" w:hAnsi="Segoe UI" w:cs="Segoe UI" w:hint="default"/>
      <w:b/>
      <w:bCs/>
      <w:i w:val="0"/>
      <w:iCs w:val="0"/>
      <w:caps w:val="0"/>
      <w:smallCaps w:val="0"/>
      <w:strike w:val="0"/>
      <w:dstrike w:val="0"/>
      <w:color w:val="666666"/>
      <w:sz w:val="17"/>
      <w:szCs w:val="17"/>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4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1201</Characters>
  <Application>Microsoft Office Word</Application>
  <DocSecurity>0</DocSecurity>
  <Lines>10</Lines>
  <Paragraphs>2</Paragraphs>
  <ScaleCrop>false</ScaleCrop>
  <Company>Taishin International Bank</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王信閎</dc:creator>
  <cp:keywords/>
  <dc:description/>
  <cp:lastModifiedBy>王信閎</cp:lastModifiedBy>
  <cp:revision>1</cp:revision>
  <dcterms:created xsi:type="dcterms:W3CDTF">2026-07-31T03:20:00Z</dcterms:created>
  <dcterms:modified xsi:type="dcterms:W3CDTF">2026-07-31T03:20:00Z</dcterms:modified>
</cp:coreProperties>
</file>