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Fonts w:hint="eastAsia" w:eastAsia="新細明體"/>
          <w:lang w:eastAsia="zh-TW"/>
        </w:rPr>
        <w:t>利率交易策略</w:t>
      </w:r>
      <w:r>
        <w:t>報告：</w:t>
      </w:r>
      <w:r>
        <w:rPr>
          <w:rFonts w:hint="eastAsia" w:eastAsia="新細明體"/>
          <w:lang w:val="en-US" w:eastAsia="zh-TW"/>
        </w:rPr>
        <w:t>TWD IRS 2s5s steepener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rPr>
          <w:rFonts w:hint="eastAsia" w:eastAsia="新細明體"/>
          <w:b w:val="0"/>
          <w:bCs/>
          <w:sz w:val="24"/>
          <w:szCs w:val="24"/>
          <w:lang w:eastAsia="zh-TW"/>
        </w:rPr>
      </w:pPr>
      <w:r>
        <w:rPr>
          <w:rFonts w:hint="eastAsia" w:eastAsia="新細明體"/>
          <w:b w:val="0"/>
          <w:bCs/>
          <w:sz w:val="24"/>
          <w:szCs w:val="24"/>
          <w:lang w:eastAsia="zh-TW"/>
        </w:rPr>
        <w:t>我的簡報主要是想先給出</w:t>
      </w:r>
      <w:r>
        <w:rPr>
          <w:rFonts w:hint="eastAsia" w:eastAsia="新細明體"/>
          <w:b w:val="0"/>
          <w:bCs/>
          <w:sz w:val="24"/>
          <w:szCs w:val="24"/>
          <w:lang w:val="en-US" w:eastAsia="zh-TW"/>
        </w:rPr>
        <w:t>BNP對於台灣央行政策利率展望以及TWD IRS交易策略的最新報告(可參考我提供的附檔)重點統整，同時再加上我自己個人的觀點 結合歷史央行升息路徑及風格，最後得出我的利率交易策略是做TWD IRS 2s5s steepener。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rPr>
          <w:rFonts w:hint="eastAsia" w:eastAsia="新細明體"/>
          <w:lang w:eastAsia="zh-TW"/>
        </w:rPr>
      </w:pPr>
      <w:r>
        <w:rPr>
          <w:rFonts w:hint="eastAsia" w:eastAsia="新細明體"/>
          <w:lang w:eastAsia="zh-TW"/>
        </w:rPr>
        <w:t>首先是</w:t>
      </w:r>
      <w:r>
        <w:rPr>
          <w:rFonts w:hint="eastAsia" w:eastAsia="新細明體"/>
          <w:lang w:val="en-US" w:eastAsia="zh-TW"/>
        </w:rPr>
        <w:t>BNP的報告重點</w:t>
      </w:r>
    </w:p>
    <w:p>
      <w:pPr>
        <w:pStyle w:val="3"/>
        <w:keepNext w:val="0"/>
        <w:keepLines w:val="0"/>
        <w:widowControl/>
        <w:suppressLineNumbers w:val="0"/>
      </w:pPr>
      <w:r>
        <w:t>一、</w:t>
      </w:r>
      <w:r>
        <w:rPr>
          <w:rFonts w:hint="eastAsia" w:eastAsia="新細明體"/>
          <w:lang w:val="en-US" w:eastAsia="zh-TW"/>
        </w:rPr>
        <w:t>BNP</w:t>
      </w:r>
      <w:r>
        <w:t>核心觀點與利率預測</w:t>
      </w:r>
    </w:p>
    <w:p>
      <w:pPr>
        <w:pStyle w:val="6"/>
        <w:keepNext w:val="0"/>
        <w:keepLines w:val="0"/>
        <w:widowControl/>
        <w:suppressLineNumbers w:val="0"/>
        <w:spacing w:before="100" w:beforeAutospacing="1" w:after="100" w:afterAutospacing="1"/>
        <w:ind w:left="0" w:right="0"/>
      </w:pPr>
      <w:r>
        <w:t>BNP巴黎銀行</w:t>
      </w:r>
      <w:r>
        <w:rPr>
          <w:rFonts w:hint="eastAsia"/>
          <w:lang w:eastAsia="zh-TW"/>
        </w:rPr>
        <w:t>最新</w:t>
      </w:r>
      <w:r>
        <w:rPr>
          <w:rFonts w:hint="eastAsia"/>
          <w:lang w:val="en-US" w:eastAsia="zh-TW"/>
        </w:rPr>
        <w:t>(2026/6/15)</w:t>
      </w:r>
      <w:r>
        <w:rPr>
          <w:rFonts w:hint="eastAsia"/>
          <w:lang w:eastAsia="zh-TW"/>
        </w:rPr>
        <w:t>報告指出</w:t>
      </w:r>
      <w:r>
        <w:t>對台灣央行的利率預測，</w:t>
      </w:r>
      <w:r>
        <w:rPr>
          <w:rFonts w:hint="eastAsia"/>
          <w:lang w:eastAsia="zh-TW"/>
        </w:rPr>
        <w:t>預期</w:t>
      </w:r>
      <w:r>
        <w:t>至2027年底，</w:t>
      </w:r>
      <w:r>
        <w:rPr>
          <w:rFonts w:hint="eastAsia"/>
          <w:lang w:eastAsia="zh-TW"/>
        </w:rPr>
        <w:t>共有</w:t>
      </w:r>
      <w:r>
        <w:rPr>
          <w:rStyle w:val="9"/>
        </w:rPr>
        <w:t>兩次各12.5bp的升息</w:t>
      </w:r>
      <w:r>
        <w:t>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Style w:val="9"/>
        </w:rPr>
        <w:t>第一次升息：</w:t>
      </w:r>
      <w:r>
        <w:t xml:space="preserve"> 2026年12月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Style w:val="9"/>
        </w:rPr>
        <w:t>第二次升息：</w:t>
      </w:r>
      <w:r>
        <w:t xml:space="preserve"> 2027年3月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rPr>
          <w:rStyle w:val="9"/>
        </w:rPr>
        <w:t>2027年底目標利率：</w:t>
      </w:r>
      <w:r>
        <w:t xml:space="preserve"> 2.25%</w:t>
      </w:r>
    </w:p>
    <w:p>
      <w:pPr>
        <w:keepNext w:val="0"/>
        <w:keepLines w:val="0"/>
        <w:widowControl/>
        <w:suppressLineNumbers w:val="0"/>
      </w:pPr>
      <w:r>
        <w:rPr>
          <w:rFonts w:hint="eastAsia"/>
          <w:lang w:eastAsia="zh-TW"/>
        </w:rPr>
        <w:t>原因以下說明：</w:t>
      </w: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二、經濟成長預測（大幅上調）</w:t>
      </w:r>
    </w:p>
    <w:tbl>
      <w:tblPr>
        <w:tblStyle w:val="10"/>
        <w:tblW w:w="4434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784"/>
        <w:gridCol w:w="18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年度</w:t>
            </w:r>
          </w:p>
        </w:tc>
        <w:tc>
          <w:tcPr>
            <w:tcW w:w="7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原預測</w:t>
            </w:r>
          </w:p>
        </w:tc>
        <w:tc>
          <w:tcPr>
            <w:tcW w:w="17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hint="eastAsia" w:ascii="SimSun" w:hAnsi="SimSun" w:eastAsia="新細明體" w:cs="SimSun"/>
                <w:b/>
                <w:kern w:val="0"/>
                <w:sz w:val="24"/>
                <w:szCs w:val="24"/>
                <w:lang w:val="en-US" w:eastAsia="zh-TW" w:bidi="ar"/>
              </w:rPr>
              <w:t>各主要機構</w:t>
            </w: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預測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2026年GDP成長</w:t>
            </w:r>
          </w:p>
        </w:tc>
        <w:tc>
          <w:tcPr>
            <w:tcW w:w="7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7.0%</w:t>
            </w:r>
          </w:p>
        </w:tc>
        <w:tc>
          <w:tcPr>
            <w:tcW w:w="17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新細明體"/>
                <w:lang w:val="en-US" w:eastAsia="zh-TW"/>
              </w:rPr>
            </w:pPr>
            <w:r>
              <w:rPr>
                <w:rFonts w:hint="eastAsia" w:eastAsia="新細明體"/>
                <w:lang w:val="en-US" w:eastAsia="zh-TW"/>
              </w:rPr>
              <w:t>9~10%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2027年GDP成長</w:t>
            </w:r>
          </w:p>
        </w:tc>
        <w:tc>
          <w:tcPr>
            <w:tcW w:w="75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2.5%</w:t>
            </w:r>
          </w:p>
        </w:tc>
        <w:tc>
          <w:tcPr>
            <w:tcW w:w="1788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新細明體"/>
                <w:lang w:val="en-US" w:eastAsia="zh-TW"/>
              </w:rPr>
            </w:pPr>
            <w:r>
              <w:rPr>
                <w:rFonts w:hint="eastAsia" w:eastAsia="新細明體"/>
                <w:lang w:val="en-US" w:eastAsia="zh-TW"/>
              </w:rPr>
              <w:t>3~4%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pacing w:before="100" w:beforeAutospacing="1" w:after="100" w:afterAutospacing="1"/>
        <w:ind w:left="0" w:right="0"/>
      </w:pPr>
      <w:r>
        <w:t>上調原因主要來自</w:t>
      </w:r>
      <w:r>
        <w:rPr>
          <w:rStyle w:val="9"/>
        </w:rPr>
        <w:t>AI產業帶動的景氣榮景</w:t>
      </w:r>
      <w:r>
        <w:t>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hanging="360"/>
      </w:pPr>
      <w:r>
        <w:t>台灣是</w:t>
      </w:r>
      <w:r>
        <w:rPr>
          <w:rFonts w:hint="eastAsia"/>
          <w:lang w:val="en-US" w:eastAsia="zh-TW"/>
        </w:rPr>
        <w:t>AI爆發下的</w:t>
      </w:r>
      <w:r>
        <w:t>主要亞洲受惠者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hanging="360"/>
      </w:pPr>
      <w:r>
        <w:t>AI帶動效應已</w:t>
      </w:r>
      <w:r>
        <w:rPr>
          <w:rFonts w:hint="eastAsia"/>
          <w:lang w:eastAsia="zh-TW"/>
        </w:rPr>
        <w:t>由出口</w:t>
      </w:r>
      <w:r>
        <w:t>外溢至民間消費與投資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三、通膨預測（小幅上調）</w:t>
      </w:r>
    </w:p>
    <w:tbl>
      <w:tblPr>
        <w:tblStyle w:val="10"/>
        <w:tblW w:w="609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2162"/>
        <w:gridCol w:w="25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指標</w:t>
            </w:r>
          </w:p>
        </w:tc>
        <w:tc>
          <w:tcPr>
            <w:tcW w:w="213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2026年預測</w:t>
            </w:r>
          </w:p>
        </w:tc>
        <w:tc>
          <w:tcPr>
            <w:tcW w:w="249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2027年預測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CPI（整體）</w:t>
            </w:r>
          </w:p>
        </w:tc>
        <w:tc>
          <w:tcPr>
            <w:tcW w:w="213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2.0%（上調0.1pp）</w:t>
            </w:r>
          </w:p>
        </w:tc>
        <w:tc>
          <w:tcPr>
            <w:tcW w:w="249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2.0%（上調0.1pp）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5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核心CPI</w:t>
            </w:r>
          </w:p>
        </w:tc>
        <w:tc>
          <w:tcPr>
            <w:tcW w:w="213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2.0%</w:t>
            </w:r>
          </w:p>
        </w:tc>
        <w:tc>
          <w:tcPr>
            <w:tcW w:w="249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1.9%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spacing w:before="100" w:beforeAutospacing="1" w:after="100" w:afterAutospacing="1"/>
        <w:ind w:left="0" w:right="0"/>
      </w:pPr>
      <w:r>
        <w:rPr>
          <w:rStyle w:val="9"/>
        </w:rPr>
        <w:t>通膨升溫訊號：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</w:pPr>
      <w:r>
        <w:t>2026年5月整體CPI年增率升至2.20%（4月為1.73%，3月為1.20%）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</w:pPr>
      <w:r>
        <w:t>5月核心CPI升至2.12%（4月為1.90%）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hanging="360"/>
      </w:pPr>
      <w:r>
        <w:rPr>
          <w:rFonts w:hint="eastAsia"/>
          <w:lang w:val="en-US" w:eastAsia="zh-TW"/>
        </w:rPr>
        <w:t>2027年CPI仍維持在2%央行警戒線附近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</w:pPr>
      <w:r>
        <w:t>央行官員近期表態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</w:pPr>
      <w:r>
        <w:rPr>
          <w:rStyle w:val="9"/>
        </w:rPr>
        <w:t>總裁楊金龍（2026年6月10日）：</w:t>
      </w:r>
      <w:r>
        <w:t xml:space="preserve"> </w:t>
      </w:r>
      <w:r>
        <w:rPr>
          <w:rFonts w:hint="eastAsia"/>
          <w:lang w:val="en-US" w:eastAsia="zh-TW"/>
        </w:rPr>
        <w:t>2026年</w:t>
      </w:r>
      <w:r>
        <w:t>相較其他經濟體，台灣物價相對穩定；政府財政措施有效抑制通膨；輸入型通膨目前有限；且供給面通膨</w:t>
      </w:r>
      <w:r>
        <w:rPr>
          <w:rFonts w:hint="eastAsia"/>
          <w:lang w:eastAsia="zh-TW"/>
        </w:rPr>
        <w:t>用貨幣政策對付</w:t>
      </w:r>
      <w:r>
        <w:t>效果有限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hanging="360"/>
      </w:pPr>
      <w:r>
        <w:rPr>
          <w:rStyle w:val="9"/>
        </w:rPr>
        <w:t>理事</w:t>
      </w:r>
      <w:r>
        <w:rPr>
          <w:rStyle w:val="9"/>
          <w:rFonts w:hint="eastAsia"/>
          <w:lang w:eastAsia="zh-TW"/>
        </w:rPr>
        <w:t>之一 - 台經院院長</w:t>
      </w:r>
      <w:r>
        <w:rPr>
          <w:rStyle w:val="9"/>
        </w:rPr>
        <w:t>張建一（2026年6月9日）：</w:t>
      </w:r>
      <w:r>
        <w:t xml:space="preserve"> 表示由於2026年通膨預期低於2%，升息並不急迫，傾向觀望</w:t>
      </w:r>
      <w:r>
        <w:rPr>
          <w:rFonts w:hint="eastAsia"/>
          <w:lang w:eastAsia="zh-TW"/>
        </w:rP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五、</w:t>
      </w:r>
      <w:r>
        <w:rPr>
          <w:rStyle w:val="9"/>
          <w:b/>
        </w:rPr>
        <w:t>房市信用管控</w:t>
      </w:r>
    </w:p>
    <w:p>
      <w:pPr>
        <w:pStyle w:val="6"/>
        <w:keepNext w:val="0"/>
        <w:keepLines w:val="0"/>
        <w:widowControl/>
        <w:suppressLineNumbers w:val="0"/>
        <w:spacing w:before="100" w:beforeAutospacing="1" w:after="100" w:afterAutospacing="1"/>
        <w:ind w:left="0" w:right="0"/>
      </w:pPr>
      <w:r>
        <w:rPr>
          <w:rStyle w:val="9"/>
        </w:rPr>
        <w:t>房市信用管控趨緩：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</w:pPr>
      <w:r>
        <w:t>房價多呈持平</w:t>
      </w:r>
      <w:r>
        <w:rPr>
          <w:rFonts w:hint="eastAsia"/>
          <w:lang w:eastAsia="zh-TW"/>
        </w:rPr>
        <w:t>甚至負增長</w:t>
      </w:r>
      <w:r>
        <w:t>，交易量下滑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</w:pPr>
      <w:r>
        <w:t>不動產貸款集中度已回落至央行舒適區間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hanging="360"/>
      </w:pPr>
      <w:r>
        <w:t>楊總裁表示「房市信用管控不會進一步加強」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 w:eastAsia="新細明體"/>
          <w:lang w:eastAsia="zh-TW"/>
        </w:rPr>
        <w:t>六</w:t>
      </w:r>
      <w:r>
        <w:t>、利率策略建議</w:t>
      </w:r>
    </w:p>
    <w:p>
      <w:pPr>
        <w:pStyle w:val="6"/>
        <w:keepNext w:val="0"/>
        <w:keepLines w:val="0"/>
        <w:widowControl/>
        <w:suppressLineNumbers w:val="0"/>
        <w:spacing w:before="100" w:beforeAutospacing="1" w:after="100" w:afterAutospacing="1"/>
        <w:ind w:left="0" w:right="0"/>
      </w:pPr>
      <w:r>
        <w:rPr>
          <w:rStyle w:val="9"/>
          <w:rFonts w:hint="eastAsia"/>
          <w:lang w:val="en-US" w:eastAsia="zh-TW"/>
        </w:rPr>
        <w:t>BNP</w:t>
      </w:r>
      <w:r>
        <w:rPr>
          <w:rStyle w:val="9"/>
        </w:rPr>
        <w:t>觀點：</w:t>
      </w:r>
      <w:r>
        <w:t xml:space="preserve"> 台灣強勁的GDP成長搭配漸進式貨幣政策緊縮，支撐TWD（台幣）殖利率曲線中長期走勢向上傾斜。</w:t>
      </w:r>
    </w:p>
    <w:p>
      <w:pPr>
        <w:pStyle w:val="6"/>
        <w:keepNext w:val="0"/>
        <w:keepLines w:val="0"/>
        <w:widowControl/>
        <w:suppressLineNumbers w:val="0"/>
        <w:spacing w:before="100" w:beforeAutospacing="1" w:after="100" w:afterAutospacing="1"/>
        <w:ind w:left="0" w:right="0"/>
      </w:pPr>
      <w:r>
        <w:t>其背後邏輯是：市場定價過快的升息週期，而BNP認為升息節奏將更為緩慢</w:t>
      </w:r>
      <w:r>
        <w:rPr>
          <w:rFonts w:hint="eastAsia"/>
          <w:lang w:eastAsia="zh-TW"/>
        </w:rPr>
        <w:t>且具結構性的</w:t>
      </w:r>
      <w:r>
        <w:t>，</w:t>
      </w:r>
      <w:r>
        <w:rPr>
          <w:rFonts w:hint="eastAsia"/>
          <w:lang w:eastAsia="zh-TW"/>
        </w:rPr>
        <w:t>而</w:t>
      </w:r>
      <w:r>
        <w:rPr>
          <w:rFonts w:hint="eastAsia"/>
          <w:lang w:val="en-US" w:eastAsia="zh-TW"/>
        </w:rPr>
        <w:t>AI資本超級週期推升長期潛在增長，長天期TWD曲線將得強勁支撐。因此，前端應修正；而長端應反映對台灣強勁 GDP成長加上貨幣政策漸進緊縮的觀點。</w:t>
      </w:r>
      <w:r>
        <w:t>因此看好</w:t>
      </w:r>
      <w:r>
        <w:rPr>
          <w:rFonts w:hint="eastAsia"/>
          <w:lang w:val="en-US" w:eastAsia="zh-TW"/>
        </w:rPr>
        <w:t>IRS curve steenpen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 w:eastAsia="新細明體"/>
          <w:lang w:eastAsia="zh-TW"/>
        </w:rPr>
        <w:t>七</w:t>
      </w:r>
      <w:r>
        <w:t>、總結</w:t>
      </w:r>
      <w:r>
        <w:rPr>
          <w:rFonts w:hint="eastAsia" w:eastAsia="新細明體"/>
          <w:lang w:val="en-US" w:eastAsia="zh-TW"/>
        </w:rPr>
        <w:t>BNP觀點</w:t>
      </w:r>
    </w:p>
    <w:p>
      <w:r>
        <w:rPr>
          <w:rFonts w:hint="eastAsia"/>
        </w:rPr>
        <w:t>這篇報告的核心論點是：台灣因AI晶片需求帶動的結構性成長將持續支撐高景氣，但央行升息節奏將遠比市場預期更為溫和且緩慢。預計要到2026</w:t>
      </w:r>
      <w:r>
        <w:rPr>
          <w:rFonts w:hint="eastAsia"/>
          <w:lang w:val="en-US" w:eastAsia="zh-TW"/>
        </w:rPr>
        <w:t>Q4</w:t>
      </w:r>
      <w:r>
        <w:rPr>
          <w:rFonts w:hint="eastAsia"/>
          <w:lang w:eastAsia="zh-TW"/>
        </w:rPr>
        <w:t>以及</w:t>
      </w:r>
      <w:r>
        <w:rPr>
          <w:rFonts w:hint="eastAsia"/>
          <w:lang w:val="en-US" w:eastAsia="zh-TW"/>
        </w:rPr>
        <w:t>2027Q1</w:t>
      </w:r>
      <w:r>
        <w:rPr>
          <w:rFonts w:hint="eastAsia"/>
        </w:rPr>
        <w:t>才會</w:t>
      </w:r>
      <w:r>
        <w:rPr>
          <w:rFonts w:hint="eastAsia"/>
          <w:lang w:eastAsia="zh-TW"/>
        </w:rPr>
        <w:t>各</w:t>
      </w:r>
      <w:r>
        <w:rPr>
          <w:rFonts w:hint="eastAsia"/>
        </w:rPr>
        <w:t>升息</w:t>
      </w:r>
      <w:r>
        <w:rPr>
          <w:rFonts w:hint="eastAsia"/>
          <w:lang w:eastAsia="zh-TW"/>
        </w:rPr>
        <w:t>半碼</w:t>
      </w:r>
      <w:r>
        <w:rPr>
          <w:rFonts w:hint="eastAsia"/>
        </w:rPr>
        <w:t>。</w:t>
      </w:r>
    </w:p>
    <w:p>
      <w:pPr>
        <w:pStyle w:val="6"/>
        <w:spacing w:line="324" w:lineRule="atLeas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</w:p>
    <w:p>
      <w:pPr>
        <w:pStyle w:val="6"/>
        <w:spacing w:line="324" w:lineRule="atLeas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</w:p>
    <w:p>
      <w:pPr>
        <w:pStyle w:val="6"/>
        <w:spacing w:line="324" w:lineRule="atLeas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</w:p>
    <w:p>
      <w:pPr>
        <w:pStyle w:val="6"/>
        <w:spacing w:line="324" w:lineRule="atLeas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</w:p>
    <w:p>
      <w:pPr>
        <w:pStyle w:val="6"/>
        <w:spacing w:line="324" w:lineRule="atLeas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  <w:r>
        <w:rPr>
          <w:rStyle w:val="15"/>
          <w:rFonts w:hint="eastAsia" w:ascii="Arial" w:hAnsi="Arial" w:cs="Arial"/>
          <w:sz w:val="27"/>
          <w:szCs w:val="27"/>
          <w:lang w:val="en-US" w:eastAsia="zh-TW"/>
        </w:rPr>
        <w:t>但我的觀點是，從過去台灣央行升息路徑來看的話(去參考我的附圖)，過去台灣央行升息幾乎都是跟隨美國升才升，那在這次可能美國不會升息的情況下，台灣還會有升息的風險嗎? 有的，有一個案例那就是可參考2010-2011年，在美國維持0利率的時候，且台灣CPI仍溫和的那兩年，台灣央行卻在那階段連升了5次半碼，主要原因就是因為當時房價暴漲，房價高漲已成民怨之首，政府不可能坐視不管，因此儘管CPI不高，央行仍接連升息以抑制已過熱的經濟還有高漲的房市。</w:t>
      </w:r>
    </w:p>
    <w:p>
      <w:pPr>
        <w:pStyle w:val="6"/>
        <w:spacing w:line="324" w:lineRule="atLeas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</w:p>
    <w:tbl>
      <w:tblPr>
        <w:tblStyle w:val="11"/>
        <w:tblW w:w="10824" w:type="dxa"/>
        <w:tblInd w:w="-11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9"/>
        <w:gridCol w:w="1704"/>
        <w:gridCol w:w="1704"/>
        <w:gridCol w:w="1705"/>
        <w:gridCol w:w="28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49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lang w:val="en-US" w:eastAsia="zh-TW"/>
              </w:rPr>
              <w:t>年份</w:t>
            </w:r>
          </w:p>
        </w:tc>
        <w:tc>
          <w:tcPr>
            <w:tcW w:w="1704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lang w:val="en-US" w:eastAsia="zh-TW"/>
              </w:rPr>
              <w:t>GDP %</w:t>
            </w:r>
          </w:p>
        </w:tc>
        <w:tc>
          <w:tcPr>
            <w:tcW w:w="1704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lang w:val="en-US" w:eastAsia="zh-TW"/>
              </w:rPr>
              <w:t>CPI %</w:t>
            </w:r>
          </w:p>
        </w:tc>
        <w:tc>
          <w:tcPr>
            <w:tcW w:w="1705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lang w:val="en-US" w:eastAsia="zh-TW"/>
              </w:rPr>
              <w:t>房價 %</w:t>
            </w:r>
          </w:p>
        </w:tc>
        <w:tc>
          <w:tcPr>
            <w:tcW w:w="2862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lang w:val="en-US" w:eastAsia="zh-TW"/>
              </w:rPr>
              <w:t>時空環境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54" w:hRule="atLeast"/>
        </w:trPr>
        <w:tc>
          <w:tcPr>
            <w:tcW w:w="2849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2010</w:t>
            </w:r>
          </w:p>
        </w:tc>
        <w:tc>
          <w:tcPr>
            <w:tcW w:w="1704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lang w:val="en-US" w:eastAsia="zh-TW"/>
              </w:rPr>
              <w:t>+10.3%</w:t>
            </w:r>
          </w:p>
        </w:tc>
        <w:tc>
          <w:tcPr>
            <w:tcW w:w="1704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+1.0%</w:t>
            </w:r>
          </w:p>
        </w:tc>
        <w:tc>
          <w:tcPr>
            <w:tcW w:w="1705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+17.1%</w:t>
            </w:r>
          </w:p>
        </w:tc>
        <w:tc>
          <w:tcPr>
            <w:tcW w:w="2862" w:type="dxa"/>
            <w:vMerge w:val="restart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0"/>
                <w:szCs w:val="20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0"/>
                <w:szCs w:val="20"/>
                <w:lang w:val="en-US" w:eastAsia="zh-TW"/>
              </w:rPr>
              <w:t>經濟強勁反彈，通膨雖溫和但房價暴漲，重啟升息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42" w:hRule="atLeast"/>
        </w:trPr>
        <w:tc>
          <w:tcPr>
            <w:tcW w:w="2849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2011</w:t>
            </w:r>
          </w:p>
        </w:tc>
        <w:tc>
          <w:tcPr>
            <w:tcW w:w="1704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+3.7%</w:t>
            </w:r>
          </w:p>
        </w:tc>
        <w:tc>
          <w:tcPr>
            <w:tcW w:w="1704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+1.4%</w:t>
            </w:r>
          </w:p>
        </w:tc>
        <w:tc>
          <w:tcPr>
            <w:tcW w:w="1705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+14.0%</w:t>
            </w:r>
          </w:p>
        </w:tc>
        <w:tc>
          <w:tcPr>
            <w:tcW w:w="2862" w:type="dxa"/>
            <w:vMerge w:val="continue"/>
            <w:tcBorders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6" w:hRule="atLeast"/>
        </w:trPr>
        <w:tc>
          <w:tcPr>
            <w:tcW w:w="2849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2024</w:t>
            </w:r>
          </w:p>
        </w:tc>
        <w:tc>
          <w:tcPr>
            <w:tcW w:w="1704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+4.8%</w:t>
            </w:r>
          </w:p>
        </w:tc>
        <w:tc>
          <w:tcPr>
            <w:tcW w:w="1704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+2.2%</w:t>
            </w:r>
          </w:p>
        </w:tc>
        <w:tc>
          <w:tcPr>
            <w:tcW w:w="1705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  <w:t>+11.3%</w:t>
            </w:r>
          </w:p>
        </w:tc>
        <w:tc>
          <w:tcPr>
            <w:tcW w:w="2862" w:type="dxa"/>
          </w:tcPr>
          <w:p>
            <w:pPr>
              <w:pStyle w:val="6"/>
              <w:spacing w:line="324" w:lineRule="atLeast"/>
              <w:jc w:val="center"/>
              <w:rPr>
                <w:rStyle w:val="15"/>
                <w:rFonts w:hint="eastAsia" w:ascii="Arial" w:hAnsi="Arial" w:cs="Arial"/>
                <w:sz w:val="27"/>
                <w:szCs w:val="27"/>
                <w:vertAlign w:val="baseline"/>
                <w:lang w:val="en-US" w:eastAsia="zh-TW"/>
              </w:rPr>
            </w:pPr>
            <w:r>
              <w:rPr>
                <w:rStyle w:val="15"/>
                <w:rFonts w:hint="eastAsia" w:ascii="Arial" w:hAnsi="Arial" w:cs="Arial"/>
                <w:sz w:val="20"/>
                <w:szCs w:val="20"/>
                <w:lang w:val="en-US" w:eastAsia="zh-TW"/>
              </w:rPr>
              <w:t>通膨持續超出2%，同時間全台炒房風氣再度盛起，央行升息半碼</w:t>
            </w:r>
          </w:p>
        </w:tc>
      </w:tr>
    </w:tbl>
    <w:p>
      <w:pPr>
        <w:pStyle w:val="6"/>
        <w:spacing w:line="324" w:lineRule="atLeas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</w:p>
    <w:p>
      <w:pPr>
        <w:pStyle w:val="6"/>
        <w:spacing w:line="324" w:lineRule="atLeas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  <w:r>
        <w:rPr>
          <w:rStyle w:val="15"/>
          <w:rFonts w:hint="eastAsia" w:ascii="Arial" w:hAnsi="Arial" w:cs="Arial"/>
          <w:sz w:val="27"/>
          <w:szCs w:val="27"/>
          <w:lang w:val="en-US" w:eastAsia="zh-TW"/>
        </w:rPr>
        <w:t>那我的核心觀點跟BNP相同的地方在於，台灣因AI晶片需求帶動的結構性成長將持續支撐高景氣，長端IRS將可能續升，但不同的地方在於，結合當下台灣CPI以及房價變動率來看，我認為央行升息時點將比BNP預期的更為晚。在台灣今年通膨率仍預估在1.9%~2.0%溫和成長、且房價甚至是負增長或持平的情況下，台灣央行沒有升息理由，預估今年不升息，央行僅可能因為面對供給型通膨而轉向鷹派語氣，但預計到2027年因民眾薪資普漲(基本薪資調升、軍公教調薪帶動一般企業調薪加上科技業仍暢旺)、股市財富效應、加上房市信用管制趨緩，下半年開始CPI及房價年增率因2026年基期低而導致高增長，央行就會啟動升息，以2010-2011年為例，即使美國不升息甚至是寬鬆貨幣政策，市場仍可能會預期台灣央行將接連升息，因此總結來說，</w:t>
      </w:r>
    </w:p>
    <w:p>
      <w:pPr>
        <w:pStyle w:val="6"/>
        <w:spacing w:line="324" w:lineRule="atLeas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</w:p>
    <w:p>
      <w:pPr>
        <w:pStyle w:val="3"/>
        <w:keepNext w:val="0"/>
        <w:keepLines w:val="0"/>
        <w:widowControl/>
        <w:suppressLineNumbers w:val="0"/>
      </w:pPr>
      <w:r>
        <w:t>利率策略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觀點：</w:t>
      </w:r>
      <w:r>
        <w:t xml:space="preserve"> 未來</w:t>
      </w:r>
      <w:r>
        <w:rPr>
          <w:rFonts w:hint="eastAsia"/>
          <w:lang w:eastAsia="zh-TW"/>
        </w:rPr>
        <w:t>兩</w:t>
      </w:r>
      <w:r>
        <w:t>年已反映約</w:t>
      </w:r>
      <w:r>
        <w:rPr>
          <w:rFonts w:hint="eastAsia"/>
          <w:lang w:val="en-US" w:eastAsia="zh-TW"/>
        </w:rPr>
        <w:t>50-60</w:t>
      </w:r>
      <w:r>
        <w:t>bp的升息幅度，認為此預期過高</w:t>
      </w:r>
      <w:r>
        <w:rPr>
          <w:rFonts w:hint="eastAsia"/>
          <w:lang w:eastAsia="zh-TW"/>
        </w:rPr>
        <w:t>，</w:t>
      </w:r>
      <w:r>
        <w:rPr>
          <w:rFonts w:hint="eastAsia"/>
          <w:lang w:val="en-US" w:eastAsia="zh-TW"/>
        </w:rPr>
        <w:t>2Y IRS利率過高</w:t>
      </w:r>
      <w:r>
        <w:rPr>
          <w:rFonts w:hint="eastAsia"/>
          <w:lang w:eastAsia="zh-TW"/>
        </w:rPr>
        <w:t>，然而</w:t>
      </w:r>
      <w:r>
        <w:t>台灣強勁的GDP成長搭配漸進式貨幣政策緊縮，</w:t>
      </w:r>
      <w:r>
        <w:rPr>
          <w:rFonts w:hint="eastAsia"/>
          <w:lang w:eastAsia="zh-TW"/>
        </w:rPr>
        <w:t>支撐未來</w:t>
      </w:r>
      <w:r>
        <w:t>TWD</w:t>
      </w:r>
      <w:r>
        <w:rPr>
          <w:rFonts w:hint="eastAsia"/>
          <w:lang w:val="en-US" w:eastAsia="zh-TW"/>
        </w:rPr>
        <w:t xml:space="preserve"> 5Y IRS</w:t>
      </w:r>
      <w:r>
        <w:t>走勢向上</w:t>
      </w:r>
      <w:r>
        <w:rPr>
          <w:rFonts w:hint="eastAsia"/>
          <w:lang w:eastAsia="zh-TW"/>
        </w:rPr>
        <w:t>。</w:t>
      </w:r>
    </w:p>
    <w:p>
      <w:pPr>
        <w:spacing w:before="119" w:beforeLines="0" w:afterLines="0"/>
        <w:jc w:val="left"/>
        <w:rPr>
          <w:rStyle w:val="15"/>
          <w:rFonts w:hint="eastAsia" w:ascii="Arial" w:hAnsi="Arial" w:cs="Arial"/>
          <w:sz w:val="27"/>
          <w:szCs w:val="27"/>
          <w:lang w:val="en-US" w:eastAsia="zh-TW"/>
        </w:rPr>
      </w:pPr>
      <w:r>
        <w:rPr>
          <w:rFonts w:hint="eastAsia" w:ascii="Arial" w:hAnsi="Arial"/>
          <w:color w:val="000000"/>
          <w:sz w:val="24"/>
          <w:szCs w:val="24"/>
          <w:lang w:eastAsia="zh-TW"/>
        </w:rPr>
        <w:t>承做</w:t>
      </w:r>
      <w:r>
        <w:rPr>
          <w:rFonts w:hint="eastAsia" w:ascii="Arial" w:hAnsi="Arial"/>
          <w:color w:val="000000"/>
          <w:sz w:val="24"/>
          <w:szCs w:val="24"/>
          <w:lang w:val="en-US" w:eastAsia="zh-TW"/>
        </w:rPr>
        <w:t>2</w:t>
      </w:r>
      <w:r>
        <w:rPr>
          <w:rFonts w:hint="eastAsia" w:ascii="Arial" w:hAnsi="Arial"/>
          <w:color w:val="000000"/>
          <w:sz w:val="24"/>
          <w:szCs w:val="24"/>
        </w:rPr>
        <w:t xml:space="preserve">s5s TWD IRS steepener in </w:t>
      </w:r>
      <w:r>
        <w:rPr>
          <w:rFonts w:hint="eastAsia" w:ascii="Arial" w:hAnsi="Arial"/>
          <w:color w:val="000000"/>
          <w:sz w:val="24"/>
          <w:szCs w:val="24"/>
          <w:lang w:val="en-US" w:eastAsia="zh-TW"/>
        </w:rPr>
        <w:t>TWD 0.6mio</w:t>
      </w:r>
      <w:r>
        <w:rPr>
          <w:rFonts w:hint="eastAsia" w:ascii="Arial" w:hAnsi="Arial"/>
          <w:color w:val="000000"/>
          <w:sz w:val="24"/>
          <w:szCs w:val="24"/>
        </w:rPr>
        <w:t xml:space="preserve">/DV01 at </w:t>
      </w:r>
      <w:r>
        <w:rPr>
          <w:rFonts w:hint="eastAsia" w:ascii="Arial" w:hAnsi="Arial"/>
          <w:color w:val="000000"/>
          <w:sz w:val="24"/>
          <w:szCs w:val="24"/>
          <w:lang w:val="en-US" w:eastAsia="zh-TW"/>
        </w:rPr>
        <w:t>21.5</w:t>
      </w:r>
      <w:r>
        <w:rPr>
          <w:rFonts w:hint="eastAsia" w:ascii="Arial" w:hAnsi="Arial"/>
          <w:color w:val="000000"/>
          <w:sz w:val="24"/>
          <w:szCs w:val="24"/>
        </w:rPr>
        <w:t xml:space="preserve">bp, Target: </w:t>
      </w:r>
      <w:r>
        <w:rPr>
          <w:rFonts w:hint="eastAsia" w:ascii="Arial" w:hAnsi="Arial"/>
          <w:color w:val="000000"/>
          <w:sz w:val="24"/>
          <w:szCs w:val="24"/>
          <w:lang w:val="en-US" w:eastAsia="zh-TW"/>
        </w:rPr>
        <w:t>32</w:t>
      </w:r>
      <w:r>
        <w:rPr>
          <w:rFonts w:hint="eastAsia" w:ascii="Arial" w:hAnsi="Arial"/>
          <w:color w:val="000000"/>
          <w:sz w:val="24"/>
          <w:szCs w:val="24"/>
        </w:rPr>
        <w:t>bp, Stop:</w:t>
      </w:r>
      <w:r>
        <w:rPr>
          <w:rFonts w:hint="eastAsia" w:ascii="Arial" w:hAnsi="Arial"/>
          <w:color w:val="000000"/>
          <w:sz w:val="24"/>
          <w:szCs w:val="24"/>
          <w:lang w:val="en-US" w:eastAsia="zh-TW"/>
        </w:rPr>
        <w:t xml:space="preserve"> 13</w:t>
      </w:r>
      <w:r>
        <w:rPr>
          <w:rFonts w:hint="eastAsia" w:ascii="Arial" w:hAnsi="Arial"/>
          <w:color w:val="000000"/>
          <w:sz w:val="24"/>
          <w:szCs w:val="24"/>
        </w:rPr>
        <w:t xml:space="preserve">bp, Carry &amp; roll: </w:t>
      </w:r>
      <w:r>
        <w:rPr>
          <w:rFonts w:hint="eastAsia" w:ascii="Arial" w:hAnsi="Arial"/>
          <w:color w:val="000000"/>
          <w:sz w:val="24"/>
          <w:szCs w:val="24"/>
          <w:lang w:val="en-US" w:eastAsia="zh-TW"/>
        </w:rPr>
        <w:t>3.0</w:t>
      </w:r>
      <w:r>
        <w:rPr>
          <w:rFonts w:hint="eastAsia" w:ascii="Arial" w:hAnsi="Arial"/>
          <w:color w:val="000000"/>
          <w:sz w:val="24"/>
          <w:szCs w:val="24"/>
        </w:rPr>
        <w:t>bp/quarter.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nthropic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8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303247"/>
    <w:multiLevelType w:val="multilevel"/>
    <w:tmpl w:val="6A303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A303252"/>
    <w:multiLevelType w:val="multilevel"/>
    <w:tmpl w:val="6A303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A30325D"/>
    <w:multiLevelType w:val="multilevel"/>
    <w:tmpl w:val="6A303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A303268"/>
    <w:multiLevelType w:val="multilevel"/>
    <w:tmpl w:val="6A303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A303273"/>
    <w:multiLevelType w:val="multilevel"/>
    <w:tmpl w:val="6A303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A303BE1"/>
    <w:multiLevelType w:val="singleLevel"/>
    <w:tmpl w:val="6A303BE1"/>
    <w:lvl w:ilvl="0" w:tentative="0">
      <w:start w:val="4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B1C"/>
    <w:rsid w:val="00007B40"/>
    <w:rsid w:val="00021ED4"/>
    <w:rsid w:val="00031D1A"/>
    <w:rsid w:val="000339C1"/>
    <w:rsid w:val="00034F97"/>
    <w:rsid w:val="00036997"/>
    <w:rsid w:val="00036A26"/>
    <w:rsid w:val="00037620"/>
    <w:rsid w:val="000540BB"/>
    <w:rsid w:val="00063E2D"/>
    <w:rsid w:val="00066E1B"/>
    <w:rsid w:val="00096EEA"/>
    <w:rsid w:val="000A0B81"/>
    <w:rsid w:val="000C1172"/>
    <w:rsid w:val="000E305A"/>
    <w:rsid w:val="001022E1"/>
    <w:rsid w:val="00102372"/>
    <w:rsid w:val="00103808"/>
    <w:rsid w:val="0013257A"/>
    <w:rsid w:val="00175F37"/>
    <w:rsid w:val="00186768"/>
    <w:rsid w:val="001E464A"/>
    <w:rsid w:val="001E5DF7"/>
    <w:rsid w:val="00204A8B"/>
    <w:rsid w:val="00205E75"/>
    <w:rsid w:val="00220662"/>
    <w:rsid w:val="0024231A"/>
    <w:rsid w:val="00266495"/>
    <w:rsid w:val="002743FD"/>
    <w:rsid w:val="0028590C"/>
    <w:rsid w:val="002A12CB"/>
    <w:rsid w:val="002C2C2D"/>
    <w:rsid w:val="002C4B74"/>
    <w:rsid w:val="002D7331"/>
    <w:rsid w:val="002D7736"/>
    <w:rsid w:val="002E4A57"/>
    <w:rsid w:val="002E74B2"/>
    <w:rsid w:val="002E7D97"/>
    <w:rsid w:val="002F2FBD"/>
    <w:rsid w:val="002F4605"/>
    <w:rsid w:val="003217D1"/>
    <w:rsid w:val="00322618"/>
    <w:rsid w:val="003233D1"/>
    <w:rsid w:val="0032574B"/>
    <w:rsid w:val="0035075A"/>
    <w:rsid w:val="00351B3C"/>
    <w:rsid w:val="00356D7E"/>
    <w:rsid w:val="00366131"/>
    <w:rsid w:val="00380B0A"/>
    <w:rsid w:val="00382F75"/>
    <w:rsid w:val="00394381"/>
    <w:rsid w:val="003A029C"/>
    <w:rsid w:val="003A1545"/>
    <w:rsid w:val="003C7920"/>
    <w:rsid w:val="003D371F"/>
    <w:rsid w:val="003E540C"/>
    <w:rsid w:val="004000D5"/>
    <w:rsid w:val="00455657"/>
    <w:rsid w:val="00460769"/>
    <w:rsid w:val="00470F8D"/>
    <w:rsid w:val="00474822"/>
    <w:rsid w:val="00476C59"/>
    <w:rsid w:val="004A5F8B"/>
    <w:rsid w:val="004B0051"/>
    <w:rsid w:val="004B2837"/>
    <w:rsid w:val="004D02F1"/>
    <w:rsid w:val="004D3E3B"/>
    <w:rsid w:val="004F17BA"/>
    <w:rsid w:val="005109F4"/>
    <w:rsid w:val="0051587B"/>
    <w:rsid w:val="00524F39"/>
    <w:rsid w:val="005427BD"/>
    <w:rsid w:val="00553100"/>
    <w:rsid w:val="00554E30"/>
    <w:rsid w:val="00566327"/>
    <w:rsid w:val="00586F30"/>
    <w:rsid w:val="005A33E1"/>
    <w:rsid w:val="005B4CB0"/>
    <w:rsid w:val="005B6094"/>
    <w:rsid w:val="005B744C"/>
    <w:rsid w:val="005C0629"/>
    <w:rsid w:val="005C3B76"/>
    <w:rsid w:val="005D149B"/>
    <w:rsid w:val="00613699"/>
    <w:rsid w:val="00614692"/>
    <w:rsid w:val="0061481F"/>
    <w:rsid w:val="00616B5E"/>
    <w:rsid w:val="00622449"/>
    <w:rsid w:val="0064088E"/>
    <w:rsid w:val="0064408D"/>
    <w:rsid w:val="006505B3"/>
    <w:rsid w:val="00651F45"/>
    <w:rsid w:val="0066448E"/>
    <w:rsid w:val="00677159"/>
    <w:rsid w:val="00695621"/>
    <w:rsid w:val="006A775F"/>
    <w:rsid w:val="006B6CFC"/>
    <w:rsid w:val="006D3F94"/>
    <w:rsid w:val="006F5AF2"/>
    <w:rsid w:val="00702379"/>
    <w:rsid w:val="00715C93"/>
    <w:rsid w:val="007267FE"/>
    <w:rsid w:val="00741B62"/>
    <w:rsid w:val="00746CC0"/>
    <w:rsid w:val="0075021D"/>
    <w:rsid w:val="00750756"/>
    <w:rsid w:val="00751191"/>
    <w:rsid w:val="007627C6"/>
    <w:rsid w:val="00770423"/>
    <w:rsid w:val="00774D35"/>
    <w:rsid w:val="0078672E"/>
    <w:rsid w:val="00786B69"/>
    <w:rsid w:val="00791545"/>
    <w:rsid w:val="00792B11"/>
    <w:rsid w:val="00793F63"/>
    <w:rsid w:val="007A0890"/>
    <w:rsid w:val="007A1227"/>
    <w:rsid w:val="007A70BA"/>
    <w:rsid w:val="007C3E0E"/>
    <w:rsid w:val="007C513F"/>
    <w:rsid w:val="007D22B8"/>
    <w:rsid w:val="007D69A5"/>
    <w:rsid w:val="007E474A"/>
    <w:rsid w:val="007E72AC"/>
    <w:rsid w:val="007F07AC"/>
    <w:rsid w:val="007F0DF3"/>
    <w:rsid w:val="007F17E2"/>
    <w:rsid w:val="007F7B61"/>
    <w:rsid w:val="0080244F"/>
    <w:rsid w:val="008100BA"/>
    <w:rsid w:val="0081264A"/>
    <w:rsid w:val="00833C96"/>
    <w:rsid w:val="00846F8F"/>
    <w:rsid w:val="0085007C"/>
    <w:rsid w:val="0085123C"/>
    <w:rsid w:val="00853B75"/>
    <w:rsid w:val="00863804"/>
    <w:rsid w:val="008847CF"/>
    <w:rsid w:val="00884910"/>
    <w:rsid w:val="00886036"/>
    <w:rsid w:val="008C0A64"/>
    <w:rsid w:val="00904FEA"/>
    <w:rsid w:val="009066FB"/>
    <w:rsid w:val="009107A7"/>
    <w:rsid w:val="00910ECA"/>
    <w:rsid w:val="00911D8A"/>
    <w:rsid w:val="0092513D"/>
    <w:rsid w:val="0093128A"/>
    <w:rsid w:val="00937A64"/>
    <w:rsid w:val="00937F28"/>
    <w:rsid w:val="009403D4"/>
    <w:rsid w:val="00945A77"/>
    <w:rsid w:val="00975949"/>
    <w:rsid w:val="009A2775"/>
    <w:rsid w:val="009A575D"/>
    <w:rsid w:val="009B2C32"/>
    <w:rsid w:val="009B64FA"/>
    <w:rsid w:val="009B7171"/>
    <w:rsid w:val="009D14A4"/>
    <w:rsid w:val="009F67CF"/>
    <w:rsid w:val="009F74E1"/>
    <w:rsid w:val="00A009E1"/>
    <w:rsid w:val="00A03A35"/>
    <w:rsid w:val="00A0734D"/>
    <w:rsid w:val="00A13CF7"/>
    <w:rsid w:val="00A1743C"/>
    <w:rsid w:val="00A33E12"/>
    <w:rsid w:val="00A368EC"/>
    <w:rsid w:val="00A40965"/>
    <w:rsid w:val="00A458CF"/>
    <w:rsid w:val="00A47CFB"/>
    <w:rsid w:val="00A559EA"/>
    <w:rsid w:val="00A72548"/>
    <w:rsid w:val="00A73973"/>
    <w:rsid w:val="00A85145"/>
    <w:rsid w:val="00AA0A1D"/>
    <w:rsid w:val="00AA7D5F"/>
    <w:rsid w:val="00AC149B"/>
    <w:rsid w:val="00AC2BC8"/>
    <w:rsid w:val="00AD2067"/>
    <w:rsid w:val="00AE3A07"/>
    <w:rsid w:val="00AE6BD4"/>
    <w:rsid w:val="00AE79AA"/>
    <w:rsid w:val="00B35AF7"/>
    <w:rsid w:val="00B43231"/>
    <w:rsid w:val="00B60143"/>
    <w:rsid w:val="00B70599"/>
    <w:rsid w:val="00B71961"/>
    <w:rsid w:val="00B74232"/>
    <w:rsid w:val="00B92E5D"/>
    <w:rsid w:val="00B95D88"/>
    <w:rsid w:val="00BA4D71"/>
    <w:rsid w:val="00BB0C85"/>
    <w:rsid w:val="00BC15EA"/>
    <w:rsid w:val="00BC7931"/>
    <w:rsid w:val="00BD4165"/>
    <w:rsid w:val="00BF4626"/>
    <w:rsid w:val="00C14461"/>
    <w:rsid w:val="00C61898"/>
    <w:rsid w:val="00C61C02"/>
    <w:rsid w:val="00C67080"/>
    <w:rsid w:val="00C674BA"/>
    <w:rsid w:val="00C7010A"/>
    <w:rsid w:val="00C80527"/>
    <w:rsid w:val="00C92492"/>
    <w:rsid w:val="00CB3612"/>
    <w:rsid w:val="00CB5074"/>
    <w:rsid w:val="00CE08D7"/>
    <w:rsid w:val="00CF223D"/>
    <w:rsid w:val="00D03759"/>
    <w:rsid w:val="00D07C23"/>
    <w:rsid w:val="00D1399F"/>
    <w:rsid w:val="00D306AD"/>
    <w:rsid w:val="00D6080B"/>
    <w:rsid w:val="00D715EA"/>
    <w:rsid w:val="00D76436"/>
    <w:rsid w:val="00D76E7E"/>
    <w:rsid w:val="00D941B3"/>
    <w:rsid w:val="00DA2CD3"/>
    <w:rsid w:val="00DA6D2C"/>
    <w:rsid w:val="00DC0BE5"/>
    <w:rsid w:val="00DC46EC"/>
    <w:rsid w:val="00E45ED3"/>
    <w:rsid w:val="00E623D8"/>
    <w:rsid w:val="00E66B7C"/>
    <w:rsid w:val="00E876C4"/>
    <w:rsid w:val="00E95FF8"/>
    <w:rsid w:val="00EA3E8B"/>
    <w:rsid w:val="00EA4867"/>
    <w:rsid w:val="00EB3033"/>
    <w:rsid w:val="00EC3DD0"/>
    <w:rsid w:val="00ED7600"/>
    <w:rsid w:val="00EF46E4"/>
    <w:rsid w:val="00F17DB7"/>
    <w:rsid w:val="00F30D8D"/>
    <w:rsid w:val="00F535C5"/>
    <w:rsid w:val="00F61A99"/>
    <w:rsid w:val="00F65AB3"/>
    <w:rsid w:val="00F660DD"/>
    <w:rsid w:val="00F74BB0"/>
    <w:rsid w:val="00F83CC3"/>
    <w:rsid w:val="00F85485"/>
    <w:rsid w:val="00F92A04"/>
    <w:rsid w:val="00FA0BD0"/>
    <w:rsid w:val="00FB4DE9"/>
    <w:rsid w:val="00FD24F5"/>
    <w:rsid w:val="00FD5BB1"/>
    <w:rsid w:val="00FF41E6"/>
    <w:rsid w:val="00FF6522"/>
    <w:rsid w:val="015D3D98"/>
    <w:rsid w:val="01DA471A"/>
    <w:rsid w:val="022F36E6"/>
    <w:rsid w:val="026D0BD8"/>
    <w:rsid w:val="02D40E5A"/>
    <w:rsid w:val="030847FA"/>
    <w:rsid w:val="03404720"/>
    <w:rsid w:val="03BC5BE0"/>
    <w:rsid w:val="03D83977"/>
    <w:rsid w:val="047B2A3C"/>
    <w:rsid w:val="052F1D27"/>
    <w:rsid w:val="0537102C"/>
    <w:rsid w:val="05775A09"/>
    <w:rsid w:val="05B732B7"/>
    <w:rsid w:val="06331C8B"/>
    <w:rsid w:val="0679624C"/>
    <w:rsid w:val="069A112C"/>
    <w:rsid w:val="0721028C"/>
    <w:rsid w:val="081C1B60"/>
    <w:rsid w:val="08AA42A6"/>
    <w:rsid w:val="090663A6"/>
    <w:rsid w:val="09DE744E"/>
    <w:rsid w:val="09FE71C8"/>
    <w:rsid w:val="0ACB57E9"/>
    <w:rsid w:val="0B2913C5"/>
    <w:rsid w:val="0B992ECF"/>
    <w:rsid w:val="0BF45C65"/>
    <w:rsid w:val="0C091748"/>
    <w:rsid w:val="0C2772EA"/>
    <w:rsid w:val="0C2C7F9E"/>
    <w:rsid w:val="0C4136E0"/>
    <w:rsid w:val="0CC30784"/>
    <w:rsid w:val="0D5F4E49"/>
    <w:rsid w:val="0D784BD8"/>
    <w:rsid w:val="0E067D95"/>
    <w:rsid w:val="0E2D5D20"/>
    <w:rsid w:val="0E3E418F"/>
    <w:rsid w:val="0E5A388E"/>
    <w:rsid w:val="0ED744D2"/>
    <w:rsid w:val="0EFA6A9A"/>
    <w:rsid w:val="0F55579F"/>
    <w:rsid w:val="0FC942F6"/>
    <w:rsid w:val="0FEB214D"/>
    <w:rsid w:val="105877D4"/>
    <w:rsid w:val="108B75B0"/>
    <w:rsid w:val="108C4917"/>
    <w:rsid w:val="117245F3"/>
    <w:rsid w:val="11E75B44"/>
    <w:rsid w:val="128322A5"/>
    <w:rsid w:val="12F8689E"/>
    <w:rsid w:val="139A3F3B"/>
    <w:rsid w:val="13BE3F69"/>
    <w:rsid w:val="14035FEF"/>
    <w:rsid w:val="14102968"/>
    <w:rsid w:val="143D6BAE"/>
    <w:rsid w:val="14DD448A"/>
    <w:rsid w:val="14E65174"/>
    <w:rsid w:val="15054B95"/>
    <w:rsid w:val="151047B3"/>
    <w:rsid w:val="152D3172"/>
    <w:rsid w:val="15A30FBA"/>
    <w:rsid w:val="16B340DF"/>
    <w:rsid w:val="17643CD8"/>
    <w:rsid w:val="1829006F"/>
    <w:rsid w:val="18444876"/>
    <w:rsid w:val="184B0562"/>
    <w:rsid w:val="19556291"/>
    <w:rsid w:val="195C30BC"/>
    <w:rsid w:val="19A84F86"/>
    <w:rsid w:val="19AC4658"/>
    <w:rsid w:val="1ABB0B81"/>
    <w:rsid w:val="1AFC4613"/>
    <w:rsid w:val="1B09610F"/>
    <w:rsid w:val="1BE52208"/>
    <w:rsid w:val="1C433BE7"/>
    <w:rsid w:val="1CC60E04"/>
    <w:rsid w:val="1CE472F3"/>
    <w:rsid w:val="1D0860CF"/>
    <w:rsid w:val="1D5423BB"/>
    <w:rsid w:val="1DC51CB6"/>
    <w:rsid w:val="1DEC05D0"/>
    <w:rsid w:val="1E1B1E58"/>
    <w:rsid w:val="1E73518C"/>
    <w:rsid w:val="1E952817"/>
    <w:rsid w:val="1EB805B6"/>
    <w:rsid w:val="1EF45D2A"/>
    <w:rsid w:val="1FA86288"/>
    <w:rsid w:val="20295946"/>
    <w:rsid w:val="20C20CBC"/>
    <w:rsid w:val="210277B8"/>
    <w:rsid w:val="217C02C8"/>
    <w:rsid w:val="21B27BD1"/>
    <w:rsid w:val="21EB5AD3"/>
    <w:rsid w:val="22532509"/>
    <w:rsid w:val="22E7215C"/>
    <w:rsid w:val="234539B6"/>
    <w:rsid w:val="23585021"/>
    <w:rsid w:val="23633398"/>
    <w:rsid w:val="238173E7"/>
    <w:rsid w:val="23F353CE"/>
    <w:rsid w:val="24AC33EA"/>
    <w:rsid w:val="24CA3E90"/>
    <w:rsid w:val="24D041FF"/>
    <w:rsid w:val="260C30F1"/>
    <w:rsid w:val="26302AD7"/>
    <w:rsid w:val="26646B71"/>
    <w:rsid w:val="266944C8"/>
    <w:rsid w:val="26A92981"/>
    <w:rsid w:val="26C40D40"/>
    <w:rsid w:val="26EA096F"/>
    <w:rsid w:val="27147249"/>
    <w:rsid w:val="271C6C7B"/>
    <w:rsid w:val="275657A6"/>
    <w:rsid w:val="27E41EBD"/>
    <w:rsid w:val="27FD0D94"/>
    <w:rsid w:val="281973E2"/>
    <w:rsid w:val="2840748C"/>
    <w:rsid w:val="287D4CAD"/>
    <w:rsid w:val="28FE4291"/>
    <w:rsid w:val="29712CD1"/>
    <w:rsid w:val="29B05FCD"/>
    <w:rsid w:val="29DE20AC"/>
    <w:rsid w:val="2A6F649D"/>
    <w:rsid w:val="2A786BD9"/>
    <w:rsid w:val="2B1D2F16"/>
    <w:rsid w:val="2B8C2698"/>
    <w:rsid w:val="2BC56684"/>
    <w:rsid w:val="2BD10F32"/>
    <w:rsid w:val="2C184978"/>
    <w:rsid w:val="2C1E4E9B"/>
    <w:rsid w:val="2CAF02DC"/>
    <w:rsid w:val="2CBC29DF"/>
    <w:rsid w:val="2D3A504E"/>
    <w:rsid w:val="2DBA2B4C"/>
    <w:rsid w:val="3057211E"/>
    <w:rsid w:val="30C565E8"/>
    <w:rsid w:val="316468C9"/>
    <w:rsid w:val="328C0B7F"/>
    <w:rsid w:val="329B51C6"/>
    <w:rsid w:val="33371E5B"/>
    <w:rsid w:val="33941870"/>
    <w:rsid w:val="33EB320C"/>
    <w:rsid w:val="33FA06AE"/>
    <w:rsid w:val="34193A25"/>
    <w:rsid w:val="34357952"/>
    <w:rsid w:val="34B80ADF"/>
    <w:rsid w:val="353B70C0"/>
    <w:rsid w:val="35A238CF"/>
    <w:rsid w:val="365F400A"/>
    <w:rsid w:val="36C757A5"/>
    <w:rsid w:val="36CE6F6B"/>
    <w:rsid w:val="36E41996"/>
    <w:rsid w:val="36E91815"/>
    <w:rsid w:val="37624AD5"/>
    <w:rsid w:val="37BB22FB"/>
    <w:rsid w:val="37E27350"/>
    <w:rsid w:val="38377A7A"/>
    <w:rsid w:val="387308FE"/>
    <w:rsid w:val="387340A5"/>
    <w:rsid w:val="38B262DE"/>
    <w:rsid w:val="391F6C51"/>
    <w:rsid w:val="39B705BF"/>
    <w:rsid w:val="39C1221C"/>
    <w:rsid w:val="39D15A38"/>
    <w:rsid w:val="39DC078B"/>
    <w:rsid w:val="3A1557BA"/>
    <w:rsid w:val="3A5C1B76"/>
    <w:rsid w:val="3A5E41C9"/>
    <w:rsid w:val="3A760A39"/>
    <w:rsid w:val="3A9543A6"/>
    <w:rsid w:val="3A9D1F1B"/>
    <w:rsid w:val="3AB33479"/>
    <w:rsid w:val="3AFC1760"/>
    <w:rsid w:val="3B050B42"/>
    <w:rsid w:val="3BD179DA"/>
    <w:rsid w:val="3BEF044A"/>
    <w:rsid w:val="3C057D81"/>
    <w:rsid w:val="3CA42C66"/>
    <w:rsid w:val="3CBC5B63"/>
    <w:rsid w:val="3CBF605A"/>
    <w:rsid w:val="3CC60D5A"/>
    <w:rsid w:val="3CD77C65"/>
    <w:rsid w:val="3D296F4A"/>
    <w:rsid w:val="3D465ABF"/>
    <w:rsid w:val="3D9B0294"/>
    <w:rsid w:val="3DB244B0"/>
    <w:rsid w:val="3E0A01E0"/>
    <w:rsid w:val="3E1C14D0"/>
    <w:rsid w:val="3E603132"/>
    <w:rsid w:val="3E892571"/>
    <w:rsid w:val="3F8951A5"/>
    <w:rsid w:val="3F9B0664"/>
    <w:rsid w:val="401A3C80"/>
    <w:rsid w:val="407A35DB"/>
    <w:rsid w:val="40C41B3B"/>
    <w:rsid w:val="40FC080D"/>
    <w:rsid w:val="42451A37"/>
    <w:rsid w:val="430320D8"/>
    <w:rsid w:val="43434D61"/>
    <w:rsid w:val="43441129"/>
    <w:rsid w:val="43CE1E27"/>
    <w:rsid w:val="44135D5C"/>
    <w:rsid w:val="441C6852"/>
    <w:rsid w:val="44A1443B"/>
    <w:rsid w:val="453735F0"/>
    <w:rsid w:val="458E26B2"/>
    <w:rsid w:val="45A41253"/>
    <w:rsid w:val="45EA757A"/>
    <w:rsid w:val="46004C84"/>
    <w:rsid w:val="461910E2"/>
    <w:rsid w:val="466D2879"/>
    <w:rsid w:val="473F00D8"/>
    <w:rsid w:val="474604C7"/>
    <w:rsid w:val="474A18F3"/>
    <w:rsid w:val="483858FA"/>
    <w:rsid w:val="4853400B"/>
    <w:rsid w:val="489318BB"/>
    <w:rsid w:val="48BE1E88"/>
    <w:rsid w:val="48EF33AB"/>
    <w:rsid w:val="48F073B1"/>
    <w:rsid w:val="4949406B"/>
    <w:rsid w:val="49525176"/>
    <w:rsid w:val="4A4C2A9D"/>
    <w:rsid w:val="4B1909FA"/>
    <w:rsid w:val="4B8D0F18"/>
    <w:rsid w:val="4B9132A3"/>
    <w:rsid w:val="4C07651B"/>
    <w:rsid w:val="4C3C2C84"/>
    <w:rsid w:val="4C6E6747"/>
    <w:rsid w:val="4CB60491"/>
    <w:rsid w:val="4CE90923"/>
    <w:rsid w:val="4CED0186"/>
    <w:rsid w:val="4D556967"/>
    <w:rsid w:val="4D616AB3"/>
    <w:rsid w:val="4D6A1704"/>
    <w:rsid w:val="4DA44C55"/>
    <w:rsid w:val="4DF37CFC"/>
    <w:rsid w:val="4E4F3A59"/>
    <w:rsid w:val="4E5855AD"/>
    <w:rsid w:val="4EE460F0"/>
    <w:rsid w:val="4EF55FFF"/>
    <w:rsid w:val="4EFC60D7"/>
    <w:rsid w:val="4F005460"/>
    <w:rsid w:val="4F0A75BA"/>
    <w:rsid w:val="50926F97"/>
    <w:rsid w:val="511572C3"/>
    <w:rsid w:val="513766DE"/>
    <w:rsid w:val="5188088B"/>
    <w:rsid w:val="518D0692"/>
    <w:rsid w:val="51BA7ECD"/>
    <w:rsid w:val="522C478F"/>
    <w:rsid w:val="52565E37"/>
    <w:rsid w:val="52965A14"/>
    <w:rsid w:val="529E6836"/>
    <w:rsid w:val="52FC6D87"/>
    <w:rsid w:val="536D0A67"/>
    <w:rsid w:val="536D6CE7"/>
    <w:rsid w:val="538473BB"/>
    <w:rsid w:val="53F061D8"/>
    <w:rsid w:val="542E741D"/>
    <w:rsid w:val="54712E99"/>
    <w:rsid w:val="550860F6"/>
    <w:rsid w:val="55117719"/>
    <w:rsid w:val="552E7F5C"/>
    <w:rsid w:val="5618615A"/>
    <w:rsid w:val="563B1594"/>
    <w:rsid w:val="563B3110"/>
    <w:rsid w:val="564D732B"/>
    <w:rsid w:val="56E043EE"/>
    <w:rsid w:val="56FE1013"/>
    <w:rsid w:val="5769512C"/>
    <w:rsid w:val="57974E95"/>
    <w:rsid w:val="57B05AD6"/>
    <w:rsid w:val="582143B1"/>
    <w:rsid w:val="58261EDF"/>
    <w:rsid w:val="586B334E"/>
    <w:rsid w:val="589F6BC8"/>
    <w:rsid w:val="58DF3430"/>
    <w:rsid w:val="592D25C1"/>
    <w:rsid w:val="595265CD"/>
    <w:rsid w:val="59E373A5"/>
    <w:rsid w:val="5AB951DD"/>
    <w:rsid w:val="5B012420"/>
    <w:rsid w:val="5BD647C2"/>
    <w:rsid w:val="5C5B7750"/>
    <w:rsid w:val="5C60104A"/>
    <w:rsid w:val="5C7B00CC"/>
    <w:rsid w:val="5C7B12DD"/>
    <w:rsid w:val="5CE050FD"/>
    <w:rsid w:val="5CFB1587"/>
    <w:rsid w:val="5D1B125D"/>
    <w:rsid w:val="5D4819A3"/>
    <w:rsid w:val="5D8B64AF"/>
    <w:rsid w:val="5DA65CD0"/>
    <w:rsid w:val="5DDA62D9"/>
    <w:rsid w:val="5E7F19B9"/>
    <w:rsid w:val="60002B18"/>
    <w:rsid w:val="60DB7849"/>
    <w:rsid w:val="61430003"/>
    <w:rsid w:val="61466E26"/>
    <w:rsid w:val="618A498C"/>
    <w:rsid w:val="6196695B"/>
    <w:rsid w:val="61B736D4"/>
    <w:rsid w:val="61E55D97"/>
    <w:rsid w:val="61F33070"/>
    <w:rsid w:val="62084244"/>
    <w:rsid w:val="62730D01"/>
    <w:rsid w:val="62A72596"/>
    <w:rsid w:val="62DD3F40"/>
    <w:rsid w:val="62F92A09"/>
    <w:rsid w:val="63211F49"/>
    <w:rsid w:val="633E5287"/>
    <w:rsid w:val="634A7833"/>
    <w:rsid w:val="641B2D63"/>
    <w:rsid w:val="64272CAA"/>
    <w:rsid w:val="64A533B7"/>
    <w:rsid w:val="64B8010F"/>
    <w:rsid w:val="64D07D41"/>
    <w:rsid w:val="6502731B"/>
    <w:rsid w:val="65052536"/>
    <w:rsid w:val="654A1B59"/>
    <w:rsid w:val="65686EB4"/>
    <w:rsid w:val="65B47C32"/>
    <w:rsid w:val="661E03EB"/>
    <w:rsid w:val="66234EC3"/>
    <w:rsid w:val="662F40CA"/>
    <w:rsid w:val="66BB12EA"/>
    <w:rsid w:val="673C3D39"/>
    <w:rsid w:val="67B71EDC"/>
    <w:rsid w:val="682D492F"/>
    <w:rsid w:val="68A058A7"/>
    <w:rsid w:val="68A373EE"/>
    <w:rsid w:val="68A86904"/>
    <w:rsid w:val="68B608A3"/>
    <w:rsid w:val="697A331B"/>
    <w:rsid w:val="699A7337"/>
    <w:rsid w:val="69E82B33"/>
    <w:rsid w:val="6A125D52"/>
    <w:rsid w:val="6A21628E"/>
    <w:rsid w:val="6A9919CF"/>
    <w:rsid w:val="6AC02DBC"/>
    <w:rsid w:val="6AD14C6B"/>
    <w:rsid w:val="6B2F6D13"/>
    <w:rsid w:val="6B362668"/>
    <w:rsid w:val="6C470AD9"/>
    <w:rsid w:val="6CDB7AE4"/>
    <w:rsid w:val="6CFF603F"/>
    <w:rsid w:val="6E4F3274"/>
    <w:rsid w:val="6E5E4155"/>
    <w:rsid w:val="6E921806"/>
    <w:rsid w:val="6ECF3B5A"/>
    <w:rsid w:val="6F3A61AF"/>
    <w:rsid w:val="6FF364AA"/>
    <w:rsid w:val="7044293D"/>
    <w:rsid w:val="704A27BD"/>
    <w:rsid w:val="704B4B08"/>
    <w:rsid w:val="704E01FC"/>
    <w:rsid w:val="7050554D"/>
    <w:rsid w:val="705A2DC1"/>
    <w:rsid w:val="709F6CAC"/>
    <w:rsid w:val="717A2314"/>
    <w:rsid w:val="71976A71"/>
    <w:rsid w:val="71CC6293"/>
    <w:rsid w:val="71F47234"/>
    <w:rsid w:val="71F6402F"/>
    <w:rsid w:val="726B0F9C"/>
    <w:rsid w:val="72EF70C9"/>
    <w:rsid w:val="73266C99"/>
    <w:rsid w:val="73C05853"/>
    <w:rsid w:val="74895201"/>
    <w:rsid w:val="74B46D0C"/>
    <w:rsid w:val="74F4737C"/>
    <w:rsid w:val="74FB20C3"/>
    <w:rsid w:val="756053D0"/>
    <w:rsid w:val="76810514"/>
    <w:rsid w:val="76CC6214"/>
    <w:rsid w:val="76DC47D4"/>
    <w:rsid w:val="770C7295"/>
    <w:rsid w:val="77297A30"/>
    <w:rsid w:val="776A0785"/>
    <w:rsid w:val="77DA50F2"/>
    <w:rsid w:val="786E47D4"/>
    <w:rsid w:val="78F01255"/>
    <w:rsid w:val="791D3129"/>
    <w:rsid w:val="795E6097"/>
    <w:rsid w:val="79C163C0"/>
    <w:rsid w:val="7AAE7F8A"/>
    <w:rsid w:val="7ABE5E9B"/>
    <w:rsid w:val="7AC1050D"/>
    <w:rsid w:val="7B0E0079"/>
    <w:rsid w:val="7B173259"/>
    <w:rsid w:val="7B837282"/>
    <w:rsid w:val="7BAA2886"/>
    <w:rsid w:val="7BFD37A2"/>
    <w:rsid w:val="7C17322C"/>
    <w:rsid w:val="7C307A1F"/>
    <w:rsid w:val="7C7459F6"/>
    <w:rsid w:val="7C92743B"/>
    <w:rsid w:val="7CD43449"/>
    <w:rsid w:val="7D0038A9"/>
    <w:rsid w:val="7D2B4909"/>
    <w:rsid w:val="7D8703EF"/>
    <w:rsid w:val="7E3345A5"/>
    <w:rsid w:val="7EA95B19"/>
    <w:rsid w:val="7F4B1C58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paragraph" w:styleId="2">
    <w:name w:val="heading 2"/>
    <w:next w:val="1"/>
    <w:unhideWhenUsed/>
    <w:qFormat/>
    <w:uiPriority w:val="9"/>
    <w:pPr>
      <w:spacing w:before="100" w:beforeAutospacing="1" w:after="100" w:afterAutospacing="1"/>
      <w:jc w:val="left"/>
    </w:pPr>
    <w:rPr>
      <w:rFonts w:hint="eastAsia" w:ascii="SimSun" w:hAnsi="SimSun" w:eastAsia="SimSun" w:cs="SimSun"/>
      <w:b/>
      <w:kern w:val="0"/>
      <w:sz w:val="36"/>
      <w:szCs w:val="36"/>
      <w:lang w:val="en-US" w:eastAsia="zh-CN" w:bidi="ar"/>
    </w:rPr>
  </w:style>
  <w:style w:type="paragraph" w:styleId="3">
    <w:name w:val="heading 3"/>
    <w:next w:val="1"/>
    <w:unhideWhenUsed/>
    <w:qFormat/>
    <w:uiPriority w:val="9"/>
    <w:pPr>
      <w:spacing w:before="100" w:beforeAutospacing="1" w:after="100" w:afterAutospacing="1"/>
      <w:jc w:val="left"/>
    </w:pPr>
    <w:rPr>
      <w:rFonts w:hint="eastAsia" w:ascii="SimSun" w:hAnsi="SimSun" w:eastAsia="SimSun" w:cs="SimSun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新細明體" w:hAnsi="新細明體" w:eastAsia="新細明體" w:cs="新細明體"/>
      <w:kern w:val="0"/>
      <w:szCs w:val="24"/>
    </w:rPr>
  </w:style>
  <w:style w:type="paragraph" w:styleId="7">
    <w:name w:val="Balloon Text"/>
    <w:basedOn w:val="1"/>
    <w:link w:val="14"/>
    <w:unhideWhenUsed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character" w:styleId="9">
    <w:name w:val="Strong"/>
    <w:qFormat/>
    <w:uiPriority w:val="22"/>
    <w:rPr>
      <w:b/>
    </w:rPr>
  </w:style>
  <w:style w:type="table" w:styleId="11">
    <w:name w:val="Table Grid"/>
    <w:basedOn w:val="10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2">
    <w:name w:val="頁首 字元"/>
    <w:basedOn w:val="8"/>
    <w:link w:val="4"/>
    <w:qFormat/>
    <w:uiPriority w:val="99"/>
    <w:rPr>
      <w:sz w:val="20"/>
      <w:szCs w:val="20"/>
    </w:rPr>
  </w:style>
  <w:style w:type="character" w:customStyle="1" w:styleId="13">
    <w:name w:val="頁尾 字元"/>
    <w:basedOn w:val="8"/>
    <w:link w:val="5"/>
    <w:qFormat/>
    <w:uiPriority w:val="99"/>
    <w:rPr>
      <w:sz w:val="20"/>
      <w:szCs w:val="20"/>
    </w:rPr>
  </w:style>
  <w:style w:type="character" w:customStyle="1" w:styleId="14">
    <w:name w:val="註解方塊文字 字元"/>
    <w:basedOn w:val="8"/>
    <w:link w:val="7"/>
    <w:semiHidden/>
    <w:qFormat/>
    <w:uiPriority w:val="99"/>
    <w:rPr>
      <w:rFonts w:asciiTheme="majorHAnsi" w:hAnsiTheme="majorHAnsi" w:eastAsiaTheme="majorEastAsia" w:cstheme="majorBidi"/>
      <w:kern w:val="2"/>
      <w:sz w:val="18"/>
      <w:szCs w:val="18"/>
    </w:rPr>
  </w:style>
  <w:style w:type="character" w:customStyle="1" w:styleId="15">
    <w:name w:val="bumpedfont15"/>
    <w:basedOn w:val="8"/>
    <w:qFormat/>
    <w:uiPriority w:val="0"/>
  </w:style>
  <w:style w:type="character" w:customStyle="1" w:styleId="16">
    <w:name w:val="gmail-15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Taishin International Bank</Company>
  <Pages>1</Pages>
  <Words>65</Words>
  <Characters>371</Characters>
  <Lines>3</Lines>
  <Paragraphs>1</Paragraphs>
  <ScaleCrop>false</ScaleCrop>
  <LinksUpToDate>false</LinksUpToDate>
  <CharactersWithSpaces>435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2023-10-30T00:18:00Z</dcterms:created>
  <dc:creator>信閎 王</dc:creator>
  <cp:lastModifiedBy>user</cp:lastModifiedBy>
  <cp:lastPrinted>2023-07-25T00:16:00Z</cp:lastPrinted>
  <dcterms:modified xsi:type="dcterms:W3CDTF">2026-06-15T19:49:58Z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