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</w:pPr>
      <w:r>
        <w:t>簡報標題</w:t>
      </w:r>
    </w:p>
    <w:p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5"/>
        </w:rPr>
        <w:t>利率交易策略報告:TWD IRS 2s5s Steepener</w:t>
      </w:r>
      <w:r>
        <w:br w:type="textWrapping"/>
      </w:r>
      <w:r>
        <w:t>副標:從</w:t>
      </w:r>
      <w:r>
        <w:rPr>
          <w:rFonts w:hint="eastAsia"/>
          <w:lang w:eastAsia="zh-TW"/>
        </w:rPr>
        <w:t>當前數據及展望</w:t>
      </w:r>
      <w:r>
        <w:t>,結合台灣央行歷史升息路徑,導出曲線陡化交易</w:t>
      </w:r>
    </w:p>
    <w:p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開場(Slide 1)</w:t>
      </w:r>
    </w:p>
    <w:p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5"/>
        </w:rPr>
        <w:t>Slide 1|封面與主旨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一句話定位:統整 BNP 最新</w:t>
      </w:r>
      <w:r>
        <w:rPr>
          <w:rFonts w:hint="eastAsia"/>
          <w:lang w:eastAsia="zh-TW"/>
        </w:rPr>
        <w:t>台灣</w:t>
      </w:r>
      <w:r>
        <w:t>央行展望 + 個人</w:t>
      </w:r>
      <w:r>
        <w:rPr>
          <w:rFonts w:hint="eastAsia"/>
          <w:lang w:eastAsia="zh-TW"/>
        </w:rPr>
        <w:t>對央行</w:t>
      </w:r>
      <w:r>
        <w:t>歷史路徑分析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結論前置(給聽眾抓重點):看好 TWD IRS </w:t>
      </w:r>
      <w:r>
        <w:rPr>
          <w:rStyle w:val="5"/>
        </w:rPr>
        <w:t>2s5s Steepener</w:t>
      </w:r>
    </w:p>
    <w:p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 xml:space="preserve">Part 1|BNP 報告重點(Slide </w:t>
      </w:r>
      <w:r>
        <w:rPr>
          <w:rFonts w:hint="eastAsia" w:eastAsia="新細明體"/>
          <w:lang w:val="en-US" w:eastAsia="zh-TW"/>
        </w:rPr>
        <w:t>2</w:t>
      </w:r>
      <w:r>
        <w:t>–</w:t>
      </w:r>
      <w:r>
        <w:rPr>
          <w:rFonts w:hint="eastAsia" w:eastAsia="新細明體"/>
          <w:lang w:val="en-US" w:eastAsia="zh-TW"/>
        </w:rPr>
        <w:t>4</w:t>
      </w:r>
      <w:r>
        <w:t>)</w:t>
      </w:r>
    </w:p>
    <w:p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5"/>
        </w:rPr>
        <w:t xml:space="preserve">Slide </w:t>
      </w:r>
      <w:r>
        <w:rPr>
          <w:rStyle w:val="5"/>
          <w:rFonts w:hint="eastAsia"/>
          <w:lang w:val="en-US" w:eastAsia="zh-TW"/>
        </w:rPr>
        <w:t>2</w:t>
      </w:r>
      <w:r>
        <w:rPr>
          <w:rStyle w:val="5"/>
        </w:rPr>
        <w:t>|BNP 核心觀點與利率預測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報告日期 2026/6/15;</w:t>
      </w:r>
      <w:r>
        <w:rPr>
          <w:rFonts w:hint="eastAsia"/>
          <w:lang w:val="en-US" w:eastAsia="zh-TW"/>
        </w:rPr>
        <w:t xml:space="preserve"> 央行理監事會議</w:t>
      </w:r>
      <w:r>
        <w:t>語氣轉鷹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預測至 2027 年底共升息兩次、各 12.5bp(半碼):2026/12、2027/3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2027 年底目標利率 </w:t>
      </w:r>
      <w:r>
        <w:rPr>
          <w:rStyle w:val="5"/>
        </w:rPr>
        <w:t>2.25%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建議圖表:利率路徑時間軸(現在 2.00% → 2.25%)</w:t>
      </w:r>
    </w:p>
    <w:p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5"/>
        </w:rPr>
        <w:t xml:space="preserve">Slide </w:t>
      </w:r>
      <w:r>
        <w:rPr>
          <w:rStyle w:val="5"/>
          <w:rFonts w:hint="eastAsia"/>
          <w:lang w:val="en-US" w:eastAsia="zh-TW"/>
        </w:rPr>
        <w:t>3</w:t>
      </w:r>
      <w:r>
        <w:rPr>
          <w:rStyle w:val="5"/>
        </w:rPr>
        <w:t>|經濟成長預測大幅上調</w:t>
      </w:r>
      <w:r>
        <w:rPr>
          <w:rStyle w:val="5"/>
          <w:rFonts w:hint="eastAsia"/>
          <w:lang w:eastAsia="zh-TW"/>
        </w:rPr>
        <w:t>；</w:t>
      </w:r>
      <w:r>
        <w:rPr>
          <w:rStyle w:val="5"/>
        </w:rPr>
        <w:t>通膨預測小幅上調</w:t>
      </w:r>
      <w:r>
        <w:rPr>
          <w:rStyle w:val="5"/>
          <w:rFonts w:hint="eastAsia"/>
          <w:lang w:val="en-US" w:eastAsia="zh-TW"/>
        </w:rPr>
        <w:t xml:space="preserve">; </w:t>
      </w:r>
      <w:r>
        <w:rPr>
          <w:rStyle w:val="5"/>
        </w:rPr>
        <w:t>央行官員表態 × 房市信用管控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2026 GDP:7.0% → 約 9~10%;2027:2.5% → 3~4%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上調主因:AI 產業帶動,台灣為亞洲主要受惠者,效應由出口外溢至民間消費與投資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CPI(整體)2026/2027 皆上調至 2.0%;核心 CPI 2026 為 2.0%、2027 為 1.9%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升溫訊號:5 月整體 CPI 2.20%(4 月 1.73%、3 月 1.20%)、核心 2.12%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楊金龍(6/10):物價相對穩定、財政措施有效抑制通膨、輸入型通膨有限、貨幣政策對供給面通膨效果有限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房市:房價多持平/負增長、交易量下滑、貸款集中度回落至舒適區、「信用管控不會再加強」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重點:官員偏鴿,但仍承認通膨風險</w:t>
      </w:r>
    </w:p>
    <w:p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5"/>
        </w:rPr>
        <w:t xml:space="preserve">Slide </w:t>
      </w:r>
      <w:r>
        <w:rPr>
          <w:rStyle w:val="5"/>
          <w:rFonts w:hint="eastAsia"/>
          <w:lang w:val="en-US" w:eastAsia="zh-TW"/>
        </w:rPr>
        <w:t>4</w:t>
      </w:r>
      <w:r>
        <w:rPr>
          <w:rStyle w:val="5"/>
        </w:rPr>
        <w:t>|BNP 利率策略建議與小結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邏輯:市場定價升息週期過快 → BNP 認為節奏更慢且具結構性 → 前端應修正</w:t>
      </w:r>
      <w:r>
        <w:rPr>
          <w:rFonts w:hint="eastAsia"/>
          <w:lang w:val="en-US" w:eastAsia="zh-TW"/>
        </w:rPr>
        <w:t>(</w:t>
      </w:r>
      <w:r>
        <w:t>央行升息慢於市場預期,要到 2026Q4、2027Q1 才各升半碼</w:t>
      </w:r>
      <w:r>
        <w:rPr>
          <w:rFonts w:hint="eastAsia"/>
          <w:lang w:val="en-US" w:eastAsia="zh-TW"/>
        </w:rPr>
        <w:t>)</w:t>
      </w:r>
      <w:r>
        <w:t>、長端反映 AI 推升的潛在成長 → 看好曲線陡化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BNP 交易:</w:t>
      </w:r>
      <w:r>
        <w:rPr>
          <w:rStyle w:val="5"/>
        </w:rPr>
        <w:t>Spot 1s5s TWD NDIRS steepener</w:t>
      </w:r>
    </w:p>
    <w:p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Part 2|我</w:t>
      </w:r>
      <w:r>
        <w:rPr>
          <w:rFonts w:hint="eastAsia" w:eastAsia="新細明體"/>
          <w:lang w:eastAsia="zh-TW"/>
        </w:rPr>
        <w:t>個人</w:t>
      </w:r>
      <w:r>
        <w:t xml:space="preserve">觀點(Slide </w:t>
      </w:r>
      <w:r>
        <w:rPr>
          <w:rFonts w:hint="eastAsia" w:eastAsia="新細明體"/>
          <w:lang w:val="en-US" w:eastAsia="zh-TW"/>
        </w:rPr>
        <w:t>5</w:t>
      </w:r>
      <w:r>
        <w:t>–</w:t>
      </w:r>
      <w:r>
        <w:rPr>
          <w:rFonts w:hint="eastAsia" w:eastAsia="新細明體"/>
          <w:lang w:val="en-US" w:eastAsia="zh-TW"/>
        </w:rPr>
        <w:t>7</w:t>
      </w:r>
      <w:r>
        <w:t>)</w:t>
      </w:r>
    </w:p>
    <w:p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Style w:val="5"/>
        </w:rPr>
      </w:pPr>
      <w:r>
        <w:rPr>
          <w:rStyle w:val="5"/>
        </w:rPr>
        <w:t xml:space="preserve">Slide </w:t>
      </w:r>
      <w:r>
        <w:rPr>
          <w:rStyle w:val="5"/>
          <w:rFonts w:hint="eastAsia"/>
          <w:lang w:val="en-US" w:eastAsia="zh-TW"/>
        </w:rPr>
        <w:t>5</w:t>
      </w:r>
      <w:r>
        <w:rPr>
          <w:rStyle w:val="5"/>
        </w:rPr>
        <w:t>|歷史路徑與央行風格(彭淮南 → 楊金龍框架)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Style w:val="5"/>
        </w:rPr>
      </w:pPr>
      <w:r>
        <w:t>觀察:歷史上台灣央行升</w:t>
      </w:r>
      <w:r>
        <w:rPr>
          <w:rFonts w:hint="eastAsia"/>
          <w:lang w:eastAsia="zh-TW"/>
        </w:rPr>
        <w:t>降</w:t>
      </w:r>
      <w:r>
        <w:t>息幾乎都跟隨美國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兩任總裁共同框架:半碼漸進主義、利率對準通膨景氣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通膨 2% 為隱性參考線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建議圖表:你提供的 CBC 利率 vs Fed 利率 vs 房價年增率長期圖(1998–2026)</w:t>
      </w:r>
    </w:p>
    <w:p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5"/>
        </w:rPr>
        <w:t xml:space="preserve">Slide </w:t>
      </w:r>
      <w:r>
        <w:rPr>
          <w:rStyle w:val="5"/>
          <w:rFonts w:hint="eastAsia"/>
          <w:lang w:val="en-US" w:eastAsia="zh-TW"/>
        </w:rPr>
        <w:t>6</w:t>
      </w:r>
      <w:r>
        <w:rPr>
          <w:rStyle w:val="5"/>
        </w:rPr>
        <w:t>|關鍵反例:2010–2011 與 2024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2010–2011:美國維持 0 利率、台灣 CPI 僅 1.0%/1.4%,但因</w:t>
      </w:r>
      <w:r>
        <w:rPr>
          <w:rStyle w:val="5"/>
        </w:rPr>
        <w:t>房價暴漲(+17%/+14%)</w:t>
      </w:r>
      <w:r>
        <w:t>,央行仍連升 5 次半碼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2024:CPI 持續超 2% + 炒房風氣再起,央行升半碼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核心洞察:</w:t>
      </w:r>
      <w:r>
        <w:rPr>
          <w:rStyle w:val="5"/>
        </w:rPr>
        <w:t>房價/過熱也能在 Fed 不升時驅動台灣升息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建議圖表:下方對照表</w:t>
      </w:r>
    </w:p>
    <w:tbl>
      <w:tblPr>
        <w:tblW w:w="7904" w:type="dxa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58"/>
        <w:gridCol w:w="782"/>
        <w:gridCol w:w="662"/>
        <w:gridCol w:w="1025"/>
        <w:gridCol w:w="4877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513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</w:rPr>
            </w:pPr>
            <w:r>
              <w:rPr>
                <w:rFonts w:ascii="SimSun" w:hAnsi="SimSun" w:eastAsia="SimSun" w:cs="SimSun"/>
                <w:b/>
                <w:kern w:val="0"/>
                <w:sz w:val="24"/>
                <w:szCs w:val="24"/>
                <w:lang w:val="en-US" w:eastAsia="zh-CN" w:bidi="ar"/>
              </w:rPr>
              <w:t>年份</w:t>
            </w:r>
          </w:p>
        </w:tc>
        <w:tc>
          <w:tcPr>
            <w:tcW w:w="752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</w:rPr>
            </w:pPr>
            <w:r>
              <w:rPr>
                <w:rFonts w:ascii="SimSun" w:hAnsi="SimSun" w:eastAsia="SimSun" w:cs="SimSun"/>
                <w:b/>
                <w:kern w:val="0"/>
                <w:sz w:val="24"/>
                <w:szCs w:val="24"/>
                <w:lang w:val="en-US" w:eastAsia="zh-CN" w:bidi="ar"/>
              </w:rPr>
              <w:t>GDP</w:t>
            </w:r>
          </w:p>
        </w:tc>
        <w:tc>
          <w:tcPr>
            <w:tcW w:w="632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</w:rPr>
            </w:pPr>
            <w:r>
              <w:rPr>
                <w:rFonts w:ascii="SimSun" w:hAnsi="SimSun" w:eastAsia="SimSun" w:cs="SimSun"/>
                <w:b/>
                <w:kern w:val="0"/>
                <w:sz w:val="24"/>
                <w:szCs w:val="24"/>
                <w:lang w:val="en-US" w:eastAsia="zh-CN" w:bidi="ar"/>
              </w:rPr>
              <w:t>CPI</w:t>
            </w:r>
          </w:p>
        </w:tc>
        <w:tc>
          <w:tcPr>
            <w:tcW w:w="995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</w:rPr>
            </w:pPr>
            <w:r>
              <w:rPr>
                <w:rFonts w:ascii="SimSun" w:hAnsi="SimSun" w:eastAsia="SimSun" w:cs="SimSun"/>
                <w:b/>
                <w:kern w:val="0"/>
                <w:sz w:val="24"/>
                <w:szCs w:val="24"/>
                <w:lang w:val="en-US" w:eastAsia="zh-CN" w:bidi="ar"/>
              </w:rPr>
              <w:t>房價年增</w:t>
            </w:r>
          </w:p>
        </w:tc>
        <w:tc>
          <w:tcPr>
            <w:tcW w:w="4832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</w:rPr>
            </w:pPr>
            <w:r>
              <w:rPr>
                <w:rFonts w:ascii="SimSun" w:hAnsi="SimSun" w:eastAsia="SimSun" w:cs="SimSun"/>
                <w:b/>
                <w:kern w:val="0"/>
                <w:sz w:val="24"/>
                <w:szCs w:val="24"/>
                <w:lang w:val="en-US" w:eastAsia="zh-CN" w:bidi="ar"/>
              </w:rPr>
              <w:t>時空環境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513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2010</w:t>
            </w:r>
          </w:p>
        </w:tc>
        <w:tc>
          <w:tcPr>
            <w:tcW w:w="752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+10.3%</w:t>
            </w:r>
          </w:p>
        </w:tc>
        <w:tc>
          <w:tcPr>
            <w:tcW w:w="632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+1.0%</w:t>
            </w:r>
          </w:p>
        </w:tc>
        <w:tc>
          <w:tcPr>
            <w:tcW w:w="995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+17.1%</w:t>
            </w:r>
          </w:p>
        </w:tc>
        <w:tc>
          <w:tcPr>
            <w:tcW w:w="4832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強勁反彈、通膨溫和但房價暴漲,重啟升息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513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2011</w:t>
            </w:r>
          </w:p>
        </w:tc>
        <w:tc>
          <w:tcPr>
            <w:tcW w:w="752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+3.7%</w:t>
            </w:r>
          </w:p>
        </w:tc>
        <w:tc>
          <w:tcPr>
            <w:tcW w:w="632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+1.4%</w:t>
            </w:r>
          </w:p>
        </w:tc>
        <w:tc>
          <w:tcPr>
            <w:tcW w:w="995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+14.0%</w:t>
            </w:r>
          </w:p>
        </w:tc>
        <w:tc>
          <w:tcPr>
            <w:tcW w:w="4832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同上,連 5 次半碼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513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2024</w:t>
            </w:r>
          </w:p>
        </w:tc>
        <w:tc>
          <w:tcPr>
            <w:tcW w:w="752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+4.8%</w:t>
            </w:r>
          </w:p>
        </w:tc>
        <w:tc>
          <w:tcPr>
            <w:tcW w:w="632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+2.2%</w:t>
            </w:r>
          </w:p>
        </w:tc>
        <w:tc>
          <w:tcPr>
            <w:tcW w:w="995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+11.3%</w:t>
            </w:r>
          </w:p>
        </w:tc>
        <w:tc>
          <w:tcPr>
            <w:tcW w:w="4832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通膨超 2% + 炒房再起,升半碼</w:t>
            </w:r>
          </w:p>
        </w:tc>
      </w:tr>
    </w:tbl>
    <w:p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5"/>
        </w:rPr>
        <w:t xml:space="preserve">Slide </w:t>
      </w:r>
      <w:r>
        <w:rPr>
          <w:rStyle w:val="5"/>
          <w:rFonts w:hint="eastAsia"/>
          <w:lang w:val="en-US" w:eastAsia="zh-TW"/>
        </w:rPr>
        <w:t>7</w:t>
      </w:r>
      <w:r>
        <w:rPr>
          <w:rStyle w:val="5"/>
        </w:rPr>
        <w:t>|我與 BNP 的異同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5"/>
        </w:rPr>
        <w:t>相同</w:t>
      </w:r>
      <w:r>
        <w:t>:AI 結構性成長支撐高景氣,長端 IRS 續升 → 看曲線陡化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5"/>
        </w:rPr>
        <w:t>不同</w:t>
      </w:r>
      <w:r>
        <w:t>:結合當前 CPI(1.9~2.0% 溫和)與房價(持平/負增長),我認為</w:t>
      </w:r>
      <w:r>
        <w:rPr>
          <w:rStyle w:val="5"/>
        </w:rPr>
        <w:t>升息時點比 BNP 更晚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我的劇本:2026 不升息(僅可能因</w:t>
      </w:r>
      <w:r>
        <w:rPr>
          <w:rFonts w:hint="eastAsia"/>
          <w:lang w:eastAsia="zh-TW"/>
        </w:rPr>
        <w:t>短暫</w:t>
      </w:r>
      <w:r>
        <w:t>供給型通膨</w:t>
      </w:r>
      <w:r>
        <w:rPr>
          <w:rFonts w:hint="eastAsia"/>
          <w:lang w:eastAsia="zh-TW"/>
        </w:rPr>
        <w:t>而態度</w:t>
      </w:r>
      <w:r>
        <w:t xml:space="preserve">轉鷹);2027 下半年才啟動升息 </w:t>
      </w:r>
    </w:p>
    <w:p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觸發因子:薪資普漲(基本工資、軍公教帶動)、股市財富效應、房市信用管制趨緩、2026 低基期推升 2027 </w:t>
      </w:r>
      <w:r>
        <w:rPr>
          <w:rFonts w:hint="eastAsia"/>
          <w:lang w:eastAsia="zh-TW"/>
        </w:rPr>
        <w:t>下半年</w:t>
      </w:r>
      <w:r>
        <w:t>CPI 與房價年增率</w:t>
      </w:r>
    </w:p>
    <w:p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 xml:space="preserve">Part 3|交易策略與風險(Slide </w:t>
      </w:r>
      <w:r>
        <w:rPr>
          <w:rFonts w:hint="eastAsia" w:eastAsia="新細明體"/>
          <w:lang w:val="en-US" w:eastAsia="zh-TW"/>
        </w:rPr>
        <w:t>8</w:t>
      </w:r>
      <w:r>
        <w:t>)</w:t>
      </w:r>
      <w:bookmarkStart w:id="0" w:name="_GoBack"/>
      <w:bookmarkEnd w:id="0"/>
    </w:p>
    <w:p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5"/>
        </w:rPr>
        <w:t xml:space="preserve">Slide </w:t>
      </w:r>
      <w:r>
        <w:rPr>
          <w:rStyle w:val="5"/>
          <w:rFonts w:hint="eastAsia"/>
          <w:lang w:val="en-US" w:eastAsia="zh-TW"/>
        </w:rPr>
        <w:t>8</w:t>
      </w:r>
      <w:r>
        <w:rPr>
          <w:rStyle w:val="5"/>
        </w:rPr>
        <w:t>|策略觀點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市場已反映未來兩年約 50–60bp 升息 → 認為過高,2Y IRS 利率偏高應修正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強勁 GDP + 漸進緊縮 → 支撐 5Y IRS 向上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結論:做 </w:t>
      </w:r>
      <w:r>
        <w:rPr>
          <w:rStyle w:val="5"/>
        </w:rPr>
        <w:t>2s5s steepener</w:t>
      </w:r>
      <w:r>
        <w:t>(與 BNP 的 1s5s 區隔:你把前端錨在 2Y,反映「近期不升、修正過高的兩年期定價」)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承做 </w:t>
      </w:r>
      <w:r>
        <w:rPr>
          <w:rStyle w:val="5"/>
        </w:rPr>
        <w:t>2s5s TWD IRS steepener</w:t>
      </w:r>
      <w:r>
        <w:t>,TWD 0.6mio/DV01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進場 21.5bp|目標 32bp|停損 13bp|Carry &amp; roll 3.0bp/季</w:t>
      </w:r>
    </w:p>
    <w:p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主要風險: </w:t>
      </w:r>
    </w:p>
    <w:p>
      <w:pPr>
        <w:keepNext w:val="0"/>
        <w:keepLines w:val="0"/>
        <w:widowControl/>
        <w:numPr>
          <w:ilvl w:val="1"/>
          <w:numId w:val="1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升息提前</w:t>
      </w:r>
      <w:r>
        <w:rPr>
          <w:rFonts w:hint="eastAsia"/>
          <w:lang w:val="en-US" w:eastAsia="zh-TW"/>
        </w:rPr>
        <w:t>或升息幅度意外25bp</w:t>
      </w:r>
      <w:r>
        <w:t>(</w:t>
      </w:r>
      <w:r>
        <w:rPr>
          <w:rFonts w:hint="eastAsia"/>
          <w:lang w:eastAsia="zh-TW"/>
        </w:rPr>
        <w:t>二次</w:t>
      </w:r>
      <w:r>
        <w:t>通膨</w:t>
      </w:r>
      <w:r>
        <w:rPr>
          <w:rFonts w:hint="eastAsia"/>
          <w:lang w:eastAsia="zh-TW"/>
        </w:rPr>
        <w:t>再起</w:t>
      </w:r>
      <w:r>
        <w:rPr>
          <w:rFonts w:hint="eastAsia"/>
          <w:lang w:val="en-US" w:eastAsia="zh-TW"/>
        </w:rPr>
        <w:t>;通膨</w:t>
      </w:r>
      <w:r>
        <w:rPr>
          <w:rFonts w:hint="eastAsia"/>
          <w:lang w:eastAsia="zh-TW"/>
        </w:rPr>
        <w:t>展望加速</w:t>
      </w:r>
      <w:r>
        <w:t>/房市意外升溫)</w:t>
      </w:r>
      <w:r>
        <w:rPr>
          <w:rFonts w:hint="eastAsia"/>
          <w:lang w:val="en-US" w:eastAsia="zh-TW"/>
        </w:rPr>
        <w:t>;</w:t>
      </w:r>
      <w:r>
        <w:t>使前端反彈、曲線平坦化</w:t>
      </w:r>
    </w:p>
    <w:p>
      <w:pPr>
        <w:keepNext w:val="0"/>
        <w:keepLines w:val="0"/>
        <w:widowControl/>
        <w:numPr>
          <w:ilvl w:val="1"/>
          <w:numId w:val="1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AI 景氣反轉、長端需求轉弱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新細明體">
    <w:panose1 w:val="02020500000000000000"/>
    <w:charset w:val="88"/>
    <w:family w:val="roman"/>
    <w:pitch w:val="default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細明體">
    <w:panose1 w:val="02020509000000000000"/>
    <w:charset w:val="88"/>
    <w:family w:val="modern"/>
    <w:pitch w:val="default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A305ACF"/>
    <w:multiLevelType w:val="multilevel"/>
    <w:tmpl w:val="6A305AC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6A305AE5"/>
    <w:multiLevelType w:val="multilevel"/>
    <w:tmpl w:val="6A305AE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6A305AF0"/>
    <w:multiLevelType w:val="multilevel"/>
    <w:tmpl w:val="6A305AF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6A305AFB"/>
    <w:multiLevelType w:val="multilevel"/>
    <w:tmpl w:val="6A305AF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6A305B06"/>
    <w:multiLevelType w:val="multilevel"/>
    <w:tmpl w:val="6A305B0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6A305B11"/>
    <w:multiLevelType w:val="multilevel"/>
    <w:tmpl w:val="6A305B1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6A305B1C"/>
    <w:multiLevelType w:val="multilevel"/>
    <w:tmpl w:val="6A305B1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6A305B27"/>
    <w:multiLevelType w:val="multilevel"/>
    <w:tmpl w:val="6A305B2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6A305B32"/>
    <w:multiLevelType w:val="multilevel"/>
    <w:tmpl w:val="6A305B3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6A305B3D"/>
    <w:multiLevelType w:val="multilevel"/>
    <w:tmpl w:val="6A305B3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6A305B48"/>
    <w:multiLevelType w:val="multilevel"/>
    <w:tmpl w:val="6A305B4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6A305B53"/>
    <w:multiLevelType w:val="multilevel"/>
    <w:tmpl w:val="6A305B5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6A305B5E"/>
    <w:multiLevelType w:val="multilevel"/>
    <w:tmpl w:val="6A305B5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5"/>
  </w:num>
  <w:num w:numId="3">
    <w:abstractNumId w:val="6"/>
  </w:num>
  <w:num w:numId="4">
    <w:abstractNumId w:val="7"/>
  </w:num>
  <w:num w:numId="5">
    <w:abstractNumId w:val="8"/>
  </w:num>
  <w:num w:numId="6">
    <w:abstractNumId w:val="9"/>
  </w:num>
  <w:num w:numId="7">
    <w:abstractNumId w:val="10"/>
  </w:num>
  <w:num w:numId="8">
    <w:abstractNumId w:val="11"/>
  </w:num>
  <w:num w:numId="9">
    <w:abstractNumId w:val="12"/>
  </w:num>
  <w:num w:numId="10">
    <w:abstractNumId w:val="1"/>
  </w:num>
  <w:num w:numId="1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2"/>
  </w:num>
  <w:num w:numId="13">
    <w:abstractNumId w:val="3"/>
  </w:num>
  <w:num w:numId="14">
    <w:abstractNumId w:val="4"/>
  </w:num>
  <w:num w:numId="1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9720944"/>
    <w:rsid w:val="04CB341E"/>
    <w:rsid w:val="07223CE1"/>
    <w:rsid w:val="19720944"/>
    <w:rsid w:val="4ADF3289"/>
    <w:rsid w:val="7EE43BC1"/>
  </w:rsids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SimSun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6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</w:style>
  <w:style w:type="character" w:styleId="5">
    <w:name w:val="Strong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Office_10.8.0.6003_F1E327BC-269C-435d-A152-05C5408002CA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2026-06-15T20:02:00Z</dcterms:created>
  <dc:creator>user</dc:creator>
  <cp:lastModifiedBy>user</cp:lastModifiedBy>
  <dcterms:modified xsi:type="dcterms:W3CDTF">2026-06-15T20:20:37Z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1028-10.8.0.6003</vt:lpwstr>
  </property>
</Properties>
</file>