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E04738" w:rsidRDefault="00F109F3" w:rsidP="00F109F3">
      <w:pPr>
        <w:spacing w:line="480" w:lineRule="auto"/>
        <w:rPr>
          <w:rFonts w:ascii="Times New Roman" w:hAnsi="Times New Roman" w:cs="Times New Roman"/>
        </w:rPr>
      </w:pPr>
      <w:r>
        <w:rPr>
          <w:rFonts w:ascii="Times New Roman" w:hAnsi="Times New Roman" w:cs="Times New Roman"/>
          <w:i/>
        </w:rPr>
        <w:t>Maryland v. Rusk</w:t>
      </w:r>
      <w:r>
        <w:rPr>
          <w:rFonts w:ascii="Times New Roman" w:hAnsi="Times New Roman" w:cs="Times New Roman"/>
        </w:rPr>
        <w:t>: The Silent Problem of Sex</w:t>
      </w:r>
    </w:p>
    <w:p w:rsidR="00F109F3" w:rsidRPr="00F109F3" w:rsidRDefault="00E04738" w:rsidP="00F109F3">
      <w:pPr>
        <w:spacing w:line="480" w:lineRule="auto"/>
        <w:rPr>
          <w:rFonts w:ascii="Times New Roman" w:hAnsi="Times New Roman" w:cs="Times New Roman"/>
        </w:rPr>
      </w:pPr>
      <w:r>
        <w:rPr>
          <w:rFonts w:ascii="Times New Roman" w:hAnsi="Times New Roman" w:cs="Times New Roman"/>
        </w:rPr>
        <w:t>By Jessica Zou</w:t>
      </w:r>
    </w:p>
    <w:p w:rsidR="00110882" w:rsidRDefault="00110882" w:rsidP="00F109F3">
      <w:pPr>
        <w:spacing w:line="480" w:lineRule="auto"/>
        <w:ind w:firstLine="720"/>
        <w:rPr>
          <w:rFonts w:ascii="Times New Roman" w:hAnsi="Times New Roman" w:cs="Times New Roman"/>
        </w:rPr>
      </w:pPr>
      <w:r>
        <w:rPr>
          <w:rFonts w:ascii="Times New Roman" w:hAnsi="Times New Roman" w:cs="Times New Roman"/>
        </w:rPr>
        <w:t>Alth</w:t>
      </w:r>
      <w:bookmarkStart w:id="0" w:name="_GoBack"/>
      <w:bookmarkEnd w:id="0"/>
      <w:r>
        <w:rPr>
          <w:rFonts w:ascii="Times New Roman" w:hAnsi="Times New Roman" w:cs="Times New Roman"/>
        </w:rPr>
        <w:t xml:space="preserve">ough rape cases have recently received a lot of attention at the trial level, they are often largely overlooked at the appellate level. That is not to say, however, that discussions of sex and consent </w:t>
      </w:r>
      <w:r w:rsidR="00E54FFD">
        <w:rPr>
          <w:rFonts w:ascii="Times New Roman" w:hAnsi="Times New Roman" w:cs="Times New Roman"/>
        </w:rPr>
        <w:t xml:space="preserve">are less important in higher courts. In fact, due to the often unspoken nature of consent and the textually reliant nature of appellate courts, rape cases should receive more attention upon appeal. </w:t>
      </w:r>
    </w:p>
    <w:p w:rsidR="00787325" w:rsidRPr="001D21EA" w:rsidRDefault="00E54FFD" w:rsidP="00F109F3">
      <w:pPr>
        <w:spacing w:line="480" w:lineRule="auto"/>
        <w:ind w:firstLine="720"/>
        <w:rPr>
          <w:rFonts w:ascii="Times New Roman" w:hAnsi="Times New Roman" w:cs="Times New Roman"/>
        </w:rPr>
      </w:pPr>
      <w:r>
        <w:rPr>
          <w:rFonts w:ascii="Times New Roman" w:hAnsi="Times New Roman" w:cs="Times New Roman"/>
          <w:i/>
        </w:rPr>
        <w:t>Maryland v. Rusk</w:t>
      </w:r>
      <w:r>
        <w:rPr>
          <w:rFonts w:ascii="Times New Roman" w:hAnsi="Times New Roman" w:cs="Times New Roman"/>
        </w:rPr>
        <w:t xml:space="preserve"> was one such case that went to both the Maryland Court of Special Appeals and the Maryland Court of Appeals. Edward Salvatore Rusk had been convicted of the rape of an unnamed twenty-one year old woman in the Baltimore Criminal Court, but the Court of Special Appeals had overturned that decision before being reversed two years later by the higher Court of Appeals.</w:t>
      </w:r>
      <w:r w:rsidRPr="001D21EA">
        <w:rPr>
          <w:rStyle w:val="FootnoteReference"/>
          <w:rFonts w:ascii="Times New Roman" w:hAnsi="Times New Roman" w:cs="Times New Roman"/>
        </w:rPr>
        <w:footnoteReference w:id="2"/>
      </w:r>
      <w:r>
        <w:rPr>
          <w:rFonts w:ascii="Times New Roman" w:hAnsi="Times New Roman" w:cs="Times New Roman"/>
        </w:rPr>
        <w:t xml:space="preserve"> </w:t>
      </w:r>
      <w:r w:rsidR="00861C63" w:rsidRPr="001D21EA">
        <w:rPr>
          <w:rFonts w:ascii="Times New Roman" w:hAnsi="Times New Roman" w:cs="Times New Roman"/>
        </w:rPr>
        <w:t>While these cases discuss</w:t>
      </w:r>
      <w:r>
        <w:rPr>
          <w:rFonts w:ascii="Times New Roman" w:hAnsi="Times New Roman" w:cs="Times New Roman"/>
        </w:rPr>
        <w:t>ed</w:t>
      </w:r>
      <w:r w:rsidR="00861C63" w:rsidRPr="001D21EA">
        <w:rPr>
          <w:rFonts w:ascii="Times New Roman" w:hAnsi="Times New Roman" w:cs="Times New Roman"/>
        </w:rPr>
        <w:t xml:space="preserve"> proper standards of appellate restraint and the different roles of trial and appellate level courts, they also reveal</w:t>
      </w:r>
      <w:r>
        <w:rPr>
          <w:rFonts w:ascii="Times New Roman" w:hAnsi="Times New Roman" w:cs="Times New Roman"/>
        </w:rPr>
        <w:t>ed</w:t>
      </w:r>
      <w:r w:rsidR="00861C63" w:rsidRPr="001D21EA">
        <w:rPr>
          <w:rFonts w:ascii="Times New Roman" w:hAnsi="Times New Roman" w:cs="Times New Roman"/>
        </w:rPr>
        <w:t xml:space="preserve"> a very interesting understanding of the cultural languag</w:t>
      </w:r>
      <w:r w:rsidR="00110882">
        <w:rPr>
          <w:rFonts w:ascii="Times New Roman" w:hAnsi="Times New Roman" w:cs="Times New Roman"/>
        </w:rPr>
        <w:t>e, or lack thereof, of sex</w:t>
      </w:r>
      <w:r w:rsidR="00861C63" w:rsidRPr="001D21EA">
        <w:rPr>
          <w:rFonts w:ascii="Times New Roman" w:hAnsi="Times New Roman" w:cs="Times New Roman"/>
        </w:rPr>
        <w:t xml:space="preserve">. </w:t>
      </w:r>
    </w:p>
    <w:p w:rsidR="00086D58" w:rsidRDefault="00861C63" w:rsidP="00F109F3">
      <w:pPr>
        <w:spacing w:line="480" w:lineRule="auto"/>
        <w:ind w:firstLine="720"/>
        <w:rPr>
          <w:rFonts w:ascii="Times New Roman" w:hAnsi="Times New Roman" w:cs="Times New Roman"/>
        </w:rPr>
      </w:pPr>
      <w:r w:rsidRPr="001D21EA">
        <w:rPr>
          <w:rFonts w:ascii="Times New Roman" w:hAnsi="Times New Roman" w:cs="Times New Roman"/>
          <w:i/>
        </w:rPr>
        <w:t>Maryland v. Rusk</w:t>
      </w:r>
      <w:r w:rsidRPr="001D21EA">
        <w:rPr>
          <w:rFonts w:ascii="Times New Roman" w:hAnsi="Times New Roman" w:cs="Times New Roman"/>
        </w:rPr>
        <w:t xml:space="preserve"> was an acquaintance rape case. </w:t>
      </w:r>
      <w:r w:rsidR="003C34D5" w:rsidRPr="001D21EA">
        <w:rPr>
          <w:rFonts w:ascii="Times New Roman" w:hAnsi="Times New Roman" w:cs="Times New Roman"/>
        </w:rPr>
        <w:t>Rusk had met a young woman, recently separated from her husband, at a bar and asked her for a ride home. In the woman’s version of the story, upon arriving outside his apartment, she had declined to go upstairs with him until he had frightened her with his insistence and taken her car keys. In his bedroom, he undressed her, demanded oral sex, and forced himself upon her, even starting “lightly to choke” her at one point.</w:t>
      </w:r>
      <w:r w:rsidR="003C34D5" w:rsidRPr="001D21EA">
        <w:rPr>
          <w:rStyle w:val="FootnoteReference"/>
          <w:rFonts w:ascii="Times New Roman" w:hAnsi="Times New Roman" w:cs="Times New Roman"/>
        </w:rPr>
        <w:footnoteReference w:id="3"/>
      </w:r>
      <w:r w:rsidR="003C34D5" w:rsidRPr="001D21EA">
        <w:rPr>
          <w:rFonts w:ascii="Times New Roman" w:hAnsi="Times New Roman" w:cs="Times New Roman"/>
        </w:rPr>
        <w:t xml:space="preserve"> Rusk, however, claimed that the entire situation was consensual and that the supposed victim had been all over him at the bar and eager to go up to his apartment with him to have sex. </w:t>
      </w:r>
      <w:r w:rsidR="001D653C" w:rsidRPr="001D21EA">
        <w:rPr>
          <w:rFonts w:ascii="Times New Roman" w:hAnsi="Times New Roman" w:cs="Times New Roman"/>
        </w:rPr>
        <w:t>Based on the evidence presented at trial, the jury convi</w:t>
      </w:r>
      <w:r w:rsidR="006D3AF2" w:rsidRPr="001D21EA">
        <w:rPr>
          <w:rFonts w:ascii="Times New Roman" w:hAnsi="Times New Roman" w:cs="Times New Roman"/>
        </w:rPr>
        <w:t>cted Rusk of assault and second-</w:t>
      </w:r>
      <w:r w:rsidR="001D653C" w:rsidRPr="001D21EA">
        <w:rPr>
          <w:rFonts w:ascii="Times New Roman" w:hAnsi="Times New Roman" w:cs="Times New Roman"/>
        </w:rPr>
        <w:t xml:space="preserve">degree rape. </w:t>
      </w:r>
    </w:p>
    <w:p w:rsidR="008920AC" w:rsidRPr="001D21EA" w:rsidRDefault="001D653C" w:rsidP="00F109F3">
      <w:pPr>
        <w:spacing w:line="480" w:lineRule="auto"/>
        <w:ind w:firstLine="720"/>
        <w:rPr>
          <w:rFonts w:ascii="Times New Roman" w:hAnsi="Times New Roman" w:cs="Times New Roman"/>
        </w:rPr>
      </w:pPr>
      <w:r w:rsidRPr="001D21EA">
        <w:rPr>
          <w:rFonts w:ascii="Times New Roman" w:hAnsi="Times New Roman" w:cs="Times New Roman"/>
        </w:rPr>
        <w:t xml:space="preserve">So if a jury found that there was enough evidence to convict, what was the problem with the case at the appellate level that led the Court of Special Appeals to overturn the decision? The issue lies at the heart of the very procedural system of appellate courts. While it is difficult enough to determine consent in rape cases at the trial level when the judge and jury have all of the witnesses and every piece of evidence in front of them, it becomes still more problematic for an appellate court that must rely solely on written transcripts from the trial court and </w:t>
      </w:r>
      <w:r w:rsidR="008920AC" w:rsidRPr="001D21EA">
        <w:rPr>
          <w:rFonts w:ascii="Times New Roman" w:hAnsi="Times New Roman" w:cs="Times New Roman"/>
        </w:rPr>
        <w:t>assess the situation from two degrees of separation. Given then the silent nature o</w:t>
      </w:r>
      <w:r w:rsidR="00E04738">
        <w:rPr>
          <w:rFonts w:ascii="Times New Roman" w:hAnsi="Times New Roman" w:cs="Times New Roman"/>
        </w:rPr>
        <w:t>f sex in our culture and people</w:t>
      </w:r>
      <w:r w:rsidR="008920AC" w:rsidRPr="001D21EA">
        <w:rPr>
          <w:rFonts w:ascii="Times New Roman" w:hAnsi="Times New Roman" w:cs="Times New Roman"/>
        </w:rPr>
        <w:t>s</w:t>
      </w:r>
      <w:r w:rsidR="00E04738">
        <w:rPr>
          <w:rFonts w:ascii="Times New Roman" w:hAnsi="Times New Roman" w:cs="Times New Roman"/>
        </w:rPr>
        <w:t>’ seeming</w:t>
      </w:r>
      <w:r w:rsidR="008920AC" w:rsidRPr="001D21EA">
        <w:rPr>
          <w:rFonts w:ascii="Times New Roman" w:hAnsi="Times New Roman" w:cs="Times New Roman"/>
        </w:rPr>
        <w:t xml:space="preserve"> unwillingness to explicitly say what they want or do not want, what is left unsaid in trial transcripts is often just as important as—if not more so than—what is recorded by the court stenographer. </w:t>
      </w:r>
    </w:p>
    <w:p w:rsidR="001D653C" w:rsidRPr="001D21EA" w:rsidRDefault="008920AC" w:rsidP="00F109F3">
      <w:pPr>
        <w:spacing w:line="480" w:lineRule="auto"/>
        <w:ind w:firstLine="720"/>
        <w:rPr>
          <w:rFonts w:ascii="Times New Roman" w:hAnsi="Times New Roman" w:cs="Times New Roman"/>
        </w:rPr>
      </w:pPr>
      <w:r w:rsidRPr="001D21EA">
        <w:rPr>
          <w:rFonts w:ascii="Times New Roman" w:hAnsi="Times New Roman" w:cs="Times New Roman"/>
        </w:rPr>
        <w:t>In the trial transcripts, both the prosecuting witness and the accused defendant show</w:t>
      </w:r>
      <w:r w:rsidR="00F76C0B" w:rsidRPr="001D21EA">
        <w:rPr>
          <w:rFonts w:ascii="Times New Roman" w:hAnsi="Times New Roman" w:cs="Times New Roman"/>
        </w:rPr>
        <w:t>ed</w:t>
      </w:r>
      <w:r w:rsidRPr="001D21EA">
        <w:rPr>
          <w:rFonts w:ascii="Times New Roman" w:hAnsi="Times New Roman" w:cs="Times New Roman"/>
        </w:rPr>
        <w:t xml:space="preserve"> a distinct discomfort with explicitly using the word “sex.” </w:t>
      </w:r>
      <w:r w:rsidR="00F76C0B" w:rsidRPr="001D21EA">
        <w:rPr>
          <w:rFonts w:ascii="Times New Roman" w:hAnsi="Times New Roman" w:cs="Times New Roman"/>
        </w:rPr>
        <w:t xml:space="preserve">Describing the moment when she realized Rusk was intent on raping her, </w:t>
      </w:r>
      <w:r w:rsidRPr="001D21EA">
        <w:rPr>
          <w:rFonts w:ascii="Times New Roman" w:hAnsi="Times New Roman" w:cs="Times New Roman"/>
        </w:rPr>
        <w:t>Pat, as Justice Wilner of the Marylan</w:t>
      </w:r>
      <w:r w:rsidR="00F76C0B" w:rsidRPr="001D21EA">
        <w:rPr>
          <w:rFonts w:ascii="Times New Roman" w:hAnsi="Times New Roman" w:cs="Times New Roman"/>
        </w:rPr>
        <w:t xml:space="preserve">d Court of Special Appeals named Rusk’s victim, said </w:t>
      </w:r>
      <w:r w:rsidRPr="001D21EA">
        <w:rPr>
          <w:rFonts w:ascii="Times New Roman" w:hAnsi="Times New Roman" w:cs="Times New Roman"/>
        </w:rPr>
        <w:t>that she knew he wanted to “rape me, but I didn’t say that.”</w:t>
      </w:r>
      <w:r w:rsidRPr="001D21EA">
        <w:rPr>
          <w:rStyle w:val="FootnoteReference"/>
          <w:rFonts w:ascii="Times New Roman" w:hAnsi="Times New Roman" w:cs="Times New Roman"/>
        </w:rPr>
        <w:footnoteReference w:id="4"/>
      </w:r>
      <w:r w:rsidR="00F76C0B" w:rsidRPr="001D21EA">
        <w:rPr>
          <w:rFonts w:ascii="Times New Roman" w:hAnsi="Times New Roman" w:cs="Times New Roman"/>
        </w:rPr>
        <w:t xml:space="preserve"> Instead, she referred</w:t>
      </w:r>
      <w:r w:rsidRPr="001D21EA">
        <w:rPr>
          <w:rFonts w:ascii="Times New Roman" w:hAnsi="Times New Roman" w:cs="Times New Roman"/>
        </w:rPr>
        <w:t xml:space="preserve"> to sex twice as “</w:t>
      </w:r>
      <w:r w:rsidR="00F76C0B" w:rsidRPr="001D21EA">
        <w:rPr>
          <w:rFonts w:ascii="Times New Roman" w:hAnsi="Times New Roman" w:cs="Times New Roman"/>
        </w:rPr>
        <w:t>what you want” – what Rusk wanted</w:t>
      </w:r>
      <w:r w:rsidRPr="001D21EA">
        <w:rPr>
          <w:rFonts w:ascii="Times New Roman" w:hAnsi="Times New Roman" w:cs="Times New Roman"/>
        </w:rPr>
        <w:t>.</w:t>
      </w:r>
      <w:r w:rsidRPr="001D21EA">
        <w:rPr>
          <w:rStyle w:val="FootnoteReference"/>
          <w:rFonts w:ascii="Times New Roman" w:hAnsi="Times New Roman" w:cs="Times New Roman"/>
        </w:rPr>
        <w:footnoteReference w:id="5"/>
      </w:r>
      <w:r w:rsidRPr="001D21EA">
        <w:rPr>
          <w:rFonts w:ascii="Times New Roman" w:hAnsi="Times New Roman" w:cs="Times New Roman"/>
        </w:rPr>
        <w:t xml:space="preserve"> Even in a situation where </w:t>
      </w:r>
      <w:r w:rsidR="00F76C0B" w:rsidRPr="001D21EA">
        <w:rPr>
          <w:rFonts w:ascii="Times New Roman" w:hAnsi="Times New Roman" w:cs="Times New Roman"/>
        </w:rPr>
        <w:t>niceties and clean language had</w:t>
      </w:r>
      <w:r w:rsidRPr="001D21EA">
        <w:rPr>
          <w:rFonts w:ascii="Times New Roman" w:hAnsi="Times New Roman" w:cs="Times New Roman"/>
        </w:rPr>
        <w:t xml:space="preserve"> beco</w:t>
      </w:r>
      <w:r w:rsidR="00F76C0B" w:rsidRPr="001D21EA">
        <w:rPr>
          <w:rFonts w:ascii="Times New Roman" w:hAnsi="Times New Roman" w:cs="Times New Roman"/>
        </w:rPr>
        <w:t>me completely irrelevant, Pat was clearly</w:t>
      </w:r>
      <w:r w:rsidRPr="001D21EA">
        <w:rPr>
          <w:rFonts w:ascii="Times New Roman" w:hAnsi="Times New Roman" w:cs="Times New Roman"/>
        </w:rPr>
        <w:t xml:space="preserve"> uncomfortable </w:t>
      </w:r>
      <w:r w:rsidR="00F76C0B" w:rsidRPr="001D21EA">
        <w:rPr>
          <w:rFonts w:ascii="Times New Roman" w:hAnsi="Times New Roman" w:cs="Times New Roman"/>
        </w:rPr>
        <w:t xml:space="preserve">explicitly speaking about sex. It seems that sex, or at least talking about sex, still remained very much “shrouded in the taboos and myths of a Victorian Age,” in the words of Justice Wilner. </w:t>
      </w:r>
    </w:p>
    <w:p w:rsidR="00F76C0B" w:rsidRPr="001D21EA" w:rsidRDefault="00F76C0B" w:rsidP="00F109F3">
      <w:pPr>
        <w:spacing w:line="480" w:lineRule="auto"/>
        <w:ind w:firstLine="720"/>
        <w:rPr>
          <w:rFonts w:ascii="Times New Roman" w:hAnsi="Times New Roman" w:cs="Times New Roman"/>
        </w:rPr>
      </w:pPr>
      <w:r w:rsidRPr="001D21EA">
        <w:rPr>
          <w:rFonts w:ascii="Times New Roman" w:hAnsi="Times New Roman" w:cs="Times New Roman"/>
        </w:rPr>
        <w:t xml:space="preserve">Avoiding this straightforward discussion of sex is not restricted to the injured party, however. Rusk, the aggressor, does very </w:t>
      </w:r>
      <w:r w:rsidR="00CA0237" w:rsidRPr="001D21EA">
        <w:rPr>
          <w:rFonts w:ascii="Times New Roman" w:hAnsi="Times New Roman" w:cs="Times New Roman"/>
        </w:rPr>
        <w:t xml:space="preserve">much the same thing. It is </w:t>
      </w:r>
      <w:r w:rsidRPr="001D21EA">
        <w:rPr>
          <w:rFonts w:ascii="Times New Roman" w:hAnsi="Times New Roman" w:cs="Times New Roman"/>
        </w:rPr>
        <w:t xml:space="preserve">clear through Rusk’s testimony that he was interested in having sex with Pat that night from the moment he got in her car for her to give him a ride home. And yet, he never explicitly informed her that he wanted to have sex with her. Rather, he suggested that she come up to his room, he insisted that she stay in the room, and he asked that she get on his bed with him. In a different context, his words would have been completely innocent. In this one, however, they were clearly understood as sexual invitations without being explicitly stated as such. </w:t>
      </w:r>
    </w:p>
    <w:p w:rsidR="005424B1" w:rsidRPr="001D21EA" w:rsidRDefault="005424B1" w:rsidP="00F109F3">
      <w:pPr>
        <w:spacing w:line="480" w:lineRule="auto"/>
        <w:ind w:firstLine="720"/>
        <w:rPr>
          <w:rFonts w:ascii="Times New Roman" w:hAnsi="Times New Roman" w:cs="Times New Roman"/>
        </w:rPr>
      </w:pPr>
      <w:r w:rsidRPr="001D21EA">
        <w:rPr>
          <w:rFonts w:ascii="Times New Roman" w:hAnsi="Times New Roman" w:cs="Times New Roman"/>
        </w:rPr>
        <w:t>Just as Rusk’s sexual invitations were implied, Pat’s reactions were often vague and not clearly rejections of his advances. In his dissenting decision, Justice Wilner mentioned the Uniform Crime Reports compiled by the FBI and how they indicated that women were more likely to react to a potential rapist with “passive resistance”—for example, “crying, being slow to respond, feigning an inability to understand instructions, or telling the rapist they are pregnant, diseased or injured”—rather than an active physical struggle.</w:t>
      </w:r>
      <w:r w:rsidRPr="001D21EA">
        <w:rPr>
          <w:rStyle w:val="FootnoteReference"/>
          <w:rFonts w:ascii="Times New Roman" w:hAnsi="Times New Roman" w:cs="Times New Roman"/>
        </w:rPr>
        <w:t xml:space="preserve"> </w:t>
      </w:r>
      <w:r w:rsidRPr="001D21EA">
        <w:rPr>
          <w:rStyle w:val="FootnoteReference"/>
          <w:rFonts w:ascii="Times New Roman" w:hAnsi="Times New Roman" w:cs="Times New Roman"/>
        </w:rPr>
        <w:footnoteReference w:id="6"/>
      </w:r>
      <w:r w:rsidRPr="001D21EA">
        <w:rPr>
          <w:rFonts w:ascii="Times New Roman" w:hAnsi="Times New Roman" w:cs="Times New Roman"/>
        </w:rPr>
        <w:t xml:space="preserve"> Pat exhibited this passive resistance when she</w:t>
      </w:r>
      <w:r w:rsidR="006D3AF2" w:rsidRPr="001D21EA">
        <w:rPr>
          <w:rFonts w:ascii="Times New Roman" w:hAnsi="Times New Roman" w:cs="Times New Roman"/>
        </w:rPr>
        <w:t xml:space="preserve"> told Rusk that she could not go</w:t>
      </w:r>
      <w:r w:rsidRPr="001D21EA">
        <w:rPr>
          <w:rFonts w:ascii="Times New Roman" w:hAnsi="Times New Roman" w:cs="Times New Roman"/>
        </w:rPr>
        <w:t xml:space="preserve"> upstairs with him because it “might cause marital problems” with her </w:t>
      </w:r>
      <w:r w:rsidR="006D3AF2" w:rsidRPr="001D21EA">
        <w:rPr>
          <w:rFonts w:ascii="Times New Roman" w:hAnsi="Times New Roman" w:cs="Times New Roman"/>
        </w:rPr>
        <w:t xml:space="preserve">recently </w:t>
      </w:r>
      <w:r w:rsidRPr="001D21EA">
        <w:rPr>
          <w:rFonts w:ascii="Times New Roman" w:hAnsi="Times New Roman" w:cs="Times New Roman"/>
        </w:rPr>
        <w:t>separated husband</w:t>
      </w:r>
      <w:r w:rsidR="006D3AF2" w:rsidRPr="001D21EA">
        <w:rPr>
          <w:rFonts w:ascii="Times New Roman" w:hAnsi="Times New Roman" w:cs="Times New Roman"/>
        </w:rPr>
        <w:t xml:space="preserve"> or suggested that he did not need to do anything to her when he was pulling her onto his bed because he could “get a lot of other girls down there for what [he] want[ed].”</w:t>
      </w:r>
      <w:r w:rsidR="006D3AF2" w:rsidRPr="001D21EA">
        <w:rPr>
          <w:rStyle w:val="FootnoteReference"/>
          <w:rFonts w:ascii="Times New Roman" w:hAnsi="Times New Roman" w:cs="Times New Roman"/>
        </w:rPr>
        <w:t xml:space="preserve"> </w:t>
      </w:r>
      <w:r w:rsidR="006D3AF2" w:rsidRPr="001D21EA">
        <w:rPr>
          <w:rStyle w:val="FootnoteReference"/>
          <w:rFonts w:ascii="Times New Roman" w:hAnsi="Times New Roman" w:cs="Times New Roman"/>
        </w:rPr>
        <w:footnoteReference w:id="7"/>
      </w:r>
      <w:r w:rsidR="006D3AF2" w:rsidRPr="001D21EA">
        <w:rPr>
          <w:rFonts w:ascii="Times New Roman" w:hAnsi="Times New Roman" w:cs="Times New Roman"/>
        </w:rPr>
        <w:t xml:space="preserve"> Interestingly, even before leaving the bar, Pat had already begun to imply that she was not interested in sex. She told him very clearly that she was only “giving a ride home, you know, as a friend, not anything to be, you know, though of other than a ride.”</w:t>
      </w:r>
      <w:r w:rsidR="006D3AF2" w:rsidRPr="001D21EA">
        <w:rPr>
          <w:rStyle w:val="FootnoteReference"/>
          <w:rFonts w:ascii="Times New Roman" w:hAnsi="Times New Roman" w:cs="Times New Roman"/>
        </w:rPr>
        <w:t xml:space="preserve"> </w:t>
      </w:r>
      <w:r w:rsidR="006D3AF2" w:rsidRPr="001D21EA">
        <w:rPr>
          <w:rStyle w:val="FootnoteReference"/>
          <w:rFonts w:ascii="Times New Roman" w:hAnsi="Times New Roman" w:cs="Times New Roman"/>
        </w:rPr>
        <w:footnoteReference w:id="8"/>
      </w:r>
      <w:r w:rsidR="006D3AF2" w:rsidRPr="001D21EA">
        <w:rPr>
          <w:rFonts w:ascii="Times New Roman" w:hAnsi="Times New Roman" w:cs="Times New Roman"/>
        </w:rPr>
        <w:t xml:space="preserve"> Despite never explicitly stating, “No, I do not want to have sex with you,” Pat’s subtle rejections and her pointed clarification in her awareness that her actions could be misconstrued indicated her lack of interest in having sex with Rusk. </w:t>
      </w:r>
    </w:p>
    <w:p w:rsidR="00DE7DE6" w:rsidRPr="001D21EA" w:rsidRDefault="00DE7DE6" w:rsidP="00F109F3">
      <w:pPr>
        <w:spacing w:line="480" w:lineRule="auto"/>
        <w:ind w:firstLine="720"/>
        <w:rPr>
          <w:rFonts w:ascii="Times New Roman" w:hAnsi="Times New Roman" w:cs="Times New Roman"/>
        </w:rPr>
      </w:pPr>
      <w:r w:rsidRPr="001D21EA">
        <w:rPr>
          <w:rFonts w:ascii="Times New Roman" w:hAnsi="Times New Roman" w:cs="Times New Roman"/>
        </w:rPr>
        <w:t xml:space="preserve">Even the justices of the appellate courts recognized how much sex relies on implicit suggestions. Although Justice Cole of the Maryland Court of Appeals had sardonically stated that Pat “certainly had to realize that they were not going upstairs to play </w:t>
      </w:r>
      <w:r w:rsidRPr="001D21EA">
        <w:rPr>
          <w:rFonts w:ascii="Times New Roman" w:hAnsi="Times New Roman" w:cs="Times New Roman"/>
          <w:i/>
        </w:rPr>
        <w:t>Scrabble</w:t>
      </w:r>
      <w:r w:rsidRPr="001D21EA">
        <w:rPr>
          <w:rFonts w:ascii="Times New Roman" w:hAnsi="Times New Roman" w:cs="Times New Roman"/>
        </w:rPr>
        <w:t xml:space="preserve">” to emphasize her lack of resistance, his mentality reveals that sex rests </w:t>
      </w:r>
      <w:r w:rsidR="001D21EA" w:rsidRPr="001D21EA">
        <w:rPr>
          <w:rFonts w:ascii="Times New Roman" w:hAnsi="Times New Roman" w:cs="Times New Roman"/>
        </w:rPr>
        <w:t xml:space="preserve">heavily </w:t>
      </w:r>
      <w:r w:rsidRPr="001D21EA">
        <w:rPr>
          <w:rFonts w:ascii="Times New Roman" w:hAnsi="Times New Roman" w:cs="Times New Roman"/>
        </w:rPr>
        <w:t>upon assumptions.</w:t>
      </w:r>
      <w:r w:rsidR="001D21EA" w:rsidRPr="001D21EA">
        <w:rPr>
          <w:rStyle w:val="FootnoteReference"/>
          <w:rFonts w:ascii="Times New Roman" w:hAnsi="Times New Roman" w:cs="Times New Roman"/>
        </w:rPr>
        <w:t xml:space="preserve"> </w:t>
      </w:r>
      <w:r w:rsidR="001D21EA" w:rsidRPr="001D21EA">
        <w:rPr>
          <w:rStyle w:val="FootnoteReference"/>
          <w:rFonts w:ascii="Times New Roman" w:hAnsi="Times New Roman" w:cs="Times New Roman"/>
        </w:rPr>
        <w:footnoteReference w:id="9"/>
      </w:r>
      <w:r w:rsidRPr="001D21EA">
        <w:rPr>
          <w:rFonts w:ascii="Times New Roman" w:hAnsi="Times New Roman" w:cs="Times New Roman"/>
        </w:rPr>
        <w:t xml:space="preserve"> At that point, neither Pat nor Rusk had mentioned sex. Rusk had merely asked for a ride home and Pat had stated clearly that she was offering a ride home and nothing more. And yet, Justice Cole—and Rusk and Pat, as well—understood that Rusk’s invitation upstairs was not an invitation to play board games or have tea or chat but an invitation to have sex. </w:t>
      </w:r>
    </w:p>
    <w:p w:rsidR="001D21EA" w:rsidRDefault="001D21EA" w:rsidP="00F109F3">
      <w:pPr>
        <w:spacing w:line="480" w:lineRule="auto"/>
        <w:ind w:firstLine="720"/>
        <w:rPr>
          <w:rFonts w:ascii="Times New Roman" w:hAnsi="Times New Roman" w:cs="Times New Roman"/>
        </w:rPr>
      </w:pPr>
      <w:r w:rsidRPr="001D21EA">
        <w:rPr>
          <w:rFonts w:ascii="Times New Roman" w:hAnsi="Times New Roman" w:cs="Times New Roman"/>
        </w:rPr>
        <w:t xml:space="preserve">When our culture demands that the language of sex is so silent and unspoken then, people must turn to nonverbal cues to understand what is being offered and what is being accepted. The problem with this, </w:t>
      </w:r>
      <w:r w:rsidR="00B70644" w:rsidRPr="001D21EA">
        <w:rPr>
          <w:rFonts w:ascii="Times New Roman" w:hAnsi="Times New Roman" w:cs="Times New Roman"/>
        </w:rPr>
        <w:t>however, is that it leaves a lot of room for interp</w:t>
      </w:r>
      <w:r w:rsidRPr="001D21EA">
        <w:rPr>
          <w:rFonts w:ascii="Times New Roman" w:hAnsi="Times New Roman" w:cs="Times New Roman"/>
        </w:rPr>
        <w:t>retation and misinterpretation, ranging</w:t>
      </w:r>
      <w:r w:rsidR="00B70644" w:rsidRPr="001D21EA">
        <w:rPr>
          <w:rFonts w:ascii="Times New Roman" w:hAnsi="Times New Roman" w:cs="Times New Roman"/>
        </w:rPr>
        <w:t xml:space="preserve"> anywhere from reasonable to completely preposterous. </w:t>
      </w:r>
      <w:r w:rsidR="00AE022C" w:rsidRPr="001D21EA">
        <w:rPr>
          <w:rFonts w:ascii="Times New Roman" w:hAnsi="Times New Roman" w:cs="Times New Roman"/>
        </w:rPr>
        <w:t>In this case, for example, Rusk explained that, at the bar, Pat had “looked at me, and she smiled” first, initiating contact and implying interest—but what differentiates between a friendly smile and a seductive smile</w:t>
      </w:r>
      <w:r w:rsidRPr="001D21EA">
        <w:rPr>
          <w:rFonts w:ascii="Times New Roman" w:hAnsi="Times New Roman" w:cs="Times New Roman"/>
        </w:rPr>
        <w:t xml:space="preserve"> and how does one tell</w:t>
      </w:r>
      <w:r w:rsidR="00AE022C" w:rsidRPr="001D21EA">
        <w:rPr>
          <w:rFonts w:ascii="Times New Roman" w:hAnsi="Times New Roman" w:cs="Times New Roman"/>
        </w:rPr>
        <w:t>?</w:t>
      </w:r>
      <w:r w:rsidR="00AE022C" w:rsidRPr="001D21EA">
        <w:rPr>
          <w:rStyle w:val="FootnoteReference"/>
          <w:rFonts w:ascii="Times New Roman" w:hAnsi="Times New Roman" w:cs="Times New Roman"/>
        </w:rPr>
        <w:t xml:space="preserve"> </w:t>
      </w:r>
      <w:r w:rsidR="00AE022C" w:rsidRPr="001D21EA">
        <w:rPr>
          <w:rStyle w:val="FootnoteReference"/>
          <w:rFonts w:ascii="Times New Roman" w:hAnsi="Times New Roman" w:cs="Times New Roman"/>
        </w:rPr>
        <w:footnoteReference w:id="10"/>
      </w:r>
      <w:r w:rsidR="00AE022C" w:rsidRPr="001D21EA">
        <w:rPr>
          <w:rFonts w:ascii="Times New Roman" w:hAnsi="Times New Roman" w:cs="Times New Roman"/>
        </w:rPr>
        <w:t xml:space="preserve"> </w:t>
      </w:r>
      <w:r w:rsidRPr="001D21EA">
        <w:rPr>
          <w:rFonts w:ascii="Times New Roman" w:hAnsi="Times New Roman" w:cs="Times New Roman"/>
        </w:rPr>
        <w:t xml:space="preserve">Moreover, how does one translate that difference into a written court transcript that must be passed up to the appellate level? </w:t>
      </w:r>
    </w:p>
    <w:p w:rsidR="00DA4E1E" w:rsidRDefault="001D21EA" w:rsidP="00F109F3">
      <w:pPr>
        <w:spacing w:line="480" w:lineRule="auto"/>
        <w:ind w:firstLine="720"/>
        <w:rPr>
          <w:rFonts w:ascii="Times New Roman" w:hAnsi="Times New Roman" w:cs="Times New Roman"/>
        </w:rPr>
      </w:pPr>
      <w:r w:rsidRPr="001D21EA">
        <w:rPr>
          <w:rFonts w:ascii="Times New Roman" w:hAnsi="Times New Roman" w:cs="Times New Roman"/>
        </w:rPr>
        <w:t>When Pat testified in trial, she stated that she was so frightened in Rusk’s apartment not because of anything that he did, but “more the look in his eyes.”</w:t>
      </w:r>
      <w:r w:rsidRPr="001D21EA">
        <w:rPr>
          <w:rStyle w:val="FootnoteReference"/>
          <w:rFonts w:ascii="Times New Roman" w:hAnsi="Times New Roman" w:cs="Times New Roman"/>
        </w:rPr>
        <w:footnoteReference w:id="11"/>
      </w:r>
      <w:r>
        <w:rPr>
          <w:rFonts w:ascii="Times New Roman" w:hAnsi="Times New Roman" w:cs="Times New Roman"/>
        </w:rPr>
        <w:t xml:space="preserve"> That is not something that can be described in court, much less described </w:t>
      </w:r>
      <w:r w:rsidR="00DA4E1E">
        <w:rPr>
          <w:rFonts w:ascii="Times New Roman" w:hAnsi="Times New Roman" w:cs="Times New Roman"/>
        </w:rPr>
        <w:t>in writing. At least at the tria</w:t>
      </w:r>
      <w:r>
        <w:rPr>
          <w:rFonts w:ascii="Times New Roman" w:hAnsi="Times New Roman" w:cs="Times New Roman"/>
        </w:rPr>
        <w:t>l level the jury and the judge had the opportunity to listen to the witnesses testify and hear the emotion in their voice as they recounted the events. Appellate court justices, however, had only the transcripts and thus a very barebones understanding of what actually happened in the courtroom. Rude interruptions by attorneys became mere dashes and hesitant pauses became commas. Fear and terror in the victim’s voice could have disappeared entirely into the uniform black-and-white of ink on paper. Justice Wilner questioned the wi</w:t>
      </w:r>
      <w:r w:rsidR="00DA4E1E">
        <w:rPr>
          <w:rFonts w:ascii="Times New Roman" w:hAnsi="Times New Roman" w:cs="Times New Roman"/>
        </w:rPr>
        <w:t>s</w:t>
      </w:r>
      <w:r>
        <w:rPr>
          <w:rFonts w:ascii="Times New Roman" w:hAnsi="Times New Roman" w:cs="Times New Roman"/>
        </w:rPr>
        <w:t>dom of an appellate court assessing a rape case on its facts by pointing out everything that the court would not know</w:t>
      </w:r>
      <w:r w:rsidR="00DA4E1E">
        <w:rPr>
          <w:rFonts w:ascii="Times New Roman" w:hAnsi="Times New Roman" w:cs="Times New Roman"/>
        </w:rPr>
        <w:t xml:space="preserve"> about the case:</w:t>
      </w:r>
    </w:p>
    <w:p w:rsidR="00DA4E1E" w:rsidRDefault="00DA4E1E" w:rsidP="00F109F3">
      <w:pPr>
        <w:spacing w:line="480" w:lineRule="auto"/>
        <w:ind w:left="720" w:right="720"/>
        <w:jc w:val="both"/>
        <w:rPr>
          <w:rFonts w:ascii="Times New Roman" w:hAnsi="Times New Roman" w:cs="Times New Roman"/>
        </w:rPr>
      </w:pPr>
      <w:r>
        <w:rPr>
          <w:rFonts w:ascii="Times New Roman" w:hAnsi="Times New Roman" w:cs="Times New Roman"/>
        </w:rPr>
        <w:t>“We don’t know what the inflection was in [appellant’s] voice as he dangled [Pat’s] car keys in front of her. We can’t tell whether this was in a jocular vein or a truly threatening one. We have no idea what his mannerisms were.”</w:t>
      </w:r>
      <w:r>
        <w:rPr>
          <w:rStyle w:val="FootnoteReference"/>
          <w:rFonts w:ascii="Times New Roman" w:hAnsi="Times New Roman" w:cs="Times New Roman"/>
        </w:rPr>
        <w:footnoteReference w:id="12"/>
      </w:r>
    </w:p>
    <w:p w:rsidR="00DA4E1E" w:rsidRDefault="00DA4E1E" w:rsidP="00F109F3">
      <w:pPr>
        <w:spacing w:line="480" w:lineRule="auto"/>
        <w:rPr>
          <w:rFonts w:ascii="Times New Roman" w:hAnsi="Times New Roman" w:cs="Times New Roman"/>
        </w:rPr>
      </w:pPr>
      <w:r>
        <w:rPr>
          <w:rFonts w:ascii="Times New Roman" w:hAnsi="Times New Roman" w:cs="Times New Roman"/>
        </w:rPr>
        <w:t>While trial courts may not have a complete understanding of what happened in the case, they were still, at the very least, able to incorporate verbal testimony with visual evidence. Appellate courts, however, can only</w:t>
      </w:r>
      <w:r w:rsidR="00E04738">
        <w:rPr>
          <w:rFonts w:ascii="Times New Roman" w:hAnsi="Times New Roman" w:cs="Times New Roman"/>
        </w:rPr>
        <w:t xml:space="preserve"> judge words—written words that</w:t>
      </w:r>
      <w:r>
        <w:rPr>
          <w:rFonts w:ascii="Times New Roman" w:hAnsi="Times New Roman" w:cs="Times New Roman"/>
        </w:rPr>
        <w:t xml:space="preserve"> may lack all of their meaning without the nonverbal actions they are supported by. </w:t>
      </w:r>
    </w:p>
    <w:p w:rsidR="00DA4E1E" w:rsidRPr="00E14960" w:rsidRDefault="00110882" w:rsidP="00F109F3">
      <w:pPr>
        <w:spacing w:line="480" w:lineRule="auto"/>
        <w:ind w:firstLine="720"/>
        <w:rPr>
          <w:rFonts w:ascii="Times New Roman" w:hAnsi="Times New Roman" w:cs="Times New Roman"/>
        </w:rPr>
      </w:pPr>
      <w:r>
        <w:rPr>
          <w:rFonts w:ascii="Times New Roman" w:hAnsi="Times New Roman" w:cs="Times New Roman"/>
        </w:rPr>
        <w:t>As a result, with only text to rely upon, appellate court justices can extrapolate very different conclusion from the same set of statements. For example, Pat’s reticence and ambiguous excuses for not having sex were used as evidence both for and against her consenting to have sex with Rusk. While Justice Wilner at the Court of Special Appeals and Justice Murphy at the Court of Appeals had both claimed that Pat exhibited passive resistance by making a number of excuses for not wanting to go up to Rusk’s room to have sex with him that night, Justice Cole suggested that this was rather an example of what is known as “token resistance,” a social script where a woman refuses sex while actually desiring it in order to mitigate society’s judgment of her promiscuous behavior.</w:t>
      </w:r>
      <w:r w:rsidRPr="00DA4E1E">
        <w:rPr>
          <w:rStyle w:val="FootnoteReference"/>
          <w:rFonts w:ascii="Times New Roman" w:hAnsi="Times New Roman" w:cs="Times New Roman"/>
        </w:rPr>
        <w:t xml:space="preserve"> </w:t>
      </w:r>
      <w:r>
        <w:rPr>
          <w:rStyle w:val="FootnoteReference"/>
          <w:rFonts w:ascii="Times New Roman" w:hAnsi="Times New Roman" w:cs="Times New Roman"/>
        </w:rPr>
        <w:footnoteReference w:id="13"/>
      </w:r>
      <w:r>
        <w:rPr>
          <w:rFonts w:ascii="Times New Roman" w:hAnsi="Times New Roman" w:cs="Times New Roman"/>
        </w:rPr>
        <w:t xml:space="preserve"> Justice Cole wrote that Pat’s actions followed “a pattern of conduct consistent with the ordinary seduction of a female acquaintance who at first suggests her disinclination.”</w:t>
      </w:r>
      <w:r>
        <w:rPr>
          <w:rStyle w:val="FootnoteReference"/>
          <w:rFonts w:ascii="Times New Roman" w:hAnsi="Times New Roman" w:cs="Times New Roman"/>
        </w:rPr>
        <w:footnoteReference w:id="14"/>
      </w:r>
      <w:r>
        <w:rPr>
          <w:rFonts w:ascii="Times New Roman" w:hAnsi="Times New Roman" w:cs="Times New Roman"/>
        </w:rPr>
        <w:t xml:space="preserve"> Thus, from the same trial transcript, appellate courts can either conclude the case with a convicted rapist and a terrified victim or a wrongly accused young man and a loose soon-to-be single mother. </w:t>
      </w:r>
    </w:p>
    <w:p w:rsidR="00F109F3" w:rsidRDefault="001D21EA" w:rsidP="00F109F3">
      <w:pPr>
        <w:spacing w:line="480" w:lineRule="auto"/>
        <w:ind w:firstLine="720"/>
        <w:rPr>
          <w:rFonts w:ascii="Times New Roman" w:hAnsi="Times New Roman" w:cs="Times New Roman"/>
        </w:rPr>
      </w:pPr>
      <w:r>
        <w:rPr>
          <w:rFonts w:ascii="Times New Roman" w:hAnsi="Times New Roman" w:cs="Times New Roman"/>
        </w:rPr>
        <w:t xml:space="preserve"> </w:t>
      </w:r>
      <w:r w:rsidR="00086D58">
        <w:rPr>
          <w:rFonts w:ascii="Times New Roman" w:hAnsi="Times New Roman" w:cs="Times New Roman"/>
        </w:rPr>
        <w:t>Although Rusk’s case and his subsequent appeals took place from 1977 through 1981, his story is not yet entirely irrelevant. While there has been a very s</w:t>
      </w:r>
      <w:r w:rsidR="002149BC">
        <w:rPr>
          <w:rFonts w:ascii="Times New Roman" w:hAnsi="Times New Roman" w:cs="Times New Roman"/>
        </w:rPr>
        <w:t>ignificant push to portray consent as an active agreement rather than a passive acquiescence, it is an uphill battle against</w:t>
      </w:r>
      <w:r w:rsidR="00C43863">
        <w:rPr>
          <w:rFonts w:ascii="Times New Roman" w:hAnsi="Times New Roman" w:cs="Times New Roman"/>
        </w:rPr>
        <w:t xml:space="preserve"> a culture that</w:t>
      </w:r>
      <w:r w:rsidR="002149BC">
        <w:rPr>
          <w:rFonts w:ascii="Times New Roman" w:hAnsi="Times New Roman" w:cs="Times New Roman"/>
        </w:rPr>
        <w:t xml:space="preserve"> has traditionally marked talking about sex as a major taboo. </w:t>
      </w:r>
      <w:r w:rsidR="00C43863">
        <w:rPr>
          <w:rFonts w:ascii="Times New Roman" w:hAnsi="Times New Roman" w:cs="Times New Roman"/>
        </w:rPr>
        <w:t>This silence, however, can have potentially disastrous consequen</w:t>
      </w:r>
      <w:r w:rsidR="00F109F3">
        <w:rPr>
          <w:rFonts w:ascii="Times New Roman" w:hAnsi="Times New Roman" w:cs="Times New Roman"/>
        </w:rPr>
        <w:t>ces. Whether in mistaken assumptions</w:t>
      </w:r>
      <w:r w:rsidR="00C43863">
        <w:rPr>
          <w:rFonts w:ascii="Times New Roman" w:hAnsi="Times New Roman" w:cs="Times New Roman"/>
        </w:rPr>
        <w:t xml:space="preserve"> between parties or in a court reporter’s inability to record nonverbal actions, the unspoken nature of sex and</w:t>
      </w:r>
      <w:r w:rsidR="00F109F3">
        <w:rPr>
          <w:rFonts w:ascii="Times New Roman" w:hAnsi="Times New Roman" w:cs="Times New Roman"/>
        </w:rPr>
        <w:t xml:space="preserve"> consent still persists as a major obstacle in rape trials. </w:t>
      </w:r>
    </w:p>
    <w:p w:rsidR="00F109F3" w:rsidRDefault="00F109F3">
      <w:pPr>
        <w:rPr>
          <w:rFonts w:ascii="Times New Roman" w:hAnsi="Times New Roman" w:cs="Times New Roman"/>
        </w:rPr>
      </w:pPr>
      <w:r>
        <w:rPr>
          <w:rFonts w:ascii="Times New Roman" w:hAnsi="Times New Roman" w:cs="Times New Roman"/>
        </w:rPr>
        <w:br w:type="page"/>
      </w:r>
    </w:p>
    <w:p w:rsidR="00F109F3" w:rsidRDefault="00F109F3" w:rsidP="00F109F3">
      <w:pPr>
        <w:pStyle w:val="FootnoteText"/>
        <w:spacing w:line="480" w:lineRule="auto"/>
        <w:jc w:val="center"/>
        <w:rPr>
          <w:rFonts w:ascii="Times New Roman" w:hAnsi="Times New Roman" w:cs="Times New Roman"/>
        </w:rPr>
      </w:pPr>
      <w:r>
        <w:rPr>
          <w:rFonts w:ascii="Times New Roman" w:hAnsi="Times New Roman" w:cs="Times New Roman"/>
        </w:rPr>
        <w:t>Works Cited</w:t>
      </w:r>
    </w:p>
    <w:p w:rsidR="00F109F3" w:rsidRPr="00AA2E01" w:rsidRDefault="00F109F3" w:rsidP="00F109F3">
      <w:pPr>
        <w:pStyle w:val="FootnoteText"/>
        <w:spacing w:line="480" w:lineRule="auto"/>
        <w:ind w:left="720" w:hanging="720"/>
        <w:rPr>
          <w:rFonts w:ascii="Times New Roman" w:hAnsi="Times New Roman" w:cs="Times New Roman"/>
        </w:rPr>
      </w:pPr>
      <w:r>
        <w:rPr>
          <w:rFonts w:ascii="Times New Roman" w:hAnsi="Times New Roman" w:cs="Times New Roman"/>
        </w:rPr>
        <w:t xml:space="preserve">Kahan, Dan M. “Culture, Cognition, and Consent: Who Perceives What, and Why, in ‘Acquaintance Rape’ Cases.” Working Paper No. 29, University of Pennsylvania Law Review, 2013. </w:t>
      </w:r>
      <w:hyperlink r:id="rId6" w:history="1">
        <w:r w:rsidRPr="00114828">
          <w:rPr>
            <w:rStyle w:val="Hyperlink"/>
            <w:rFonts w:ascii="Times New Roman" w:hAnsi="Times New Roman" w:cs="Times New Roman"/>
          </w:rPr>
          <w:t>http://ssm.com/abstract=1437742</w:t>
        </w:r>
      </w:hyperlink>
      <w:r>
        <w:rPr>
          <w:rFonts w:ascii="Times New Roman" w:hAnsi="Times New Roman" w:cs="Times New Roman"/>
        </w:rPr>
        <w:t xml:space="preserve"> (accessed November 30, 2013). </w:t>
      </w:r>
    </w:p>
    <w:p w:rsidR="001D21EA" w:rsidRPr="001D21EA" w:rsidRDefault="001D21EA" w:rsidP="00F109F3">
      <w:pPr>
        <w:rPr>
          <w:rFonts w:ascii="Times New Roman" w:hAnsi="Times New Roman" w:cs="Times New Roman"/>
        </w:rPr>
      </w:pPr>
    </w:p>
    <w:p w:rsidR="00AE022C" w:rsidRPr="001D21EA" w:rsidRDefault="00AE022C" w:rsidP="00861C63">
      <w:pPr>
        <w:ind w:firstLine="720"/>
        <w:rPr>
          <w:rFonts w:ascii="Times New Roman" w:hAnsi="Times New Roman" w:cs="Times New Roman"/>
        </w:rPr>
      </w:pPr>
    </w:p>
    <w:sectPr w:rsidR="00AE022C" w:rsidRPr="001D21EA" w:rsidSect="00861C63">
      <w:headerReference w:type="default" r:id="rId7"/>
      <w:pgSz w:w="12240" w:h="15840"/>
      <w:pgMar w:top="1440" w:right="1440" w:bottom="1440" w:left="144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C43863" w:rsidRDefault="00C43863" w:rsidP="003C34D5">
      <w:r>
        <w:separator/>
      </w:r>
    </w:p>
  </w:endnote>
  <w:endnote w:type="continuationSeparator" w:id="1">
    <w:p w:rsidR="00C43863" w:rsidRDefault="00C43863" w:rsidP="003C34D5">
      <w:r>
        <w:continuationSeparator/>
      </w:r>
    </w:p>
  </w:endnote>
</w:endnotes>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Palatino">
    <w:panose1 w:val="02000500000000000000"/>
    <w:charset w:val="00"/>
    <w:family w:val="auto"/>
    <w:pitch w:val="variable"/>
    <w:sig w:usb0="A00002FF" w:usb1="7800205A" w:usb2="14600000" w:usb3="00000000" w:csb0="00000193" w:csb1="00000000"/>
  </w:font>
  <w:font w:name="Lucida Grande">
    <w:panose1 w:val="05000000000000000000"/>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Calibri">
    <w:panose1 w:val="00000000000000000000"/>
    <w:charset w:val="4D"/>
    <w:family w:val="roman"/>
    <w:notTrueType/>
    <w:pitch w:val="default"/>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C43863" w:rsidRDefault="00C43863" w:rsidP="003C34D5">
      <w:r>
        <w:separator/>
      </w:r>
    </w:p>
  </w:footnote>
  <w:footnote w:type="continuationSeparator" w:id="1">
    <w:p w:rsidR="00C43863" w:rsidRDefault="00C43863" w:rsidP="003C34D5">
      <w:r>
        <w:continuationSeparator/>
      </w:r>
    </w:p>
  </w:footnote>
  <w:footnote w:id="2">
    <w:p w:rsidR="00F109F3" w:rsidRPr="001D21EA" w:rsidRDefault="00C43863" w:rsidP="00E54FFD">
      <w:pPr>
        <w:pStyle w:val="FootnoteText"/>
        <w:rPr>
          <w:rFonts w:ascii="Times New Roman" w:hAnsi="Times New Roman" w:cs="Times New Roman"/>
        </w:rPr>
      </w:pPr>
      <w:r w:rsidRPr="001D21EA">
        <w:rPr>
          <w:rStyle w:val="FootnoteReference"/>
          <w:rFonts w:ascii="Times New Roman" w:hAnsi="Times New Roman" w:cs="Times New Roman"/>
        </w:rPr>
        <w:footnoteRef/>
      </w:r>
      <w:r w:rsidRPr="001D21EA">
        <w:rPr>
          <w:rFonts w:ascii="Times New Roman" w:hAnsi="Times New Roman" w:cs="Times New Roman"/>
        </w:rPr>
        <w:t xml:space="preserve"> Edward S. Rusk v. State of Maryland, 43 Md. App. 472,</w:t>
      </w:r>
      <w:r>
        <w:rPr>
          <w:rFonts w:ascii="Times New Roman" w:hAnsi="Times New Roman" w:cs="Times New Roman"/>
        </w:rPr>
        <w:t xml:space="preserve"> 406 A.2d 624, LEXIS 398 (1979); </w:t>
      </w:r>
      <w:r w:rsidRPr="001D21EA">
        <w:rPr>
          <w:rFonts w:ascii="Times New Roman" w:hAnsi="Times New Roman" w:cs="Times New Roman"/>
        </w:rPr>
        <w:t>State of Maryland v. Edward Salvatore Rusk, 289 Md. 230, 424 A.2d 720, LEXIS 165 (1981).</w:t>
      </w:r>
    </w:p>
  </w:footnote>
  <w:footnote w:id="3">
    <w:p w:rsidR="00C43863" w:rsidRPr="001D21EA" w:rsidRDefault="00C43863" w:rsidP="003C34D5">
      <w:pPr>
        <w:pStyle w:val="FootnoteText"/>
        <w:rPr>
          <w:rFonts w:ascii="Times New Roman" w:hAnsi="Times New Roman" w:cs="Times New Roman"/>
        </w:rPr>
      </w:pPr>
      <w:r w:rsidRPr="001D21EA">
        <w:rPr>
          <w:rStyle w:val="FootnoteReference"/>
          <w:rFonts w:ascii="Times New Roman" w:hAnsi="Times New Roman" w:cs="Times New Roman"/>
        </w:rPr>
        <w:footnoteRef/>
      </w:r>
      <w:r w:rsidRPr="001D21EA">
        <w:rPr>
          <w:rFonts w:ascii="Times New Roman" w:hAnsi="Times New Roman" w:cs="Times New Roman"/>
        </w:rPr>
        <w:t xml:space="preserve"> Rusk v. Maryland, 2.</w:t>
      </w:r>
    </w:p>
  </w:footnote>
  <w:footnote w:id="4">
    <w:p w:rsidR="00C43863" w:rsidRPr="001D21EA" w:rsidRDefault="00C43863" w:rsidP="008920AC">
      <w:pPr>
        <w:pStyle w:val="FootnoteText"/>
        <w:rPr>
          <w:rFonts w:ascii="Times New Roman" w:hAnsi="Times New Roman" w:cs="Times New Roman"/>
        </w:rPr>
      </w:pPr>
      <w:r w:rsidRPr="001D21EA">
        <w:rPr>
          <w:rStyle w:val="FootnoteReference"/>
          <w:rFonts w:ascii="Times New Roman" w:hAnsi="Times New Roman" w:cs="Times New Roman"/>
        </w:rPr>
        <w:footnoteRef/>
      </w:r>
      <w:r w:rsidRPr="001D21EA">
        <w:rPr>
          <w:rFonts w:ascii="Times New Roman" w:hAnsi="Times New Roman" w:cs="Times New Roman"/>
        </w:rPr>
        <w:t xml:space="preserve"> </w:t>
      </w:r>
      <w:r w:rsidR="00F109F3">
        <w:rPr>
          <w:rFonts w:ascii="Times New Roman" w:hAnsi="Times New Roman" w:cs="Times New Roman"/>
        </w:rPr>
        <w:t>Ibid.,</w:t>
      </w:r>
      <w:r w:rsidRPr="001D21EA">
        <w:rPr>
          <w:rFonts w:ascii="Times New Roman" w:hAnsi="Times New Roman" w:cs="Times New Roman"/>
        </w:rPr>
        <w:t xml:space="preserve"> 7.</w:t>
      </w:r>
    </w:p>
  </w:footnote>
  <w:footnote w:id="5">
    <w:p w:rsidR="00C43863" w:rsidRPr="001D21EA" w:rsidRDefault="00C43863" w:rsidP="008920AC">
      <w:pPr>
        <w:pStyle w:val="FootnoteText"/>
        <w:rPr>
          <w:rFonts w:ascii="Times New Roman" w:hAnsi="Times New Roman" w:cs="Times New Roman"/>
        </w:rPr>
      </w:pPr>
      <w:r w:rsidRPr="001D21EA">
        <w:rPr>
          <w:rStyle w:val="FootnoteReference"/>
          <w:rFonts w:ascii="Times New Roman" w:hAnsi="Times New Roman" w:cs="Times New Roman"/>
        </w:rPr>
        <w:footnoteRef/>
      </w:r>
      <w:r w:rsidR="00F109F3">
        <w:rPr>
          <w:rFonts w:ascii="Times New Roman" w:hAnsi="Times New Roman" w:cs="Times New Roman"/>
        </w:rPr>
        <w:t xml:space="preserve"> Ibid.</w:t>
      </w:r>
    </w:p>
  </w:footnote>
  <w:footnote w:id="6">
    <w:p w:rsidR="00C43863" w:rsidRPr="001D21EA" w:rsidRDefault="00C43863" w:rsidP="005424B1">
      <w:pPr>
        <w:pStyle w:val="FootnoteText"/>
        <w:rPr>
          <w:rFonts w:ascii="Times New Roman" w:hAnsi="Times New Roman" w:cs="Times New Roman"/>
        </w:rPr>
      </w:pPr>
      <w:r w:rsidRPr="001D21EA">
        <w:rPr>
          <w:rStyle w:val="FootnoteReference"/>
          <w:rFonts w:ascii="Times New Roman" w:hAnsi="Times New Roman" w:cs="Times New Roman"/>
        </w:rPr>
        <w:footnoteRef/>
      </w:r>
      <w:r w:rsidRPr="001D21EA">
        <w:rPr>
          <w:rFonts w:ascii="Times New Roman" w:hAnsi="Times New Roman" w:cs="Times New Roman"/>
        </w:rPr>
        <w:t xml:space="preserve"> Ibid., 10.</w:t>
      </w:r>
    </w:p>
  </w:footnote>
  <w:footnote w:id="7">
    <w:p w:rsidR="00C43863" w:rsidRPr="001D21EA" w:rsidRDefault="00C43863" w:rsidP="006D3AF2">
      <w:pPr>
        <w:pStyle w:val="FootnoteText"/>
        <w:rPr>
          <w:rFonts w:ascii="Times New Roman" w:hAnsi="Times New Roman" w:cs="Times New Roman"/>
        </w:rPr>
      </w:pPr>
      <w:r w:rsidRPr="001D21EA">
        <w:rPr>
          <w:rStyle w:val="FootnoteReference"/>
          <w:rFonts w:ascii="Times New Roman" w:hAnsi="Times New Roman" w:cs="Times New Roman"/>
        </w:rPr>
        <w:footnoteRef/>
      </w:r>
      <w:r w:rsidRPr="001D21EA">
        <w:rPr>
          <w:rFonts w:ascii="Times New Roman" w:hAnsi="Times New Roman" w:cs="Times New Roman"/>
        </w:rPr>
        <w:t xml:space="preserve"> Ibid., 8.</w:t>
      </w:r>
    </w:p>
  </w:footnote>
  <w:footnote w:id="8">
    <w:p w:rsidR="00C43863" w:rsidRPr="001D21EA" w:rsidRDefault="00C43863" w:rsidP="006D3AF2">
      <w:pPr>
        <w:pStyle w:val="FootnoteText"/>
        <w:rPr>
          <w:rFonts w:ascii="Times New Roman" w:hAnsi="Times New Roman" w:cs="Times New Roman"/>
        </w:rPr>
      </w:pPr>
      <w:r w:rsidRPr="001D21EA">
        <w:rPr>
          <w:rStyle w:val="FootnoteReference"/>
          <w:rFonts w:ascii="Times New Roman" w:hAnsi="Times New Roman" w:cs="Times New Roman"/>
        </w:rPr>
        <w:footnoteRef/>
      </w:r>
      <w:r w:rsidRPr="001D21EA">
        <w:rPr>
          <w:rFonts w:ascii="Times New Roman" w:hAnsi="Times New Roman" w:cs="Times New Roman"/>
        </w:rPr>
        <w:t xml:space="preserve"> Ibid., 7.</w:t>
      </w:r>
    </w:p>
  </w:footnote>
  <w:footnote w:id="9">
    <w:p w:rsidR="00C43863" w:rsidRPr="001D21EA" w:rsidRDefault="00C43863" w:rsidP="001D21EA">
      <w:pPr>
        <w:pStyle w:val="FootnoteText"/>
        <w:rPr>
          <w:rFonts w:ascii="Times New Roman" w:hAnsi="Times New Roman" w:cs="Times New Roman"/>
        </w:rPr>
      </w:pPr>
      <w:r w:rsidRPr="001D21EA">
        <w:rPr>
          <w:rStyle w:val="FootnoteReference"/>
          <w:rFonts w:ascii="Times New Roman" w:hAnsi="Times New Roman" w:cs="Times New Roman"/>
        </w:rPr>
        <w:footnoteRef/>
      </w:r>
      <w:r w:rsidR="00F109F3">
        <w:rPr>
          <w:rFonts w:ascii="Times New Roman" w:hAnsi="Times New Roman" w:cs="Times New Roman"/>
        </w:rPr>
        <w:t xml:space="preserve"> Maryland v. Rusk</w:t>
      </w:r>
      <w:r w:rsidRPr="001D21EA">
        <w:rPr>
          <w:rFonts w:ascii="Times New Roman" w:hAnsi="Times New Roman" w:cs="Times New Roman"/>
        </w:rPr>
        <w:t>, 14.</w:t>
      </w:r>
    </w:p>
  </w:footnote>
  <w:footnote w:id="10">
    <w:p w:rsidR="00C43863" w:rsidRPr="001D21EA" w:rsidRDefault="00C43863" w:rsidP="00AE022C">
      <w:pPr>
        <w:pStyle w:val="FootnoteText"/>
        <w:rPr>
          <w:rFonts w:ascii="Times New Roman" w:hAnsi="Times New Roman" w:cs="Times New Roman"/>
        </w:rPr>
      </w:pPr>
      <w:r w:rsidRPr="001D21EA">
        <w:rPr>
          <w:rStyle w:val="FootnoteReference"/>
          <w:rFonts w:ascii="Times New Roman" w:hAnsi="Times New Roman" w:cs="Times New Roman"/>
        </w:rPr>
        <w:footnoteRef/>
      </w:r>
      <w:r w:rsidRPr="001D21EA">
        <w:rPr>
          <w:rFonts w:ascii="Times New Roman" w:hAnsi="Times New Roman" w:cs="Times New Roman"/>
        </w:rPr>
        <w:t xml:space="preserve"> </w:t>
      </w:r>
      <w:r w:rsidR="00F109F3">
        <w:rPr>
          <w:rFonts w:ascii="Times New Roman" w:hAnsi="Times New Roman" w:cs="Times New Roman"/>
        </w:rPr>
        <w:t>Ibid.</w:t>
      </w:r>
      <w:r w:rsidRPr="001D21EA">
        <w:rPr>
          <w:rFonts w:ascii="Times New Roman" w:hAnsi="Times New Roman" w:cs="Times New Roman"/>
        </w:rPr>
        <w:t>, 4.</w:t>
      </w:r>
    </w:p>
  </w:footnote>
  <w:footnote w:id="11">
    <w:p w:rsidR="00C43863" w:rsidRPr="00F109F3" w:rsidRDefault="00C43863">
      <w:pPr>
        <w:pStyle w:val="FootnoteText"/>
        <w:rPr>
          <w:rFonts w:ascii="Times New Roman" w:hAnsi="Times New Roman" w:cs="Times New Roman"/>
        </w:rPr>
      </w:pPr>
      <w:r w:rsidRPr="00F109F3">
        <w:rPr>
          <w:rStyle w:val="FootnoteReference"/>
          <w:rFonts w:ascii="Times New Roman" w:hAnsi="Times New Roman" w:cs="Times New Roman"/>
        </w:rPr>
        <w:footnoteRef/>
      </w:r>
      <w:r w:rsidRPr="00F109F3">
        <w:rPr>
          <w:rFonts w:ascii="Times New Roman" w:hAnsi="Times New Roman" w:cs="Times New Roman"/>
        </w:rPr>
        <w:t xml:space="preserve"> Rusk v. Maryland, 2. </w:t>
      </w:r>
    </w:p>
  </w:footnote>
  <w:footnote w:id="12">
    <w:p w:rsidR="00C43863" w:rsidRPr="00F109F3" w:rsidRDefault="00C43863">
      <w:pPr>
        <w:pStyle w:val="FootnoteText"/>
        <w:rPr>
          <w:rFonts w:ascii="Times New Roman" w:hAnsi="Times New Roman" w:cs="Times New Roman"/>
        </w:rPr>
      </w:pPr>
      <w:r w:rsidRPr="00F109F3">
        <w:rPr>
          <w:rStyle w:val="FootnoteReference"/>
          <w:rFonts w:ascii="Times New Roman" w:hAnsi="Times New Roman" w:cs="Times New Roman"/>
        </w:rPr>
        <w:footnoteRef/>
      </w:r>
      <w:r w:rsidRPr="00F109F3">
        <w:rPr>
          <w:rFonts w:ascii="Times New Roman" w:hAnsi="Times New Roman" w:cs="Times New Roman"/>
        </w:rPr>
        <w:t xml:space="preserve"> Ibid., 7.</w:t>
      </w:r>
    </w:p>
  </w:footnote>
  <w:footnote w:id="13">
    <w:p w:rsidR="00C43863" w:rsidRPr="00F109F3" w:rsidRDefault="00C43863" w:rsidP="00110882">
      <w:pPr>
        <w:pStyle w:val="FootnoteText"/>
        <w:rPr>
          <w:rFonts w:ascii="Times New Roman" w:hAnsi="Times New Roman" w:cs="Times New Roman"/>
        </w:rPr>
      </w:pPr>
      <w:r w:rsidRPr="00F109F3">
        <w:rPr>
          <w:rStyle w:val="FootnoteReference"/>
          <w:rFonts w:ascii="Times New Roman" w:hAnsi="Times New Roman" w:cs="Times New Roman"/>
        </w:rPr>
        <w:footnoteRef/>
      </w:r>
      <w:r w:rsidRPr="00F109F3">
        <w:rPr>
          <w:rFonts w:ascii="Times New Roman" w:hAnsi="Times New Roman" w:cs="Times New Roman"/>
        </w:rPr>
        <w:t xml:space="preserve"> Dan M. Kahan, “Culture, Cognition, and Consent: Who Perceives What, and Why, in ‘Acquaintance Rape’ Cases,” Working Paper No. 29 (University of Pennsylvania Law Review, 2013), </w:t>
      </w:r>
      <w:hyperlink r:id="rId1" w:history="1">
        <w:r w:rsidRPr="00F109F3">
          <w:rPr>
            <w:rStyle w:val="Hyperlink"/>
            <w:rFonts w:ascii="Times New Roman" w:hAnsi="Times New Roman" w:cs="Times New Roman"/>
          </w:rPr>
          <w:t>http://ssm.com/abstract=1437742</w:t>
        </w:r>
      </w:hyperlink>
      <w:r w:rsidRPr="00F109F3">
        <w:rPr>
          <w:rFonts w:ascii="Times New Roman" w:hAnsi="Times New Roman" w:cs="Times New Roman"/>
        </w:rPr>
        <w:t xml:space="preserve"> (accessed November 15, 2013).</w:t>
      </w:r>
    </w:p>
  </w:footnote>
  <w:footnote w:id="14">
    <w:p w:rsidR="00C43863" w:rsidRPr="00AA2E01" w:rsidRDefault="00C43863" w:rsidP="00110882">
      <w:pPr>
        <w:pStyle w:val="FootnoteText"/>
        <w:rPr>
          <w:rFonts w:ascii="Times New Roman" w:hAnsi="Times New Roman" w:cs="Times New Roman"/>
          <w:sz w:val="22"/>
          <w:szCs w:val="22"/>
        </w:rPr>
      </w:pPr>
      <w:r w:rsidRPr="00F109F3">
        <w:rPr>
          <w:rStyle w:val="FootnoteReference"/>
          <w:rFonts w:ascii="Times New Roman" w:hAnsi="Times New Roman" w:cs="Times New Roman"/>
        </w:rPr>
        <w:footnoteRef/>
      </w:r>
      <w:r w:rsidRPr="00F109F3">
        <w:rPr>
          <w:rFonts w:ascii="Times New Roman" w:hAnsi="Times New Roman" w:cs="Times New Roman"/>
        </w:rPr>
        <w:t xml:space="preserve"> Maryland v. Rusk, 14.</w:t>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109F3" w:rsidRDefault="00975319" w:rsidP="00F109F3">
    <w:pPr>
      <w:pStyle w:val="Header"/>
      <w:jc w:val="right"/>
    </w:pPr>
    <w:r>
      <w:rPr>
        <w:rStyle w:val="PageNumber"/>
      </w:rPr>
      <w:fldChar w:fldCharType="begin"/>
    </w:r>
    <w:r w:rsidR="00F109F3">
      <w:rPr>
        <w:rStyle w:val="PageNumber"/>
      </w:rPr>
      <w:instrText xml:space="preserve"> PAGE </w:instrText>
    </w:r>
    <w:r>
      <w:rPr>
        <w:rStyle w:val="PageNumber"/>
      </w:rPr>
      <w:fldChar w:fldCharType="separate"/>
    </w:r>
    <w:r w:rsidR="00967EC5">
      <w:rPr>
        <w:rStyle w:val="PageNumber"/>
        <w:noProof/>
      </w:rPr>
      <w:t>7</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savePreviewPicture/>
  <w:footnotePr>
    <w:footnote w:id="0"/>
    <w:footnote w:id="1"/>
  </w:footnotePr>
  <w:endnotePr>
    <w:endnote w:id="0"/>
    <w:endnote w:id="1"/>
  </w:endnotePr>
  <w:compat>
    <w:useFELayout/>
  </w:compat>
  <w:rsids>
    <w:rsidRoot w:val="00861C63"/>
    <w:rsid w:val="00086D58"/>
    <w:rsid w:val="00110882"/>
    <w:rsid w:val="001D21EA"/>
    <w:rsid w:val="001D653C"/>
    <w:rsid w:val="002149BC"/>
    <w:rsid w:val="003C34D5"/>
    <w:rsid w:val="005424B1"/>
    <w:rsid w:val="006D3AF2"/>
    <w:rsid w:val="00787325"/>
    <w:rsid w:val="00861C63"/>
    <w:rsid w:val="008920AC"/>
    <w:rsid w:val="00967EC5"/>
    <w:rsid w:val="00975319"/>
    <w:rsid w:val="00AE022C"/>
    <w:rsid w:val="00B70644"/>
    <w:rsid w:val="00BD1CFB"/>
    <w:rsid w:val="00C43863"/>
    <w:rsid w:val="00CA0237"/>
    <w:rsid w:val="00DA4E1E"/>
    <w:rsid w:val="00DE7DE6"/>
    <w:rsid w:val="00E04738"/>
    <w:rsid w:val="00E54FFD"/>
    <w:rsid w:val="00F109F3"/>
    <w:rsid w:val="00F76C0B"/>
  </w:rsids>
  <m:mathPr>
    <m:mathFont m:val="Lucida Grande"/>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31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unhideWhenUsed/>
    <w:rsid w:val="003C34D5"/>
    <w:rPr>
      <w:rFonts w:ascii="Palatino" w:hAnsi="Palatino"/>
      <w:lang w:eastAsia="ja-JP"/>
    </w:rPr>
  </w:style>
  <w:style w:type="character" w:customStyle="1" w:styleId="FootnoteTextChar">
    <w:name w:val="Footnote Text Char"/>
    <w:basedOn w:val="DefaultParagraphFont"/>
    <w:link w:val="FootnoteText"/>
    <w:uiPriority w:val="99"/>
    <w:rsid w:val="003C34D5"/>
    <w:rPr>
      <w:rFonts w:ascii="Palatino" w:hAnsi="Palatino"/>
      <w:lang w:eastAsia="ja-JP"/>
    </w:rPr>
  </w:style>
  <w:style w:type="character" w:styleId="FootnoteReference">
    <w:name w:val="footnote reference"/>
    <w:basedOn w:val="DefaultParagraphFont"/>
    <w:uiPriority w:val="99"/>
    <w:unhideWhenUsed/>
    <w:rsid w:val="003C34D5"/>
    <w:rPr>
      <w:vertAlign w:val="superscript"/>
    </w:rPr>
  </w:style>
  <w:style w:type="character" w:styleId="CommentReference">
    <w:name w:val="annotation reference"/>
    <w:basedOn w:val="DefaultParagraphFont"/>
    <w:uiPriority w:val="99"/>
    <w:semiHidden/>
    <w:unhideWhenUsed/>
    <w:rsid w:val="00AE022C"/>
    <w:rPr>
      <w:sz w:val="18"/>
      <w:szCs w:val="18"/>
    </w:rPr>
  </w:style>
  <w:style w:type="paragraph" w:styleId="CommentText">
    <w:name w:val="annotation text"/>
    <w:basedOn w:val="Normal"/>
    <w:link w:val="CommentTextChar"/>
    <w:uiPriority w:val="99"/>
    <w:semiHidden/>
    <w:unhideWhenUsed/>
    <w:rsid w:val="00AE022C"/>
    <w:pPr>
      <w:spacing w:after="200"/>
    </w:pPr>
    <w:rPr>
      <w:rFonts w:ascii="Palatino" w:hAnsi="Palatino"/>
      <w:lang w:eastAsia="ja-JP"/>
    </w:rPr>
  </w:style>
  <w:style w:type="character" w:customStyle="1" w:styleId="CommentTextChar">
    <w:name w:val="Comment Text Char"/>
    <w:basedOn w:val="DefaultParagraphFont"/>
    <w:link w:val="CommentText"/>
    <w:uiPriority w:val="99"/>
    <w:semiHidden/>
    <w:rsid w:val="00AE022C"/>
    <w:rPr>
      <w:rFonts w:ascii="Palatino" w:hAnsi="Palatino"/>
      <w:lang w:eastAsia="ja-JP"/>
    </w:rPr>
  </w:style>
  <w:style w:type="paragraph" w:styleId="BalloonText">
    <w:name w:val="Balloon Text"/>
    <w:basedOn w:val="Normal"/>
    <w:link w:val="BalloonTextChar"/>
    <w:uiPriority w:val="99"/>
    <w:semiHidden/>
    <w:unhideWhenUsed/>
    <w:rsid w:val="00AE02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22C"/>
    <w:rPr>
      <w:rFonts w:ascii="Lucida Grande" w:hAnsi="Lucida Grande" w:cs="Lucida Grande"/>
      <w:sz w:val="18"/>
      <w:szCs w:val="18"/>
    </w:rPr>
  </w:style>
  <w:style w:type="character" w:styleId="Hyperlink">
    <w:name w:val="Hyperlink"/>
    <w:basedOn w:val="DefaultParagraphFont"/>
    <w:uiPriority w:val="99"/>
    <w:unhideWhenUsed/>
    <w:rsid w:val="00DA4E1E"/>
    <w:rPr>
      <w:color w:val="0000FF" w:themeColor="hyperlink"/>
      <w:u w:val="single"/>
    </w:rPr>
  </w:style>
  <w:style w:type="paragraph" w:styleId="Header">
    <w:name w:val="header"/>
    <w:basedOn w:val="Normal"/>
    <w:link w:val="HeaderChar"/>
    <w:uiPriority w:val="99"/>
    <w:unhideWhenUsed/>
    <w:rsid w:val="00F109F3"/>
    <w:pPr>
      <w:tabs>
        <w:tab w:val="center" w:pos="4320"/>
        <w:tab w:val="right" w:pos="8640"/>
      </w:tabs>
    </w:pPr>
  </w:style>
  <w:style w:type="character" w:customStyle="1" w:styleId="HeaderChar">
    <w:name w:val="Header Char"/>
    <w:basedOn w:val="DefaultParagraphFont"/>
    <w:link w:val="Header"/>
    <w:uiPriority w:val="99"/>
    <w:rsid w:val="00F109F3"/>
  </w:style>
  <w:style w:type="paragraph" w:styleId="Footer">
    <w:name w:val="footer"/>
    <w:basedOn w:val="Normal"/>
    <w:link w:val="FooterChar"/>
    <w:uiPriority w:val="99"/>
    <w:unhideWhenUsed/>
    <w:rsid w:val="00F109F3"/>
    <w:pPr>
      <w:tabs>
        <w:tab w:val="center" w:pos="4320"/>
        <w:tab w:val="right" w:pos="8640"/>
      </w:tabs>
    </w:pPr>
  </w:style>
  <w:style w:type="character" w:customStyle="1" w:styleId="FooterChar">
    <w:name w:val="Footer Char"/>
    <w:basedOn w:val="DefaultParagraphFont"/>
    <w:link w:val="Footer"/>
    <w:uiPriority w:val="99"/>
    <w:rsid w:val="00F109F3"/>
  </w:style>
  <w:style w:type="character" w:styleId="PageNumber">
    <w:name w:val="page number"/>
    <w:basedOn w:val="DefaultParagraphFont"/>
    <w:uiPriority w:val="99"/>
    <w:semiHidden/>
    <w:unhideWhenUsed/>
    <w:rsid w:val="00F109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C34D5"/>
    <w:rPr>
      <w:rFonts w:ascii="Palatino" w:hAnsi="Palatino"/>
      <w:lang w:eastAsia="ja-JP"/>
    </w:rPr>
  </w:style>
  <w:style w:type="character" w:customStyle="1" w:styleId="FootnoteTextChar">
    <w:name w:val="Footnote Text Char"/>
    <w:basedOn w:val="DefaultParagraphFont"/>
    <w:link w:val="FootnoteText"/>
    <w:uiPriority w:val="99"/>
    <w:rsid w:val="003C34D5"/>
    <w:rPr>
      <w:rFonts w:ascii="Palatino" w:hAnsi="Palatino"/>
      <w:lang w:eastAsia="ja-JP"/>
    </w:rPr>
  </w:style>
  <w:style w:type="character" w:styleId="FootnoteReference">
    <w:name w:val="footnote reference"/>
    <w:basedOn w:val="DefaultParagraphFont"/>
    <w:uiPriority w:val="99"/>
    <w:unhideWhenUsed/>
    <w:rsid w:val="003C34D5"/>
    <w:rPr>
      <w:vertAlign w:val="superscript"/>
    </w:rPr>
  </w:style>
  <w:style w:type="character" w:styleId="CommentReference">
    <w:name w:val="annotation reference"/>
    <w:basedOn w:val="DefaultParagraphFont"/>
    <w:uiPriority w:val="99"/>
    <w:semiHidden/>
    <w:unhideWhenUsed/>
    <w:rsid w:val="00AE022C"/>
    <w:rPr>
      <w:sz w:val="18"/>
      <w:szCs w:val="18"/>
    </w:rPr>
  </w:style>
  <w:style w:type="paragraph" w:styleId="CommentText">
    <w:name w:val="annotation text"/>
    <w:basedOn w:val="Normal"/>
    <w:link w:val="CommentTextChar"/>
    <w:uiPriority w:val="99"/>
    <w:semiHidden/>
    <w:unhideWhenUsed/>
    <w:rsid w:val="00AE022C"/>
    <w:pPr>
      <w:spacing w:after="200"/>
    </w:pPr>
    <w:rPr>
      <w:rFonts w:ascii="Palatino" w:hAnsi="Palatino"/>
      <w:lang w:eastAsia="ja-JP"/>
    </w:rPr>
  </w:style>
  <w:style w:type="character" w:customStyle="1" w:styleId="CommentTextChar">
    <w:name w:val="Comment Text Char"/>
    <w:basedOn w:val="DefaultParagraphFont"/>
    <w:link w:val="CommentText"/>
    <w:uiPriority w:val="99"/>
    <w:semiHidden/>
    <w:rsid w:val="00AE022C"/>
    <w:rPr>
      <w:rFonts w:ascii="Palatino" w:hAnsi="Palatino"/>
      <w:lang w:eastAsia="ja-JP"/>
    </w:rPr>
  </w:style>
  <w:style w:type="paragraph" w:styleId="BalloonText">
    <w:name w:val="Balloon Text"/>
    <w:basedOn w:val="Normal"/>
    <w:link w:val="BalloonTextChar"/>
    <w:uiPriority w:val="99"/>
    <w:semiHidden/>
    <w:unhideWhenUsed/>
    <w:rsid w:val="00AE02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22C"/>
    <w:rPr>
      <w:rFonts w:ascii="Lucida Grande" w:hAnsi="Lucida Grande" w:cs="Lucida Grande"/>
      <w:sz w:val="18"/>
      <w:szCs w:val="18"/>
    </w:rPr>
  </w:style>
  <w:style w:type="character" w:styleId="Hyperlink">
    <w:name w:val="Hyperlink"/>
    <w:basedOn w:val="DefaultParagraphFont"/>
    <w:uiPriority w:val="99"/>
    <w:unhideWhenUsed/>
    <w:rsid w:val="00DA4E1E"/>
    <w:rPr>
      <w:color w:val="0000FF" w:themeColor="hyperlink"/>
      <w:u w:val="single"/>
    </w:rPr>
  </w:style>
  <w:style w:type="paragraph" w:styleId="Header">
    <w:name w:val="header"/>
    <w:basedOn w:val="Normal"/>
    <w:link w:val="HeaderChar"/>
    <w:uiPriority w:val="99"/>
    <w:unhideWhenUsed/>
    <w:rsid w:val="00F109F3"/>
    <w:pPr>
      <w:tabs>
        <w:tab w:val="center" w:pos="4320"/>
        <w:tab w:val="right" w:pos="8640"/>
      </w:tabs>
    </w:pPr>
  </w:style>
  <w:style w:type="character" w:customStyle="1" w:styleId="HeaderChar">
    <w:name w:val="Header Char"/>
    <w:basedOn w:val="DefaultParagraphFont"/>
    <w:link w:val="Header"/>
    <w:uiPriority w:val="99"/>
    <w:rsid w:val="00F109F3"/>
  </w:style>
  <w:style w:type="paragraph" w:styleId="Footer">
    <w:name w:val="footer"/>
    <w:basedOn w:val="Normal"/>
    <w:link w:val="FooterChar"/>
    <w:uiPriority w:val="99"/>
    <w:unhideWhenUsed/>
    <w:rsid w:val="00F109F3"/>
    <w:pPr>
      <w:tabs>
        <w:tab w:val="center" w:pos="4320"/>
        <w:tab w:val="right" w:pos="8640"/>
      </w:tabs>
    </w:pPr>
  </w:style>
  <w:style w:type="character" w:customStyle="1" w:styleId="FooterChar">
    <w:name w:val="Footer Char"/>
    <w:basedOn w:val="DefaultParagraphFont"/>
    <w:link w:val="Footer"/>
    <w:uiPriority w:val="99"/>
    <w:rsid w:val="00F109F3"/>
  </w:style>
  <w:style w:type="character" w:styleId="PageNumber">
    <w:name w:val="page number"/>
    <w:basedOn w:val="DefaultParagraphFont"/>
    <w:uiPriority w:val="99"/>
    <w:semiHidden/>
    <w:unhideWhenUsed/>
    <w:rsid w:val="00F109F3"/>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sm.com/abstract=1437742"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sm.com/abstract=1437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1535</Words>
  <Characters>8754</Characters>
  <Application>Microsoft Word 12.1.0</Application>
  <DocSecurity>0</DocSecurity>
  <Lines>72</Lines>
  <Paragraphs>17</Paragraphs>
  <ScaleCrop>false</ScaleCrop>
  <Company/>
  <LinksUpToDate>false</LinksUpToDate>
  <CharactersWithSpaces>10750</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Martha Jachimski</cp:lastModifiedBy>
  <cp:revision>2</cp:revision>
  <dcterms:created xsi:type="dcterms:W3CDTF">2014-12-31T07:02:00Z</dcterms:created>
  <dcterms:modified xsi:type="dcterms:W3CDTF">2014-12-31T07:02:00Z</dcterms:modified>
</cp:coreProperties>
</file>