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50AD8" w14:textId="77777777" w:rsidR="00381987" w:rsidRPr="003563AD" w:rsidRDefault="0078672A" w:rsidP="0078672A">
      <w:pPr>
        <w:spacing w:line="480" w:lineRule="auto"/>
        <w:rPr>
          <w:rFonts w:cs="Times New Roman"/>
        </w:rPr>
      </w:pPr>
      <w:bookmarkStart w:id="0" w:name="_GoBack"/>
      <w:bookmarkEnd w:id="0"/>
      <w:r>
        <w:rPr>
          <w:rFonts w:cs="Times New Roman"/>
        </w:rPr>
        <w:t>Duncan Hosie</w:t>
      </w:r>
      <w:r>
        <w:rPr>
          <w:rFonts w:cs="Times New Roman"/>
        </w:rPr>
        <w:br/>
        <w:t>November 1, 2014</w:t>
      </w:r>
      <w:r w:rsidR="00381987">
        <w:rPr>
          <w:rFonts w:cs="Times New Roman"/>
        </w:rPr>
        <w:br/>
        <w:t xml:space="preserve"> </w:t>
      </w:r>
      <w:r w:rsidR="00381987">
        <w:rPr>
          <w:rFonts w:cs="Times New Roman"/>
        </w:rPr>
        <w:tab/>
        <w:t>A Doomed Enterprise</w:t>
      </w:r>
      <w:r w:rsidR="00381987" w:rsidRPr="0095295A">
        <w:rPr>
          <w:rFonts w:cs="Times New Roman"/>
        </w:rPr>
        <w:t xml:space="preserve">:  The Myth of Objective and Apolitical Originalism </w:t>
      </w:r>
      <w:r w:rsidR="00381987">
        <w:rPr>
          <w:rFonts w:cs="Times New Roman"/>
        </w:rPr>
        <w:br/>
      </w:r>
      <w:r w:rsidR="00381987">
        <w:rPr>
          <w:rFonts w:cs="Times New Roman"/>
          <w:i/>
        </w:rPr>
        <w:t>Introduction</w:t>
      </w:r>
    </w:p>
    <w:p w14:paraId="00BDF73C" w14:textId="47FD2898" w:rsidR="00381987" w:rsidRDefault="00381987" w:rsidP="00381987">
      <w:pPr>
        <w:spacing w:line="480" w:lineRule="auto"/>
        <w:rPr>
          <w:rFonts w:cs="Times New Roman"/>
          <w:color w:val="292929"/>
        </w:rPr>
      </w:pPr>
      <w:r w:rsidRPr="0095295A">
        <w:rPr>
          <w:rFonts w:cs="Times New Roman"/>
        </w:rPr>
        <w:t xml:space="preserve"> </w:t>
      </w:r>
      <w:r w:rsidRPr="0095295A">
        <w:rPr>
          <w:rFonts w:cs="Times New Roman"/>
        </w:rPr>
        <w:tab/>
        <w:t>Th</w:t>
      </w:r>
      <w:r>
        <w:rPr>
          <w:rFonts w:cs="Times New Roman"/>
        </w:rPr>
        <w:t xml:space="preserve">e late Robert Bork once said, “the nations of the West are </w:t>
      </w:r>
      <w:r w:rsidRPr="0095295A">
        <w:rPr>
          <w:rFonts w:cs="Times New Roman"/>
        </w:rPr>
        <w:t>increasingly governed not by law or elected representatives but by an unelected, unrepresentative, unaccountable committee of lawyers applying no will but their own."</w:t>
      </w:r>
      <w:r>
        <w:rPr>
          <w:rStyle w:val="FootnoteReference"/>
          <w:rFonts w:cs="Times New Roman"/>
        </w:rPr>
        <w:footnoteReference w:id="1"/>
      </w:r>
      <w:r>
        <w:rPr>
          <w:rFonts w:cs="Times New Roman"/>
        </w:rPr>
        <w:t xml:space="preserve"> O</w:t>
      </w:r>
      <w:r w:rsidRPr="0095295A">
        <w:rPr>
          <w:rFonts w:cs="Times New Roman"/>
          <w:color w:val="292929"/>
        </w:rPr>
        <w:t>riginalism, its proponents argue, est</w:t>
      </w:r>
      <w:r>
        <w:rPr>
          <w:rFonts w:cs="Times New Roman"/>
          <w:color w:val="292929"/>
        </w:rPr>
        <w:t xml:space="preserve">ablishes an objective methodology </w:t>
      </w:r>
      <w:r w:rsidRPr="0095295A">
        <w:rPr>
          <w:rFonts w:cs="Times New Roman"/>
          <w:color w:val="292929"/>
        </w:rPr>
        <w:t xml:space="preserve">that </w:t>
      </w:r>
      <w:r>
        <w:rPr>
          <w:rFonts w:cs="Times New Roman"/>
          <w:color w:val="292929"/>
        </w:rPr>
        <w:t>prevents</w:t>
      </w:r>
      <w:r w:rsidRPr="0095295A">
        <w:rPr>
          <w:rFonts w:cs="Times New Roman"/>
          <w:color w:val="292929"/>
        </w:rPr>
        <w:t xml:space="preserve"> judges from </w:t>
      </w:r>
      <w:r>
        <w:rPr>
          <w:rFonts w:cs="Times New Roman"/>
          <w:color w:val="292929"/>
        </w:rPr>
        <w:t>applying “no will but their own.”</w:t>
      </w:r>
      <w:r w:rsidRPr="0095295A">
        <w:rPr>
          <w:rFonts w:cs="Times New Roman"/>
          <w:color w:val="292929"/>
        </w:rPr>
        <w:t xml:space="preserve"> This </w:t>
      </w:r>
      <w:r>
        <w:rPr>
          <w:rFonts w:cs="Times New Roman"/>
          <w:color w:val="292929"/>
        </w:rPr>
        <w:t xml:space="preserve">approach </w:t>
      </w:r>
      <w:r w:rsidRPr="0095295A">
        <w:rPr>
          <w:rFonts w:cs="Times New Roman"/>
          <w:color w:val="292929"/>
        </w:rPr>
        <w:t xml:space="preserve">supposedly makes judicial review more democratic by restricting when </w:t>
      </w:r>
      <w:r>
        <w:rPr>
          <w:rFonts w:cs="Times New Roman"/>
          <w:color w:val="292929"/>
        </w:rPr>
        <w:t>a Court can</w:t>
      </w:r>
      <w:r w:rsidRPr="0095295A">
        <w:rPr>
          <w:rFonts w:cs="Times New Roman"/>
          <w:color w:val="292929"/>
        </w:rPr>
        <w:t xml:space="preserve"> “[thwart] the will of representatives of the actua</w:t>
      </w:r>
      <w:r>
        <w:rPr>
          <w:rFonts w:cs="Times New Roman"/>
          <w:color w:val="292929"/>
        </w:rPr>
        <w:t>l people of here and now.”</w:t>
      </w:r>
      <w:r>
        <w:rPr>
          <w:rStyle w:val="FootnoteReference"/>
          <w:rFonts w:cs="Times New Roman"/>
          <w:color w:val="292929"/>
        </w:rPr>
        <w:footnoteReference w:id="2"/>
      </w:r>
    </w:p>
    <w:p w14:paraId="12C26887" w14:textId="2590811A" w:rsidR="00381987" w:rsidRDefault="00381987" w:rsidP="00381987">
      <w:pPr>
        <w:spacing w:line="480" w:lineRule="auto"/>
        <w:rPr>
          <w:rFonts w:cs="Times New Roman"/>
        </w:rPr>
      </w:pPr>
      <w:r>
        <w:rPr>
          <w:rFonts w:cs="Times New Roman"/>
          <w:color w:val="292929"/>
        </w:rPr>
        <w:t xml:space="preserve"> </w:t>
      </w:r>
      <w:r>
        <w:rPr>
          <w:rFonts w:cs="Times New Roman"/>
          <w:color w:val="292929"/>
        </w:rPr>
        <w:tab/>
        <w:t xml:space="preserve">This is an argument perhaps better in theory than </w:t>
      </w:r>
      <w:r w:rsidR="00FB7798">
        <w:rPr>
          <w:rFonts w:cs="Times New Roman"/>
          <w:color w:val="292929"/>
        </w:rPr>
        <w:t xml:space="preserve">in </w:t>
      </w:r>
      <w:r>
        <w:rPr>
          <w:rFonts w:cs="Times New Roman"/>
          <w:color w:val="292929"/>
        </w:rPr>
        <w:t xml:space="preserve">practice. As the debate in </w:t>
      </w:r>
      <w:r w:rsidRPr="0095295A">
        <w:rPr>
          <w:rFonts w:cs="Times New Roman"/>
          <w:i/>
          <w:color w:val="292929"/>
        </w:rPr>
        <w:t>District of Columbia v. Heller</w:t>
      </w:r>
      <w:r w:rsidRPr="0095295A">
        <w:rPr>
          <w:rFonts w:cs="Times New Roman"/>
          <w:color w:val="292929"/>
        </w:rPr>
        <w:t xml:space="preserve"> </w:t>
      </w:r>
      <w:r>
        <w:rPr>
          <w:rFonts w:cs="Times New Roman"/>
          <w:color w:val="292929"/>
        </w:rPr>
        <w:t>itself demonstrates,</w:t>
      </w:r>
      <w:r w:rsidRPr="0095295A">
        <w:rPr>
          <w:rFonts w:cs="Times New Roman"/>
          <w:color w:val="292929"/>
        </w:rPr>
        <w:t xml:space="preserve"> </w:t>
      </w:r>
      <w:r>
        <w:rPr>
          <w:rFonts w:cs="Times New Roman"/>
          <w:color w:val="292929"/>
        </w:rPr>
        <w:t xml:space="preserve">originalism </w:t>
      </w:r>
      <w:r w:rsidRPr="0095295A">
        <w:rPr>
          <w:rFonts w:cs="Times New Roman"/>
          <w:color w:val="292929"/>
        </w:rPr>
        <w:t xml:space="preserve">does not, in fact, place limits on </w:t>
      </w:r>
      <w:r>
        <w:rPr>
          <w:rFonts w:cs="Times New Roman"/>
          <w:color w:val="292929"/>
        </w:rPr>
        <w:t xml:space="preserve">a </w:t>
      </w:r>
      <w:r w:rsidRPr="0095295A">
        <w:rPr>
          <w:rFonts w:cs="Times New Roman"/>
          <w:color w:val="292929"/>
        </w:rPr>
        <w:t>judge’s</w:t>
      </w:r>
      <w:r>
        <w:rPr>
          <w:rFonts w:cs="Times New Roman"/>
          <w:color w:val="292929"/>
        </w:rPr>
        <w:t xml:space="preserve"> discretion any</w:t>
      </w:r>
      <w:r w:rsidR="00FB7798">
        <w:rPr>
          <w:rFonts w:cs="Times New Roman"/>
          <w:color w:val="292929"/>
        </w:rPr>
        <w:t xml:space="preserve"> </w:t>
      </w:r>
      <w:r>
        <w:rPr>
          <w:rFonts w:cs="Times New Roman"/>
          <w:color w:val="292929"/>
        </w:rPr>
        <w:t xml:space="preserve">more than it bars </w:t>
      </w:r>
      <w:r w:rsidRPr="0095295A">
        <w:rPr>
          <w:rFonts w:cs="Times New Roman"/>
          <w:color w:val="292929"/>
        </w:rPr>
        <w:t>subjective</w:t>
      </w:r>
      <w:r>
        <w:rPr>
          <w:rFonts w:cs="Times New Roman"/>
          <w:color w:val="292929"/>
        </w:rPr>
        <w:t xml:space="preserve"> and value driven</w:t>
      </w:r>
      <w:r w:rsidRPr="0095295A">
        <w:rPr>
          <w:rFonts w:cs="Times New Roman"/>
          <w:color w:val="292929"/>
        </w:rPr>
        <w:t xml:space="preserve"> judgments in constitutional in</w:t>
      </w:r>
      <w:r>
        <w:rPr>
          <w:rFonts w:cs="Times New Roman"/>
          <w:color w:val="292929"/>
        </w:rPr>
        <w:t>terpretation. Ultimately, Scalia</w:t>
      </w:r>
      <w:r w:rsidR="00FB7798">
        <w:rPr>
          <w:rFonts w:cs="Times New Roman"/>
          <w:color w:val="292929"/>
        </w:rPr>
        <w:t>’s</w:t>
      </w:r>
      <w:r>
        <w:rPr>
          <w:rFonts w:cs="Times New Roman"/>
          <w:color w:val="292929"/>
        </w:rPr>
        <w:t xml:space="preserve"> and Stevens’</w:t>
      </w:r>
      <w:r w:rsidR="00FB7798">
        <w:rPr>
          <w:rFonts w:cs="Times New Roman"/>
          <w:color w:val="292929"/>
        </w:rPr>
        <w:t>s</w:t>
      </w:r>
      <w:r>
        <w:rPr>
          <w:rFonts w:cs="Times New Roman"/>
          <w:color w:val="292929"/>
        </w:rPr>
        <w:t xml:space="preserve"> opinions reveal</w:t>
      </w:r>
      <w:r w:rsidRPr="0095295A">
        <w:rPr>
          <w:rFonts w:cs="Times New Roman"/>
          <w:color w:val="292929"/>
        </w:rPr>
        <w:t xml:space="preserve"> that originalism, rather</w:t>
      </w:r>
      <w:r>
        <w:rPr>
          <w:rFonts w:cs="Times New Roman"/>
          <w:color w:val="292929"/>
        </w:rPr>
        <w:t xml:space="preserve"> than restraining judges, requires them to make nuanced, subjective, and even political decisions when “[saying] what the law is,” and thus</w:t>
      </w:r>
      <w:r w:rsidR="00FB7798">
        <w:rPr>
          <w:rFonts w:cs="Times New Roman"/>
          <w:color w:val="292929"/>
        </w:rPr>
        <w:t>,</w:t>
      </w:r>
      <w:r>
        <w:rPr>
          <w:rFonts w:cs="Times New Roman"/>
          <w:color w:val="292929"/>
        </w:rPr>
        <w:t xml:space="preserve"> originalism faces the same counter-majoritarian difficulty as any other form of constitutional interpretation.   </w:t>
      </w:r>
      <w:r>
        <w:rPr>
          <w:rFonts w:cs="Times New Roman"/>
        </w:rPr>
        <w:lastRenderedPageBreak/>
        <w:t>The charge famously leveled by Bork against William O. Douglas, i.e. his “politics were also his law,”</w:t>
      </w:r>
      <w:r>
        <w:rPr>
          <w:rStyle w:val="FootnoteReference"/>
          <w:rFonts w:cs="Times New Roman"/>
        </w:rPr>
        <w:footnoteReference w:id="3"/>
      </w:r>
      <w:r>
        <w:rPr>
          <w:rFonts w:cs="Times New Roman"/>
        </w:rPr>
        <w:t xml:space="preserve"> can be said with equal justice about originalists themselves. </w:t>
      </w:r>
    </w:p>
    <w:p w14:paraId="4730D192" w14:textId="3F708479" w:rsidR="00381987" w:rsidRDefault="00381987" w:rsidP="00381987">
      <w:pPr>
        <w:spacing w:line="480" w:lineRule="auto"/>
        <w:rPr>
          <w:rFonts w:cs="Times New Roman"/>
        </w:rPr>
      </w:pPr>
      <w:r>
        <w:rPr>
          <w:rFonts w:cs="Times New Roman"/>
          <w:i/>
          <w:color w:val="292929"/>
        </w:rPr>
        <w:t>Originalism: The Theory</w:t>
      </w:r>
      <w:r>
        <w:rPr>
          <w:rFonts w:cs="Times New Roman"/>
          <w:color w:val="292929"/>
        </w:rPr>
        <w:br/>
        <w:t xml:space="preserve"> </w:t>
      </w:r>
      <w:r>
        <w:rPr>
          <w:rFonts w:cs="Times New Roman"/>
          <w:color w:val="292929"/>
        </w:rPr>
        <w:tab/>
      </w:r>
      <w:r w:rsidRPr="00B64013">
        <w:rPr>
          <w:rFonts w:cs="Times New Roman"/>
        </w:rPr>
        <w:t>Originalists</w:t>
      </w:r>
      <w:r>
        <w:rPr>
          <w:rFonts w:cs="Times New Roman"/>
        </w:rPr>
        <w:t>’</w:t>
      </w:r>
      <w:r w:rsidRPr="00B64013">
        <w:rPr>
          <w:rFonts w:cs="Times New Roman"/>
        </w:rPr>
        <w:t xml:space="preserve"> desire to </w:t>
      </w:r>
      <w:r>
        <w:rPr>
          <w:rFonts w:cs="Times New Roman"/>
        </w:rPr>
        <w:t xml:space="preserve">create an objective and apolitical methodology stems from a </w:t>
      </w:r>
      <w:r w:rsidRPr="00B64013">
        <w:rPr>
          <w:rFonts w:cs="Times New Roman"/>
        </w:rPr>
        <w:t>particular conception of dem</w:t>
      </w:r>
      <w:r>
        <w:rPr>
          <w:rFonts w:cs="Times New Roman"/>
        </w:rPr>
        <w:t xml:space="preserve">ocratic theory, which holds that “the </w:t>
      </w:r>
      <w:r w:rsidRPr="00B64013">
        <w:rPr>
          <w:rFonts w:cs="Times New Roman"/>
        </w:rPr>
        <w:t>background rule of democracy is that the majority rules.”</w:t>
      </w:r>
      <w:r>
        <w:rPr>
          <w:rStyle w:val="FootnoteReference"/>
          <w:rFonts w:cs="Times New Roman"/>
        </w:rPr>
        <w:footnoteReference w:id="4"/>
      </w:r>
      <w:r>
        <w:rPr>
          <w:rFonts w:cs="Times New Roman"/>
        </w:rPr>
        <w:t xml:space="preserve"> To quote Bork, “the definition of democracy is that, after hearing arguments, citizens can vote their tastes and need not to bow to elite opinion.”</w:t>
      </w:r>
      <w:r>
        <w:rPr>
          <w:rStyle w:val="FootnoteReference"/>
          <w:rFonts w:cs="Times New Roman"/>
        </w:rPr>
        <w:footnoteReference w:id="5"/>
      </w:r>
      <w:r>
        <w:rPr>
          <w:rFonts w:cs="Times New Roman"/>
        </w:rPr>
        <w:t xml:space="preserve"> To an originalist, the Court’s responsibility is to </w:t>
      </w:r>
      <w:r w:rsidR="00FB7798">
        <w:rPr>
          <w:rFonts w:cs="Times New Roman"/>
        </w:rPr>
        <w:t>“</w:t>
      </w:r>
      <w:r w:rsidRPr="00B64013">
        <w:rPr>
          <w:rFonts w:cs="Times New Roman"/>
        </w:rPr>
        <w:t>read the text and discern our society's traditi</w:t>
      </w:r>
      <w:r>
        <w:rPr>
          <w:rFonts w:cs="Times New Roman"/>
        </w:rPr>
        <w:t>onal understanding of that text,</w:t>
      </w:r>
      <w:r w:rsidR="00FB7798">
        <w:rPr>
          <w:rFonts w:cs="Times New Roman"/>
        </w:rPr>
        <w:t>”</w:t>
      </w:r>
      <w:r>
        <w:rPr>
          <w:rFonts w:cs="Times New Roman"/>
        </w:rPr>
        <w:t xml:space="preserve"> leaving the “most important questions in [a] </w:t>
      </w:r>
      <w:r w:rsidRPr="00B64013">
        <w:rPr>
          <w:rFonts w:cs="Times New Roman"/>
        </w:rPr>
        <w:t>democracy”</w:t>
      </w:r>
      <w:r>
        <w:rPr>
          <w:rFonts w:cs="Times New Roman"/>
        </w:rPr>
        <w:t xml:space="preserve"> to voting “citizens [who try]</w:t>
      </w:r>
      <w:r w:rsidRPr="00B64013">
        <w:rPr>
          <w:rFonts w:cs="Times New Roman"/>
        </w:rPr>
        <w:t xml:space="preserve"> to persuade one another</w:t>
      </w:r>
      <w:r>
        <w:rPr>
          <w:rFonts w:cs="Times New Roman"/>
        </w:rPr>
        <w:t>.”</w:t>
      </w:r>
      <w:r>
        <w:rPr>
          <w:rStyle w:val="FootnoteReference"/>
          <w:rFonts w:cs="Times New Roman"/>
        </w:rPr>
        <w:footnoteReference w:id="6"/>
      </w:r>
      <w:r>
        <w:rPr>
          <w:rFonts w:cs="Times New Roman"/>
        </w:rPr>
        <w:t xml:space="preserve"> The democratically legitimate way to alter the Constitution, they propose, is through Article V’s cumbersome amendment process. By contending that the Court is </w:t>
      </w:r>
      <w:r w:rsidRPr="00B64013">
        <w:rPr>
          <w:rFonts w:cs="Times New Roman"/>
        </w:rPr>
        <w:t>“selected from the aristocrac</w:t>
      </w:r>
      <w:r>
        <w:rPr>
          <w:rFonts w:cs="Times New Roman"/>
        </w:rPr>
        <w:t>y of the highly educated,” who “despite the best of intentions</w:t>
      </w:r>
      <w:r w:rsidRPr="00B64013">
        <w:rPr>
          <w:rFonts w:cs="Times New Roman"/>
        </w:rPr>
        <w:t xml:space="preserve"> </w:t>
      </w:r>
      <w:r>
        <w:rPr>
          <w:rFonts w:cs="Times New Roman"/>
        </w:rPr>
        <w:t xml:space="preserve">[enforce] </w:t>
      </w:r>
      <w:r w:rsidRPr="00B64013">
        <w:rPr>
          <w:rFonts w:cs="Times New Roman"/>
        </w:rPr>
        <w:t>the politica</w:t>
      </w:r>
      <w:r>
        <w:rPr>
          <w:rFonts w:cs="Times New Roman"/>
        </w:rPr>
        <w:t>l prejudices of their own class,</w:t>
      </w:r>
      <w:r w:rsidRPr="00B64013">
        <w:rPr>
          <w:rFonts w:cs="Times New Roman"/>
        </w:rPr>
        <w:t>"</w:t>
      </w:r>
      <w:r>
        <w:rPr>
          <w:rFonts w:cs="Times New Roman"/>
        </w:rPr>
        <w:t xml:space="preserve"> originalists argue that institutional aspects of the Court system make the very institution itself undemocratic, defined here as advocates of an elite “aristocracy.” </w:t>
      </w:r>
      <w:r>
        <w:rPr>
          <w:rStyle w:val="FootnoteReference"/>
          <w:rFonts w:cs="Times New Roman"/>
        </w:rPr>
        <w:footnoteReference w:id="7"/>
      </w:r>
      <w:r>
        <w:rPr>
          <w:rFonts w:cs="Times New Roman"/>
        </w:rPr>
        <w:t xml:space="preserve"> Allowing the Court to make subjective and value-based decisions </w:t>
      </w:r>
      <w:r>
        <w:rPr>
          <w:rFonts w:cs="Times New Roman"/>
        </w:rPr>
        <w:lastRenderedPageBreak/>
        <w:t>violates the core principles of this understanding of democracy. As originalists posit, “it is simply not compatible with democratic theory that laws mean whatever they ought to mean, and that unelected judges decide what it is.”</w:t>
      </w:r>
      <w:r>
        <w:rPr>
          <w:rStyle w:val="FootnoteReference"/>
          <w:rFonts w:cs="Times New Roman"/>
        </w:rPr>
        <w:footnoteReference w:id="8"/>
      </w:r>
      <w:r>
        <w:rPr>
          <w:rFonts w:cs="Times New Roman"/>
        </w:rPr>
        <w:t xml:space="preserve"> </w:t>
      </w:r>
      <w:r>
        <w:rPr>
          <w:rFonts w:cs="Times New Roman"/>
        </w:rPr>
        <w:tab/>
      </w:r>
    </w:p>
    <w:p w14:paraId="36E49ACE" w14:textId="77777777" w:rsidR="00381987" w:rsidRPr="00BE1DA6" w:rsidRDefault="00381987" w:rsidP="00381987">
      <w:pPr>
        <w:spacing w:line="480" w:lineRule="auto"/>
        <w:rPr>
          <w:rFonts w:cs="Times New Roman"/>
          <w:i/>
        </w:rPr>
      </w:pPr>
      <w:r>
        <w:rPr>
          <w:rFonts w:cs="Times New Roman"/>
        </w:rPr>
        <w:t xml:space="preserve"> </w:t>
      </w:r>
      <w:r>
        <w:rPr>
          <w:rFonts w:cs="Times New Roman"/>
        </w:rPr>
        <w:tab/>
        <w:t>Originalism attempts to prevent “unelected judges” from deciding what laws “ought to mean.” By focusing on what the words of the Constitution or law meant at the time of adoption, originalism is promoted as a politically neutral and impartial method to confine judges’ discretion.</w:t>
      </w:r>
      <w:r>
        <w:rPr>
          <w:rStyle w:val="FootnoteReference"/>
          <w:rFonts w:cs="Times New Roman"/>
        </w:rPr>
        <w:footnoteReference w:id="9"/>
      </w:r>
      <w:r>
        <w:rPr>
          <w:rFonts w:cs="Times New Roman"/>
        </w:rPr>
        <w:t xml:space="preserve"> The original meaning of texts, Scalia asserts, is “o</w:t>
      </w:r>
      <w:r w:rsidRPr="00B64013">
        <w:rPr>
          <w:rFonts w:cs="Times New Roman"/>
        </w:rPr>
        <w:t>ften- indeed, I dare say usually</w:t>
      </w:r>
      <w:r>
        <w:rPr>
          <w:rFonts w:cs="Times New Roman"/>
        </w:rPr>
        <w:t>…</w:t>
      </w:r>
      <w:r w:rsidRPr="00B64013">
        <w:rPr>
          <w:rFonts w:cs="Times New Roman"/>
        </w:rPr>
        <w:t xml:space="preserve"> easy to discern and simple to apply</w:t>
      </w:r>
      <w:r>
        <w:rPr>
          <w:rFonts w:cs="Times New Roman"/>
        </w:rPr>
        <w:t>.</w:t>
      </w:r>
      <w:r w:rsidRPr="00B64013">
        <w:rPr>
          <w:rFonts w:cs="Times New Roman"/>
        </w:rPr>
        <w:t>”</w:t>
      </w:r>
      <w:r>
        <w:rPr>
          <w:rStyle w:val="FootnoteReference"/>
          <w:rFonts w:cs="Times New Roman"/>
        </w:rPr>
        <w:footnoteReference w:id="10"/>
      </w:r>
      <w:r>
        <w:rPr>
          <w:rFonts w:cs="Times New Roman"/>
        </w:rPr>
        <w:t xml:space="preserve"> While originalists acknowledge that the original import is not always evident, it is clear “for the vast majority” of cases.</w:t>
      </w:r>
      <w:r>
        <w:rPr>
          <w:rStyle w:val="FootnoteReference"/>
          <w:rFonts w:cs="Times New Roman"/>
        </w:rPr>
        <w:footnoteReference w:id="11"/>
      </w:r>
      <w:r>
        <w:rPr>
          <w:rFonts w:cs="Times New Roman"/>
        </w:rPr>
        <w:t xml:space="preserve"> By “establish[</w:t>
      </w:r>
      <w:proofErr w:type="spellStart"/>
      <w:r>
        <w:rPr>
          <w:rFonts w:cs="Times New Roman"/>
        </w:rPr>
        <w:t>ing</w:t>
      </w:r>
      <w:proofErr w:type="spellEnd"/>
      <w:r>
        <w:rPr>
          <w:rFonts w:cs="Times New Roman"/>
        </w:rPr>
        <w:t>]</w:t>
      </w:r>
      <w:r w:rsidRPr="00B64013">
        <w:rPr>
          <w:rFonts w:cs="Times New Roman"/>
        </w:rPr>
        <w:t xml:space="preserve"> a historical criterion that is conceptually quite separate from the p</w:t>
      </w:r>
      <w:r>
        <w:rPr>
          <w:rFonts w:cs="Times New Roman"/>
        </w:rPr>
        <w:t>references of the judge himself,</w:t>
      </w:r>
      <w:r w:rsidRPr="00B64013">
        <w:rPr>
          <w:rFonts w:cs="Times New Roman"/>
        </w:rPr>
        <w:t>”</w:t>
      </w:r>
      <w:r>
        <w:rPr>
          <w:rFonts w:cs="Times New Roman"/>
        </w:rPr>
        <w:t xml:space="preserve"> originalism overcomes “t</w:t>
      </w:r>
      <w:r w:rsidRPr="00B64013">
        <w:rPr>
          <w:rFonts w:cs="Times New Roman"/>
        </w:rPr>
        <w:t>he inevitable tendency of judges to think that the law is what they would like it to be</w:t>
      </w:r>
      <w:r>
        <w:rPr>
          <w:rFonts w:cs="Times New Roman"/>
        </w:rPr>
        <w:t>.”</w:t>
      </w:r>
      <w:r>
        <w:rPr>
          <w:rStyle w:val="FootnoteReference"/>
          <w:rFonts w:cs="Times New Roman"/>
        </w:rPr>
        <w:footnoteReference w:id="12"/>
      </w:r>
      <w:r>
        <w:rPr>
          <w:rFonts w:cs="Times New Roman"/>
        </w:rPr>
        <w:t xml:space="preserve"> Armed with this objective method, an originalist is much less likely to “mistake [his/her]</w:t>
      </w:r>
      <w:r w:rsidRPr="006E60AC">
        <w:rPr>
          <w:rFonts w:cs="Times New Roman"/>
        </w:rPr>
        <w:t xml:space="preserve"> own predilections for the law.</w:t>
      </w:r>
      <w:r>
        <w:rPr>
          <w:rFonts w:cs="Times New Roman"/>
        </w:rPr>
        <w:t>”</w:t>
      </w:r>
      <w:r>
        <w:rPr>
          <w:rStyle w:val="FootnoteReference"/>
          <w:rFonts w:cs="Times New Roman"/>
        </w:rPr>
        <w:footnoteReference w:id="13"/>
      </w:r>
      <w:r>
        <w:rPr>
          <w:rFonts w:cs="Times New Roman"/>
        </w:rPr>
        <w:t xml:space="preserve"> </w:t>
      </w:r>
      <w:r>
        <w:rPr>
          <w:rFonts w:cs="Times New Roman"/>
        </w:rPr>
        <w:br/>
      </w:r>
      <w:r>
        <w:rPr>
          <w:rFonts w:cs="Times New Roman"/>
          <w:i/>
        </w:rPr>
        <w:t>Originalism: The Practice</w:t>
      </w:r>
    </w:p>
    <w:p w14:paraId="7B139B03" w14:textId="67651028" w:rsidR="00381987" w:rsidRDefault="00381987" w:rsidP="00381987">
      <w:pPr>
        <w:spacing w:line="480" w:lineRule="auto"/>
        <w:rPr>
          <w:rFonts w:cs="Times New Roman"/>
        </w:rPr>
      </w:pPr>
      <w:r>
        <w:rPr>
          <w:rFonts w:cs="Times New Roman"/>
        </w:rPr>
        <w:t xml:space="preserve">  </w:t>
      </w:r>
      <w:r>
        <w:rPr>
          <w:rFonts w:cs="Times New Roman"/>
        </w:rPr>
        <w:tab/>
        <w:t xml:space="preserve">Scalia’s majority opinion in </w:t>
      </w:r>
      <w:r>
        <w:rPr>
          <w:rFonts w:cs="Times New Roman"/>
          <w:i/>
        </w:rPr>
        <w:t>Heller</w:t>
      </w:r>
      <w:r>
        <w:rPr>
          <w:rFonts w:cs="Times New Roman"/>
        </w:rPr>
        <w:t xml:space="preserve"> is an originalist tour de force. Over </w:t>
      </w:r>
      <w:r w:rsidR="001F2C7C">
        <w:rPr>
          <w:rFonts w:cs="Times New Roman"/>
        </w:rPr>
        <w:t xml:space="preserve">sixty-four </w:t>
      </w:r>
      <w:r>
        <w:rPr>
          <w:rFonts w:cs="Times New Roman"/>
        </w:rPr>
        <w:t>pages, Scalia discourses on what the words of the Second Amendment would have meant to “ordinary citizens in the founding generation.”</w:t>
      </w:r>
      <w:r>
        <w:rPr>
          <w:rStyle w:val="FootnoteReference"/>
          <w:rFonts w:cs="Times New Roman"/>
        </w:rPr>
        <w:footnoteReference w:id="14"/>
      </w:r>
      <w:r>
        <w:rPr>
          <w:rFonts w:cs="Times New Roman"/>
        </w:rPr>
        <w:t xml:space="preserve"> He scrupulously examines </w:t>
      </w:r>
      <w:r w:rsidR="001F2C7C">
        <w:rPr>
          <w:rFonts w:cs="Times New Roman"/>
        </w:rPr>
        <w:t xml:space="preserve">eighteenth </w:t>
      </w:r>
      <w:r>
        <w:rPr>
          <w:rFonts w:cs="Times New Roman"/>
        </w:rPr>
        <w:lastRenderedPageBreak/>
        <w:t xml:space="preserve">century dictionaries and every word in the Amendment, Blackstone’s Commentaries, the English Bill of Rights and colonial law, the ratification process of arms-bearing rights in state constitutions, the Amendment’s drafting history, the post-ratification to </w:t>
      </w:r>
      <w:r w:rsidR="001F2C7C">
        <w:rPr>
          <w:rFonts w:cs="Times New Roman"/>
        </w:rPr>
        <w:t>ninetee</w:t>
      </w:r>
      <w:r w:rsidR="00646FA8">
        <w:rPr>
          <w:rFonts w:cs="Times New Roman"/>
        </w:rPr>
        <w:t>n</w:t>
      </w:r>
      <w:r w:rsidR="001F2C7C">
        <w:rPr>
          <w:rFonts w:cs="Times New Roman"/>
        </w:rPr>
        <w:t xml:space="preserve">th </w:t>
      </w:r>
      <w:r>
        <w:rPr>
          <w:rFonts w:cs="Times New Roman"/>
        </w:rPr>
        <w:t xml:space="preserve">century public understanding of the Amendment, and relevant legal scholarship. Eventually, he concludes that </w:t>
      </w:r>
      <w:r w:rsidRPr="00415860">
        <w:rPr>
          <w:rFonts w:cs="Times New Roman"/>
        </w:rPr>
        <w:t>th</w:t>
      </w:r>
      <w:r>
        <w:rPr>
          <w:rFonts w:cs="Times New Roman"/>
        </w:rPr>
        <w:t xml:space="preserve">e Second Amendment enshrines </w:t>
      </w:r>
      <w:r w:rsidRPr="00415860">
        <w:rPr>
          <w:rFonts w:cs="Times New Roman"/>
        </w:rPr>
        <w:t>an i</w:t>
      </w:r>
      <w:r>
        <w:rPr>
          <w:rFonts w:cs="Times New Roman"/>
        </w:rPr>
        <w:t>ndividual right to keep and bear</w:t>
      </w:r>
      <w:r w:rsidRPr="00415860">
        <w:rPr>
          <w:rFonts w:cs="Times New Roman"/>
        </w:rPr>
        <w:t xml:space="preserve"> arms</w:t>
      </w:r>
      <w:r>
        <w:rPr>
          <w:rFonts w:cs="Times New Roman"/>
        </w:rPr>
        <w:t xml:space="preserve"> beyond the context of service in state militias.  </w:t>
      </w:r>
    </w:p>
    <w:p w14:paraId="3A2EBB8D" w14:textId="69FF4B13" w:rsidR="00381987" w:rsidRDefault="00381987" w:rsidP="00381987">
      <w:pPr>
        <w:spacing w:line="480" w:lineRule="auto"/>
        <w:rPr>
          <w:rFonts w:cs="Times New Roman"/>
        </w:rPr>
      </w:pPr>
      <w:r>
        <w:rPr>
          <w:rFonts w:cs="Times New Roman"/>
        </w:rPr>
        <w:t xml:space="preserve"> </w:t>
      </w:r>
      <w:r>
        <w:rPr>
          <w:rFonts w:cs="Times New Roman"/>
        </w:rPr>
        <w:tab/>
        <w:t xml:space="preserve">Stevens’ reaches the opposite conclusion in </w:t>
      </w:r>
      <w:r w:rsidRPr="0097299A">
        <w:rPr>
          <w:rFonts w:cs="Times New Roman"/>
          <w:i/>
        </w:rPr>
        <w:t>Heller</w:t>
      </w:r>
      <w:r>
        <w:rPr>
          <w:rFonts w:cs="Times New Roman"/>
          <w:i/>
        </w:rPr>
        <w:t>,</w:t>
      </w:r>
      <w:r w:rsidRPr="0097299A">
        <w:rPr>
          <w:rFonts w:cs="Times New Roman"/>
          <w:i/>
        </w:rPr>
        <w:t xml:space="preserve"> </w:t>
      </w:r>
      <w:r>
        <w:rPr>
          <w:rFonts w:cs="Times New Roman"/>
        </w:rPr>
        <w:t>but does so within the same intellectual framework as Scalia. He, too, tries to determine the original meaning of the Second Amendment.</w:t>
      </w:r>
      <w:r>
        <w:rPr>
          <w:rStyle w:val="FootnoteReference"/>
          <w:rFonts w:cs="Times New Roman"/>
        </w:rPr>
        <w:footnoteReference w:id="15"/>
      </w:r>
      <w:r>
        <w:rPr>
          <w:rFonts w:cs="Times New Roman"/>
        </w:rPr>
        <w:t xml:space="preserve"> Stevens deconstructs the Amendment’s words, consults dictionaries, and considers the Amendment’s drafting history. He also reviews a 1794 treatise on the meaning of words and pertinent legal scholarship. Stevens’ approach does not emulate Scalia’s in every aspect, though. For example, Justice Scalia scrutinizes how the Second Amendment was interpreted from 1791 to the end of the </w:t>
      </w:r>
      <w:r w:rsidR="00646FA8">
        <w:rPr>
          <w:rFonts w:cs="Times New Roman"/>
        </w:rPr>
        <w:t xml:space="preserve">nineteenth </w:t>
      </w:r>
      <w:r>
        <w:rPr>
          <w:rFonts w:cs="Times New Roman"/>
        </w:rPr>
        <w:t>century and contends that this type of inquiry is “a critical tool in constitutional interpretation.”</w:t>
      </w:r>
      <w:r>
        <w:rPr>
          <w:rStyle w:val="FootnoteReference"/>
          <w:rFonts w:cs="Times New Roman"/>
        </w:rPr>
        <w:footnoteReference w:id="16"/>
      </w:r>
      <w:r>
        <w:rPr>
          <w:rFonts w:cs="Times New Roman"/>
        </w:rPr>
        <w:t xml:space="preserve"> Stevens disagrees, positing </w:t>
      </w:r>
      <w:r w:rsidR="00646FA8">
        <w:rPr>
          <w:rFonts w:cs="Times New Roman"/>
        </w:rPr>
        <w:t xml:space="preserve">that </w:t>
      </w:r>
      <w:r>
        <w:rPr>
          <w:rFonts w:cs="Times New Roman"/>
        </w:rPr>
        <w:t>this sort of review “shed[s] only indirect light on the question before us</w:t>
      </w:r>
      <w:r w:rsidR="00646FA8">
        <w:rPr>
          <w:rFonts w:cs="Times New Roman"/>
        </w:rPr>
        <w:t xml:space="preserve"> </w:t>
      </w:r>
      <w:r>
        <w:rPr>
          <w:rFonts w:cs="Times New Roman"/>
        </w:rPr>
        <w:t>…</w:t>
      </w:r>
      <w:r w:rsidR="00646FA8">
        <w:rPr>
          <w:rFonts w:cs="Times New Roman"/>
        </w:rPr>
        <w:t xml:space="preserve"> </w:t>
      </w:r>
      <w:r>
        <w:rPr>
          <w:rFonts w:cs="Times New Roman"/>
        </w:rPr>
        <w:t>[and offers] little support for the Court’s conclusion.”</w:t>
      </w:r>
      <w:r>
        <w:rPr>
          <w:rStyle w:val="FootnoteReference"/>
          <w:rFonts w:cs="Times New Roman"/>
        </w:rPr>
        <w:footnoteReference w:id="17"/>
      </w:r>
      <w:r>
        <w:rPr>
          <w:rFonts w:cs="Times New Roman"/>
        </w:rPr>
        <w:t xml:space="preserve"> However, modest differences in the two opinions should not obscure a significant point: both Scalia and Stevens root their reasoning in originalism, yet both reach profoundly different conclusions on what the one Amendment meant. </w:t>
      </w:r>
    </w:p>
    <w:p w14:paraId="2DDDD4A2" w14:textId="77777777" w:rsidR="00381987" w:rsidRDefault="00381987" w:rsidP="00381987">
      <w:pPr>
        <w:spacing w:line="480" w:lineRule="auto"/>
        <w:rPr>
          <w:rFonts w:cs="Times New Roman"/>
        </w:rPr>
      </w:pPr>
      <w:r>
        <w:rPr>
          <w:rFonts w:cs="Times New Roman"/>
        </w:rPr>
        <w:t xml:space="preserve"> </w:t>
      </w:r>
      <w:r>
        <w:rPr>
          <w:rFonts w:cs="Times New Roman"/>
        </w:rPr>
        <w:tab/>
        <w:t xml:space="preserve">Implicit in Scalia’s and Stevens’ originalism is the idea that there was one universally shared meaning of the Second Amendment at the time of founding. Justice </w:t>
      </w:r>
      <w:r>
        <w:rPr>
          <w:rFonts w:cs="Times New Roman"/>
        </w:rPr>
        <w:lastRenderedPageBreak/>
        <w:t>Scalia, for example, posits that “t</w:t>
      </w:r>
      <w:r w:rsidRPr="00900731">
        <w:rPr>
          <w:rFonts w:cs="Times New Roman"/>
        </w:rPr>
        <w:t>here seems to us no doubt, on the basis of both text and history, that the</w:t>
      </w:r>
      <w:r>
        <w:rPr>
          <w:rFonts w:cs="Times New Roman"/>
        </w:rPr>
        <w:t xml:space="preserve"> Second Amendment conferred an individual right to keep and bear arms” when the Amendment was written.</w:t>
      </w:r>
      <w:r>
        <w:rPr>
          <w:rStyle w:val="FootnoteReference"/>
          <w:rFonts w:cs="Times New Roman"/>
        </w:rPr>
        <w:footnoteReference w:id="18"/>
      </w:r>
      <w:r>
        <w:rPr>
          <w:rFonts w:cs="Times New Roman"/>
        </w:rPr>
        <w:t xml:space="preserve"> Likewise, Justice Stevens asserts that the Second Amendment’s text and history, in conjunction with </w:t>
      </w:r>
      <w:r w:rsidRPr="004F6CEC">
        <w:rPr>
          <w:rFonts w:cs="Times New Roman"/>
          <w:i/>
        </w:rPr>
        <w:t>US v. Miller</w:t>
      </w:r>
      <w:r>
        <w:rPr>
          <w:rFonts w:cs="Times New Roman"/>
        </w:rPr>
        <w:t xml:space="preserve"> (1939), provides “a clear answer” to the question of whether the Second Amendment “protects the right to possess and use guns for non-military purposes.”</w:t>
      </w:r>
      <w:r>
        <w:rPr>
          <w:rStyle w:val="FootnoteReference"/>
          <w:rFonts w:cs="Times New Roman"/>
        </w:rPr>
        <w:footnoteReference w:id="19"/>
      </w:r>
      <w:r>
        <w:rPr>
          <w:rFonts w:cs="Times New Roman"/>
        </w:rPr>
        <w:t xml:space="preserve"> </w:t>
      </w:r>
      <w:r>
        <w:rPr>
          <w:rFonts w:cs="Times New Roman"/>
        </w:rPr>
        <w:br/>
        <w:t xml:space="preserve"> </w:t>
      </w:r>
      <w:r>
        <w:rPr>
          <w:rFonts w:cs="Times New Roman"/>
        </w:rPr>
        <w:tab/>
        <w:t xml:space="preserve">There is a larger point here, however. That both Justices could apply the same analytical framework to the same 27 words, yet reach diametrically divergent conclusions, itself explodes the myth of empirical originalism. The words of the Amendment meant what the Justices said they meant, neither more nor less. History is never clear. It is complicated. As the competing opinions show, inconsistencies, incomplete records, and conflicting evidence define history. As Mark </w:t>
      </w:r>
      <w:proofErr w:type="spellStart"/>
      <w:r>
        <w:rPr>
          <w:rFonts w:cs="Times New Roman"/>
        </w:rPr>
        <w:t>Tushnet</w:t>
      </w:r>
      <w:proofErr w:type="spellEnd"/>
      <w:r>
        <w:rPr>
          <w:rFonts w:cs="Times New Roman"/>
        </w:rPr>
        <w:t xml:space="preserve"> has astutely noted, “r</w:t>
      </w:r>
      <w:r w:rsidRPr="00900731">
        <w:rPr>
          <w:rFonts w:cs="Times New Roman"/>
        </w:rPr>
        <w:t>eal historians are comfortable with complexity and with the co-existence at any one time of contradictory understandings of constitutional concepts</w:t>
      </w:r>
      <w:r>
        <w:rPr>
          <w:rFonts w:cs="Times New Roman"/>
        </w:rPr>
        <w:t>.”</w:t>
      </w:r>
      <w:r>
        <w:rPr>
          <w:rStyle w:val="FootnoteReference"/>
          <w:rFonts w:cs="Times New Roman"/>
        </w:rPr>
        <w:footnoteReference w:id="20"/>
      </w:r>
      <w:r>
        <w:rPr>
          <w:rFonts w:cs="Times New Roman"/>
        </w:rPr>
        <w:t xml:space="preserve"> By insisting on the existence of one objective meaning, originalism cannot accept the real contradictions and complexities of the past. “Real historians” embrace the ambiguity intrinsic in the Second Amendment and its historical record.</w:t>
      </w:r>
      <w:r>
        <w:rPr>
          <w:rStyle w:val="FootnoteReference"/>
          <w:rFonts w:cs="Times New Roman"/>
        </w:rPr>
        <w:footnoteReference w:id="21"/>
      </w:r>
      <w:r>
        <w:rPr>
          <w:rFonts w:cs="Times New Roman"/>
        </w:rPr>
        <w:t xml:space="preserve">  Originalists embrace a futile and quixotic quest to resolve the irreconcilable. Or, as Scalia and Stevens do in </w:t>
      </w:r>
      <w:r w:rsidRPr="00294310">
        <w:rPr>
          <w:rFonts w:cs="Times New Roman"/>
          <w:i/>
        </w:rPr>
        <w:t>Heller</w:t>
      </w:r>
      <w:r>
        <w:rPr>
          <w:rFonts w:cs="Times New Roman"/>
        </w:rPr>
        <w:t xml:space="preserve">, they subjectively cherry-pick from the historical record to create the illusion of one objective truth. </w:t>
      </w:r>
    </w:p>
    <w:p w14:paraId="32331E79" w14:textId="77777777" w:rsidR="00381987" w:rsidRDefault="00381987" w:rsidP="00381987">
      <w:pPr>
        <w:spacing w:line="480" w:lineRule="auto"/>
        <w:rPr>
          <w:rFonts w:cs="Times New Roman"/>
        </w:rPr>
      </w:pPr>
      <w:r>
        <w:rPr>
          <w:rFonts w:cs="Times New Roman"/>
        </w:rPr>
        <w:lastRenderedPageBreak/>
        <w:t xml:space="preserve"> </w:t>
      </w:r>
      <w:r>
        <w:rPr>
          <w:rFonts w:cs="Times New Roman"/>
        </w:rPr>
        <w:tab/>
        <w:t xml:space="preserve">Even if there were an original public meaning, which there is not, originalism would </w:t>
      </w:r>
      <w:r w:rsidRPr="00A81796">
        <w:rPr>
          <w:rFonts w:cs="Times New Roman"/>
          <w:i/>
        </w:rPr>
        <w:t>still</w:t>
      </w:r>
      <w:r>
        <w:rPr>
          <w:rFonts w:cs="Times New Roman"/>
        </w:rPr>
        <w:t xml:space="preserve"> require the subjective judgments it purports to avoid. Arthur Schlesinger Jr. observes: </w:t>
      </w:r>
    </w:p>
    <w:p w14:paraId="6E24D6B4" w14:textId="77777777" w:rsidR="00381987" w:rsidRDefault="00381987" w:rsidP="00381987">
      <w:pPr>
        <w:rPr>
          <w:rFonts w:cs="Times New Roman"/>
        </w:rPr>
      </w:pPr>
      <w:r>
        <w:rPr>
          <w:rFonts w:cs="Times New Roman"/>
        </w:rPr>
        <w:t xml:space="preserve"> </w:t>
      </w:r>
      <w:r>
        <w:rPr>
          <w:rFonts w:cs="Times New Roman"/>
        </w:rPr>
        <w:tab/>
        <w:t>A</w:t>
      </w:r>
      <w:r w:rsidRPr="00900731">
        <w:rPr>
          <w:rFonts w:cs="Times New Roman"/>
        </w:rPr>
        <w:t xml:space="preserve">ll historians are prisoners of their own experience. We bring to history the </w:t>
      </w:r>
      <w:r>
        <w:rPr>
          <w:rFonts w:cs="Times New Roman"/>
        </w:rPr>
        <w:tab/>
        <w:t xml:space="preserve">preconceptions </w:t>
      </w:r>
      <w:r w:rsidRPr="00900731">
        <w:rPr>
          <w:rFonts w:cs="Times New Roman"/>
        </w:rPr>
        <w:t xml:space="preserve">of our personalities and of our age. We cannot seize on ultimate </w:t>
      </w:r>
      <w:r>
        <w:rPr>
          <w:rFonts w:cs="Times New Roman"/>
        </w:rPr>
        <w:tab/>
      </w:r>
      <w:r w:rsidRPr="00900731">
        <w:rPr>
          <w:rFonts w:cs="Times New Roman"/>
        </w:rPr>
        <w:t>and absol</w:t>
      </w:r>
      <w:r>
        <w:rPr>
          <w:rFonts w:cs="Times New Roman"/>
        </w:rPr>
        <w:t xml:space="preserve">ute truths. </w:t>
      </w:r>
      <w:r w:rsidRPr="00900731">
        <w:rPr>
          <w:rFonts w:cs="Times New Roman"/>
        </w:rPr>
        <w:t xml:space="preserve">So the historian is committed to a doomed enterprise — the </w:t>
      </w:r>
      <w:r>
        <w:rPr>
          <w:rFonts w:cs="Times New Roman"/>
        </w:rPr>
        <w:tab/>
      </w:r>
      <w:r w:rsidRPr="00900731">
        <w:rPr>
          <w:rFonts w:cs="Times New Roman"/>
        </w:rPr>
        <w:t>quest for an unattainable objectivity.</w:t>
      </w:r>
      <w:r>
        <w:rPr>
          <w:rStyle w:val="FootnoteReference"/>
          <w:rFonts w:cs="Times New Roman"/>
        </w:rPr>
        <w:footnoteReference w:id="22"/>
      </w:r>
      <w:r>
        <w:rPr>
          <w:rFonts w:cs="Times New Roman"/>
        </w:rPr>
        <w:br/>
      </w:r>
    </w:p>
    <w:p w14:paraId="164DB3ED" w14:textId="01EFFCD6" w:rsidR="00381987" w:rsidRDefault="00381987" w:rsidP="00381987">
      <w:pPr>
        <w:spacing w:line="480" w:lineRule="auto"/>
        <w:rPr>
          <w:rFonts w:cs="Times New Roman"/>
        </w:rPr>
      </w:pPr>
      <w:r>
        <w:rPr>
          <w:rFonts w:cs="Times New Roman"/>
        </w:rPr>
        <w:t>The passage of time compels historians (and judges pretending to be historians) to make value judgments. Historians’ interpretations are colored by their own lives, their goals, and their morals. This explains, at least in part, why Scalia and Stevens examine the same historical question</w:t>
      </w:r>
      <w:r w:rsidR="00646FA8">
        <w:rPr>
          <w:rFonts w:cs="Times New Roman"/>
        </w:rPr>
        <w:t>s</w:t>
      </w:r>
      <w:r>
        <w:rPr>
          <w:rFonts w:cs="Times New Roman"/>
        </w:rPr>
        <w:t>, sometimes even the same documents, and reach</w:t>
      </w:r>
      <w:r w:rsidRPr="00666201">
        <w:rPr>
          <w:rFonts w:cs="Times New Roman"/>
        </w:rPr>
        <w:t xml:space="preserve"> such divergent conclusions.</w:t>
      </w:r>
      <w:r>
        <w:rPr>
          <w:rStyle w:val="FootnoteReference"/>
          <w:rFonts w:cs="Times New Roman"/>
        </w:rPr>
        <w:footnoteReference w:id="23"/>
      </w:r>
      <w:r w:rsidRPr="00666201">
        <w:rPr>
          <w:rFonts w:cs="Times New Roman"/>
        </w:rPr>
        <w:t xml:space="preserve"> Scalia has</w:t>
      </w:r>
      <w:r>
        <w:rPr>
          <w:rFonts w:cs="Times New Roman"/>
        </w:rPr>
        <w:t xml:space="preserve"> insisted</w:t>
      </w:r>
      <w:r w:rsidRPr="00666201">
        <w:rPr>
          <w:rFonts w:cs="Times New Roman"/>
        </w:rPr>
        <w:t>, “</w:t>
      </w:r>
      <w:proofErr w:type="gramStart"/>
      <w:r w:rsidRPr="00666201">
        <w:rPr>
          <w:rFonts w:cs="Times New Roman"/>
        </w:rPr>
        <w:t>history</w:t>
      </w:r>
      <w:proofErr w:type="gramEnd"/>
      <w:r w:rsidRPr="00666201">
        <w:rPr>
          <w:rFonts w:cs="Times New Roman"/>
        </w:rPr>
        <w:t xml:space="preserve"> is a rock-solid scienc</w:t>
      </w:r>
      <w:r>
        <w:rPr>
          <w:rFonts w:cs="Times New Roman"/>
        </w:rPr>
        <w:t>e compared to moral philosophy.”</w:t>
      </w:r>
      <w:r>
        <w:rPr>
          <w:rStyle w:val="FootnoteReference"/>
          <w:rFonts w:cs="Times New Roman"/>
        </w:rPr>
        <w:footnoteReference w:id="24"/>
      </w:r>
      <w:r>
        <w:rPr>
          <w:rFonts w:cs="Times New Roman"/>
        </w:rPr>
        <w:t xml:space="preserve"> Yet there is nothing “rock-solid” inherent in history. Like moral philosophy, there are few “ultimate and absolute truths.” </w:t>
      </w:r>
      <w:r>
        <w:rPr>
          <w:rFonts w:cs="Times New Roman"/>
          <w:i/>
        </w:rPr>
        <w:t>P</w:t>
      </w:r>
      <w:r w:rsidRPr="005E73BB">
        <w:rPr>
          <w:rFonts w:cs="Times New Roman"/>
          <w:i/>
        </w:rPr>
        <w:t>eople</w:t>
      </w:r>
      <w:r>
        <w:rPr>
          <w:rFonts w:cs="Times New Roman"/>
          <w:i/>
        </w:rPr>
        <w:t xml:space="preserve"> </w:t>
      </w:r>
      <w:r>
        <w:rPr>
          <w:rFonts w:cs="Times New Roman"/>
        </w:rPr>
        <w:t>explore and expound on history</w:t>
      </w:r>
      <w:r>
        <w:rPr>
          <w:rFonts w:cs="Times New Roman"/>
          <w:i/>
        </w:rPr>
        <w:t xml:space="preserve">. </w:t>
      </w:r>
      <w:r>
        <w:rPr>
          <w:rFonts w:cs="Times New Roman"/>
        </w:rPr>
        <w:t xml:space="preserve">And people inevitably bring subjectivity, not objectivity, to the task. </w:t>
      </w:r>
    </w:p>
    <w:p w14:paraId="3DFC3A61" w14:textId="6CE548FB" w:rsidR="00381987" w:rsidRDefault="00381987" w:rsidP="00381987">
      <w:pPr>
        <w:spacing w:line="480" w:lineRule="auto"/>
        <w:rPr>
          <w:rFonts w:cs="Times New Roman"/>
        </w:rPr>
      </w:pPr>
      <w:r w:rsidRPr="005B0F11">
        <w:rPr>
          <w:rFonts w:cs="Times New Roman"/>
        </w:rPr>
        <w:t xml:space="preserve"> </w:t>
      </w:r>
      <w:r w:rsidRPr="005B0F11">
        <w:rPr>
          <w:rFonts w:cs="Times New Roman"/>
        </w:rPr>
        <w:tab/>
        <w:t xml:space="preserve">Beyond simply “[decorating] a value judgment,” Scalia’s majority opinion in </w:t>
      </w:r>
      <w:r w:rsidRPr="005B0F11">
        <w:rPr>
          <w:rFonts w:cs="Times New Roman"/>
          <w:i/>
        </w:rPr>
        <w:t>Heller</w:t>
      </w:r>
      <w:r w:rsidRPr="005B0F11">
        <w:rPr>
          <w:rFonts w:cs="Times New Roman"/>
        </w:rPr>
        <w:t xml:space="preserve"> “</w:t>
      </w:r>
      <w:r>
        <w:rPr>
          <w:rFonts w:cs="Times New Roman"/>
        </w:rPr>
        <w:t xml:space="preserve">[conceals] a political choice,” to quote his </w:t>
      </w:r>
      <w:r w:rsidRPr="005B0F11">
        <w:rPr>
          <w:rFonts w:cs="Times New Roman"/>
          <w:i/>
        </w:rPr>
        <w:t>Planned Parenthood v. Casey</w:t>
      </w:r>
      <w:r>
        <w:rPr>
          <w:rFonts w:cs="Times New Roman"/>
          <w:i/>
        </w:rPr>
        <w:t xml:space="preserve"> </w:t>
      </w:r>
      <w:r>
        <w:rPr>
          <w:rFonts w:cs="Times New Roman"/>
        </w:rPr>
        <w:t>dissent</w:t>
      </w:r>
      <w:r w:rsidRPr="005B0F11">
        <w:rPr>
          <w:rFonts w:cs="Times New Roman"/>
        </w:rPr>
        <w:t>.</w:t>
      </w:r>
      <w:r w:rsidRPr="005B0F11">
        <w:rPr>
          <w:rStyle w:val="FootnoteReference"/>
          <w:rFonts w:cs="Times New Roman"/>
        </w:rPr>
        <w:footnoteReference w:id="25"/>
      </w:r>
      <w:r w:rsidRPr="005B0F11">
        <w:rPr>
          <w:rFonts w:cs="Times New Roman"/>
        </w:rPr>
        <w:t xml:space="preserve"> </w:t>
      </w:r>
      <w:r>
        <w:rPr>
          <w:rFonts w:cs="Times New Roman"/>
          <w:color w:val="000000"/>
        </w:rPr>
        <w:t xml:space="preserve">Without providing </w:t>
      </w:r>
      <w:r w:rsidRPr="00966872">
        <w:rPr>
          <w:rFonts w:cs="Times New Roman"/>
          <w:i/>
          <w:color w:val="000000"/>
        </w:rPr>
        <w:t>any</w:t>
      </w:r>
      <w:r>
        <w:rPr>
          <w:rFonts w:cs="Times New Roman"/>
          <w:color w:val="000000"/>
        </w:rPr>
        <w:t xml:space="preserve"> historical research, Scalia cites three gun control </w:t>
      </w:r>
      <w:r>
        <w:rPr>
          <w:rFonts w:cs="Times New Roman"/>
          <w:color w:val="000000"/>
        </w:rPr>
        <w:lastRenderedPageBreak/>
        <w:t xml:space="preserve">policies that </w:t>
      </w:r>
      <w:r>
        <w:rPr>
          <w:rFonts w:cs="Times New Roman"/>
          <w:i/>
          <w:color w:val="000000"/>
        </w:rPr>
        <w:t>Heller</w:t>
      </w:r>
      <w:r>
        <w:rPr>
          <w:rFonts w:cs="Times New Roman"/>
          <w:color w:val="000000"/>
        </w:rPr>
        <w:t xml:space="preserve"> does not strike down: gun-free zones in sensitive areas (e.g., schools), regulations on commercial sales of guns (e.g., background checks), and bans on felons owning firearms.</w:t>
      </w:r>
      <w:r>
        <w:rPr>
          <w:rStyle w:val="FootnoteReference"/>
          <w:rFonts w:cs="Times New Roman"/>
          <w:color w:val="000000"/>
        </w:rPr>
        <w:footnoteReference w:id="26"/>
      </w:r>
      <w:r>
        <w:rPr>
          <w:rFonts w:cs="Times New Roman"/>
          <w:color w:val="000000"/>
        </w:rPr>
        <w:t xml:space="preserve">  Citing slight evidence that postdates drafting by 60 years, Scalia identifies another policy </w:t>
      </w:r>
      <w:r>
        <w:rPr>
          <w:rFonts w:cs="Times New Roman"/>
          <w:i/>
          <w:color w:val="000000"/>
        </w:rPr>
        <w:t>Heller</w:t>
      </w:r>
      <w:r>
        <w:rPr>
          <w:rFonts w:cs="Times New Roman"/>
          <w:color w:val="000000"/>
        </w:rPr>
        <w:t xml:space="preserve"> saves: restrictions on concealed carry firearms.</w:t>
      </w:r>
      <w:r>
        <w:rPr>
          <w:rStyle w:val="FootnoteReference"/>
          <w:rFonts w:cs="Times New Roman"/>
          <w:color w:val="000000"/>
        </w:rPr>
        <w:footnoteReference w:id="27"/>
      </w:r>
      <w:r>
        <w:rPr>
          <w:rFonts w:cs="Times New Roman"/>
          <w:color w:val="000000"/>
        </w:rPr>
        <w:t xml:space="preserve"> Referencing evidence that Nelson Lund describes as “wrong, or at best exceedingly misleading,”</w:t>
      </w:r>
      <w:r>
        <w:rPr>
          <w:rStyle w:val="FootnoteReference"/>
          <w:rFonts w:cs="Times New Roman"/>
          <w:color w:val="000000"/>
        </w:rPr>
        <w:footnoteReference w:id="28"/>
      </w:r>
      <w:r>
        <w:rPr>
          <w:rFonts w:cs="Times New Roman"/>
          <w:color w:val="000000"/>
        </w:rPr>
        <w:t xml:space="preserve"> Scalia rescues yet another gun-control policy from unconstitutionality: prohibitions on the sale of certain </w:t>
      </w:r>
      <w:r w:rsidR="00646FA8">
        <w:rPr>
          <w:rFonts w:cs="Times New Roman"/>
          <w:color w:val="000000"/>
        </w:rPr>
        <w:t xml:space="preserve">types </w:t>
      </w:r>
      <w:r>
        <w:rPr>
          <w:rFonts w:cs="Times New Roman"/>
          <w:color w:val="000000"/>
        </w:rPr>
        <w:t>of weapons.</w:t>
      </w:r>
      <w:r>
        <w:rPr>
          <w:rStyle w:val="FootnoteReference"/>
          <w:rFonts w:cs="Times New Roman"/>
          <w:color w:val="000000"/>
        </w:rPr>
        <w:footnoteReference w:id="29"/>
      </w:r>
      <w:r>
        <w:rPr>
          <w:rFonts w:cs="Times New Roman"/>
          <w:color w:val="000000"/>
        </w:rPr>
        <w:t xml:space="preserve"> Why? Even when a judge bases her decision on the “original public understanding,” which Scalia professes to do in </w:t>
      </w:r>
      <w:r>
        <w:rPr>
          <w:rFonts w:cs="Times New Roman"/>
          <w:i/>
          <w:color w:val="000000"/>
        </w:rPr>
        <w:t>Heller</w:t>
      </w:r>
      <w:r>
        <w:rPr>
          <w:rFonts w:cs="Times New Roman"/>
          <w:color w:val="000000"/>
        </w:rPr>
        <w:t xml:space="preserve">, she will have to make political choices. Apart from the historical record being equivocal, the founders never specified whether the Second Amendment applies to felons, or for that matter, never discussed machine guns and bazookas, which would not be invented for </w:t>
      </w:r>
      <w:r w:rsidRPr="00A3525C">
        <w:rPr>
          <w:rFonts w:cs="Times New Roman"/>
          <w:color w:val="000000"/>
        </w:rPr>
        <w:t xml:space="preserve">another </w:t>
      </w:r>
      <w:r>
        <w:rPr>
          <w:rFonts w:cs="Times New Roman"/>
          <w:color w:val="000000"/>
        </w:rPr>
        <w:t>12</w:t>
      </w:r>
      <w:r w:rsidRPr="00A3525C">
        <w:rPr>
          <w:rFonts w:cs="Times New Roman"/>
          <w:color w:val="000000"/>
        </w:rPr>
        <w:t xml:space="preserve">0 years. Scalia’s ad hoc exemptions to the Second Amendment </w:t>
      </w:r>
      <w:r w:rsidRPr="00A3525C">
        <w:rPr>
          <w:rFonts w:cs="Times New Roman"/>
        </w:rPr>
        <w:t>seem to arise from</w:t>
      </w:r>
      <w:r w:rsidRPr="00A3525C">
        <w:rPr>
          <w:rFonts w:cs="Times New Roman"/>
          <w:color w:val="000000"/>
        </w:rPr>
        <w:t xml:space="preserve"> a political understanding of modern America. Easy access to the most dangerous weapons would severely exacerbate gun-violence and crime, as would </w:t>
      </w:r>
      <w:proofErr w:type="gramStart"/>
      <w:r w:rsidRPr="00A3525C">
        <w:rPr>
          <w:rFonts w:cs="Times New Roman"/>
          <w:color w:val="000000"/>
        </w:rPr>
        <w:t>permitting</w:t>
      </w:r>
      <w:proofErr w:type="gramEnd"/>
      <w:r w:rsidRPr="00A3525C">
        <w:rPr>
          <w:rFonts w:cs="Times New Roman"/>
          <w:color w:val="000000"/>
        </w:rPr>
        <w:t xml:space="preserve"> felons to own guns or eliminating background checks. Those conclusions are </w:t>
      </w:r>
      <w:r w:rsidRPr="00A3525C">
        <w:rPr>
          <w:rFonts w:cs="Times New Roman"/>
          <w:i/>
          <w:color w:val="000000"/>
        </w:rPr>
        <w:t xml:space="preserve">political </w:t>
      </w:r>
      <w:r w:rsidRPr="00A3525C">
        <w:rPr>
          <w:rFonts w:cs="Times New Roman"/>
          <w:color w:val="000000"/>
        </w:rPr>
        <w:t xml:space="preserve">judgments. They are not based on what James Madison said or what </w:t>
      </w:r>
      <w:r w:rsidRPr="00A3525C">
        <w:rPr>
          <w:rFonts w:cs="Times New Roman"/>
        </w:rPr>
        <w:t xml:space="preserve">“ordinary citizens in the founding generation” would define as “arms.” Nor should they be. </w:t>
      </w:r>
      <w:r w:rsidRPr="00A3525C">
        <w:rPr>
          <w:rFonts w:cs="Times New Roman"/>
        </w:rPr>
        <w:br/>
        <w:t xml:space="preserve"> </w:t>
      </w:r>
      <w:r w:rsidRPr="00A3525C">
        <w:rPr>
          <w:rFonts w:cs="Times New Roman"/>
        </w:rPr>
        <w:tab/>
      </w:r>
      <w:proofErr w:type="spellStart"/>
      <w:r>
        <w:rPr>
          <w:rFonts w:cs="Times New Roman"/>
        </w:rPr>
        <w:t>Harvie</w:t>
      </w:r>
      <w:proofErr w:type="spellEnd"/>
      <w:r w:rsidRPr="00A3525C">
        <w:rPr>
          <w:rFonts w:cs="Times New Roman"/>
        </w:rPr>
        <w:t xml:space="preserve"> Wilkinson</w:t>
      </w:r>
      <w:r>
        <w:rPr>
          <w:rFonts w:cs="Times New Roman"/>
        </w:rPr>
        <w:t>’s tart observation that</w:t>
      </w:r>
      <w:r w:rsidRPr="00A3525C">
        <w:rPr>
          <w:rFonts w:cs="Times New Roman"/>
        </w:rPr>
        <w:t xml:space="preserve"> “</w:t>
      </w:r>
      <w:r>
        <w:rPr>
          <w:rFonts w:cs="Times New Roman"/>
          <w:color w:val="000000"/>
        </w:rPr>
        <w:t>t</w:t>
      </w:r>
      <w:r w:rsidRPr="00A3525C">
        <w:rPr>
          <w:rFonts w:cs="Times New Roman"/>
          <w:color w:val="000000"/>
        </w:rPr>
        <w:t xml:space="preserve">he Constitution’s text has as little to say about restrictions on firearm ownership by felons as it does about the trimesters of </w:t>
      </w:r>
      <w:r w:rsidRPr="00A3525C">
        <w:rPr>
          <w:rFonts w:cs="Times New Roman"/>
          <w:color w:val="000000"/>
        </w:rPr>
        <w:lastRenderedPageBreak/>
        <w:t>pregnancy</w:t>
      </w:r>
      <w:r>
        <w:rPr>
          <w:rFonts w:cs="Times New Roman"/>
        </w:rPr>
        <w:t>”</w:t>
      </w:r>
      <w:r w:rsidRPr="00A3525C">
        <w:rPr>
          <w:rFonts w:cs="Times New Roman"/>
        </w:rPr>
        <w:t xml:space="preserve"> </w:t>
      </w:r>
      <w:r>
        <w:rPr>
          <w:rFonts w:cs="Times New Roman"/>
        </w:rPr>
        <w:t>points to</w:t>
      </w:r>
      <w:r w:rsidRPr="00A3525C">
        <w:rPr>
          <w:rFonts w:cs="Times New Roman"/>
        </w:rPr>
        <w:t xml:space="preserve"> another myth of originalism.</w:t>
      </w:r>
      <w:r w:rsidRPr="00A3525C">
        <w:rPr>
          <w:rStyle w:val="FootnoteReference"/>
          <w:rFonts w:cs="Times New Roman"/>
        </w:rPr>
        <w:footnoteReference w:id="30"/>
      </w:r>
      <w:r w:rsidRPr="00A3525C">
        <w:rPr>
          <w:rFonts w:cs="Times New Roman"/>
        </w:rPr>
        <w:t xml:space="preserve"> </w:t>
      </w:r>
      <w:r>
        <w:rPr>
          <w:rFonts w:cs="Times New Roman"/>
        </w:rPr>
        <w:t xml:space="preserve">Originalism, supposedly, makes judicial review more democratic by restraining judicial discretion and fostering deference to the legislature. Originalists believe the </w:t>
      </w:r>
      <w:r w:rsidRPr="00A3525C">
        <w:rPr>
          <w:rFonts w:cs="Times New Roman"/>
        </w:rPr>
        <w:t>Warren and Burger Courts</w:t>
      </w:r>
      <w:r>
        <w:rPr>
          <w:rFonts w:cs="Times New Roman"/>
        </w:rPr>
        <w:t xml:space="preserve"> were not only wrong, but also</w:t>
      </w:r>
      <w:r w:rsidRPr="00A3525C">
        <w:rPr>
          <w:rFonts w:cs="Times New Roman"/>
        </w:rPr>
        <w:t xml:space="preserve"> undemocratic. Decisions like </w:t>
      </w:r>
      <w:r w:rsidRPr="00A3525C">
        <w:rPr>
          <w:rFonts w:cs="Times New Roman"/>
          <w:i/>
        </w:rPr>
        <w:t>Roe</w:t>
      </w:r>
      <w:r w:rsidRPr="00A3525C">
        <w:rPr>
          <w:rFonts w:cs="Times New Roman"/>
        </w:rPr>
        <w:t xml:space="preserve"> embody an “imperial judiciary” that “[forecloses] all democratic outlet” on topics “where [the Court</w:t>
      </w:r>
      <w:r>
        <w:rPr>
          <w:rFonts w:cs="Times New Roman"/>
        </w:rPr>
        <w:t xml:space="preserve"> has</w:t>
      </w:r>
      <w:r w:rsidRPr="00A3525C">
        <w:rPr>
          <w:rFonts w:cs="Times New Roman"/>
        </w:rPr>
        <w:t>] no right to be, and where [the Court does] neither [itself] nor the country any good by remaining.”</w:t>
      </w:r>
      <w:r>
        <w:rPr>
          <w:rStyle w:val="FootnoteReference"/>
          <w:rFonts w:cs="Times New Roman"/>
        </w:rPr>
        <w:footnoteReference w:id="31"/>
      </w:r>
      <w:r w:rsidRPr="00A3525C">
        <w:rPr>
          <w:rFonts w:cs="Times New Roman"/>
        </w:rPr>
        <w:t xml:space="preserve"> </w:t>
      </w:r>
      <w:r>
        <w:rPr>
          <w:rFonts w:cs="Times New Roman"/>
        </w:rPr>
        <w:t xml:space="preserve">Yet </w:t>
      </w:r>
      <w:r>
        <w:rPr>
          <w:rFonts w:cs="Times New Roman"/>
          <w:i/>
        </w:rPr>
        <w:t xml:space="preserve">Heller </w:t>
      </w:r>
      <w:r>
        <w:rPr>
          <w:rFonts w:cs="Times New Roman"/>
        </w:rPr>
        <w:t>demonstrates that originalism itself leads to the same type of reviled “judicial activism.”</w:t>
      </w:r>
      <w:r w:rsidRPr="003F506D">
        <w:rPr>
          <w:rFonts w:cs="Times New Roman"/>
        </w:rPr>
        <w:t xml:space="preserve"> </w:t>
      </w:r>
      <w:r>
        <w:rPr>
          <w:rFonts w:cs="Times New Roman"/>
        </w:rPr>
        <w:t xml:space="preserve">The Court struck down a popular local law, which originalists argue should be done rarely. To do so, the Court relied on an abstract and unclear section of the Constitution, and as I argued earlier, used value and political judgments in the process. Recognizing a new right, the Court uprooted past precedent. The Court interjected itself into the center of a national controversy that, as Justice Breyer suggests in his dissent, would be better solved by local elected officers. In </w:t>
      </w:r>
      <w:r>
        <w:rPr>
          <w:rFonts w:cs="Times New Roman"/>
          <w:i/>
        </w:rPr>
        <w:t xml:space="preserve">Lawrence v. Texas </w:t>
      </w:r>
      <w:r>
        <w:rPr>
          <w:rFonts w:cs="Times New Roman"/>
        </w:rPr>
        <w:t>(2003)</w:t>
      </w:r>
      <w:r>
        <w:rPr>
          <w:rFonts w:cs="Times New Roman"/>
          <w:i/>
        </w:rPr>
        <w:t xml:space="preserve">, </w:t>
      </w:r>
      <w:r>
        <w:rPr>
          <w:rFonts w:cs="Times New Roman"/>
        </w:rPr>
        <w:t xml:space="preserve">Scalia affirms, </w:t>
      </w:r>
      <w:r w:rsidRPr="00900731">
        <w:rPr>
          <w:rFonts w:cs="Times New Roman"/>
          <w:color w:val="000000"/>
        </w:rPr>
        <w:t xml:space="preserve">“What Texas has chosen to do </w:t>
      </w:r>
      <w:r>
        <w:rPr>
          <w:rFonts w:cs="Times New Roman"/>
          <w:color w:val="000000"/>
        </w:rPr>
        <w:t>is well within the range of tra</w:t>
      </w:r>
      <w:r w:rsidRPr="00900731">
        <w:rPr>
          <w:rFonts w:cs="Times New Roman"/>
          <w:color w:val="000000"/>
        </w:rPr>
        <w:t>ditional democratic action, and its hand should not be stayed throug</w:t>
      </w:r>
      <w:r>
        <w:rPr>
          <w:rFonts w:cs="Times New Roman"/>
          <w:color w:val="000000"/>
        </w:rPr>
        <w:t>h the invention of a brand-new ‘constitutional right’</w:t>
      </w:r>
      <w:r w:rsidRPr="00900731">
        <w:rPr>
          <w:rFonts w:cs="Times New Roman"/>
          <w:color w:val="000000"/>
        </w:rPr>
        <w:t xml:space="preserve"> by a Court that is impatient of democratic change.”</w:t>
      </w:r>
      <w:r>
        <w:rPr>
          <w:rStyle w:val="FootnoteReference"/>
          <w:rFonts w:cs="Times New Roman"/>
          <w:color w:val="000000"/>
        </w:rPr>
        <w:footnoteReference w:id="32"/>
      </w:r>
      <w:r>
        <w:rPr>
          <w:rFonts w:cs="Times New Roman"/>
          <w:color w:val="000000"/>
        </w:rPr>
        <w:t xml:space="preserve"> Substitute “District of Columbia” for “Texas,” and one may have an apt summary of </w:t>
      </w:r>
      <w:r>
        <w:rPr>
          <w:rFonts w:cs="Times New Roman"/>
          <w:i/>
          <w:color w:val="000000"/>
        </w:rPr>
        <w:t>Heller</w:t>
      </w:r>
      <w:r>
        <w:rPr>
          <w:rFonts w:cs="Times New Roman"/>
          <w:color w:val="000000"/>
        </w:rPr>
        <w:t xml:space="preserve">. Ultimately, if </w:t>
      </w:r>
      <w:r>
        <w:rPr>
          <w:rFonts w:cs="Times New Roman"/>
          <w:i/>
          <w:color w:val="000000"/>
        </w:rPr>
        <w:t>Lawrence</w:t>
      </w:r>
      <w:r>
        <w:rPr>
          <w:rFonts w:cs="Times New Roman"/>
          <w:color w:val="000000"/>
        </w:rPr>
        <w:t xml:space="preserve"> and </w:t>
      </w:r>
      <w:r>
        <w:rPr>
          <w:rFonts w:cs="Times New Roman"/>
          <w:i/>
          <w:color w:val="000000"/>
        </w:rPr>
        <w:t xml:space="preserve">Roe </w:t>
      </w:r>
      <w:r>
        <w:rPr>
          <w:rFonts w:cs="Times New Roman"/>
          <w:color w:val="000000"/>
        </w:rPr>
        <w:t xml:space="preserve">are undemocratic, then the originalist </w:t>
      </w:r>
      <w:r>
        <w:rPr>
          <w:rFonts w:cs="Times New Roman"/>
          <w:i/>
          <w:color w:val="000000"/>
        </w:rPr>
        <w:t>Heller</w:t>
      </w:r>
      <w:r>
        <w:rPr>
          <w:rFonts w:cs="Times New Roman"/>
          <w:color w:val="000000"/>
        </w:rPr>
        <w:t xml:space="preserve"> is, too.</w:t>
      </w:r>
      <w:r>
        <w:rPr>
          <w:rStyle w:val="FootnoteReference"/>
          <w:rFonts w:cs="Times New Roman"/>
          <w:color w:val="000000"/>
        </w:rPr>
        <w:footnoteReference w:id="33"/>
      </w:r>
      <w:r>
        <w:rPr>
          <w:rFonts w:cs="Times New Roman"/>
          <w:color w:val="000000"/>
        </w:rPr>
        <w:t xml:space="preserve"> </w:t>
      </w:r>
      <w:r>
        <w:rPr>
          <w:rFonts w:cs="Times New Roman"/>
          <w:color w:val="000000"/>
        </w:rPr>
        <w:br/>
      </w:r>
      <w:r>
        <w:rPr>
          <w:rFonts w:cs="Times New Roman"/>
          <w:i/>
          <w:color w:val="000000"/>
        </w:rPr>
        <w:t xml:space="preserve">Objections and Rebuttals </w:t>
      </w:r>
      <w:r>
        <w:rPr>
          <w:rFonts w:cs="Times New Roman"/>
          <w:color w:val="000000"/>
        </w:rPr>
        <w:br/>
      </w:r>
      <w:r>
        <w:rPr>
          <w:rFonts w:cs="Times New Roman"/>
          <w:color w:val="000000"/>
        </w:rPr>
        <w:lastRenderedPageBreak/>
        <w:t xml:space="preserve"> </w:t>
      </w:r>
      <w:r>
        <w:rPr>
          <w:rFonts w:cs="Times New Roman"/>
          <w:color w:val="000000"/>
        </w:rPr>
        <w:tab/>
        <w:t xml:space="preserve">An originalist might respond to this paper by claiming that either Scalia or Stevens is not a true originalist. Indeed, after </w:t>
      </w:r>
      <w:r w:rsidRPr="00CA7409">
        <w:rPr>
          <w:rFonts w:cs="Times New Roman"/>
          <w:i/>
          <w:color w:val="000000"/>
        </w:rPr>
        <w:t>Heller,</w:t>
      </w:r>
      <w:r>
        <w:rPr>
          <w:rFonts w:cs="Times New Roman"/>
          <w:color w:val="000000"/>
        </w:rPr>
        <w:t xml:space="preserve"> a torrent of legal scholars protested that either Scalia or Stevens missed or misrepresented the original public understanding of the Second Amendment.</w:t>
      </w:r>
      <w:r>
        <w:rPr>
          <w:rStyle w:val="FootnoteReference"/>
          <w:rFonts w:cs="Times New Roman"/>
          <w:color w:val="000000"/>
        </w:rPr>
        <w:footnoteReference w:id="34"/>
      </w:r>
      <w:r>
        <w:rPr>
          <w:rFonts w:cs="Times New Roman"/>
          <w:color w:val="000000"/>
        </w:rPr>
        <w:t xml:space="preserve"> My thesis, the “true” originalist would insist, is a critique of the jurisprudence of two Justices, not of originalism. Scalia himself, they would note, identifies as a “faint-hearted originalist.”</w:t>
      </w:r>
      <w:r>
        <w:rPr>
          <w:rStyle w:val="FootnoteReference"/>
          <w:rFonts w:cs="Times New Roman"/>
          <w:color w:val="000000"/>
        </w:rPr>
        <w:footnoteReference w:id="35"/>
      </w:r>
      <w:r>
        <w:rPr>
          <w:rFonts w:cs="Times New Roman"/>
          <w:color w:val="000000"/>
        </w:rPr>
        <w:t xml:space="preserve"> In candor, I have some sympathy for this objection. Parts of Scalia’s opinion are blatantly non-originalist; consider the previously discussed passage that defends bans on felon firearm ownership. However, the fact that so many have criticized the two opinions as non-originalist fortifies, rather than undermines, my argument. Originalism purports to establish an objective methodology, which is usually “</w:t>
      </w:r>
      <w:r w:rsidRPr="00B64013">
        <w:rPr>
          <w:rFonts w:cs="Times New Roman"/>
        </w:rPr>
        <w:t>easy to discern and simple to apply”</w:t>
      </w:r>
      <w:r>
        <w:rPr>
          <w:rFonts w:cs="Times New Roman"/>
        </w:rPr>
        <w:t xml:space="preserve"> and independent of the judge’s own ideology.</w:t>
      </w:r>
      <w:r>
        <w:rPr>
          <w:rStyle w:val="FootnoteReference"/>
          <w:rFonts w:cs="Times New Roman"/>
        </w:rPr>
        <w:footnoteReference w:id="36"/>
      </w:r>
      <w:r>
        <w:rPr>
          <w:rFonts w:cs="Times New Roman"/>
        </w:rPr>
        <w:t xml:space="preserve"> </w:t>
      </w:r>
      <w:r>
        <w:rPr>
          <w:rFonts w:cs="Times New Roman"/>
          <w:color w:val="000000"/>
        </w:rPr>
        <w:t xml:space="preserve">The diversity of honest objections to the Justices’ opinions reveals that the application of originalism is inherently complicated and challenging. Moreover, the scholars’ objections generally seem to fit with their own political convictions, which suggests that subjective value judgments heavily influence, or even determine, one’s </w:t>
      </w:r>
      <w:r>
        <w:rPr>
          <w:rFonts w:cs="Times New Roman"/>
          <w:color w:val="000000"/>
        </w:rPr>
        <w:lastRenderedPageBreak/>
        <w:t>understanding of the original public meaning.</w:t>
      </w:r>
      <w:r>
        <w:rPr>
          <w:rStyle w:val="FootnoteReference"/>
          <w:rFonts w:cs="Times New Roman"/>
          <w:color w:val="000000"/>
        </w:rPr>
        <w:footnoteReference w:id="37"/>
      </w:r>
      <w:r>
        <w:rPr>
          <w:rFonts w:cs="Times New Roman"/>
          <w:color w:val="000000"/>
        </w:rPr>
        <w:t xml:space="preserve"> With the notable exception of Posner, liberal scholars at whom I looked found fault with Scalia’s originalism, and libertarians and conservatives found fault with that of Stevens.</w:t>
      </w:r>
      <w:r>
        <w:rPr>
          <w:rStyle w:val="FootnoteReference"/>
          <w:rFonts w:cs="Times New Roman"/>
          <w:color w:val="000000"/>
        </w:rPr>
        <w:footnoteReference w:id="38"/>
      </w:r>
      <w:r>
        <w:rPr>
          <w:rFonts w:cs="Times New Roman"/>
          <w:color w:val="000000"/>
        </w:rPr>
        <w:t xml:space="preserve"> If all the scholars raised universal complaints about the opinions, and their criticism was independent of their own political philosophy, then the “true” originalist might have a point. But that is not what happened in response to </w:t>
      </w:r>
      <w:r>
        <w:rPr>
          <w:rFonts w:cs="Times New Roman"/>
          <w:i/>
          <w:color w:val="000000"/>
        </w:rPr>
        <w:t>Heller</w:t>
      </w:r>
      <w:r>
        <w:rPr>
          <w:rFonts w:cs="Times New Roman"/>
          <w:color w:val="000000"/>
        </w:rPr>
        <w:t xml:space="preserve">. </w:t>
      </w:r>
      <w:r>
        <w:rPr>
          <w:rFonts w:cs="Times New Roman"/>
          <w:color w:val="000000"/>
        </w:rPr>
        <w:br/>
      </w:r>
      <w:r w:rsidRPr="000F4806">
        <w:rPr>
          <w:rFonts w:cs="Times New Roman"/>
          <w:color w:val="000000"/>
        </w:rPr>
        <w:t xml:space="preserve"> </w:t>
      </w:r>
      <w:r w:rsidRPr="000F4806">
        <w:rPr>
          <w:rFonts w:cs="Times New Roman"/>
          <w:color w:val="000000"/>
        </w:rPr>
        <w:tab/>
        <w:t>A tributary to the above objection asserts that both Scalia’s and Stevens’</w:t>
      </w:r>
      <w:r w:rsidR="009D36E0">
        <w:rPr>
          <w:rFonts w:cs="Times New Roman"/>
          <w:color w:val="000000"/>
        </w:rPr>
        <w:t>s</w:t>
      </w:r>
      <w:r w:rsidRPr="000F4806">
        <w:rPr>
          <w:rFonts w:cs="Times New Roman"/>
          <w:color w:val="000000"/>
        </w:rPr>
        <w:t xml:space="preserve"> opinions are originalist, but different types.</w:t>
      </w:r>
      <w:r>
        <w:rPr>
          <w:rFonts w:cs="Times New Roman"/>
          <w:color w:val="000000"/>
        </w:rPr>
        <w:t xml:space="preserve"> According to this school of thought, my paper unfairly conflates two very different forms of constitutional interpretation and therefore fails to recognize the superiority of Scalia’s originalism.</w:t>
      </w:r>
      <w:r w:rsidRPr="000F4806">
        <w:rPr>
          <w:rFonts w:cs="Times New Roman"/>
          <w:color w:val="000000"/>
        </w:rPr>
        <w:t xml:space="preserve"> For example, Randy Barnett has argued that Scalia’s “exemplary” opinion is “</w:t>
      </w:r>
      <w:r w:rsidRPr="000F4806">
        <w:rPr>
          <w:rFonts w:cs="Times New Roman"/>
        </w:rPr>
        <w:t>the clearest, most careful interpretation of the meaning of the Constitution ever to be adopted by a majority of the Supreme Court” and “the finest</w:t>
      </w:r>
      <w:r>
        <w:rPr>
          <w:rFonts w:cs="Times New Roman"/>
        </w:rPr>
        <w:t xml:space="preserve"> example of what is now called ‘original public meaning’</w:t>
      </w:r>
      <w:r w:rsidRPr="000F4806">
        <w:rPr>
          <w:rFonts w:cs="Times New Roman"/>
        </w:rPr>
        <w:t xml:space="preserve"> jurisprudence.”</w:t>
      </w:r>
      <w:r>
        <w:rPr>
          <w:rStyle w:val="FootnoteReference"/>
          <w:rFonts w:cs="Times New Roman"/>
        </w:rPr>
        <w:footnoteReference w:id="39"/>
      </w:r>
      <w:r w:rsidRPr="000F4806">
        <w:rPr>
          <w:rFonts w:cs="Times New Roman"/>
        </w:rPr>
        <w:t xml:space="preserve"> Stevens’ opinion, conversely, “largely [focuses] on ‘original </w:t>
      </w:r>
      <w:proofErr w:type="gramStart"/>
      <w:r w:rsidRPr="000F4806">
        <w:rPr>
          <w:rFonts w:cs="Times New Roman"/>
        </w:rPr>
        <w:t>intent,’” which “was discredited years ago among constitutional law professors” and is used by non</w:t>
      </w:r>
      <w:r>
        <w:rPr>
          <w:rFonts w:cs="Times New Roman"/>
        </w:rPr>
        <w:t>-</w:t>
      </w:r>
      <w:r w:rsidRPr="000F4806">
        <w:rPr>
          <w:rFonts w:cs="Times New Roman"/>
        </w:rPr>
        <w:t>originalists to “</w:t>
      </w:r>
      <w:proofErr w:type="gramEnd"/>
      <w:r>
        <w:rPr>
          <w:rFonts w:cs="Times New Roman"/>
        </w:rPr>
        <w:t>negate</w:t>
      </w:r>
      <w:r w:rsidR="009D36E0">
        <w:rPr>
          <w:rFonts w:cs="Times New Roman"/>
        </w:rPr>
        <w:t xml:space="preserve"> </w:t>
      </w:r>
      <w:r>
        <w:rPr>
          <w:rFonts w:cs="Times New Roman"/>
        </w:rPr>
        <w:t>…</w:t>
      </w:r>
      <w:r w:rsidR="009D36E0">
        <w:rPr>
          <w:rFonts w:cs="Times New Roman"/>
        </w:rPr>
        <w:t xml:space="preserve"> </w:t>
      </w:r>
      <w:r w:rsidRPr="000F4806">
        <w:rPr>
          <w:rFonts w:cs="Times New Roman"/>
        </w:rPr>
        <w:t>original public meaning.</w:t>
      </w:r>
      <w:r>
        <w:rPr>
          <w:rFonts w:cs="Times New Roman"/>
        </w:rPr>
        <w:t>”</w:t>
      </w:r>
      <w:r>
        <w:rPr>
          <w:rStyle w:val="FootnoteReference"/>
          <w:rFonts w:cs="Times New Roman"/>
        </w:rPr>
        <w:footnoteReference w:id="40"/>
      </w:r>
      <w:r>
        <w:rPr>
          <w:rFonts w:cs="Times New Roman"/>
        </w:rPr>
        <w:t xml:space="preserve"> I have less sympathy for this </w:t>
      </w:r>
      <w:r>
        <w:rPr>
          <w:rFonts w:cs="Times New Roman"/>
        </w:rPr>
        <w:lastRenderedPageBreak/>
        <w:t xml:space="preserve">argument. It is intellectually dishonest to say Justice Stevens does not try to find the original public meaning of the Second Amendment. He consults different dictionaries from the </w:t>
      </w:r>
      <w:r w:rsidR="009D36E0">
        <w:rPr>
          <w:rFonts w:cs="Times New Roman"/>
        </w:rPr>
        <w:t xml:space="preserve">eighteenth </w:t>
      </w:r>
      <w:r>
        <w:rPr>
          <w:rFonts w:cs="Times New Roman"/>
        </w:rPr>
        <w:t xml:space="preserve">Century, carefully parses the semantic relationship between the words of the Second Amendment, reviews a 1794 treatise on the meaning of words, thoroughly studies the linguistics professors’ </w:t>
      </w:r>
      <w:r w:rsidRPr="0057480F">
        <w:rPr>
          <w:rFonts w:cs="Times New Roman"/>
          <w:i/>
        </w:rPr>
        <w:t>amicus curiae</w:t>
      </w:r>
      <w:r>
        <w:rPr>
          <w:rFonts w:cs="Times New Roman"/>
        </w:rPr>
        <w:t xml:space="preserve"> brief, and examines the omission and inclusion of words in State Constitutions. In addition, Stevens considers statements made in the actual debates of 1787 to 1789.</w:t>
      </w:r>
      <w:r>
        <w:rPr>
          <w:rStyle w:val="FootnoteReference"/>
          <w:rFonts w:cs="Times New Roman"/>
        </w:rPr>
        <w:footnoteReference w:id="41"/>
      </w:r>
      <w:r>
        <w:rPr>
          <w:rFonts w:cs="Times New Roman"/>
        </w:rPr>
        <w:t xml:space="preserve"> But this is just one part of his dissent. Scalia, conversely, does not consider legislative history in constitutional interpretation and statutory construction in </w:t>
      </w:r>
      <w:r>
        <w:rPr>
          <w:rFonts w:cs="Times New Roman"/>
          <w:i/>
        </w:rPr>
        <w:t xml:space="preserve">Heller </w:t>
      </w:r>
      <w:r>
        <w:rPr>
          <w:rFonts w:cs="Times New Roman"/>
        </w:rPr>
        <w:t>or any case.</w:t>
      </w:r>
      <w:r>
        <w:rPr>
          <w:rStyle w:val="FootnoteReference"/>
          <w:rFonts w:cs="Times New Roman"/>
        </w:rPr>
        <w:footnoteReference w:id="42"/>
      </w:r>
      <w:r>
        <w:rPr>
          <w:rFonts w:cs="Times New Roman"/>
        </w:rPr>
        <w:t xml:space="preserve"> Yet his evaluation of “post-ratification commentary,” or what Stevens calls “post-enactment legislative history” shares many of the same difficulties of using legislative history identified by Scalia himself</w:t>
      </w:r>
      <w:r w:rsidR="009D36E0">
        <w:rPr>
          <w:rFonts w:cs="Times New Roman"/>
        </w:rPr>
        <w:t xml:space="preserve"> in</w:t>
      </w:r>
      <w:r>
        <w:rPr>
          <w:rFonts w:cs="Times New Roman"/>
        </w:rPr>
        <w:t xml:space="preserve"> </w:t>
      </w:r>
      <w:r>
        <w:rPr>
          <w:rFonts w:cs="Times New Roman"/>
          <w:i/>
        </w:rPr>
        <w:t>A Matter of Interpretation</w:t>
      </w:r>
      <w:r>
        <w:rPr>
          <w:rFonts w:cs="Times New Roman"/>
        </w:rPr>
        <w:t xml:space="preserve">. More broadly, even if Stevens’ opinion was entirely focused on “original intent,” the theories of “original intent” and “original public meaning” are very similar. They both rely on conflicting historical records and call on judges to make subjective and political judgments. We can dismiss this objection. </w:t>
      </w:r>
    </w:p>
    <w:p w14:paraId="10586652" w14:textId="6FBB246E" w:rsidR="00381987" w:rsidRPr="00992169" w:rsidRDefault="00381987" w:rsidP="00381987">
      <w:pPr>
        <w:spacing w:line="480" w:lineRule="auto"/>
        <w:rPr>
          <w:rFonts w:cs="Times New Roman"/>
        </w:rPr>
      </w:pPr>
      <w:r>
        <w:rPr>
          <w:rFonts w:cs="Times New Roman"/>
        </w:rPr>
        <w:tab/>
        <w:t xml:space="preserve">An originalist might reject my thesis on the grounds that I fail to put </w:t>
      </w:r>
      <w:r w:rsidRPr="00E773D9">
        <w:rPr>
          <w:rFonts w:cs="Times New Roman"/>
          <w:i/>
        </w:rPr>
        <w:t>Heller</w:t>
      </w:r>
      <w:r>
        <w:rPr>
          <w:rFonts w:cs="Times New Roman"/>
          <w:i/>
        </w:rPr>
        <w:t xml:space="preserve"> </w:t>
      </w:r>
      <w:r>
        <w:rPr>
          <w:rFonts w:cs="Times New Roman"/>
        </w:rPr>
        <w:t xml:space="preserve">in a larger context. How can originalism be subjective, political and value-based when originalist jurists reach conclusions at odds with their convictions? As an example, the hypothetical originalist could cite Scalia’s decision to join the majority </w:t>
      </w:r>
      <w:r w:rsidRPr="002F1E2F">
        <w:rPr>
          <w:rFonts w:cs="Times New Roman"/>
        </w:rPr>
        <w:t xml:space="preserve">opinions in </w:t>
      </w:r>
      <w:r w:rsidRPr="002F1E2F">
        <w:rPr>
          <w:rFonts w:cs="Times New Roman"/>
          <w:i/>
        </w:rPr>
        <w:t>Texas v. Johnson</w:t>
      </w:r>
      <w:r>
        <w:rPr>
          <w:rFonts w:cs="Times New Roman"/>
        </w:rPr>
        <w:t xml:space="preserve"> (1989)</w:t>
      </w:r>
      <w:r w:rsidRPr="002F1E2F">
        <w:rPr>
          <w:rFonts w:cs="Times New Roman"/>
        </w:rPr>
        <w:t xml:space="preserve"> and </w:t>
      </w:r>
      <w:r w:rsidRPr="002F1E2F">
        <w:rPr>
          <w:rFonts w:cs="Times New Roman"/>
          <w:i/>
        </w:rPr>
        <w:t xml:space="preserve">United States v. </w:t>
      </w:r>
      <w:proofErr w:type="spellStart"/>
      <w:r w:rsidRPr="002F1E2F">
        <w:rPr>
          <w:rFonts w:cs="Times New Roman"/>
          <w:i/>
        </w:rPr>
        <w:t>Eichman</w:t>
      </w:r>
      <w:proofErr w:type="spellEnd"/>
      <w:r>
        <w:rPr>
          <w:rFonts w:cs="Times New Roman"/>
          <w:i/>
        </w:rPr>
        <w:t xml:space="preserve"> </w:t>
      </w:r>
      <w:r>
        <w:rPr>
          <w:rFonts w:cs="Times New Roman"/>
        </w:rPr>
        <w:t>(1990)</w:t>
      </w:r>
      <w:r w:rsidRPr="002F1E2F">
        <w:rPr>
          <w:rFonts w:cs="Times New Roman"/>
          <w:color w:val="000000"/>
        </w:rPr>
        <w:t xml:space="preserve">, in which the Court ruled the First </w:t>
      </w:r>
      <w:r w:rsidRPr="002F1E2F">
        <w:rPr>
          <w:rFonts w:cs="Times New Roman"/>
          <w:color w:val="000000"/>
        </w:rPr>
        <w:lastRenderedPageBreak/>
        <w:t>Amendment protected flag burning. Scalia, self-de</w:t>
      </w:r>
      <w:r>
        <w:rPr>
          <w:rFonts w:cs="Times New Roman"/>
          <w:color w:val="000000"/>
        </w:rPr>
        <w:t>scribed as “very conservative,”</w:t>
      </w:r>
      <w:r w:rsidRPr="002F1E2F">
        <w:rPr>
          <w:rFonts w:cs="Times New Roman"/>
          <w:color w:val="000000"/>
        </w:rPr>
        <w:t xml:space="preserve"> has noted that he does not like “</w:t>
      </w:r>
      <w:r w:rsidRPr="002F1E2F">
        <w:rPr>
          <w:rFonts w:cs="Times New Roman"/>
        </w:rPr>
        <w:t xml:space="preserve">sandal-wearing bearded </w:t>
      </w:r>
      <w:proofErr w:type="spellStart"/>
      <w:r w:rsidRPr="002F1E2F">
        <w:rPr>
          <w:rFonts w:cs="Times New Roman"/>
        </w:rPr>
        <w:t>weirdos</w:t>
      </w:r>
      <w:proofErr w:type="spellEnd"/>
      <w:r w:rsidRPr="002F1E2F">
        <w:rPr>
          <w:rFonts w:cs="Times New Roman"/>
        </w:rPr>
        <w:t xml:space="preserve"> who go around burning flags.</w:t>
      </w:r>
      <w:r>
        <w:rPr>
          <w:rFonts w:cs="Times New Roman"/>
        </w:rPr>
        <w:t>”</w:t>
      </w:r>
      <w:r>
        <w:rPr>
          <w:rStyle w:val="FootnoteReference"/>
          <w:rFonts w:cs="Times New Roman"/>
        </w:rPr>
        <w:footnoteReference w:id="43"/>
      </w:r>
      <w:r>
        <w:rPr>
          <w:rFonts w:cs="Times New Roman"/>
        </w:rPr>
        <w:t xml:space="preserve"> But, by applying the objective methodology of originalism, he reached a conclusion at odds with his politics. Having participated in over 2,000 cases, there are other examples of Scalia affiliating with liberals.</w:t>
      </w:r>
      <w:r>
        <w:rPr>
          <w:rStyle w:val="FootnoteReference"/>
          <w:rFonts w:cs="Times New Roman"/>
        </w:rPr>
        <w:footnoteReference w:id="44"/>
      </w:r>
      <w:r>
        <w:rPr>
          <w:rFonts w:cs="Times New Roman"/>
        </w:rPr>
        <w:t xml:space="preserve"> </w:t>
      </w:r>
      <w:r>
        <w:rPr>
          <w:rFonts w:cs="Times New Roman"/>
        </w:rPr>
        <w:br/>
        <w:t xml:space="preserve"> </w:t>
      </w:r>
      <w:r>
        <w:rPr>
          <w:rFonts w:cs="Times New Roman"/>
        </w:rPr>
        <w:tab/>
        <w:t>I would respond by making four points. First, examining Scalia’s record in the aggregate shows the flag desecrating cases are aberrational. Overall, his jurisprudence has matched his “very conservative” principles.</w:t>
      </w:r>
      <w:r>
        <w:rPr>
          <w:rStyle w:val="FootnoteReference"/>
          <w:rFonts w:cs="Times New Roman"/>
        </w:rPr>
        <w:footnoteReference w:id="45"/>
      </w:r>
      <w:r>
        <w:rPr>
          <w:rFonts w:cs="Times New Roman"/>
        </w:rPr>
        <w:t xml:space="preserve"> Second, free speech issues do not always neatly correspond along a conservative</w:t>
      </w:r>
      <w:r w:rsidR="005266FB">
        <w:rPr>
          <w:rFonts w:cs="Times New Roman"/>
        </w:rPr>
        <w:t>-</w:t>
      </w:r>
      <w:r>
        <w:rPr>
          <w:rFonts w:cs="Times New Roman"/>
        </w:rPr>
        <w:t>liberal divide. Third, the question the Court faced in these cases was not whether anybody liked “</w:t>
      </w:r>
      <w:r w:rsidRPr="002F1E2F">
        <w:rPr>
          <w:rFonts w:cs="Times New Roman"/>
        </w:rPr>
        <w:t xml:space="preserve">sandal-wearing bearded </w:t>
      </w:r>
      <w:proofErr w:type="spellStart"/>
      <w:r w:rsidRPr="002F1E2F">
        <w:rPr>
          <w:rFonts w:cs="Times New Roman"/>
        </w:rPr>
        <w:t>weirdos</w:t>
      </w:r>
      <w:proofErr w:type="spellEnd"/>
      <w:r w:rsidRPr="002F1E2F">
        <w:rPr>
          <w:rFonts w:cs="Times New Roman"/>
        </w:rPr>
        <w:t xml:space="preserve"> who go around burning flags</w:t>
      </w:r>
      <w:r>
        <w:rPr>
          <w:rFonts w:cs="Times New Roman"/>
        </w:rPr>
        <w:t>.” Nobody did. Not even Brennan.</w:t>
      </w:r>
      <w:r w:rsidRPr="0030011F">
        <w:rPr>
          <w:rFonts w:cs="Times New Roman"/>
        </w:rPr>
        <w:t xml:space="preserve"> Rather, the question was whether burning flags violated the First Amendment, and Scalia’s decision seems to fit with his views and values on the First Amendment.</w:t>
      </w:r>
      <w:r>
        <w:rPr>
          <w:rFonts w:cs="Times New Roman"/>
        </w:rPr>
        <w:t xml:space="preserve"> </w:t>
      </w:r>
      <w:r w:rsidRPr="0030011F">
        <w:rPr>
          <w:rFonts w:cs="Times New Roman"/>
        </w:rPr>
        <w:t>In his confirmation hearing, he defined speech as "any communicative activity."</w:t>
      </w:r>
      <w:r>
        <w:rPr>
          <w:rStyle w:val="FootnoteReference"/>
          <w:rFonts w:cs="Times New Roman"/>
        </w:rPr>
        <w:footnoteReference w:id="46"/>
      </w:r>
      <w:r w:rsidRPr="0030011F">
        <w:rPr>
          <w:rFonts w:cs="Times New Roman"/>
        </w:rPr>
        <w:t xml:space="preserve"> Burning the American flag communicates a message.</w:t>
      </w:r>
      <w:r>
        <w:rPr>
          <w:rFonts w:cs="Times New Roman"/>
          <w:color w:val="535353"/>
        </w:rPr>
        <w:t xml:space="preserve"> </w:t>
      </w:r>
      <w:r>
        <w:rPr>
          <w:rFonts w:cs="Times New Roman"/>
        </w:rPr>
        <w:t xml:space="preserve">In later remarks defending </w:t>
      </w:r>
      <w:r>
        <w:rPr>
          <w:rFonts w:cs="Times New Roman"/>
          <w:i/>
        </w:rPr>
        <w:t xml:space="preserve">Johnson </w:t>
      </w:r>
      <w:r>
        <w:rPr>
          <w:rFonts w:cs="Times New Roman"/>
        </w:rPr>
        <w:t xml:space="preserve">and </w:t>
      </w:r>
      <w:proofErr w:type="spellStart"/>
      <w:r>
        <w:rPr>
          <w:rFonts w:cs="Times New Roman"/>
          <w:i/>
        </w:rPr>
        <w:t>Eichman</w:t>
      </w:r>
      <w:proofErr w:type="spellEnd"/>
      <w:r>
        <w:rPr>
          <w:rFonts w:cs="Times New Roman"/>
        </w:rPr>
        <w:t xml:space="preserve">, Scalia’s </w:t>
      </w:r>
      <w:r>
        <w:rPr>
          <w:rFonts w:cs="Times New Roman"/>
        </w:rPr>
        <w:lastRenderedPageBreak/>
        <w:t>language has implied that he based his decision, at least in part, on value judgments. For example, he has insisted, “</w:t>
      </w:r>
      <w:r w:rsidRPr="0030011F">
        <w:rPr>
          <w:rFonts w:cs="Times New Roman"/>
          <w:color w:val="262626"/>
        </w:rPr>
        <w:t>As I understand the First Amendment, you’re entitled to express contempt for the government.”</w:t>
      </w:r>
      <w:r>
        <w:rPr>
          <w:rStyle w:val="FootnoteReference"/>
          <w:rFonts w:cs="Times New Roman"/>
          <w:color w:val="262626"/>
        </w:rPr>
        <w:footnoteReference w:id="47"/>
      </w:r>
      <w:r w:rsidRPr="0030011F">
        <w:rPr>
          <w:rFonts w:cs="Times New Roman"/>
          <w:color w:val="262626"/>
        </w:rPr>
        <w:t xml:space="preserve"> </w:t>
      </w:r>
      <w:r>
        <w:rPr>
          <w:rFonts w:cs="Times New Roman"/>
          <w:color w:val="262626"/>
        </w:rPr>
        <w:t xml:space="preserve">The idea of “expressing contempt for the government” articulates a subjective interpretation about the meaning of an abstract clause. Notably, Scalia </w:t>
      </w:r>
      <w:r w:rsidR="005266FB">
        <w:rPr>
          <w:rFonts w:cs="Times New Roman"/>
          <w:color w:val="262626"/>
        </w:rPr>
        <w:t xml:space="preserve">did </w:t>
      </w:r>
      <w:r>
        <w:rPr>
          <w:rFonts w:cs="Times New Roman"/>
          <w:color w:val="262626"/>
        </w:rPr>
        <w:t>not say “as Blackstone understood the First Amendment” or “as members of the founding generation understood the First Amendment” or “as the text of the First Amendment indicates.” He sa</w:t>
      </w:r>
      <w:r w:rsidR="005266FB">
        <w:rPr>
          <w:rFonts w:cs="Times New Roman"/>
          <w:color w:val="262626"/>
        </w:rPr>
        <w:t>id</w:t>
      </w:r>
      <w:r>
        <w:rPr>
          <w:rFonts w:cs="Times New Roman"/>
          <w:color w:val="262626"/>
        </w:rPr>
        <w:t>, “</w:t>
      </w:r>
      <w:proofErr w:type="gramStart"/>
      <w:r>
        <w:rPr>
          <w:rFonts w:cs="Times New Roman"/>
          <w:color w:val="262626"/>
        </w:rPr>
        <w:t>as</w:t>
      </w:r>
      <w:proofErr w:type="gramEnd"/>
      <w:r>
        <w:rPr>
          <w:rFonts w:cs="Times New Roman"/>
          <w:color w:val="262626"/>
        </w:rPr>
        <w:t xml:space="preserve"> I understand.” I remain skeptical that Scalia’s decision in this case, and others in which he joined liberals, are not driven by his personal values. Fourth, </w:t>
      </w:r>
      <w:r>
        <w:rPr>
          <w:rFonts w:cs="Times New Roman"/>
          <w:i/>
        </w:rPr>
        <w:t xml:space="preserve">Johnson </w:t>
      </w:r>
      <w:r>
        <w:rPr>
          <w:rFonts w:cs="Times New Roman"/>
        </w:rPr>
        <w:t xml:space="preserve">and </w:t>
      </w:r>
      <w:proofErr w:type="spellStart"/>
      <w:r>
        <w:rPr>
          <w:rFonts w:cs="Times New Roman"/>
          <w:i/>
        </w:rPr>
        <w:t>Eichman</w:t>
      </w:r>
      <w:proofErr w:type="spellEnd"/>
      <w:r>
        <w:rPr>
          <w:rFonts w:cs="Times New Roman"/>
        </w:rPr>
        <w:t xml:space="preserve"> also highlight another myth of originalism. Richard Posner</w:t>
      </w:r>
      <w:r>
        <w:rPr>
          <w:rStyle w:val="FootnoteReference"/>
          <w:rFonts w:cs="Times New Roman"/>
        </w:rPr>
        <w:footnoteReference w:id="48"/>
      </w:r>
      <w:r>
        <w:rPr>
          <w:rFonts w:cs="Times New Roman"/>
        </w:rPr>
        <w:t xml:space="preserve"> and Robert Bork</w:t>
      </w:r>
      <w:r>
        <w:rPr>
          <w:rStyle w:val="FootnoteReference"/>
          <w:rFonts w:cs="Times New Roman"/>
        </w:rPr>
        <w:footnoteReference w:id="49"/>
      </w:r>
      <w:r>
        <w:rPr>
          <w:rFonts w:cs="Times New Roman"/>
        </w:rPr>
        <w:t>, among others, argue that the original understanding of the First Amendment does not prohibit flag burning. Again, originalism is not “</w:t>
      </w:r>
      <w:r w:rsidRPr="00B64013">
        <w:rPr>
          <w:rFonts w:cs="Times New Roman"/>
        </w:rPr>
        <w:t>easy to discern and simple to apply</w:t>
      </w:r>
      <w:r>
        <w:rPr>
          <w:rFonts w:cs="Times New Roman"/>
        </w:rPr>
        <w:t>.”</w:t>
      </w:r>
      <w:r>
        <w:rPr>
          <w:rStyle w:val="FootnoteReference"/>
          <w:rFonts w:cs="Times New Roman"/>
        </w:rPr>
        <w:footnoteReference w:id="50"/>
      </w:r>
      <w:r>
        <w:rPr>
          <w:rFonts w:cs="Times New Roman"/>
        </w:rPr>
        <w:t xml:space="preserve"> </w:t>
      </w:r>
      <w:r>
        <w:rPr>
          <w:rFonts w:cs="Times New Roman"/>
        </w:rPr>
        <w:br/>
        <w:t xml:space="preserve"> </w:t>
      </w:r>
      <w:r>
        <w:rPr>
          <w:rFonts w:cs="Times New Roman"/>
        </w:rPr>
        <w:tab/>
        <w:t xml:space="preserve">I do not take issue with judges making subjective value judgments in constitutional interpretation. Indeed, it would be impossible for a Supreme Court Justice not to. I take issue, though, with judges hiding and misrepresenting what they do.  Under the guise of an apolitical and neutral methodology doctrine, originalism gives its adherents cover to do precisely what they denounce so fervently. If it is undemocratic for </w:t>
      </w:r>
      <w:r w:rsidRPr="00992169">
        <w:rPr>
          <w:rFonts w:cs="Times New Roman"/>
        </w:rPr>
        <w:lastRenderedPageBreak/>
        <w:t xml:space="preserve">unelected judges to make subjective value judgments, as originalists insist, then originalism is as undemocratic as any other form of constitutional interpretation. Originalists should stop pretending otherwise.  </w:t>
      </w:r>
    </w:p>
    <w:p w14:paraId="2A5A0B6B" w14:textId="77777777" w:rsidR="0037682F" w:rsidRDefault="0037682F"/>
    <w:sectPr w:rsidR="0037682F" w:rsidSect="003768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50C98" w14:textId="77777777" w:rsidR="00C91ED0" w:rsidRDefault="00C91ED0" w:rsidP="00381987">
      <w:r>
        <w:separator/>
      </w:r>
    </w:p>
  </w:endnote>
  <w:endnote w:type="continuationSeparator" w:id="0">
    <w:p w14:paraId="27E19DFD" w14:textId="77777777" w:rsidR="00C91ED0" w:rsidRDefault="00C91ED0" w:rsidP="0038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203E8" w14:textId="77777777" w:rsidR="00C91ED0" w:rsidRDefault="00C91ED0" w:rsidP="00381987">
      <w:r>
        <w:separator/>
      </w:r>
    </w:p>
  </w:footnote>
  <w:footnote w:type="continuationSeparator" w:id="0">
    <w:p w14:paraId="55649852" w14:textId="77777777" w:rsidR="00C91ED0" w:rsidRDefault="00C91ED0" w:rsidP="00381987">
      <w:r>
        <w:continuationSeparator/>
      </w:r>
    </w:p>
  </w:footnote>
  <w:footnote w:id="1">
    <w:p w14:paraId="3032D7EA" w14:textId="77777777" w:rsidR="00381987" w:rsidRPr="001F2DA4" w:rsidRDefault="00381987" w:rsidP="00381987">
      <w:pPr>
        <w:pStyle w:val="FootnoteText"/>
        <w:rPr>
          <w:rFonts w:cs="Times New Roman"/>
        </w:rPr>
      </w:pPr>
      <w:r w:rsidRPr="001F2DA4">
        <w:rPr>
          <w:rStyle w:val="FootnoteReference"/>
          <w:rFonts w:cs="Times New Roman"/>
        </w:rPr>
        <w:footnoteRef/>
      </w:r>
      <w:r w:rsidRPr="001F2DA4">
        <w:rPr>
          <w:rFonts w:cs="Times New Roman"/>
        </w:rPr>
        <w:t xml:space="preserve"> </w:t>
      </w:r>
      <w:r>
        <w:rPr>
          <w:rFonts w:cs="Times New Roman"/>
        </w:rPr>
        <w:t xml:space="preserve">Robert H. Bork, </w:t>
      </w:r>
      <w:r w:rsidRPr="0090506B">
        <w:rPr>
          <w:rFonts w:cs="Times New Roman"/>
          <w:i/>
        </w:rPr>
        <w:t>Coercing Virtue: The Worldwide Rule of Judges</w:t>
      </w:r>
      <w:r>
        <w:rPr>
          <w:rFonts w:cs="Times New Roman"/>
        </w:rPr>
        <w:t xml:space="preserve"> (Washington, D.C: The American Enterprise Institute Press, 2003), 9. </w:t>
      </w:r>
      <w:r w:rsidRPr="001F2DA4">
        <w:rPr>
          <w:rFonts w:cs="Times New Roman"/>
        </w:rPr>
        <w:t xml:space="preserve"> </w:t>
      </w:r>
    </w:p>
  </w:footnote>
  <w:footnote w:id="2">
    <w:p w14:paraId="2991EF4C" w14:textId="77777777" w:rsidR="00381987" w:rsidRPr="00CD6429" w:rsidRDefault="00381987" w:rsidP="003819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sidRPr="001F2DA4">
        <w:rPr>
          <w:rStyle w:val="FootnoteReference"/>
          <w:rFonts w:cs="Times New Roman"/>
        </w:rPr>
        <w:footnoteRef/>
      </w:r>
      <w:r w:rsidRPr="001F2DA4">
        <w:rPr>
          <w:rFonts w:cs="Times New Roman"/>
        </w:rPr>
        <w:t xml:space="preserve"> </w:t>
      </w:r>
      <w:r w:rsidRPr="001F2DA4">
        <w:rPr>
          <w:rFonts w:cs="Times New Roman"/>
          <w:color w:val="000000"/>
        </w:rPr>
        <w:t>Alexander M. Bickel</w:t>
      </w:r>
      <w:r w:rsidRPr="0090506B">
        <w:rPr>
          <w:rFonts w:cs="Times New Roman"/>
          <w:color w:val="000000"/>
        </w:rPr>
        <w:t xml:space="preserve">, </w:t>
      </w:r>
      <w:r w:rsidRPr="00E860B1">
        <w:rPr>
          <w:rFonts w:cs="Times New Roman"/>
          <w:i/>
          <w:color w:val="000000"/>
        </w:rPr>
        <w:t>The Least Dangerous Branch: The Supreme Court at the Bar of Politics</w:t>
      </w:r>
      <w:r w:rsidRPr="0090506B">
        <w:rPr>
          <w:rFonts w:cs="Times New Roman"/>
          <w:color w:val="000000"/>
        </w:rPr>
        <w:t xml:space="preserve"> </w:t>
      </w:r>
      <w:r>
        <w:rPr>
          <w:rFonts w:cs="Times New Roman"/>
          <w:color w:val="000000"/>
        </w:rPr>
        <w:t xml:space="preserve">(Binghamton: </w:t>
      </w:r>
      <w:proofErr w:type="spellStart"/>
      <w:r>
        <w:rPr>
          <w:rFonts w:cs="Times New Roman"/>
          <w:color w:val="000000"/>
        </w:rPr>
        <w:t>Bobbs-Merill</w:t>
      </w:r>
      <w:proofErr w:type="spellEnd"/>
      <w:r>
        <w:rPr>
          <w:rFonts w:cs="Times New Roman"/>
          <w:color w:val="000000"/>
        </w:rPr>
        <w:t xml:space="preserve"> Company, 1962), 17. </w:t>
      </w:r>
    </w:p>
  </w:footnote>
  <w:footnote w:id="3">
    <w:p w14:paraId="5E95EE6E" w14:textId="77777777" w:rsidR="00381987" w:rsidRPr="000C04C1" w:rsidRDefault="00381987" w:rsidP="00381987">
      <w:pPr>
        <w:pStyle w:val="FootnoteText"/>
      </w:pPr>
      <w:r>
        <w:rPr>
          <w:rStyle w:val="FootnoteReference"/>
        </w:rPr>
        <w:footnoteRef/>
      </w:r>
      <w:r>
        <w:t xml:space="preserve"> </w:t>
      </w:r>
      <w:proofErr w:type="gramStart"/>
      <w:r>
        <w:t xml:space="preserve">Wall Street Journal Opinion Board, “The Wisdom of Robert Bork,” </w:t>
      </w:r>
      <w:r w:rsidRPr="000C04C1">
        <w:rPr>
          <w:i/>
        </w:rPr>
        <w:t>Wall Street Journal</w:t>
      </w:r>
      <w:r>
        <w:rPr>
          <w:i/>
        </w:rPr>
        <w:t xml:space="preserve">, </w:t>
      </w:r>
      <w:r>
        <w:t>December 20, 2012, A19.</w:t>
      </w:r>
      <w:proofErr w:type="gramEnd"/>
      <w:r>
        <w:t xml:space="preserve"> </w:t>
      </w:r>
    </w:p>
  </w:footnote>
  <w:footnote w:id="4">
    <w:p w14:paraId="38E8D82A" w14:textId="77777777" w:rsidR="00381987" w:rsidRPr="00A9510B" w:rsidRDefault="00381987" w:rsidP="00381987">
      <w:pPr>
        <w:pStyle w:val="FootnoteText"/>
        <w:rPr>
          <w:i/>
        </w:rPr>
      </w:pPr>
      <w:r>
        <w:rPr>
          <w:rStyle w:val="FootnoteReference"/>
        </w:rPr>
        <w:footnoteRef/>
      </w:r>
      <w:r>
        <w:t xml:space="preserve"> Stephen Adler, “Newsmaker: Interview with Justice Antonin Scalia and Professor Bryan A. Garner,” </w:t>
      </w:r>
      <w:r>
        <w:rPr>
          <w:i/>
        </w:rPr>
        <w:t>Thompson Reuters</w:t>
      </w:r>
      <w:r>
        <w:t xml:space="preserve">, September 17, 2012. http://newsandinsight.thomsonreuters.com/uploadedFiles/Reuters_Content/2012/09_-_September/Scalia_Reuters_transcript.pdf, accessed December 24, 2012. </w:t>
      </w:r>
      <w:r>
        <w:rPr>
          <w:i/>
        </w:rPr>
        <w:t xml:space="preserve"> </w:t>
      </w:r>
    </w:p>
  </w:footnote>
  <w:footnote w:id="5">
    <w:p w14:paraId="57B993CE" w14:textId="77777777" w:rsidR="00381987" w:rsidRPr="00E860B1" w:rsidRDefault="00381987" w:rsidP="00381987">
      <w:pPr>
        <w:pStyle w:val="FootnoteText"/>
      </w:pPr>
      <w:r>
        <w:rPr>
          <w:rStyle w:val="FootnoteReference"/>
        </w:rPr>
        <w:footnoteRef/>
      </w:r>
      <w:r>
        <w:t xml:space="preserve"> Robert H. Bork, </w:t>
      </w:r>
      <w:r>
        <w:rPr>
          <w:i/>
        </w:rPr>
        <w:t>The Tempting of America: The Political Seduction of the Law</w:t>
      </w:r>
      <w:r>
        <w:t xml:space="preserve"> (New York: Touchstone, 1990), 192. </w:t>
      </w:r>
    </w:p>
  </w:footnote>
  <w:footnote w:id="6">
    <w:p w14:paraId="056829CB" w14:textId="77777777" w:rsidR="00381987" w:rsidRDefault="00381987" w:rsidP="00381987">
      <w:pPr>
        <w:pStyle w:val="FootnoteText"/>
      </w:pPr>
      <w:r>
        <w:rPr>
          <w:rStyle w:val="FootnoteReference"/>
        </w:rPr>
        <w:footnoteRef/>
      </w:r>
      <w:r>
        <w:t xml:space="preserve"> Planned Parenthood of Southeastern Pennsylvania v. Casey, 505 U.S. 833, 979 (1992) (Scalia, J., dissenting). </w:t>
      </w:r>
    </w:p>
  </w:footnote>
  <w:footnote w:id="7">
    <w:p w14:paraId="08181010" w14:textId="77777777" w:rsidR="00381987" w:rsidRPr="007925D4" w:rsidRDefault="00381987" w:rsidP="00381987">
      <w:pPr>
        <w:pStyle w:val="FootnoteText"/>
        <w:rPr>
          <w:rFonts w:cs="Times New Roman"/>
        </w:rPr>
      </w:pPr>
      <w:r w:rsidRPr="004A6119">
        <w:rPr>
          <w:rStyle w:val="FootnoteReference"/>
        </w:rPr>
        <w:footnoteRef/>
      </w:r>
      <w:r>
        <w:t xml:space="preserve"> Ralph Rossum, </w:t>
      </w:r>
      <w:r>
        <w:rPr>
          <w:rFonts w:cs="Times New Roman"/>
        </w:rPr>
        <w:t xml:space="preserve">“The </w:t>
      </w:r>
      <w:proofErr w:type="spellStart"/>
      <w:r>
        <w:rPr>
          <w:rFonts w:cs="Times New Roman"/>
        </w:rPr>
        <w:t>Textualist</w:t>
      </w:r>
      <w:proofErr w:type="spellEnd"/>
      <w:r>
        <w:rPr>
          <w:rFonts w:cs="Times New Roman"/>
        </w:rPr>
        <w:t xml:space="preserve"> Jurisprudence of Justice Scalia,” http://www.claremontmckenna.edu/salvatori/publications/RARScalia.asp, accessed December 24, 2012. </w:t>
      </w:r>
    </w:p>
  </w:footnote>
  <w:footnote w:id="8">
    <w:p w14:paraId="1E2CFBF3" w14:textId="77777777" w:rsidR="00381987" w:rsidRPr="00ED3A74" w:rsidRDefault="00381987" w:rsidP="00381987">
      <w:pPr>
        <w:pStyle w:val="FootnoteText"/>
      </w:pPr>
      <w:r>
        <w:rPr>
          <w:rStyle w:val="FootnoteReference"/>
        </w:rPr>
        <w:footnoteRef/>
      </w:r>
      <w:r>
        <w:t xml:space="preserve"> Antonin Scalia, </w:t>
      </w:r>
      <w:r>
        <w:rPr>
          <w:i/>
        </w:rPr>
        <w:t>A Matter of Interpretation: Federal Courts and the Law</w:t>
      </w:r>
      <w:r>
        <w:t xml:space="preserve"> (Princeton: Princeton University Press, 1997), 22. </w:t>
      </w:r>
    </w:p>
  </w:footnote>
  <w:footnote w:id="9">
    <w:p w14:paraId="3ECA4D5A" w14:textId="77777777" w:rsidR="00381987" w:rsidRDefault="00381987" w:rsidP="00381987">
      <w:pPr>
        <w:pStyle w:val="FootnoteText"/>
      </w:pPr>
      <w:r>
        <w:rPr>
          <w:rStyle w:val="FootnoteReference"/>
        </w:rPr>
        <w:footnoteRef/>
      </w:r>
      <w:r>
        <w:t xml:space="preserve"> In this paper, “originalism” refers to theory of original public meaning, not the theory original intent, unless specifically noted otherwise. </w:t>
      </w:r>
    </w:p>
  </w:footnote>
  <w:footnote w:id="10">
    <w:p w14:paraId="720658BF" w14:textId="77777777" w:rsidR="00381987" w:rsidRDefault="00381987" w:rsidP="00381987">
      <w:pPr>
        <w:pStyle w:val="FootnoteText"/>
      </w:pPr>
      <w:r>
        <w:rPr>
          <w:rStyle w:val="FootnoteReference"/>
        </w:rPr>
        <w:footnoteRef/>
      </w:r>
      <w:r>
        <w:t xml:space="preserve"> Scalia, </w:t>
      </w:r>
      <w:proofErr w:type="gramStart"/>
      <w:r>
        <w:rPr>
          <w:i/>
        </w:rPr>
        <w:t>A</w:t>
      </w:r>
      <w:proofErr w:type="gramEnd"/>
      <w:r>
        <w:rPr>
          <w:i/>
        </w:rPr>
        <w:t xml:space="preserve"> Matter of Interpretation</w:t>
      </w:r>
      <w:r>
        <w:t xml:space="preserve">, 45. </w:t>
      </w:r>
    </w:p>
  </w:footnote>
  <w:footnote w:id="11">
    <w:p w14:paraId="78879C88" w14:textId="77777777" w:rsidR="00381987" w:rsidRDefault="00381987" w:rsidP="00381987">
      <w:pPr>
        <w:pStyle w:val="FootnoteText"/>
      </w:pPr>
      <w:r>
        <w:rPr>
          <w:rStyle w:val="FootnoteReference"/>
        </w:rPr>
        <w:footnoteRef/>
      </w:r>
      <w:r>
        <w:t xml:space="preserve"> Antonin Scalia, “</w:t>
      </w:r>
      <w:r w:rsidRPr="003D5703">
        <w:t xml:space="preserve">Originalism: </w:t>
      </w:r>
      <w:r>
        <w:t>T</w:t>
      </w:r>
      <w:r w:rsidRPr="003D5703">
        <w:t>he Lesser Evil</w:t>
      </w:r>
      <w:r>
        <w:t>,” Murphy et al. at 253.</w:t>
      </w:r>
    </w:p>
  </w:footnote>
  <w:footnote w:id="12">
    <w:p w14:paraId="058D0512" w14:textId="77777777" w:rsidR="00381987" w:rsidRPr="003D5703" w:rsidRDefault="00381987" w:rsidP="00381987">
      <w:pPr>
        <w:pStyle w:val="FootnoteText"/>
      </w:pPr>
      <w:r>
        <w:rPr>
          <w:rStyle w:val="FootnoteReference"/>
        </w:rPr>
        <w:footnoteRef/>
      </w:r>
      <w:r>
        <w:t xml:space="preserve"> Scalia, “</w:t>
      </w:r>
      <w:r w:rsidRPr="003D5703">
        <w:t xml:space="preserve">Originalism: </w:t>
      </w:r>
      <w:r>
        <w:t>T</w:t>
      </w:r>
      <w:r w:rsidRPr="003D5703">
        <w:t>he Lesser Evil</w:t>
      </w:r>
      <w:r>
        <w:t xml:space="preserve">,” 253. </w:t>
      </w:r>
    </w:p>
  </w:footnote>
  <w:footnote w:id="13">
    <w:p w14:paraId="0E083A2A" w14:textId="77777777" w:rsidR="00381987" w:rsidRDefault="00381987" w:rsidP="00381987">
      <w:pPr>
        <w:pStyle w:val="FootnoteText"/>
      </w:pPr>
      <w:r>
        <w:rPr>
          <w:rStyle w:val="FootnoteReference"/>
        </w:rPr>
        <w:footnoteRef/>
      </w:r>
      <w:r>
        <w:t xml:space="preserve"> Scalia, “Originalism: The Lesser Evil,” 253. </w:t>
      </w:r>
    </w:p>
  </w:footnote>
  <w:footnote w:id="14">
    <w:p w14:paraId="6CAC20B1" w14:textId="77777777" w:rsidR="00381987" w:rsidRPr="00103450" w:rsidRDefault="00381987" w:rsidP="00381987">
      <w:pPr>
        <w:pStyle w:val="FootnoteText"/>
        <w:rPr>
          <w:rFonts w:cs="Times New Roman"/>
        </w:rPr>
      </w:pPr>
      <w:r w:rsidRPr="00103450">
        <w:rPr>
          <w:rStyle w:val="FootnoteReference"/>
          <w:rFonts w:cs="Times New Roman"/>
        </w:rPr>
        <w:footnoteRef/>
      </w:r>
      <w:r w:rsidRPr="00103450">
        <w:rPr>
          <w:rFonts w:cs="Times New Roman"/>
        </w:rPr>
        <w:t xml:space="preserve"> </w:t>
      </w:r>
      <w:proofErr w:type="gramStart"/>
      <w:r>
        <w:rPr>
          <w:rFonts w:cs="Times New Roman"/>
        </w:rPr>
        <w:t xml:space="preserve">District of Columbia et al. v. Heller, </w:t>
      </w:r>
      <w:r w:rsidRPr="00103450">
        <w:rPr>
          <w:rFonts w:cs="Times New Roman"/>
          <w:color w:val="1A1A1A"/>
        </w:rPr>
        <w:t>554 U.S. 570</w:t>
      </w:r>
      <w:r>
        <w:rPr>
          <w:rFonts w:cs="Times New Roman"/>
          <w:color w:val="1A1A1A"/>
        </w:rPr>
        <w:t>, 53, 3 (2008).</w:t>
      </w:r>
      <w:proofErr w:type="gramEnd"/>
      <w:r>
        <w:rPr>
          <w:rFonts w:cs="Times New Roman"/>
          <w:color w:val="1A1A1A"/>
        </w:rPr>
        <w:t xml:space="preserve"> </w:t>
      </w:r>
    </w:p>
  </w:footnote>
  <w:footnote w:id="15">
    <w:p w14:paraId="226F126D" w14:textId="77777777" w:rsidR="00381987" w:rsidRDefault="00381987" w:rsidP="00381987">
      <w:pPr>
        <w:pStyle w:val="FootnoteText"/>
      </w:pPr>
      <w:r>
        <w:rPr>
          <w:rStyle w:val="FootnoteReference"/>
        </w:rPr>
        <w:footnoteRef/>
      </w:r>
      <w:r>
        <w:t xml:space="preserve"> Justice Breyer wrote a more traditional, liberal dissent, in which he analyzes evidence on urban gun violence and uses a balancing test. </w:t>
      </w:r>
    </w:p>
  </w:footnote>
  <w:footnote w:id="16">
    <w:p w14:paraId="1A229746" w14:textId="77777777" w:rsidR="00381987" w:rsidRDefault="00381987" w:rsidP="00381987">
      <w:pPr>
        <w:pStyle w:val="FootnoteText"/>
      </w:pPr>
      <w:r>
        <w:rPr>
          <w:rStyle w:val="FootnoteReference"/>
        </w:rPr>
        <w:footnoteRef/>
      </w:r>
      <w:r>
        <w:t xml:space="preserve"> </w:t>
      </w:r>
      <w:proofErr w:type="gramStart"/>
      <w:r>
        <w:t xml:space="preserve">Heller, </w:t>
      </w:r>
      <w:r w:rsidRPr="00103450">
        <w:rPr>
          <w:rFonts w:cs="Times New Roman"/>
          <w:color w:val="1A1A1A"/>
        </w:rPr>
        <w:t>554 U.S. 570</w:t>
      </w:r>
      <w:r>
        <w:rPr>
          <w:rFonts w:cs="Times New Roman"/>
          <w:color w:val="1A1A1A"/>
        </w:rPr>
        <w:t xml:space="preserve"> at 32 (2008).</w:t>
      </w:r>
      <w:proofErr w:type="gramEnd"/>
      <w:r>
        <w:rPr>
          <w:rFonts w:cs="Times New Roman"/>
          <w:color w:val="1A1A1A"/>
        </w:rPr>
        <w:t xml:space="preserve"> </w:t>
      </w:r>
    </w:p>
  </w:footnote>
  <w:footnote w:id="17">
    <w:p w14:paraId="3C120A55" w14:textId="77777777" w:rsidR="00381987" w:rsidRDefault="00381987" w:rsidP="00381987">
      <w:pPr>
        <w:pStyle w:val="FootnoteText"/>
      </w:pPr>
      <w:r>
        <w:rPr>
          <w:rStyle w:val="FootnoteReference"/>
        </w:rPr>
        <w:footnoteRef/>
      </w:r>
      <w:r>
        <w:t xml:space="preserve"> </w:t>
      </w:r>
      <w:proofErr w:type="gramStart"/>
      <w:r>
        <w:t xml:space="preserve">Heller, </w:t>
      </w:r>
      <w:r w:rsidRPr="00103450">
        <w:rPr>
          <w:rFonts w:cs="Times New Roman"/>
          <w:color w:val="1A1A1A"/>
        </w:rPr>
        <w:t>554 U.S. 570</w:t>
      </w:r>
      <w:r>
        <w:rPr>
          <w:rFonts w:cs="Times New Roman"/>
          <w:color w:val="1A1A1A"/>
        </w:rPr>
        <w:t xml:space="preserve"> at 28 (2008) (Stevens, J., dissenting).</w:t>
      </w:r>
      <w:proofErr w:type="gramEnd"/>
      <w:r>
        <w:rPr>
          <w:rFonts w:cs="Times New Roman"/>
          <w:color w:val="1A1A1A"/>
        </w:rPr>
        <w:t xml:space="preserve"> </w:t>
      </w:r>
    </w:p>
  </w:footnote>
  <w:footnote w:id="18">
    <w:p w14:paraId="1B2337AC" w14:textId="77777777" w:rsidR="00381987" w:rsidRDefault="00381987" w:rsidP="00381987">
      <w:pPr>
        <w:pStyle w:val="FootnoteText"/>
      </w:pPr>
      <w:r>
        <w:rPr>
          <w:rStyle w:val="FootnoteReference"/>
        </w:rPr>
        <w:footnoteRef/>
      </w:r>
      <w:r>
        <w:t xml:space="preserve"> </w:t>
      </w:r>
      <w:proofErr w:type="gramStart"/>
      <w:r>
        <w:t xml:space="preserve">Heller, </w:t>
      </w:r>
      <w:r w:rsidRPr="00103450">
        <w:rPr>
          <w:rFonts w:cs="Times New Roman"/>
          <w:color w:val="1A1A1A"/>
        </w:rPr>
        <w:t>554 U.S. 570</w:t>
      </w:r>
      <w:r>
        <w:rPr>
          <w:rFonts w:cs="Times New Roman"/>
          <w:color w:val="1A1A1A"/>
        </w:rPr>
        <w:t xml:space="preserve"> at 22 (2008).</w:t>
      </w:r>
      <w:proofErr w:type="gramEnd"/>
    </w:p>
  </w:footnote>
  <w:footnote w:id="19">
    <w:p w14:paraId="311B7E54" w14:textId="77777777" w:rsidR="00381987" w:rsidRDefault="00381987" w:rsidP="00381987">
      <w:pPr>
        <w:pStyle w:val="FootnoteText"/>
      </w:pPr>
      <w:r>
        <w:rPr>
          <w:rStyle w:val="FootnoteReference"/>
        </w:rPr>
        <w:footnoteRef/>
      </w:r>
      <w:r>
        <w:t xml:space="preserve"> </w:t>
      </w:r>
      <w:proofErr w:type="gramStart"/>
      <w:r>
        <w:t xml:space="preserve">Heller, </w:t>
      </w:r>
      <w:r w:rsidRPr="00103450">
        <w:rPr>
          <w:rFonts w:cs="Times New Roman"/>
          <w:color w:val="1A1A1A"/>
        </w:rPr>
        <w:t>554 U.S. 570</w:t>
      </w:r>
      <w:r>
        <w:rPr>
          <w:rFonts w:cs="Times New Roman"/>
          <w:color w:val="1A1A1A"/>
        </w:rPr>
        <w:t xml:space="preserve"> at 1 (2008) (Stevens, J., dissenting).</w:t>
      </w:r>
      <w:proofErr w:type="gramEnd"/>
    </w:p>
  </w:footnote>
  <w:footnote w:id="20">
    <w:p w14:paraId="06CA22E1" w14:textId="77777777" w:rsidR="00381987" w:rsidRDefault="00381987" w:rsidP="00381987">
      <w:pPr>
        <w:pStyle w:val="FootnoteText"/>
      </w:pPr>
      <w:r>
        <w:rPr>
          <w:rStyle w:val="FootnoteReference"/>
        </w:rPr>
        <w:footnoteRef/>
      </w:r>
      <w:r>
        <w:t xml:space="preserve"> Mark </w:t>
      </w:r>
      <w:proofErr w:type="spellStart"/>
      <w:r>
        <w:t>Tushnet</w:t>
      </w:r>
      <w:proofErr w:type="spellEnd"/>
      <w:r>
        <w:t xml:space="preserve">, “More on Heller,” </w:t>
      </w:r>
      <w:r w:rsidRPr="00FD73C4">
        <w:t>http://balkin.blogspot.com/2008/06/more-on-heller.html</w:t>
      </w:r>
      <w:r>
        <w:t>, June 17, 2008, accessed December 22, 2012.</w:t>
      </w:r>
    </w:p>
  </w:footnote>
  <w:footnote w:id="21">
    <w:p w14:paraId="13A8B45C" w14:textId="77777777" w:rsidR="00381987" w:rsidRPr="00471F28" w:rsidRDefault="00381987" w:rsidP="00381987">
      <w:pPr>
        <w:pStyle w:val="FootnoteText"/>
      </w:pPr>
      <w:r>
        <w:rPr>
          <w:rStyle w:val="FootnoteReference"/>
        </w:rPr>
        <w:footnoteRef/>
      </w:r>
      <w:r>
        <w:t xml:space="preserve"> Judges may be institutionally incompetent to be historians. Their training is in law, not history. </w:t>
      </w:r>
    </w:p>
  </w:footnote>
  <w:footnote w:id="22">
    <w:p w14:paraId="4A1BDDC0" w14:textId="77777777" w:rsidR="00381987" w:rsidRPr="00FD73C4" w:rsidRDefault="00381987" w:rsidP="00381987">
      <w:pPr>
        <w:pStyle w:val="FootnoteText"/>
      </w:pPr>
      <w:r>
        <w:rPr>
          <w:rStyle w:val="FootnoteReference"/>
        </w:rPr>
        <w:footnoteRef/>
      </w:r>
      <w:r>
        <w:t xml:space="preserve"> </w:t>
      </w:r>
      <w:r>
        <w:rPr>
          <w:rFonts w:cs="Times New Roman"/>
        </w:rPr>
        <w:t>Arthur Schlesinger Jr., “Folly’s Antidote,”</w:t>
      </w:r>
      <w:r>
        <w:rPr>
          <w:rFonts w:cs="Times New Roman"/>
          <w:i/>
        </w:rPr>
        <w:t xml:space="preserve"> New York Times</w:t>
      </w:r>
      <w:r>
        <w:rPr>
          <w:rFonts w:cs="Times New Roman"/>
        </w:rPr>
        <w:t xml:space="preserve">, January 1, 2007, A19. </w:t>
      </w:r>
    </w:p>
  </w:footnote>
  <w:footnote w:id="23">
    <w:p w14:paraId="2A16EEA9" w14:textId="77777777" w:rsidR="00381987" w:rsidRPr="00666201" w:rsidRDefault="00381987" w:rsidP="00381987">
      <w:pPr>
        <w:pStyle w:val="FootnoteText"/>
      </w:pPr>
      <w:r>
        <w:rPr>
          <w:rStyle w:val="FootnoteReference"/>
        </w:rPr>
        <w:footnoteRef/>
      </w:r>
      <w:r>
        <w:t xml:space="preserve"> Many scholars, from Sanford Levinson to Richard Posner, have accused Scalia and Stevens of law office history in </w:t>
      </w:r>
      <w:r>
        <w:rPr>
          <w:i/>
        </w:rPr>
        <w:t>Heller</w:t>
      </w:r>
      <w:r>
        <w:t xml:space="preserve">, suggesting both engage in an intentional, arbitrary and tendentious reading of the past to substantiate pre-determined positions. While I have some sympathy for this argument, I think a better explanation for the differences between the two opinions stems from historical interpretation being influenced by individual experience, personal values, objectives, and other factors. </w:t>
      </w:r>
    </w:p>
  </w:footnote>
  <w:footnote w:id="24">
    <w:p w14:paraId="4CCE900D" w14:textId="77777777" w:rsidR="00381987" w:rsidRDefault="00381987" w:rsidP="00381987">
      <w:pPr>
        <w:pStyle w:val="FootnoteText"/>
      </w:pPr>
      <w:r>
        <w:rPr>
          <w:rStyle w:val="FootnoteReference"/>
        </w:rPr>
        <w:footnoteRef/>
      </w:r>
      <w:r>
        <w:t xml:space="preserve"> Mary Wood, “Scalia Defends Originalism as Best Methodology for Judging Law,” </w:t>
      </w:r>
      <w:r>
        <w:rPr>
          <w:i/>
        </w:rPr>
        <w:t>University of Virginia Law School News</w:t>
      </w:r>
      <w:r>
        <w:t xml:space="preserve">, April 20, 2010.  </w:t>
      </w:r>
    </w:p>
  </w:footnote>
  <w:footnote w:id="25">
    <w:p w14:paraId="2B792794" w14:textId="77777777" w:rsidR="00381987" w:rsidRDefault="00381987" w:rsidP="00381987">
      <w:pPr>
        <w:pStyle w:val="FootnoteText"/>
      </w:pPr>
      <w:r>
        <w:rPr>
          <w:rStyle w:val="FootnoteReference"/>
        </w:rPr>
        <w:footnoteRef/>
      </w:r>
      <w:r>
        <w:t xml:space="preserve"> </w:t>
      </w:r>
      <w:proofErr w:type="gramStart"/>
      <w:r>
        <w:t>Casey, 505 U.S. at 983 (1992) (Scalia, J., dissenting).</w:t>
      </w:r>
      <w:proofErr w:type="gramEnd"/>
      <w:r>
        <w:t xml:space="preserve"> </w:t>
      </w:r>
      <w:r>
        <w:br/>
        <w:t xml:space="preserve">The same criticism could be leveled at different parts of Stevens’ opinion, too; I focus on Scalia here because he identifies as an originalist.  </w:t>
      </w:r>
    </w:p>
  </w:footnote>
  <w:footnote w:id="26">
    <w:p w14:paraId="61F01EF9" w14:textId="77777777" w:rsidR="00381987" w:rsidRDefault="00381987" w:rsidP="00381987">
      <w:pPr>
        <w:pStyle w:val="FootnoteText"/>
      </w:pPr>
      <w:r>
        <w:rPr>
          <w:rStyle w:val="FootnoteReference"/>
        </w:rPr>
        <w:footnoteRef/>
      </w:r>
      <w:r>
        <w:t xml:space="preserve"> </w:t>
      </w:r>
      <w:proofErr w:type="gramStart"/>
      <w:r>
        <w:t xml:space="preserve">Heller, </w:t>
      </w:r>
      <w:r w:rsidRPr="00103450">
        <w:rPr>
          <w:rFonts w:cs="Times New Roman"/>
          <w:color w:val="1A1A1A"/>
        </w:rPr>
        <w:t>554 U.S. 570</w:t>
      </w:r>
      <w:r>
        <w:rPr>
          <w:rFonts w:cs="Times New Roman"/>
          <w:color w:val="1A1A1A"/>
        </w:rPr>
        <w:t xml:space="preserve"> at 54 (2008).</w:t>
      </w:r>
      <w:proofErr w:type="gramEnd"/>
    </w:p>
  </w:footnote>
  <w:footnote w:id="27">
    <w:p w14:paraId="53E117DD" w14:textId="77777777" w:rsidR="00381987" w:rsidRDefault="00381987" w:rsidP="00381987">
      <w:pPr>
        <w:pStyle w:val="FootnoteText"/>
      </w:pPr>
      <w:r>
        <w:rPr>
          <w:rStyle w:val="FootnoteReference"/>
        </w:rPr>
        <w:footnoteRef/>
      </w:r>
      <w:r>
        <w:t xml:space="preserve"> </w:t>
      </w:r>
      <w:proofErr w:type="gramStart"/>
      <w:r>
        <w:t xml:space="preserve">Heller, </w:t>
      </w:r>
      <w:r w:rsidRPr="00103450">
        <w:rPr>
          <w:rFonts w:cs="Times New Roman"/>
          <w:color w:val="1A1A1A"/>
        </w:rPr>
        <w:t>554 U.S. 570</w:t>
      </w:r>
      <w:r>
        <w:rPr>
          <w:rFonts w:cs="Times New Roman"/>
          <w:color w:val="1A1A1A"/>
        </w:rPr>
        <w:t xml:space="preserve"> at 54 (2008).</w:t>
      </w:r>
      <w:proofErr w:type="gramEnd"/>
    </w:p>
  </w:footnote>
  <w:footnote w:id="28">
    <w:p w14:paraId="7D5D5837" w14:textId="77777777" w:rsidR="00381987" w:rsidRDefault="00381987" w:rsidP="00381987">
      <w:pPr>
        <w:pStyle w:val="FootnoteText"/>
      </w:pPr>
      <w:r>
        <w:rPr>
          <w:rStyle w:val="FootnoteReference"/>
        </w:rPr>
        <w:footnoteRef/>
      </w:r>
      <w:r>
        <w:t xml:space="preserve"> </w:t>
      </w:r>
      <w:proofErr w:type="gramStart"/>
      <w:r>
        <w:rPr>
          <w:rFonts w:ascii="Times" w:hAnsi="Times" w:cs="Times"/>
          <w:color w:val="000000"/>
        </w:rPr>
        <w:t>Nelson Lund</w:t>
      </w:r>
      <w:r w:rsidRPr="000B38EF">
        <w:rPr>
          <w:rFonts w:ascii="Times" w:hAnsi="Times" w:cs="Times"/>
          <w:color w:val="000000"/>
        </w:rPr>
        <w:t xml:space="preserve">, </w:t>
      </w:r>
      <w:r>
        <w:rPr>
          <w:rFonts w:ascii="Times" w:hAnsi="Times" w:cs="Times"/>
          <w:color w:val="000000"/>
        </w:rPr>
        <w:t>“The Second Amendment, Heller, and Originalist Jurisprudence</w:t>
      </w:r>
      <w:r w:rsidRPr="000B38EF">
        <w:rPr>
          <w:rFonts w:ascii="Times" w:hAnsi="Times" w:cs="Times"/>
          <w:color w:val="000000"/>
        </w:rPr>
        <w:t>,</w:t>
      </w:r>
      <w:r>
        <w:rPr>
          <w:rFonts w:ascii="Times" w:hAnsi="Times" w:cs="Times"/>
          <w:color w:val="000000"/>
        </w:rPr>
        <w:t>”</w:t>
      </w:r>
      <w:r w:rsidRPr="000B38EF">
        <w:rPr>
          <w:rFonts w:ascii="Times" w:hAnsi="Times" w:cs="Times"/>
          <w:color w:val="000000"/>
        </w:rPr>
        <w:t xml:space="preserve"> </w:t>
      </w:r>
      <w:r>
        <w:rPr>
          <w:rFonts w:ascii="Times" w:hAnsi="Times" w:cs="Times"/>
          <w:color w:val="000000"/>
        </w:rPr>
        <w:t xml:space="preserve">56 </w:t>
      </w:r>
      <w:r>
        <w:rPr>
          <w:rFonts w:ascii="Times" w:hAnsi="Times" w:cs="Times"/>
          <w:i/>
          <w:color w:val="000000"/>
        </w:rPr>
        <w:t>UCLA Law Review</w:t>
      </w:r>
      <w:r>
        <w:rPr>
          <w:rFonts w:ascii="Times" w:hAnsi="Times" w:cs="Times"/>
          <w:color w:val="000000"/>
        </w:rPr>
        <w:t xml:space="preserve"> 1343 </w:t>
      </w:r>
      <w:r w:rsidRPr="000B38EF">
        <w:rPr>
          <w:rFonts w:ascii="Times" w:hAnsi="Times" w:cs="Times"/>
          <w:color w:val="000000"/>
        </w:rPr>
        <w:t>(2009)</w:t>
      </w:r>
      <w:r w:rsidRPr="000B38EF">
        <w:t xml:space="preserve"> </w:t>
      </w:r>
      <w:r>
        <w:t>at 1362</w:t>
      </w:r>
      <w:r w:rsidRPr="00FF74DB">
        <w:t>.</w:t>
      </w:r>
      <w:proofErr w:type="gramEnd"/>
    </w:p>
  </w:footnote>
  <w:footnote w:id="29">
    <w:p w14:paraId="010E3B82" w14:textId="77777777" w:rsidR="00381987" w:rsidRDefault="00381987" w:rsidP="00381987">
      <w:pPr>
        <w:pStyle w:val="FootnoteText"/>
      </w:pPr>
      <w:r>
        <w:rPr>
          <w:rStyle w:val="FootnoteReference"/>
        </w:rPr>
        <w:footnoteRef/>
      </w:r>
      <w:r>
        <w:t xml:space="preserve"> </w:t>
      </w:r>
      <w:proofErr w:type="gramStart"/>
      <w:r>
        <w:t xml:space="preserve">Heller, </w:t>
      </w:r>
      <w:r w:rsidRPr="00103450">
        <w:rPr>
          <w:rFonts w:cs="Times New Roman"/>
          <w:color w:val="1A1A1A"/>
        </w:rPr>
        <w:t>554 U.S. 570</w:t>
      </w:r>
      <w:r>
        <w:rPr>
          <w:rFonts w:cs="Times New Roman"/>
          <w:color w:val="1A1A1A"/>
        </w:rPr>
        <w:t xml:space="preserve"> at 55 (2008).</w:t>
      </w:r>
      <w:proofErr w:type="gramEnd"/>
    </w:p>
  </w:footnote>
  <w:footnote w:id="30">
    <w:p w14:paraId="1A0D91B7" w14:textId="77777777" w:rsidR="00381987" w:rsidRDefault="00381987" w:rsidP="00381987">
      <w:pPr>
        <w:pStyle w:val="FootnoteText"/>
      </w:pPr>
      <w:r>
        <w:rPr>
          <w:rStyle w:val="FootnoteReference"/>
        </w:rPr>
        <w:footnoteRef/>
      </w:r>
      <w:r>
        <w:t xml:space="preserve"> </w:t>
      </w:r>
      <w:r w:rsidRPr="000B38EF">
        <w:rPr>
          <w:rFonts w:ascii="Times" w:hAnsi="Times" w:cs="Times"/>
          <w:color w:val="000000"/>
        </w:rPr>
        <w:t xml:space="preserve">J. </w:t>
      </w:r>
      <w:proofErr w:type="spellStart"/>
      <w:r w:rsidRPr="000B38EF">
        <w:rPr>
          <w:rFonts w:ascii="Times" w:hAnsi="Times" w:cs="Times"/>
          <w:color w:val="000000"/>
        </w:rPr>
        <w:t>Harvie</w:t>
      </w:r>
      <w:proofErr w:type="spellEnd"/>
      <w:r w:rsidRPr="000B38EF">
        <w:rPr>
          <w:rFonts w:ascii="Times" w:hAnsi="Times" w:cs="Times"/>
          <w:color w:val="000000"/>
        </w:rPr>
        <w:t xml:space="preserve"> Wilkinson III, </w:t>
      </w:r>
      <w:r>
        <w:rPr>
          <w:rFonts w:ascii="Times" w:hAnsi="Times" w:cs="Times"/>
          <w:color w:val="000000"/>
        </w:rPr>
        <w:t>“</w:t>
      </w:r>
      <w:r w:rsidRPr="000B38EF">
        <w:rPr>
          <w:rFonts w:ascii="Times" w:hAnsi="Times" w:cs="Times"/>
          <w:color w:val="000000"/>
        </w:rPr>
        <w:t>Of Guns, Abortions, and the Unraveling Rule of Law,</w:t>
      </w:r>
      <w:r>
        <w:rPr>
          <w:rFonts w:ascii="Times" w:hAnsi="Times" w:cs="Times"/>
          <w:color w:val="000000"/>
        </w:rPr>
        <w:t>”</w:t>
      </w:r>
      <w:r w:rsidRPr="000B38EF">
        <w:rPr>
          <w:rFonts w:ascii="Times" w:hAnsi="Times" w:cs="Times"/>
          <w:color w:val="000000"/>
        </w:rPr>
        <w:t xml:space="preserve"> 95 </w:t>
      </w:r>
      <w:r>
        <w:rPr>
          <w:rFonts w:ascii="Times" w:hAnsi="Times" w:cs="Times"/>
          <w:i/>
          <w:color w:val="000000"/>
        </w:rPr>
        <w:t>Virginia Law Review</w:t>
      </w:r>
      <w:r>
        <w:rPr>
          <w:rFonts w:ascii="Times" w:hAnsi="Times" w:cs="Times"/>
          <w:color w:val="000000"/>
        </w:rPr>
        <w:t xml:space="preserve"> 253 </w:t>
      </w:r>
      <w:r>
        <w:t xml:space="preserve">at 273 </w:t>
      </w:r>
      <w:r w:rsidRPr="000B38EF">
        <w:rPr>
          <w:rFonts w:ascii="Times" w:hAnsi="Times" w:cs="Times"/>
          <w:color w:val="000000"/>
        </w:rPr>
        <w:t>(2009)</w:t>
      </w:r>
      <w:r w:rsidRPr="00FF74DB">
        <w:t xml:space="preserve">. </w:t>
      </w:r>
      <w:r>
        <w:br/>
        <w:t>Wilkinson’s analogy is not flawless. The Fourteenth Amendment does not mention “abortion.” The Second does mention “arms.”</w:t>
      </w:r>
    </w:p>
  </w:footnote>
  <w:footnote w:id="31">
    <w:p w14:paraId="159BE8C2" w14:textId="77777777" w:rsidR="00381987" w:rsidRDefault="00381987" w:rsidP="00381987">
      <w:pPr>
        <w:pStyle w:val="FootnoteText"/>
      </w:pPr>
      <w:r>
        <w:rPr>
          <w:rStyle w:val="FootnoteReference"/>
        </w:rPr>
        <w:footnoteRef/>
      </w:r>
      <w:r>
        <w:t xml:space="preserve"> </w:t>
      </w:r>
      <w:proofErr w:type="gramStart"/>
      <w:r>
        <w:t>Casey, 505 U.S. at 996, 1002 (Scalia, J., dissenting).</w:t>
      </w:r>
      <w:proofErr w:type="gramEnd"/>
      <w:r>
        <w:t xml:space="preserve"> </w:t>
      </w:r>
    </w:p>
  </w:footnote>
  <w:footnote w:id="32">
    <w:p w14:paraId="193D2033" w14:textId="77777777" w:rsidR="00381987" w:rsidRPr="00CD6429" w:rsidRDefault="00381987" w:rsidP="00381987">
      <w:pPr>
        <w:pStyle w:val="FootnoteText"/>
        <w:rPr>
          <w:rFonts w:cs="Times New Roman"/>
        </w:rPr>
      </w:pPr>
      <w:r w:rsidRPr="00CD6429">
        <w:rPr>
          <w:rStyle w:val="FootnoteReference"/>
          <w:rFonts w:cs="Times New Roman"/>
        </w:rPr>
        <w:footnoteRef/>
      </w:r>
      <w:r w:rsidRPr="00CD6429">
        <w:rPr>
          <w:rFonts w:cs="Times New Roman"/>
        </w:rPr>
        <w:t xml:space="preserve"> </w:t>
      </w:r>
      <w:proofErr w:type="gramStart"/>
      <w:r w:rsidRPr="00CD6429">
        <w:rPr>
          <w:rFonts w:cs="Times New Roman"/>
          <w:color w:val="000000"/>
        </w:rPr>
        <w:t>Lawrence v. Texas, 539 U.S. 558, 602–03 (2003) (Scalia, J., dissenting).</w:t>
      </w:r>
      <w:proofErr w:type="gramEnd"/>
    </w:p>
  </w:footnote>
  <w:footnote w:id="33">
    <w:p w14:paraId="59090BD2" w14:textId="77777777" w:rsidR="00381987" w:rsidRPr="00CD6429" w:rsidRDefault="00381987" w:rsidP="00381987">
      <w:pPr>
        <w:pStyle w:val="FootnoteText"/>
        <w:rPr>
          <w:rFonts w:cs="Times New Roman"/>
        </w:rPr>
      </w:pPr>
      <w:r w:rsidRPr="00CD6429">
        <w:rPr>
          <w:rStyle w:val="FootnoteReference"/>
          <w:rFonts w:cs="Times New Roman"/>
        </w:rPr>
        <w:footnoteRef/>
      </w:r>
      <w:r w:rsidRPr="00CD6429">
        <w:rPr>
          <w:rFonts w:cs="Times New Roman"/>
        </w:rPr>
        <w:t xml:space="preserve"> I think originalists conceive of “democracy” incorrectly, but that is not the focus of this paper.</w:t>
      </w:r>
    </w:p>
  </w:footnote>
  <w:footnote w:id="34">
    <w:p w14:paraId="4B175DD4" w14:textId="77777777" w:rsidR="00381987" w:rsidRDefault="00381987" w:rsidP="00381987">
      <w:pPr>
        <w:pStyle w:val="FootnoteText"/>
      </w:pPr>
      <w:r w:rsidRPr="00CD6429">
        <w:rPr>
          <w:rStyle w:val="FootnoteReference"/>
          <w:rFonts w:cs="Times New Roman"/>
        </w:rPr>
        <w:footnoteRef/>
      </w:r>
      <w:r w:rsidRPr="00CD6429">
        <w:rPr>
          <w:rFonts w:cs="Times New Roman"/>
        </w:rPr>
        <w:t xml:space="preserve"> See, e.g., Jeffrey Shaman, “The Wages of Originalist Sin: District of Columbia v. Heller,” http://www.acslaw.org/files/Shaman%20Issue%20Brief.pdf, accessed January 1, 2013; Jack </w:t>
      </w:r>
      <w:proofErr w:type="spellStart"/>
      <w:r w:rsidRPr="00CD6429">
        <w:rPr>
          <w:rFonts w:cs="Times New Roman"/>
        </w:rPr>
        <w:t>Rakove</w:t>
      </w:r>
      <w:proofErr w:type="spellEnd"/>
      <w:r w:rsidRPr="00CD6429">
        <w:rPr>
          <w:rFonts w:cs="Times New Roman"/>
        </w:rPr>
        <w:t xml:space="preserve">, “Thoughts on Heller from a ‘Real Historian,’” http://balkin.blogspot.com/2008/06/thoughts-on-heller-from-real-historian.html, accessed December 24, 2012; Randy Barnett, “News Flash: The Constitution Means What It Says,” </w:t>
      </w:r>
      <w:r w:rsidRPr="00CD6429">
        <w:rPr>
          <w:rFonts w:cs="Times New Roman"/>
          <w:i/>
        </w:rPr>
        <w:t>Wall Street Journal</w:t>
      </w:r>
      <w:r w:rsidRPr="00CD6429">
        <w:rPr>
          <w:rFonts w:cs="Times New Roman"/>
        </w:rPr>
        <w:t xml:space="preserve">, June 27, 2008, A13; Saul Cornell, “Heller, New Originalism, and Law Office History: Meet the New Boss, Same as Old Boss,” 56 </w:t>
      </w:r>
      <w:r w:rsidRPr="00CD6429">
        <w:rPr>
          <w:rFonts w:cs="Times New Roman"/>
          <w:i/>
        </w:rPr>
        <w:t xml:space="preserve">UCLA Law Review </w:t>
      </w:r>
      <w:r w:rsidRPr="00CD6429">
        <w:rPr>
          <w:rFonts w:cs="Times New Roman"/>
        </w:rPr>
        <w:t xml:space="preserve">1095 (2009); Lawrence </w:t>
      </w:r>
      <w:proofErr w:type="spellStart"/>
      <w:r w:rsidRPr="00CD6429">
        <w:rPr>
          <w:rFonts w:cs="Times New Roman"/>
        </w:rPr>
        <w:t>Solum</w:t>
      </w:r>
      <w:proofErr w:type="spellEnd"/>
      <w:r w:rsidRPr="00CD6429">
        <w:rPr>
          <w:rFonts w:cs="Times New Roman"/>
        </w:rPr>
        <w:t xml:space="preserve">, “District of Columbia v. Heller and Originalism,” </w:t>
      </w:r>
      <w:r w:rsidRPr="00CD6429">
        <w:rPr>
          <w:rFonts w:cs="Times New Roman"/>
          <w:i/>
        </w:rPr>
        <w:t xml:space="preserve">103 Northwestern University Law Review </w:t>
      </w:r>
      <w:r w:rsidRPr="00CD6429">
        <w:rPr>
          <w:rFonts w:cs="Times New Roman"/>
        </w:rPr>
        <w:t xml:space="preserve">923 (2009); Richard Posner, “In Defense of Looseness,” </w:t>
      </w:r>
      <w:r w:rsidRPr="00CD6429">
        <w:rPr>
          <w:rFonts w:cs="Times New Roman"/>
          <w:i/>
        </w:rPr>
        <w:t>The New Republic</w:t>
      </w:r>
      <w:r w:rsidRPr="00CD6429">
        <w:rPr>
          <w:rFonts w:cs="Times New Roman"/>
        </w:rPr>
        <w:t xml:space="preserve">, August 27, 2008;  </w:t>
      </w:r>
      <w:r w:rsidRPr="00CD6429">
        <w:rPr>
          <w:rFonts w:cs="Times New Roman"/>
          <w:color w:val="000000"/>
        </w:rPr>
        <w:t xml:space="preserve">Nelson Lund, “The Second Amendment, Heller, and Originalist Jurisprudence,” 56 </w:t>
      </w:r>
      <w:r w:rsidRPr="00CD6429">
        <w:rPr>
          <w:rFonts w:cs="Times New Roman"/>
          <w:i/>
          <w:color w:val="000000"/>
        </w:rPr>
        <w:t>UCLA Law Review</w:t>
      </w:r>
      <w:r w:rsidRPr="00CD6429">
        <w:rPr>
          <w:rFonts w:cs="Times New Roman"/>
          <w:color w:val="000000"/>
        </w:rPr>
        <w:t xml:space="preserve"> 1343 </w:t>
      </w:r>
      <w:r w:rsidRPr="00CD6429">
        <w:rPr>
          <w:rFonts w:cs="Times New Roman"/>
        </w:rPr>
        <w:t>at 1349 (“</w:t>
      </w:r>
      <w:r w:rsidRPr="00CD6429">
        <w:rPr>
          <w:rFonts w:cs="Times New Roman"/>
          <w:color w:val="000000"/>
        </w:rPr>
        <w:t xml:space="preserve">Justice Scalia’s originalist arguments in favor of the private-right interpretation are overwhelmingly more powerful than Justice Stevens’ originalist arguments in favor of the military-service interpretation”) (2009). </w:t>
      </w:r>
    </w:p>
  </w:footnote>
  <w:footnote w:id="35">
    <w:p w14:paraId="5A776AC7" w14:textId="77777777" w:rsidR="00381987" w:rsidRDefault="00381987" w:rsidP="00381987">
      <w:pPr>
        <w:pStyle w:val="FootnoteText"/>
      </w:pPr>
      <w:r>
        <w:rPr>
          <w:rStyle w:val="FootnoteReference"/>
        </w:rPr>
        <w:footnoteRef/>
      </w:r>
      <w:r>
        <w:t xml:space="preserve"> Scalia, “Originalism: The Lesser Evil,” 253.</w:t>
      </w:r>
    </w:p>
  </w:footnote>
  <w:footnote w:id="36">
    <w:p w14:paraId="32482930" w14:textId="77777777" w:rsidR="00381987" w:rsidRDefault="00381987" w:rsidP="00381987">
      <w:pPr>
        <w:pStyle w:val="FootnoteText"/>
      </w:pPr>
      <w:r>
        <w:rPr>
          <w:rStyle w:val="FootnoteReference"/>
        </w:rPr>
        <w:footnoteRef/>
      </w:r>
      <w:r>
        <w:t xml:space="preserve"> Scalia, </w:t>
      </w:r>
      <w:proofErr w:type="gramStart"/>
      <w:r>
        <w:rPr>
          <w:i/>
        </w:rPr>
        <w:t>A</w:t>
      </w:r>
      <w:proofErr w:type="gramEnd"/>
      <w:r>
        <w:rPr>
          <w:i/>
        </w:rPr>
        <w:t xml:space="preserve"> Matter of Interpretation</w:t>
      </w:r>
      <w:r>
        <w:t>, 45.</w:t>
      </w:r>
    </w:p>
  </w:footnote>
  <w:footnote w:id="37">
    <w:p w14:paraId="1560E890" w14:textId="77777777" w:rsidR="00381987" w:rsidRPr="00B72826" w:rsidRDefault="00381987" w:rsidP="00381987">
      <w:pPr>
        <w:rPr>
          <w:rFonts w:cs="Times New Roman"/>
        </w:rPr>
      </w:pPr>
      <w:r>
        <w:rPr>
          <w:rStyle w:val="FootnoteReference"/>
        </w:rPr>
        <w:footnoteRef/>
      </w:r>
      <w:r>
        <w:t xml:space="preserve"> </w:t>
      </w:r>
      <w:r>
        <w:rPr>
          <w:rFonts w:cs="Times New Roman"/>
          <w:color w:val="1A1A1A"/>
        </w:rPr>
        <w:t>An originalist might claim that Stevens and other liberals do not</w:t>
      </w:r>
      <w:r w:rsidRPr="007D309B">
        <w:rPr>
          <w:rFonts w:cs="Times New Roman"/>
          <w:color w:val="1A1A1A"/>
        </w:rPr>
        <w:t xml:space="preserve"> really care about originalism and that </w:t>
      </w:r>
      <w:r>
        <w:rPr>
          <w:rFonts w:cs="Times New Roman"/>
          <w:color w:val="1A1A1A"/>
        </w:rPr>
        <w:t>their analyses accordingly cannot</w:t>
      </w:r>
      <w:r w:rsidRPr="007D309B">
        <w:rPr>
          <w:rFonts w:cs="Times New Roman"/>
          <w:color w:val="1A1A1A"/>
        </w:rPr>
        <w:t xml:space="preserve"> be trusted as sincere or genuine. </w:t>
      </w:r>
      <w:r>
        <w:rPr>
          <w:rFonts w:cs="Times New Roman"/>
          <w:color w:val="1A1A1A"/>
        </w:rPr>
        <w:t xml:space="preserve"> Yet </w:t>
      </w:r>
      <w:r>
        <w:rPr>
          <w:rFonts w:cs="Times New Roman"/>
        </w:rPr>
        <w:t xml:space="preserve">conservatives do not have a monopoly on originalism. Some liberals, including </w:t>
      </w:r>
      <w:proofErr w:type="spellStart"/>
      <w:r>
        <w:rPr>
          <w:rFonts w:cs="Times New Roman"/>
        </w:rPr>
        <w:t>Akhil</w:t>
      </w:r>
      <w:proofErr w:type="spellEnd"/>
      <w:r>
        <w:rPr>
          <w:rFonts w:cs="Times New Roman"/>
        </w:rPr>
        <w:t xml:space="preserve"> Reed Amar, Doug Kendall, and James Ryan, sincerely identify as originalists. Before Robert Bork, there was Hugo Black, a </w:t>
      </w:r>
      <w:proofErr w:type="spellStart"/>
      <w:r>
        <w:rPr>
          <w:rFonts w:cs="Times New Roman"/>
        </w:rPr>
        <w:t>textualist</w:t>
      </w:r>
      <w:proofErr w:type="spellEnd"/>
      <w:r>
        <w:rPr>
          <w:rFonts w:cs="Times New Roman"/>
        </w:rPr>
        <w:t xml:space="preserve"> and perhaps even originalist. Moreover, from an institutional perspective, very talented lawyers compose the Supreme Court. Stevens may not be an originalist, but that does not mean that he cannot effectively advocate from a methodology that does not come organically to him. </w:t>
      </w:r>
    </w:p>
  </w:footnote>
  <w:footnote w:id="38">
    <w:p w14:paraId="41C692C9" w14:textId="77777777" w:rsidR="00381987" w:rsidRDefault="00381987" w:rsidP="00381987">
      <w:pPr>
        <w:pStyle w:val="FootnoteText"/>
      </w:pPr>
      <w:r>
        <w:rPr>
          <w:rStyle w:val="FootnoteReference"/>
        </w:rPr>
        <w:footnoteRef/>
      </w:r>
      <w:r>
        <w:t xml:space="preserve"> I base this conclusion on contrasting </w:t>
      </w:r>
      <w:r>
        <w:rPr>
          <w:i/>
        </w:rPr>
        <w:t>ultra</w:t>
      </w:r>
      <w:r>
        <w:t xml:space="preserve"> 33 with the authors’ public statements that indicate political preferences. </w:t>
      </w:r>
    </w:p>
  </w:footnote>
  <w:footnote w:id="39">
    <w:p w14:paraId="79FA04E1" w14:textId="77777777" w:rsidR="00381987" w:rsidRPr="00FF74DB" w:rsidRDefault="00381987" w:rsidP="00381987">
      <w:pPr>
        <w:pStyle w:val="FootnoteText"/>
      </w:pPr>
      <w:r>
        <w:rPr>
          <w:rStyle w:val="FootnoteReference"/>
        </w:rPr>
        <w:footnoteRef/>
      </w:r>
      <w:r>
        <w:t xml:space="preserve"> Randy Barnett, “News Flash: The Constitution Means What It Says,” </w:t>
      </w:r>
      <w:r>
        <w:rPr>
          <w:i/>
        </w:rPr>
        <w:t>Wall Street Journal</w:t>
      </w:r>
      <w:r>
        <w:t>, June 27, 2008, A13.</w:t>
      </w:r>
    </w:p>
  </w:footnote>
  <w:footnote w:id="40">
    <w:p w14:paraId="079A201B" w14:textId="77777777" w:rsidR="00381987" w:rsidRDefault="00381987" w:rsidP="00381987">
      <w:pPr>
        <w:pStyle w:val="FootnoteText"/>
      </w:pPr>
      <w:r>
        <w:rPr>
          <w:rStyle w:val="FootnoteReference"/>
        </w:rPr>
        <w:footnoteRef/>
      </w:r>
      <w:r>
        <w:t xml:space="preserve"> Ibid. </w:t>
      </w:r>
    </w:p>
  </w:footnote>
  <w:footnote w:id="41">
    <w:p w14:paraId="3ECE62BB" w14:textId="77777777" w:rsidR="00381987" w:rsidRPr="00FF74DB" w:rsidRDefault="00381987" w:rsidP="00381987">
      <w:pPr>
        <w:pStyle w:val="FootnoteText"/>
        <w:rPr>
          <w:b/>
        </w:rPr>
      </w:pPr>
      <w:r>
        <w:rPr>
          <w:rStyle w:val="FootnoteReference"/>
        </w:rPr>
        <w:footnoteRef/>
      </w:r>
      <w:r>
        <w:t xml:space="preserve"> </w:t>
      </w:r>
      <w:r>
        <w:rPr>
          <w:rFonts w:cs="Times New Roman"/>
        </w:rPr>
        <w:t xml:space="preserve">The Convention’s discussion of the Militia Clause, if anything, appears to support Stevens’ interpretation of the Amendment. See, e.g., </w:t>
      </w:r>
      <w:r w:rsidRPr="00CD6429">
        <w:rPr>
          <w:rFonts w:cs="Times New Roman"/>
        </w:rPr>
        <w:t xml:space="preserve">Jack </w:t>
      </w:r>
      <w:proofErr w:type="spellStart"/>
      <w:r w:rsidRPr="00CD6429">
        <w:rPr>
          <w:rFonts w:cs="Times New Roman"/>
        </w:rPr>
        <w:t>Rakove</w:t>
      </w:r>
      <w:proofErr w:type="spellEnd"/>
      <w:r w:rsidRPr="00CD6429">
        <w:rPr>
          <w:rFonts w:cs="Times New Roman"/>
        </w:rPr>
        <w:t>, “Thoughts on Heller from a ‘Real Historian,’” http://balkin.blogspot.com/2008/06/thoughts-on-heller-from-real-historian.html, accessed December 24, 2012</w:t>
      </w:r>
      <w:r>
        <w:rPr>
          <w:rFonts w:cs="Times New Roman"/>
        </w:rPr>
        <w:t>.</w:t>
      </w:r>
    </w:p>
  </w:footnote>
  <w:footnote w:id="42">
    <w:p w14:paraId="0EAE7F3F" w14:textId="77777777" w:rsidR="00381987" w:rsidRDefault="00381987" w:rsidP="00381987">
      <w:pPr>
        <w:pStyle w:val="FootnoteText"/>
      </w:pPr>
      <w:r>
        <w:rPr>
          <w:rStyle w:val="FootnoteReference"/>
        </w:rPr>
        <w:footnoteRef/>
      </w:r>
      <w:r>
        <w:t xml:space="preserve"> Scalia, </w:t>
      </w:r>
      <w:proofErr w:type="gramStart"/>
      <w:r>
        <w:rPr>
          <w:i/>
        </w:rPr>
        <w:t>A</w:t>
      </w:r>
      <w:proofErr w:type="gramEnd"/>
      <w:r>
        <w:rPr>
          <w:i/>
        </w:rPr>
        <w:t xml:space="preserve"> Matter of Interpretation</w:t>
      </w:r>
      <w:r>
        <w:t xml:space="preserve">, 29-37. </w:t>
      </w:r>
    </w:p>
  </w:footnote>
  <w:footnote w:id="43">
    <w:p w14:paraId="57544929" w14:textId="77777777" w:rsidR="00381987" w:rsidRPr="00FF74DB" w:rsidRDefault="00381987" w:rsidP="00381987">
      <w:pPr>
        <w:pStyle w:val="FootnoteText"/>
      </w:pPr>
      <w:r>
        <w:rPr>
          <w:rStyle w:val="FootnoteReference"/>
        </w:rPr>
        <w:footnoteRef/>
      </w:r>
      <w:r>
        <w:t xml:space="preserve"> Margaret Talbot, “Supreme Confidence: The Jurisprudence of Antonin Scalia,” </w:t>
      </w:r>
      <w:r>
        <w:rPr>
          <w:i/>
        </w:rPr>
        <w:t>The New Yorker</w:t>
      </w:r>
      <w:r>
        <w:t xml:space="preserve">, March 28, 2005, 45. </w:t>
      </w:r>
    </w:p>
  </w:footnote>
  <w:footnote w:id="44">
    <w:p w14:paraId="5787895A" w14:textId="77777777" w:rsidR="00381987" w:rsidRPr="001A2F67" w:rsidRDefault="00381987" w:rsidP="00381987">
      <w:pPr>
        <w:pStyle w:val="FootnoteText"/>
      </w:pPr>
      <w:r>
        <w:rPr>
          <w:rStyle w:val="FootnoteReference"/>
        </w:rPr>
        <w:footnoteRef/>
      </w:r>
      <w:r>
        <w:t xml:space="preserve"> See, e.g., </w:t>
      </w:r>
      <w:r>
        <w:rPr>
          <w:i/>
        </w:rPr>
        <w:t>National Treasury Employees Union v. Von</w:t>
      </w:r>
      <w:r w:rsidRPr="0095550A">
        <w:rPr>
          <w:i/>
        </w:rPr>
        <w:t xml:space="preserve"> </w:t>
      </w:r>
      <w:proofErr w:type="spellStart"/>
      <w:r w:rsidRPr="0095550A">
        <w:rPr>
          <w:i/>
        </w:rPr>
        <w:t>Raab</w:t>
      </w:r>
      <w:proofErr w:type="spellEnd"/>
      <w:r>
        <w:t xml:space="preserve"> (1989), </w:t>
      </w:r>
      <w:r w:rsidRPr="0095550A">
        <w:rPr>
          <w:i/>
        </w:rPr>
        <w:t>Maryland</w:t>
      </w:r>
      <w:r>
        <w:rPr>
          <w:i/>
        </w:rPr>
        <w:t xml:space="preserve"> v. Craig </w:t>
      </w:r>
      <w:r>
        <w:t xml:space="preserve">(1990), </w:t>
      </w:r>
      <w:proofErr w:type="spellStart"/>
      <w:r w:rsidRPr="00575B89">
        <w:rPr>
          <w:i/>
        </w:rPr>
        <w:t>Kyllo</w:t>
      </w:r>
      <w:proofErr w:type="spellEnd"/>
      <w:r>
        <w:rPr>
          <w:i/>
        </w:rPr>
        <w:t xml:space="preserve"> v. United </w:t>
      </w:r>
      <w:r w:rsidRPr="009461A1">
        <w:t>States</w:t>
      </w:r>
      <w:r>
        <w:t xml:space="preserve"> (2001), </w:t>
      </w:r>
      <w:r>
        <w:rPr>
          <w:i/>
        </w:rPr>
        <w:t>Blakely v. Washington</w:t>
      </w:r>
      <w:r>
        <w:t xml:space="preserve"> (2004), </w:t>
      </w:r>
      <w:proofErr w:type="spellStart"/>
      <w:r w:rsidRPr="00575B89">
        <w:rPr>
          <w:i/>
        </w:rPr>
        <w:t>Hamdi</w:t>
      </w:r>
      <w:proofErr w:type="spellEnd"/>
      <w:r w:rsidRPr="002F1E2F">
        <w:rPr>
          <w:i/>
        </w:rPr>
        <w:t xml:space="preserve"> v. Rumsfeld </w:t>
      </w:r>
      <w:r>
        <w:t xml:space="preserve">(2004), </w:t>
      </w:r>
      <w:r>
        <w:rPr>
          <w:i/>
        </w:rPr>
        <w:t xml:space="preserve">Crawford v. </w:t>
      </w:r>
      <w:r w:rsidRPr="006F35FF">
        <w:rPr>
          <w:i/>
        </w:rPr>
        <w:t>Washington</w:t>
      </w:r>
      <w:r>
        <w:t xml:space="preserve"> (2004), </w:t>
      </w:r>
      <w:proofErr w:type="spellStart"/>
      <w:r>
        <w:rPr>
          <w:i/>
        </w:rPr>
        <w:t>Granholm</w:t>
      </w:r>
      <w:proofErr w:type="spellEnd"/>
      <w:r>
        <w:rPr>
          <w:i/>
        </w:rPr>
        <w:t xml:space="preserve"> v. </w:t>
      </w:r>
      <w:proofErr w:type="spellStart"/>
      <w:r>
        <w:rPr>
          <w:i/>
        </w:rPr>
        <w:t>Heald</w:t>
      </w:r>
      <w:proofErr w:type="spellEnd"/>
      <w:r>
        <w:t xml:space="preserve"> (2005), </w:t>
      </w:r>
      <w:r w:rsidRPr="00575B89">
        <w:rPr>
          <w:i/>
        </w:rPr>
        <w:t>United</w:t>
      </w:r>
      <w:r>
        <w:rPr>
          <w:i/>
        </w:rPr>
        <w:t xml:space="preserve"> States v. Gonzalez-Lopez</w:t>
      </w:r>
      <w:r>
        <w:t xml:space="preserve"> (2006), </w:t>
      </w:r>
      <w:r>
        <w:rPr>
          <w:i/>
        </w:rPr>
        <w:t>Cuomo v. Clearing House Association</w:t>
      </w:r>
      <w:r>
        <w:t xml:space="preserve"> (2009) and </w:t>
      </w:r>
      <w:r>
        <w:rPr>
          <w:i/>
        </w:rPr>
        <w:t xml:space="preserve">Brown v. Entertainment Merchants Association </w:t>
      </w:r>
      <w:r>
        <w:t xml:space="preserve">(2011).  </w:t>
      </w:r>
    </w:p>
  </w:footnote>
  <w:footnote w:id="45">
    <w:p w14:paraId="05AD2B46" w14:textId="77777777" w:rsidR="00381987" w:rsidRDefault="00381987" w:rsidP="00381987">
      <w:pPr>
        <w:pStyle w:val="FootnoteText"/>
      </w:pPr>
      <w:r>
        <w:rPr>
          <w:rStyle w:val="FootnoteReference"/>
        </w:rPr>
        <w:footnoteRef/>
      </w:r>
      <w:r>
        <w:t xml:space="preserve"> In my research, I did not find one case on affirmative action, abortion rights, women’s and gay rights, and gun ownership in which Scalia departed from conservative orthodoxy. His jurisprudence on public displays of religion, federalism, capital punishment, and property rights have also been remarkably conservative. On rights of criminal defendants, he has been less consistent. </w:t>
      </w:r>
    </w:p>
  </w:footnote>
  <w:footnote w:id="46">
    <w:p w14:paraId="5F61CD48" w14:textId="77777777" w:rsidR="00381987" w:rsidRPr="00A06F85" w:rsidRDefault="00381987" w:rsidP="00381987">
      <w:pPr>
        <w:pStyle w:val="FootnoteText"/>
      </w:pPr>
      <w:r>
        <w:rPr>
          <w:rStyle w:val="FootnoteReference"/>
        </w:rPr>
        <w:footnoteRef/>
      </w:r>
      <w:r>
        <w:t xml:space="preserve"> </w:t>
      </w:r>
      <w:r>
        <w:rPr>
          <w:i/>
        </w:rPr>
        <w:t>Confirmation Hearing on the Nomination of Antonin Scalia to be an Associate Justice of the Supreme Court: Hearing before the Committee on the Judiciary United States Senate</w:t>
      </w:r>
      <w:r>
        <w:t>, 99</w:t>
      </w:r>
      <w:r w:rsidRPr="00A06F85">
        <w:rPr>
          <w:vertAlign w:val="superscript"/>
        </w:rPr>
        <w:t>th</w:t>
      </w:r>
      <w:r>
        <w:t xml:space="preserve"> Congress, 2</w:t>
      </w:r>
      <w:r w:rsidRPr="00A06F85">
        <w:rPr>
          <w:vertAlign w:val="superscript"/>
        </w:rPr>
        <w:t>nd</w:t>
      </w:r>
      <w:r>
        <w:t xml:space="preserve"> Sess.</w:t>
      </w:r>
      <w:proofErr w:type="gramStart"/>
      <w:r>
        <w:t>,1986</w:t>
      </w:r>
      <w:proofErr w:type="gramEnd"/>
      <w:r>
        <w:t xml:space="preserve">, 51. </w:t>
      </w:r>
    </w:p>
  </w:footnote>
  <w:footnote w:id="47">
    <w:p w14:paraId="460D2D7B" w14:textId="77777777" w:rsidR="00381987" w:rsidRPr="00915817" w:rsidRDefault="00381987" w:rsidP="00381987">
      <w:pPr>
        <w:pStyle w:val="FootnoteText"/>
      </w:pPr>
      <w:r>
        <w:rPr>
          <w:rStyle w:val="FootnoteReference"/>
        </w:rPr>
        <w:footnoteRef/>
      </w:r>
      <w:r>
        <w:t xml:space="preserve"> Mitch </w:t>
      </w:r>
      <w:proofErr w:type="spellStart"/>
      <w:r>
        <w:t>Kokai</w:t>
      </w:r>
      <w:proofErr w:type="spellEnd"/>
      <w:r>
        <w:t xml:space="preserve">, “Scalia: Originalism Not a ‘Weird Affliction,’” </w:t>
      </w:r>
      <w:r>
        <w:rPr>
          <w:i/>
        </w:rPr>
        <w:t>Carolina Journal Online</w:t>
      </w:r>
      <w:r>
        <w:t>, November 1</w:t>
      </w:r>
      <w:r w:rsidRPr="00915817">
        <w:rPr>
          <w:vertAlign w:val="superscript"/>
        </w:rPr>
        <w:t>st</w:t>
      </w:r>
      <w:r>
        <w:t xml:space="preserve">, 2007, </w:t>
      </w:r>
      <w:r w:rsidRPr="00915817">
        <w:t>http://www.carolinajournal.com/articles/display_story.html?id=4407</w:t>
      </w:r>
      <w:r>
        <w:t xml:space="preserve">, accessed December 24, 2012. </w:t>
      </w:r>
    </w:p>
  </w:footnote>
  <w:footnote w:id="48">
    <w:p w14:paraId="029697DC" w14:textId="77777777" w:rsidR="00381987" w:rsidRPr="00915817" w:rsidRDefault="00381987" w:rsidP="00381987">
      <w:pPr>
        <w:pStyle w:val="FootnoteText"/>
      </w:pPr>
      <w:r>
        <w:rPr>
          <w:rStyle w:val="FootnoteReference"/>
        </w:rPr>
        <w:footnoteRef/>
      </w:r>
      <w:r>
        <w:t xml:space="preserve"> Richard A. Posner, “The Incoherence of Antonin Scalia,” </w:t>
      </w:r>
      <w:r>
        <w:rPr>
          <w:i/>
        </w:rPr>
        <w:t xml:space="preserve">The New Republic, </w:t>
      </w:r>
      <w:r>
        <w:t xml:space="preserve">August 24, 2012, </w:t>
      </w:r>
      <w:r w:rsidRPr="00915817">
        <w:t>http://www.tnr.com/article/magazine/books-and-arts/106441/scalia-garner-reading-the-law-textual-originalism</w:t>
      </w:r>
      <w:r>
        <w:t xml:space="preserve">, accessed December 27, 2012. </w:t>
      </w:r>
    </w:p>
  </w:footnote>
  <w:footnote w:id="49">
    <w:p w14:paraId="664C9408" w14:textId="77777777" w:rsidR="00381987" w:rsidRPr="00915817" w:rsidRDefault="00381987" w:rsidP="00381987">
      <w:pPr>
        <w:pStyle w:val="FootnoteText"/>
      </w:pPr>
      <w:r>
        <w:rPr>
          <w:rStyle w:val="FootnoteReference"/>
        </w:rPr>
        <w:footnoteRef/>
      </w:r>
      <w:r>
        <w:t xml:space="preserve"> See, e.g., Bork, </w:t>
      </w:r>
      <w:r>
        <w:rPr>
          <w:i/>
        </w:rPr>
        <w:t>The Tempting of America</w:t>
      </w:r>
      <w:r>
        <w:t xml:space="preserve">, 127-128 and Bork, </w:t>
      </w:r>
      <w:r>
        <w:rPr>
          <w:i/>
        </w:rPr>
        <w:t>Slouching Towards Gomorrah: Modern Liberalism and American Decline</w:t>
      </w:r>
      <w:r>
        <w:t xml:space="preserve"> (New York: HarperCollins Publishers, 1997), 99-101. </w:t>
      </w:r>
    </w:p>
  </w:footnote>
  <w:footnote w:id="50">
    <w:p w14:paraId="22D7F132" w14:textId="77777777" w:rsidR="00381987" w:rsidRDefault="00381987" w:rsidP="00381987">
      <w:pPr>
        <w:pStyle w:val="FootnoteText"/>
      </w:pPr>
      <w:r>
        <w:rPr>
          <w:rStyle w:val="FootnoteReference"/>
        </w:rPr>
        <w:footnoteRef/>
      </w:r>
      <w:r>
        <w:t xml:space="preserve"> Scalia, </w:t>
      </w:r>
      <w:proofErr w:type="gramStart"/>
      <w:r>
        <w:rPr>
          <w:i/>
        </w:rPr>
        <w:t>A</w:t>
      </w:r>
      <w:proofErr w:type="gramEnd"/>
      <w:r>
        <w:rPr>
          <w:i/>
        </w:rPr>
        <w:t xml:space="preserve"> Matter of Interpretation</w:t>
      </w:r>
      <w:r>
        <w:t xml:space="preserve">, 45.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987"/>
    <w:rsid w:val="001F2C7C"/>
    <w:rsid w:val="00207BF9"/>
    <w:rsid w:val="002967F3"/>
    <w:rsid w:val="0037682F"/>
    <w:rsid w:val="00381987"/>
    <w:rsid w:val="00407AD4"/>
    <w:rsid w:val="00486472"/>
    <w:rsid w:val="005266FB"/>
    <w:rsid w:val="005E6A38"/>
    <w:rsid w:val="005F286D"/>
    <w:rsid w:val="00646FA8"/>
    <w:rsid w:val="006C1851"/>
    <w:rsid w:val="007853B4"/>
    <w:rsid w:val="0078672A"/>
    <w:rsid w:val="009053E2"/>
    <w:rsid w:val="009C3DED"/>
    <w:rsid w:val="009D36E0"/>
    <w:rsid w:val="00C91ED0"/>
    <w:rsid w:val="00D83540"/>
    <w:rsid w:val="00F521D0"/>
    <w:rsid w:val="00FB7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6B2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8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81987"/>
  </w:style>
  <w:style w:type="character" w:customStyle="1" w:styleId="FootnoteTextChar">
    <w:name w:val="Footnote Text Char"/>
    <w:basedOn w:val="DefaultParagraphFont"/>
    <w:link w:val="FootnoteText"/>
    <w:uiPriority w:val="99"/>
    <w:rsid w:val="00381987"/>
    <w:rPr>
      <w:rFonts w:cstheme="minorBidi"/>
    </w:rPr>
  </w:style>
  <w:style w:type="character" w:styleId="FootnoteReference">
    <w:name w:val="footnote reference"/>
    <w:basedOn w:val="DefaultParagraphFont"/>
    <w:uiPriority w:val="99"/>
    <w:unhideWhenUsed/>
    <w:rsid w:val="00381987"/>
    <w:rPr>
      <w:vertAlign w:val="superscript"/>
    </w:rPr>
  </w:style>
  <w:style w:type="paragraph" w:styleId="BalloonText">
    <w:name w:val="Balloon Text"/>
    <w:basedOn w:val="Normal"/>
    <w:link w:val="BalloonTextChar"/>
    <w:uiPriority w:val="99"/>
    <w:semiHidden/>
    <w:unhideWhenUsed/>
    <w:rsid w:val="00FB7798"/>
    <w:rPr>
      <w:rFonts w:ascii="Tahoma" w:hAnsi="Tahoma" w:cs="Tahoma"/>
      <w:sz w:val="16"/>
      <w:szCs w:val="16"/>
    </w:rPr>
  </w:style>
  <w:style w:type="character" w:customStyle="1" w:styleId="BalloonTextChar">
    <w:name w:val="Balloon Text Char"/>
    <w:basedOn w:val="DefaultParagraphFont"/>
    <w:link w:val="BalloonText"/>
    <w:uiPriority w:val="99"/>
    <w:semiHidden/>
    <w:rsid w:val="00FB77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8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81987"/>
  </w:style>
  <w:style w:type="character" w:customStyle="1" w:styleId="FootnoteTextChar">
    <w:name w:val="Footnote Text Char"/>
    <w:basedOn w:val="DefaultParagraphFont"/>
    <w:link w:val="FootnoteText"/>
    <w:uiPriority w:val="99"/>
    <w:rsid w:val="00381987"/>
    <w:rPr>
      <w:rFonts w:cstheme="minorBidi"/>
    </w:rPr>
  </w:style>
  <w:style w:type="character" w:styleId="FootnoteReference">
    <w:name w:val="footnote reference"/>
    <w:basedOn w:val="DefaultParagraphFont"/>
    <w:uiPriority w:val="99"/>
    <w:unhideWhenUsed/>
    <w:rsid w:val="00381987"/>
    <w:rPr>
      <w:vertAlign w:val="superscript"/>
    </w:rPr>
  </w:style>
  <w:style w:type="paragraph" w:styleId="BalloonText">
    <w:name w:val="Balloon Text"/>
    <w:basedOn w:val="Normal"/>
    <w:link w:val="BalloonTextChar"/>
    <w:uiPriority w:val="99"/>
    <w:semiHidden/>
    <w:unhideWhenUsed/>
    <w:rsid w:val="00FB7798"/>
    <w:rPr>
      <w:rFonts w:ascii="Tahoma" w:hAnsi="Tahoma" w:cs="Tahoma"/>
      <w:sz w:val="16"/>
      <w:szCs w:val="16"/>
    </w:rPr>
  </w:style>
  <w:style w:type="character" w:customStyle="1" w:styleId="BalloonTextChar">
    <w:name w:val="Balloon Text Char"/>
    <w:basedOn w:val="DefaultParagraphFont"/>
    <w:link w:val="BalloonText"/>
    <w:uiPriority w:val="99"/>
    <w:semiHidden/>
    <w:rsid w:val="00FB77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D86D3-20E9-4F64-B37F-0A393C231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14</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Hosie Rice LLP</Company>
  <LinksUpToDate>false</LinksUpToDate>
  <CharactersWithSpaces>19177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Nelson</dc:creator>
  <cp:keywords/>
  <dc:description/>
  <cp:lastModifiedBy>Feng Gu</cp:lastModifiedBy>
  <cp:revision>12</cp:revision>
  <dcterms:created xsi:type="dcterms:W3CDTF">2014-11-03T18:04:00Z</dcterms:created>
  <dcterms:modified xsi:type="dcterms:W3CDTF">2015-01-01T22:12:00Z</dcterms:modified>
</cp:coreProperties>
</file>