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rial" w:hAnsi="Arial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jc w:val="center"/>
      <w:outlineLvl w:val="0"/>
    </w:pPr>
    <w:rPr>
      <w:rFonts w:ascii="Arial" w:hAnsi="Arial" w:eastAsia="" w:cs="" w:cstheme="majorBidi" w:eastAsiaTheme="majorEastAsia"/>
      <w:b/>
      <w:bCs/>
      <w:color w:val="00000A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color w:val="00000A"/>
      <w:sz w:val="24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Arial" w:hAnsi="Arial"/>
      <w:sz w:val="20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qFormat/>
    <w:pPr>
      <w:spacing w:before="86" w:after="187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  <w:jc w:val="center"/>
    </w:pPr>
    <w:rPr>
      <w:rFonts w:ascii="Arial" w:hAnsi="Arial" w:eastAsia="" w:cs="" w:cstheme="majorBidi" w:eastAsiaTheme="majorEastAsia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LibreOffice/6.0.0.3$MacOSX_X86_64 LibreOffice_project/64a0f66915f38c6217de274f0aa8e15618924765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2019-02-17T17:02:55Z</dcterms:created>
  <dc:creator/>
  <dc:description/>
  <dc:language>en-US</dc:language>
  <cp:lastModifiedBy/>
  <dcterms:modified xsi:type="dcterms:W3CDTF">2019-02-17T17:10:16Z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pagetitle">
    <vt:lpwstr>Mark Allanson's CV</vt:lpwstr>
  </property>
</Properties>
</file>