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t xml:space="preserve">AgriSell Rider Meeting</w:t>
      </w:r>
    </w:p>
    <w:p>
      <w:pPr>
        <w:pStyle w:val="Title"/>
      </w:pPr>
      <w:r>
        <w:t xml:space="preserve">AgriSell Rider Meeting</w:t>
      </w:r>
    </w:p>
    <w:p>
      <w:pPr>
        <w:pStyle w:val="Subtitle"/>
      </w:pPr>
      <w:r>
        <w:t xml:space="preserve">Important App Decisions Requiring Rider Input</w:t>
      </w:r>
    </w:p>
    <w:p>
      <w:pPr>
        <w:pStyle w:val="Date"/>
      </w:pPr>
      <w:r>
        <w:t xml:space="preserve">October 13, 2026 | Meeting discussion guide</w:t>
      </w:r>
    </w:p>
    <w:p>
      <w:pPr>
        <w:pStyle w:val="Heading1"/>
      </w:pPr>
      <w:r>
        <w:t xml:space="preserve">1. Earnings and payment priorities</w:t>
      </w:r>
    </w:p>
    <w:p>
      <w:pPr>
        <w:pStyle w:val="Lead"/>
      </w:pPr>
      <w:r>
        <w:t xml:space="preserve">Purpose: discuss the rider's actual delivery work before finalizing app rules. This is a meeting agenda, not a questionnaire. It contains no suggested answers or response fields. Riders provide practical experience; the project team and affected parties agree the final business policies.</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Discussion topic</w:t>
            </w:r>
          </w:p>
        </w:tc>
        <w:tc>
          <w:tcPr>
            <w:tcW w:w="7446" w:type="dxa"/>
            <w:shd w:fill="1D633B"/>
            <w:vAlign w:val="top"/>
          </w:tcPr>
          <w:p>
            <w:pPr>
              <w:pStyle w:val="TableHeader"/>
            </w:pPr>
            <w:r>
              <w:t xml:space="preserve">Important points to settle with rider input</w:t>
            </w:r>
          </w:p>
        </w:tc>
      </w:tr>
      <w:tr>
        <w:trPr>
          <w:cantSplit/>
        </w:trPr>
        <w:tc>
          <w:tcPr>
            <w:tcW w:w="2300" w:type="dxa"/>
            <w:shd w:fill="F1F6F2"/>
            <w:vAlign w:val="top"/>
          </w:tcPr>
          <w:p>
            <w:pPr>
              <w:pStyle w:val="TableLabel"/>
            </w:pPr>
            <w:r>
              <w:t xml:space="preserve">Delivery fee and worthwhile jobs</w:t>
            </w:r>
          </w:p>
        </w:tc>
        <w:tc>
          <w:tcPr>
            <w:tcW w:w="7446" w:type="dxa"/>
            <w:shd w:fill="F1F6F2"/>
            <w:vAlign w:val="top"/>
          </w:tcPr>
          <w:p>
            <w:pPr>
              <w:pStyle w:val="TableText"/>
            </w:pPr>
            <w:r>
              <w:t xml:space="preserve">How riders currently agree a delivery fee; the effect of distance, load, road access and return travel; and what makes a delivery financially worthwhile after work expenses. Use these experiences to define the fee information needed before acceptance.</w:t>
            </w:r>
          </w:p>
        </w:tc>
      </w:tr>
      <w:tr>
        <w:trPr>
          <w:cantSplit/>
        </w:trPr>
        <w:tc>
          <w:tcPr>
            <w:tcW w:w="2300" w:type="dxa"/>
            <w:shd w:fill="FFFFFF"/>
            <w:vAlign w:val="top"/>
          </w:tcPr>
          <w:p>
            <w:pPr>
              <w:pStyle w:val="TableLabel"/>
            </w:pPr>
            <w:r>
              <w:t xml:space="preserve">Responsibility for rider payment</w:t>
            </w:r>
          </w:p>
        </w:tc>
        <w:tc>
          <w:tcPr>
            <w:tcW w:w="7446" w:type="dxa"/>
            <w:shd w:fill="FFFFFF"/>
            <w:vAlign w:val="top"/>
          </w:tcPr>
          <w:p>
            <w:pPr>
              <w:pStyle w:val="TableText"/>
            </w:pPr>
            <w:r>
              <w:t xml:space="preserve">How payment currently reaches the rider and who coordinates it. Clarify with the team, farmer and buyer who will pay the delivery fee, how it will be agreed, and how the app will make that agreement clear.</w:t>
            </w:r>
          </w:p>
        </w:tc>
      </w:tr>
      <w:tr>
        <w:trPr>
          <w:cantSplit/>
        </w:trPr>
        <w:tc>
          <w:tcPr>
            <w:tcW w:w="2300" w:type="dxa"/>
            <w:shd w:fill="F1F6F2"/>
            <w:vAlign w:val="top"/>
          </w:tcPr>
          <w:p>
            <w:pPr>
              <w:pStyle w:val="TableLabel"/>
            </w:pPr>
            <w:r>
              <w:t xml:space="preserve">Extra work and expenses</w:t>
            </w:r>
          </w:p>
        </w:tc>
        <w:tc>
          <w:tcPr>
            <w:tcW w:w="7446" w:type="dxa"/>
            <w:shd w:fill="F1F6F2"/>
            <w:vAlign w:val="top"/>
          </w:tcPr>
          <w:p>
            <w:pPr>
              <w:pStyle w:val="TableText"/>
            </w:pPr>
            <w:r>
              <w:t xml:space="preserve">Actual waiting time, additional stops, difficult access, failed handovers and return trips. Identify when extra compensation is needed and the evidence or approval process that would be practical for riders.</w:t>
            </w:r>
          </w:p>
        </w:tc>
      </w:tr>
      <w:tr>
        <w:trPr>
          <w:cantSplit/>
        </w:trPr>
        <w:tc>
          <w:tcPr>
            <w:tcW w:w="2300" w:type="dxa"/>
            <w:shd w:fill="FFFFFF"/>
            <w:vAlign w:val="top"/>
          </w:tcPr>
          <w:p>
            <w:pPr>
              <w:pStyle w:val="TableLabel"/>
            </w:pPr>
            <w:r>
              <w:t xml:space="preserve">When earnings count</w:t>
            </w:r>
          </w:p>
        </w:tc>
        <w:tc>
          <w:tcPr>
            <w:tcW w:w="7446" w:type="dxa"/>
            <w:shd w:fill="FFFFFF"/>
            <w:vAlign w:val="top"/>
          </w:tcPr>
          <w:p>
            <w:pPr>
              <w:pStyle w:val="TableText"/>
            </w:pPr>
            <w:r>
              <w:t xml:space="preserve">The point at which the rider considers the work completed, the proof they can reasonably submit, and how they should see the agreed fee, adjustments and final amount. Distinguish recorded earnings from money already received.</w:t>
            </w:r>
          </w:p>
        </w:tc>
      </w:tr>
      <w:tr>
        <w:trPr>
          <w:cantSplit/>
        </w:trPr>
        <w:tc>
          <w:tcPr>
            <w:tcW w:w="2300" w:type="dxa"/>
            <w:shd w:fill="F1F6F2"/>
            <w:vAlign w:val="top"/>
          </w:tcPr>
          <w:p>
            <w:pPr>
              <w:pStyle w:val="TableLabel"/>
            </w:pPr>
            <w:r>
              <w:t xml:space="preserve">Cash on delivery and remittance</w:t>
            </w:r>
          </w:p>
        </w:tc>
        <w:tc>
          <w:tcPr>
            <w:tcW w:w="7446" w:type="dxa"/>
            <w:shd w:fill="F1F6F2"/>
            <w:vAlign w:val="top"/>
          </w:tcPr>
          <w:p>
            <w:pPr>
              <w:pStyle w:val="TableText"/>
            </w:pPr>
            <w:r>
              <w:t xml:space="preserve">How riders collect product payments, return money to the farmer and receive their own fee. Discuss short payments, change, collection records and responsibility when the amount is disputed. Keep product cash separate from rider earnings.</w:t>
            </w:r>
          </w:p>
        </w:tc>
      </w:tr>
      <w:tr>
        <w:trPr>
          <w:cantSplit/>
        </w:trPr>
        <w:tc>
          <w:tcPr>
            <w:tcW w:w="2300" w:type="dxa"/>
            <w:shd w:fill="FFFFFF"/>
            <w:vAlign w:val="top"/>
          </w:tcPr>
          <w:p>
            <w:pPr>
              <w:pStyle w:val="TableLabel"/>
            </w:pPr>
            <w:r>
              <w:t xml:space="preserve">Payout and payment complaints</w:t>
            </w:r>
          </w:p>
        </w:tc>
        <w:tc>
          <w:tcPr>
            <w:tcW w:w="7446" w:type="dxa"/>
            <w:shd w:fill="FFFFFF"/>
            <w:vAlign w:val="top"/>
          </w:tcPr>
          <w:p>
            <w:pPr>
              <w:pStyle w:val="TableText"/>
            </w:pPr>
            <w:r>
              <w:t xml:space="preserve">Practical payout timing, payment methods and acceptable delays. Discuss visibility of pending and paid amounts, cash-out requests, proof of payment, and a clear route for reporting unpaid or incorrect fees.</w:t>
            </w:r>
          </w:p>
        </w:tc>
      </w:tr>
    </w:tbl>
    <w:p>
      <w:pPr>
        <w:pStyle w:val="Normal"/>
      </w:pPr>
      <w:r>
        <w:t xml:space="preserve">Current app context: estimated earning is shown before acceptance, and Home/Earnings now explain the payment process. The database repair for recording missing delivery earnings is prepared but not yet deployed. A technical repair does not decide the delivery tariff or who funds the rider's fee.</w:t>
      </w:r>
    </w:p>
    <w:p>
      <w:pPr>
        <w:pStyle w:val="Normal"/>
      </w:pPr>
      <w:r>
        <w:t xml:space="preserve">Meeting outcome: a shared fee and payment workflow that riders understand and can follow, with unresolved business decisions clearly identified for the team.</w:t>
      </w:r>
    </w:p>
    <w:p>
      <w:r>
        <w:br w:type="page"/>
      </w:r>
    </w:p>
    <w:p>
      <w:pPr>
        <w:pStyle w:val="Eyebrow"/>
      </w:pPr>
      <w:r>
        <w:t xml:space="preserve">AgriSell Rider Meeting</w:t>
      </w:r>
    </w:p>
    <w:p>
      <w:pPr>
        <w:pStyle w:val="Heading1"/>
      </w:pPr>
      <w:r>
        <w:t xml:space="preserve">2. Capacity, delivery workflow and essential features</w:t>
      </w:r>
    </w:p>
    <w:p>
      <w:pPr>
        <w:pStyle w:val="Lead"/>
      </w:pPr>
      <w:r>
        <w:t xml:space="preserve">Prioritize the situations riders encounter in real work. Use concrete examples from recent deliveries to decide what the app must support first.</w:t>
      </w:r>
    </w:p>
    <w:tbl>
      <w:tblPr>
        <w:tblW w:w="9746" w:type="dxa"/>
        <w:tblLayout w:type="fixed"/>
        <w:tblBorders>
          <w:top w:val="single" w:sz="4" w:color="CFDAD3"/>
          <w:left w:val="single" w:sz="4" w:color="CFDAD3"/>
          <w:bottom w:val="single" w:sz="4" w:color="CFDAD3"/>
          <w:right w:val="single" w:sz="4" w:color="CFDAD3"/>
          <w:insideH w:val="single" w:sz="4" w:color="CFDAD3"/>
          <w:insideV w:val="single" w:sz="4" w:color="CFDAD3"/>
        </w:tblBorders>
        <w:tblCellMar>
          <w:top w:w="80" w:type="dxa"/>
          <w:left w:w="120" w:type="dxa"/>
          <w:bottom w:w="80" w:type="dxa"/>
          <w:right w:w="120" w:type="dxa"/>
        </w:tblCellMar>
      </w:tblPr>
      <w:tblGrid>
        <w:gridCol w:w="2300"/>
        <w:gridCol w:w="7446"/>
      </w:tblGrid>
      <w:tr>
        <w:trPr>
          <w:cantSplit/>
          <w:tblHeader/>
        </w:trPr>
        <w:tc>
          <w:tcPr>
            <w:tcW w:w="2300" w:type="dxa"/>
            <w:shd w:fill="1D633B"/>
            <w:vAlign w:val="top"/>
          </w:tcPr>
          <w:p>
            <w:pPr>
              <w:pStyle w:val="TableHeader"/>
            </w:pPr>
            <w:r>
              <w:t xml:space="preserve">Discussion topic</w:t>
            </w:r>
          </w:p>
        </w:tc>
        <w:tc>
          <w:tcPr>
            <w:tcW w:w="7446" w:type="dxa"/>
            <w:shd w:fill="1D633B"/>
            <w:vAlign w:val="top"/>
          </w:tcPr>
          <w:p>
            <w:pPr>
              <w:pStyle w:val="TableHeader"/>
            </w:pPr>
            <w:r>
              <w:t xml:space="preserve">Important points to settle with rider input</w:t>
            </w:r>
          </w:p>
        </w:tc>
      </w:tr>
      <w:tr>
        <w:trPr>
          <w:cantSplit/>
        </w:trPr>
        <w:tc>
          <w:tcPr>
            <w:tcW w:w="2300" w:type="dxa"/>
            <w:shd w:fill="F1F6F2"/>
            <w:vAlign w:val="top"/>
          </w:tcPr>
          <w:p>
            <w:pPr>
              <w:pStyle w:val="TableLabel"/>
            </w:pPr>
            <w:r>
              <w:t xml:space="preserve">Usable vehicle capacity</w:t>
            </w:r>
          </w:p>
        </w:tc>
        <w:tc>
          <w:tcPr>
            <w:tcW w:w="7446" w:type="dxa"/>
            <w:shd w:fill="F1F6F2"/>
            <w:vAlign w:val="top"/>
          </w:tcPr>
          <w:p>
            <w:pPr>
              <w:pStyle w:val="TableText"/>
            </w:pPr>
            <w:r>
              <w:t xml:space="preserve">Practical carrying weight and space for the rider's actual vehicle, rack or cargo box. Include fragile and perishable goods, packaging, road conditions and weather. Rider-declared usable capacity must stay within the app's vehicle limit; weight alone does not describe every load.</w:t>
            </w:r>
          </w:p>
        </w:tc>
      </w:tr>
      <w:tr>
        <w:trPr>
          <w:cantSplit/>
        </w:trPr>
        <w:tc>
          <w:tcPr>
            <w:tcW w:w="2300" w:type="dxa"/>
            <w:shd w:fill="FFFFFF"/>
            <w:vAlign w:val="top"/>
          </w:tcPr>
          <w:p>
            <w:pPr>
              <w:pStyle w:val="TableLabel"/>
            </w:pPr>
            <w:r>
              <w:t xml:space="preserve">Accepting multiple orders</w:t>
            </w:r>
          </w:p>
        </w:tc>
        <w:tc>
          <w:tcPr>
            <w:tcW w:w="7446" w:type="dxa"/>
            <w:shd w:fill="FFFFFF"/>
            <w:vAlign w:val="top"/>
          </w:tcPr>
          <w:p>
            <w:pPr>
              <w:pStyle w:val="TableText"/>
            </w:pPr>
            <w:r>
              <w:t xml:space="preserve">When another order can realistically fit an existing trip. Discuss combined cargo, pickup locations, deadlines, route detours and the ability to keep orders separate. Agree practical order-count rules alongside the weight limit.</w:t>
            </w:r>
          </w:p>
        </w:tc>
      </w:tr>
      <w:tr>
        <w:trPr>
          <w:cantSplit/>
        </w:trPr>
        <w:tc>
          <w:tcPr>
            <w:tcW w:w="2300" w:type="dxa"/>
            <w:shd w:fill="F1F6F2"/>
            <w:vAlign w:val="top"/>
          </w:tcPr>
          <w:p>
            <w:pPr>
              <w:pStyle w:val="TableLabel"/>
            </w:pPr>
            <w:r>
              <w:t xml:space="preserve">Accurate item and shipment weights</w:t>
            </w:r>
          </w:p>
        </w:tc>
        <w:tc>
          <w:tcPr>
            <w:tcW w:w="7446" w:type="dxa"/>
            <w:shd w:fill="F1F6F2"/>
            <w:vAlign w:val="top"/>
          </w:tcPr>
          <w:p>
            <w:pPr>
              <w:pStyle w:val="TableText"/>
            </w:pPr>
            <w:r>
              <w:t xml:space="preserve">How riders can verify kg, quantities and packaging at pickup, especially for pieces, bundles and sacks. Establish who supplies the actual weight and how a mismatch is reported before the rider is expected to carry the goods.</w:t>
            </w:r>
          </w:p>
        </w:tc>
      </w:tr>
      <w:tr>
        <w:trPr>
          <w:cantSplit/>
        </w:trPr>
        <w:tc>
          <w:tcPr>
            <w:tcW w:w="2300" w:type="dxa"/>
            <w:shd w:fill="FFFFFF"/>
            <w:vAlign w:val="top"/>
          </w:tcPr>
          <w:p>
            <w:pPr>
              <w:pStyle w:val="TableLabel"/>
            </w:pPr>
            <w:r>
              <w:t xml:space="preserve">Pickup information and waiting</w:t>
            </w:r>
          </w:p>
        </w:tc>
        <w:tc>
          <w:tcPr>
            <w:tcW w:w="7446" w:type="dxa"/>
            <w:shd w:fill="FFFFFF"/>
            <w:vAlign w:val="top"/>
          </w:tcPr>
          <w:p>
            <w:pPr>
              <w:pStyle w:val="TableText"/>
            </w:pPr>
            <w:r>
              <w:t xml:space="preserve">The pickup details riders need, how they know goods are ready, typical waiting problems, and how they report missing, damaged or incorrect goods before departure.</w:t>
            </w:r>
          </w:p>
        </w:tc>
      </w:tr>
      <w:tr>
        <w:trPr>
          <w:cantSplit/>
        </w:trPr>
        <w:tc>
          <w:tcPr>
            <w:tcW w:w="2300" w:type="dxa"/>
            <w:shd w:fill="F1F6F2"/>
            <w:vAlign w:val="top"/>
          </w:tcPr>
          <w:p>
            <w:pPr>
              <w:pStyle w:val="TableLabel"/>
            </w:pPr>
            <w:r>
              <w:t xml:space="preserve">Routes and contact information</w:t>
            </w:r>
          </w:p>
        </w:tc>
        <w:tc>
          <w:tcPr>
            <w:tcW w:w="7446" w:type="dxa"/>
            <w:shd w:fill="F1F6F2"/>
            <w:vAlign w:val="top"/>
          </w:tcPr>
          <w:p>
            <w:pPr>
              <w:pStyle w:val="TableText"/>
            </w:pPr>
            <w:r>
              <w:t xml:space="preserve">Difficult addresses, incorrect map pins, landmarks and roads that vehicles cannot use. Identify the navigation and farmer/buyer contact actions needed while travelling or finding a destination.</w:t>
            </w:r>
          </w:p>
        </w:tc>
      </w:tr>
      <w:tr>
        <w:trPr>
          <w:cantSplit/>
        </w:trPr>
        <w:tc>
          <w:tcPr>
            <w:tcW w:w="2300" w:type="dxa"/>
            <w:shd w:fill="FFFFFF"/>
            <w:vAlign w:val="top"/>
          </w:tcPr>
          <w:p>
            <w:pPr>
              <w:pStyle w:val="TableLabel"/>
            </w:pPr>
            <w:r>
              <w:t xml:space="preserve">Failed delivery and return handling</w:t>
            </w:r>
          </w:p>
        </w:tc>
        <w:tc>
          <w:tcPr>
            <w:tcW w:w="7446" w:type="dxa"/>
            <w:shd w:fill="FFFFFF"/>
            <w:vAlign w:val="top"/>
          </w:tcPr>
          <w:p>
            <w:pPr>
              <w:pStyle w:val="TableText"/>
            </w:pPr>
            <w:r>
              <w:t xml:space="preserve">Practical steps for an absent buyer, refused goods, unsafe destination, vehicle breakdown or damaged cargo. Clarify who authorizes cancellation or return, who the rider contacts, and what happens to the fee and goods.</w:t>
            </w:r>
          </w:p>
        </w:tc>
      </w:tr>
      <w:tr>
        <w:trPr>
          <w:cantSplit/>
        </w:trPr>
        <w:tc>
          <w:tcPr>
            <w:tcW w:w="2300" w:type="dxa"/>
            <w:shd w:fill="F1F6F2"/>
            <w:vAlign w:val="top"/>
          </w:tcPr>
          <w:p>
            <w:pPr>
              <w:pStyle w:val="TableLabel"/>
            </w:pPr>
            <w:r>
              <w:t xml:space="preserve">Proof, phone usability and poor signal</w:t>
            </w:r>
          </w:p>
        </w:tc>
        <w:tc>
          <w:tcPr>
            <w:tcW w:w="7446" w:type="dxa"/>
            <w:shd w:fill="F1F6F2"/>
            <w:vAlign w:val="top"/>
          </w:tcPr>
          <w:p>
            <w:pPr>
              <w:pStyle w:val="TableText"/>
            </w:pPr>
            <w:r>
              <w:t xml:space="preserve">Proof riders can provide without excessive delay; usability of photos, codes and signatures; missed alerts; hidden buttons under device navigation; and actions that must remain usable during weak signal. Discuss camera QR scanning only if it solves a real workflow need.</w:t>
            </w:r>
          </w:p>
        </w:tc>
      </w:tr>
      <w:tr>
        <w:trPr>
          <w:cantSplit/>
        </w:trPr>
        <w:tc>
          <w:tcPr>
            <w:tcW w:w="2300" w:type="dxa"/>
            <w:shd w:fill="FFFFFF"/>
            <w:vAlign w:val="top"/>
          </w:tcPr>
          <w:p>
            <w:pPr>
              <w:pStyle w:val="TableLabel"/>
            </w:pPr>
            <w:r>
              <w:t xml:space="preserve">Safety and first-release priorities</w:t>
            </w:r>
          </w:p>
        </w:tc>
        <w:tc>
          <w:tcPr>
            <w:tcW w:w="7446" w:type="dxa"/>
            <w:shd w:fill="FFFFFF"/>
            <w:vAlign w:val="top"/>
          </w:tcPr>
          <w:p>
            <w:pPr>
              <w:pStyle w:val="TableText"/>
            </w:pPr>
            <w:r>
              <w:t xml:space="preserve">The help riders need during an incident and the contact/escalation process they can rely on. Close the meeting by agreeing which missing features block daily work and the order in which the team should address them.</w:t>
            </w:r>
          </w:p>
        </w:tc>
      </w:tr>
    </w:tbl>
    <w:p>
      <w:pPr>
        <w:pStyle w:val="Normal"/>
      </w:pPr>
      <w:r>
        <w:t xml:space="preserve">Current app context: capacity and delivery-status repairs are prepared but still await database deployment. Unknown weights for non-kg items need a verified measurement workflow. The protected-call action is not fully connected, and QR confirmation currently uses manual entry. Device navigation fixes still need physical-device checks.</w:t>
      </w:r>
    </w:p>
    <w:p>
      <w:pPr>
        <w:pStyle w:val="Normal"/>
      </w:pPr>
      <w:r>
        <w:t xml:space="preserve">Meeting outcome: agreed operational rules, the most urgent rider-facing improvements, and responsibility for resolving each remaining decision. No rider responses or assumed conclusions are included in this guide.</w:t>
      </w:r>
    </w:p>
    <w:sectPr>
      <w:footerReference w:type="default" r:id="rId2"/>
      <w:pgSz w:w="11906" w:h="16838"/>
      <w:pgMar w:top="900" w:right="1080" w:bottom="1000" w:left="1080" w:header="360" w:footer="440"/>
    </w:sectPr>
  </w:body>
</w:document>
</file>

<file path=word/footer1.xml><?xml version="1.0" encoding="utf-8"?>
<w:ftr xmlns:w="http://schemas.openxmlformats.org/wordprocessingml/2006/main">
  <w:p>
    <w:pPr>
      <w:jc w:val="right"/>
    </w:pPr>
    <w:r>
      <w:rPr>
        <w:sz w:val="17"/>
        <w:color w:val="52675A"/>
      </w:rPr>
      <w:t>AgriSell Rider Review | October 13, 2026 | Page </w:t>
    </w:r>
    <w:fldSimple w:instr="PAGE"/>
  </w:p>
</w:ftr>
</file>

<file path=word/styles.xml><?xml version="1.0" encoding="utf-8"?>
<w:styles xmlns:w="http://schemas.openxmlformats.org/wordprocessingml/2006/main">
  <w:docDefaults>
    <w:rPrDefault>
      <w:rPr>
        <w:rFonts w:ascii="Calibri" w:hAnsi="Calibri"/>
        <w:sz w:val="21"/>
        <w:color w:val="26342B"/>
        <w:lang w:val="en-PH"/>
      </w:rPr>
    </w:rPrDefault>
    <w:pPrDefault>
      <w:pPr>
        <w:spacing w:after="130" w:line="250" w:lineRule="auto"/>
        <w:widowControl/>
      </w:pPr>
    </w:pPrDefault>
  </w:docDefaults>
  <w:style w:type="paragraph" w:default="1" w:styleId="Normal">
    <w:name w:val="Normal"/>
  </w:style>
  <w:style w:type="paragraph" w:styleId="Title">
    <w:name w:val="Title"/>
    <w:basedOn w:val="Normal"/>
    <w:pPr>
      <w:keepNext/>
      <w:spacing w:before="120" w:after="100"/>
    </w:pPr>
    <w:rPr>
      <w:b/>
      <w:color w:val="1D633B"/>
      <w:sz w:val="44"/>
    </w:rPr>
  </w:style>
  <w:style w:type="paragraph" w:styleId="Subtitle">
    <w:name w:val="Subtitle"/>
    <w:basedOn w:val="Normal"/>
    <w:pPr>
      <w:keepNext/>
    </w:pPr>
    <w:rPr>
      <w:sz w:val="26"/>
      <w:color w:val="52675A"/>
    </w:rPr>
  </w:style>
  <w:style w:type="paragraph" w:styleId="Date">
    <w:name w:val="Date"/>
    <w:basedOn w:val="Normal"/>
    <w:pPr>
      <w:keepNext/>
      <w:spacing w:after="190"/>
    </w:pPr>
    <w:rPr>
      <w:sz w:val="19"/>
      <w:color w:val="52675A"/>
    </w:rPr>
  </w:style>
  <w:style w:type="paragraph" w:styleId="Eyebrow">
    <w:name w:val="Eyebrow"/>
    <w:basedOn w:val="Normal"/>
    <w:pPr>
      <w:keepNext/>
      <w:spacing w:after="130"/>
    </w:pPr>
    <w:rPr>
      <w:b/>
      <w:sz w:val="17"/>
      <w:color w:val="52675A"/>
    </w:rPr>
  </w:style>
  <w:style w:type="paragraph" w:styleId="Heading1">
    <w:name w:val="Heading 1"/>
    <w:basedOn w:val="Normal"/>
    <w:pPr>
      <w:keepNext/>
      <w:outlineLvl w:val="0"/>
      <w:spacing w:before="120" w:after="150"/>
    </w:pPr>
    <w:rPr>
      <w:b/>
      <w:sz w:val="29"/>
      <w:color w:val="1D633B"/>
    </w:rPr>
  </w:style>
  <w:style w:type="paragraph" w:styleId="Lead">
    <w:name w:val="Lead"/>
    <w:basedOn w:val="Normal"/>
    <w:pPr>
      <w:keepNext/>
      <w:spacing w:after="170"/>
    </w:pPr>
  </w:style>
  <w:style w:type="paragraph" w:styleId="TableText">
    <w:name w:val="Table Text"/>
    <w:basedOn w:val="Normal"/>
    <w:pPr>
      <w:spacing w:after="20" w:line="225" w:lineRule="auto"/>
    </w:pPr>
    <w:rPr>
      <w:sz w:val="19"/>
    </w:rPr>
  </w:style>
  <w:style w:type="paragraph" w:styleId="TableLabel">
    <w:name w:val="Table Label"/>
    <w:basedOn w:val="TableText"/>
    <w:rPr>
      <w:b/>
    </w:rPr>
  </w:style>
  <w:style w:type="paragraph" w:styleId="TableHeader">
    <w:name w:val="Table Header"/>
    <w:basedOn w:val="TableText"/>
    <w:rPr>
      <w:b/>
      <w:color w:val="FFFFF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AgriSell Rider Meeting</dc:title>
  <dc:subject>Important App Decisions Requiring Rider Input</dc:subject>
  <dc:creator>AgriSell Project</dc:creator>
  <dc:description>Important App Decisions Requiring Rider Input</dc:description>
</cp:coreProperties>
</file>