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t>Solution Document — WORKING DRAFT (complete bracketed items before submission)</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t xml:space="preserve">To be Submitted by: </w:t>
      </w:r>
      <w:r>
        <w:rPr>
          <w:highlight w:val="yellow"/>
        </w:rPr>
        <w:t>[ADD TEAM NAME]</w:t>
      </w:r>
    </w:p>
    <w:p w14:paraId="33741935" w14:textId="77777777" w:rsidR="00591AD0" w:rsidRDefault="00000000">
      <w:pPr>
        <w:spacing w:after="60"/>
      </w:pPr>
      <w:r>
        <w:t xml:space="preserve">Team Members &amp; Roles: </w:t>
      </w:r>
      <w:r>
        <w:rPr>
          <w:highlight w:val="yellow"/>
        </w:rPr>
        <w:t>[ADD EACH MEMBER: NAME — ROLE — EMAIL]</w:t>
      </w:r>
    </w:p>
    <w:p w14:paraId="07F7D395" w14:textId="77777777" w:rsidR="00591AD0" w:rsidRDefault="00000000">
      <w:pPr>
        <w:spacing w:after="60"/>
      </w:pPr>
      <w:r>
        <w:t>Problem Space Chosen: Fleet Intelligence Platform — connected-vehicle fleet operations</w:t>
      </w:r>
    </w:p>
    <w:p w14:paraId="497CBFFD" w14:textId="77777777" w:rsidR="00591AD0" w:rsidRDefault="00000000">
      <w:pPr>
        <w:spacing w:after="60"/>
      </w:pPr>
      <w:r>
        <w:t>Repository URL: https://github.com/markapurammarthanda12/Fleet-Intelligence-Platform</w:t>
      </w:r>
    </w:p>
    <w:p w14:paraId="51DE23FA" w14:textId="77777777" w:rsidR="00591AD0" w:rsidRDefault="00000000">
      <w:pPr>
        <w:spacing w:after="60"/>
      </w:pPr>
      <w:r>
        <w:t xml:space="preserve">Demo Video URL (≤ 5 min): </w:t>
      </w:r>
      <w:r>
        <w:rPr>
          <w:highlight w:val="yellow"/>
        </w:rPr>
        <w:t>[ADD VIDEO URL AFTER RECORDING]</w:t>
      </w:r>
    </w:p>
    <w:p w14:paraId="52170A35" w14:textId="77777777" w:rsidR="00591AD0" w:rsidRDefault="00000000">
      <w:pPr>
        <w:spacing w:after="60"/>
      </w:pPr>
      <w:r>
        <w:t xml:space="preserve">Date of Submission: </w:t>
      </w:r>
      <w:r>
        <w:rPr>
          <w:highlight w:val="yellow"/>
        </w:rPr>
        <w:t>[ADD SUBMISSION DATE]</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14:paraId="0866B94A" w14:textId="77777777" w:rsidR="00591AD0" w:rsidRDefault="00000000">
      <w:pPr>
        <w:spacing w:before="60" w:after="200" w:line="300" w:lineRule="auto"/>
      </w:pPr>
      <w:r>
        <w:t>Fleet managers need a timely, explainable view of vehicle activity and operational risk. The local demo sends synthetic telemetry through a Spring Boot API and Kafka, stores operational state and alerts in PostgreSQL, aggregates history in ClickHouse, and presents results in a React dashboard. At the 2026-10-02 database check, the demo contained a 100,000-vehicle overview, 980,932 telemetry events, and 11,517 alert records across two tenants. One prior 37-hour Reports sample took 0.16 seconds after hourly rollups; the current populated analytics sample took 0.690 seconds for about 27 hours. A warm-cache alert query plan comparison was 12.910 ms with a forced scan/sort versus 0.100 ms with the V7 index. The simulator is configured for 5 events/second; 100,000 events/second, burst tolerance, p95/p99, end-to-end freshness, and customer impact remain unmeasured. Fuel and CO2 are estimates.</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rPr/>
        <w:t>“</w:t>
      </w:r>
      <w:r>
        <w:rPr/>
        <w:t>[User]</w:t>
      </w:r>
      <w:r>
        <w:rPr/>
        <w:t xml:space="preserve"> needs a way to </w:t>
      </w:r>
      <w:r>
        <w:rPr/>
        <w:t>[job to be done]</w:t>
      </w:r>
      <w:r>
        <w:rPr/>
        <w:t xml:space="preserve"> because </w:t>
      </w:r>
      <w:r>
        <w:rPr/>
        <w:t>[pain]</w:t>
      </w:r>
      <w:r>
        <w:rPr/>
        <w:t xml:space="preserve">, which today costs </w:t>
      </w:r>
      <w:r>
        <w:rPr/>
        <w:t>[measurable impact]</w:t>
      </w:r>
      <w:r>
        <w:rPr/>
        <w: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14:paraId="6C17A492" w14:textId="77777777" w:rsidR="00591AD0" w:rsidRDefault="00000000">
      <w:pPr>
        <w:spacing w:before="60" w:after="200" w:line="300" w:lineRule="auto"/>
      </w:pPr>
      <w:r>
        <w:t>Primary user: fleet operations manager responsible for vehicle health, operational alerts, utilization, and costs. Need: a consolidated way to identify vehicles needing attention and understand why. Problem hypothesis: siloed or delayed vehicle signals make timely intervention and cost attribution harder. A measurable customer cost baseline has not been collected; no fleet interviews or production observations were performed. The official brief supplies the synthetic scale scenario, while this prototype exercises a representative workflow. Cost reduction and safety benefits are hypotheses, not validated outcomes.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fleet scale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Simulator source and automated tests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100,000 unique synthetic vehicle IDs; not 100K events/sec</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High for catalog count</w:t>
            </w:r>
          </w:p>
        </w:tc>
      </w:tr>
      <w:tr w:rsidR="00591AD0" w14:paraId="35302C5E"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Idle-fuel estimate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Rule configuration / synthetic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Illustrative 1.5 L/hour assumption; requires calibration</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Low / assumption</w:t>
            </w:r>
          </w:p>
        </w:tc>
      </w:tr>
    </w:tbl>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catalog size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applicable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100,000 vehicle IDs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Generator test; not throughput</w:t>
            </w:r>
          </w:p>
        </w:tc>
      </w:tr>
      <w:tr w:rsidR="00591AD0" w14:paraId="3FB7D1BB"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Idle fuel / emissions impact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 on real fleet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Explainable estimate only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rule; actual savings unknown</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14:paraId="5E71173A" w14:textId="77777777" w:rsidR="00591AD0" w:rsidRDefault="00000000">
      <w:pPr>
        <w:spacing w:before="60" w:after="200" w:line="300" w:lineRule="auto"/>
      </w:pPr>
      <w:r>
        <w:t>The simulator can generate 10,000- and 100,000-vehicle catalogs for repeatable demonstrations. The checked local overview represents 100,000 vehicles; current-event freshness, 100,000 events/second capacity, and 3x bursts are not established at either scale. The official case study estimates one event per second per vehicle and about 1 KB per event; that is a workload assumption, not customer data or a measured baseline. Potential benefits include earlier attention to idling and visibility into estimated fuel use. Actual savings, emissions reductions, safety improvement, and fleet-manager time saved need field baselines and a controlled evaluation.</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14:paraId="01CD9ED3" w14:textId="77777777" w:rsidR="00591AD0" w:rsidRDefault="00000000">
      <w:pPr>
        <w:spacing w:before="60" w:after="200" w:line="300" w:lineRule="auto"/>
      </w:pPr>
      <w:r>
        <w:t>The following Overview and Alerts screenshots were captured from the local synthetic fleet demo. Capture details and limits are in evidences/2026-10-01/screenshot-capture.md.</w:t>
      </w:r>
    </w:p>
    <w:p>
      <w:pPr>
        <w:pStyle w:val="Heading3"/>
        <w:pageBreakBefore/>
      </w:pPr>
      <w:r>
        <w:t>Working product screenshots</w:t>
      </w:r>
    </w:p>
    <w:p>
      <w:pPr>
        <w:keepNext/>
      </w:pPr>
      <w:r>
        <w:t>The screenshots below show the local Docker demo using synthetic telemetry. Counts are a changing snapshot and are not performance measurements.</w:t>
      </w:r>
    </w:p>
    <w:p>
      <w:pPr>
        <w:keepNext/>
        <w:jc w:val="center"/>
      </w:pPr>
      <w:r>
        <w:drawing>
          <wp:inline xmlns:a="http://schemas.openxmlformats.org/drawingml/2006/main" xmlns:pic="http://schemas.openxmlformats.org/drawingml/2006/picture">
            <wp:extent cx="4114800" cy="4299217"/>
            <wp:docPr id="9" name="Picture 9"/>
            <wp:cNvGraphicFramePr>
              <a:graphicFrameLocks noChangeAspect="1"/>
            </wp:cNvGraphicFramePr>
            <a:graphic>
              <a:graphicData uri="http://schemas.openxmlformats.org/drawingml/2006/picture">
                <pic:pic>
                  <pic:nvPicPr>
                    <pic:cNvPr id="0" name="dashboard-overview.jpg"/>
                    <pic:cNvPicPr/>
                  </pic:nvPicPr>
                  <pic:blipFill>
                    <a:blip r:embed="rId19"/>
                    <a:stretch>
                      <a:fillRect/>
                    </a:stretch>
                  </pic:blipFill>
                  <pic:spPr>
                    <a:xfrm>
                      <a:off x="0" y="0"/>
                      <a:ext cx="4114800" cy="4299217"/>
                    </a:xfrm>
                    <a:prstGeom prst="rect"/>
                  </pic:spPr>
                </pic:pic>
              </a:graphicData>
            </a:graphic>
          </wp:inline>
        </w:drawing>
      </w:r>
    </w:p>
    <w:p>
      <w:pPr>
        <w:keepLines/>
        <w:spacing w:before="160"/>
        <w:jc w:val="center"/>
      </w:pPr>
      <w:r>
        <w:t>Figure 1. Dashboard overview for the synthetic 100,000-vehicle fleet. At capture: 371 healthy, 97,970 warnings, and 1,659 critical. Captured 1 October 2026 at 10:09 PM IST; browser viewport 714 × 746 pixels.</w:t>
      </w:r>
    </w:p>
    <w:p>
      <w:pPr>
        <w:keepNext/>
        <w:pageBreakBefore/>
        <w:jc w:val="center"/>
      </w:pPr>
      <w:r>
        <w:drawing>
          <wp:inline xmlns:a="http://schemas.openxmlformats.org/drawingml/2006/main" xmlns:pic="http://schemas.openxmlformats.org/drawingml/2006/picture">
            <wp:extent cx="4114800" cy="4299217"/>
            <wp:docPr id="10" name="Picture 10"/>
            <wp:cNvGraphicFramePr>
              <a:graphicFrameLocks noChangeAspect="1"/>
            </wp:cNvGraphicFramePr>
            <a:graphic>
              <a:graphicData uri="http://schemas.openxmlformats.org/drawingml/2006/picture">
                <pic:pic>
                  <pic:nvPicPr>
                    <pic:cNvPr id="0" name="alerts.jpg"/>
                    <pic:cNvPicPr/>
                  </pic:nvPicPr>
                  <pic:blipFill>
                    <a:blip r:embed="rId20"/>
                    <a:stretch>
                      <a:fillRect/>
                    </a:stretch>
                  </pic:blipFill>
                  <pic:spPr>
                    <a:xfrm>
                      <a:off x="0" y="0"/>
                      <a:ext cx="4114800" cy="4299217"/>
                    </a:xfrm>
                    <a:prstGeom prst="rect"/>
                  </pic:spPr>
                </pic:pic>
              </a:graphicData>
            </a:graphic>
          </wp:inline>
        </w:drawing>
      </w:r>
    </w:p>
    <w:p>
      <w:pPr>
        <w:keepLines/>
        <w:spacing w:before="160"/>
        <w:jc w:val="center"/>
      </w:pPr>
      <w:r>
        <w:t>Figure 2. Alerts view at capture: 1,809 open alerts overall; the table loaded 200 alerts, all critical, and the loaded results contained 0 warnings. This is a paginated snapshot. Captured 1 October 2026 at 10:11 PM IST; browser viewport 714 × 746 pixels.</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14:paraId="42548D34" w14:textId="77777777" w:rsidR="00591AD0" w:rsidRDefault="00000000">
      <w:pPr>
        <w:spacing w:before="60" w:after="200" w:line="300" w:lineRule="auto"/>
      </w:pPr>
      <w:r>
        <w:t>Customer job: see fleet status and decide which vehicle or alert needs attention. Pain relieved: operators can inspect a consistent fleet view and trace a prolonged-idle alert to telemetry and an estimated fuel impact. Gain: repeatable synthetic data, live dashboard updates, replayable Kafka ingress, and a separate analytical history path. Differentiation in this submission is the explainable end-to-end demonstration and 100K synthetic catalog, not a claim of production differentiation validated against competitors.</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14:paraId="7AEA6003" w14:textId="77777777" w:rsidR="00591AD0" w:rsidRDefault="00000000">
      <w:pPr>
        <w:spacing w:before="60" w:after="200" w:line="300" w:lineRule="auto"/>
      </w:pPr>
      <w:r>
        <w:t>1) Reproducible fleet simulation: seeded generation makes the synthetic catalog repeatable; automated tests verify 100,000 unique IDs. 2) Separate operational and analytical paths: Kafka feeds PostgreSQL-backed fleet state and ClickHouse hourly aggregates, keeping report scans apart from core transactional reads. 3) Explainable, data-driven demonstration: event-time idle rules produce persistent warning/critical alerts, while a user-triggered synthetic refuelling batch updates fuel totals. Evidence is the simulator test suite, backend integration suite, working dashboard screenshots, and local runtime/query-plan notes. No product-versus-competitor benchmark or customer impact study has been performed.</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fleet overview</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review fleet health and vehicle status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Done (demo)</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frontend/src/App.tsx; GET /v1/fleet/overview</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[ADD]</w:t>
            </w:r>
          </w:p>
        </w:tc>
      </w:tr>
      <w:tr w:rsidR="00591AD0" w14:paraId="422B6156"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Telemetry ingestion and idling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inspect and acknowledge explainable idle alerts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Partial (demo path)</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 frontend/src/App.tsx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[ADD]</w:t>
            </w:r>
          </w:p>
        </w:tc>
      </w:tr>
      <w:tr w:rsidR="00591AD0" w14:paraId="05015FD5"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Analytics and simulated refuelling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view historical estimates and trigger a synthetic fuel update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Partial (synthetic)</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backend/src/main/java/com/fleetintelligence/analytics; backend/src/main/java/com/fleetintelligence/telemetry/FuelController.java</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[ADD]</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6FA310D" w14:textId="77777777" w:rsidR="00591AD0" w:rsidRDefault="00000000">
      <w:pPr>
        <w:spacing w:before="60" w:after="200" w:line="300" w:lineRule="auto"/>
      </w:pPr>
      <w:r>
        <w:t>Appendix A includes the system context, containers, event flow, relational ER, deployment view, service layers, and two sequences. The local demo is a single-machine Compose topology; the proposed high-availability/cloud portions are design-only. Ingest returns 202 after Kafka acknowledgement, followed by asynchronous PostgreSQL/ClickHouse consumers; per-hop timings have not been measured. See docs/ARCHITECTURE.md and docs/DIAGRAMS.md for architecture descriptions and source diagrams.</w:t>
      </w: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Spring Boot REST + Apache Kafka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Kafka retains/replays keyed telemetry; local broker is single-node, so HA target is unmet</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Kafka consumer + deterministic event-time rule; ClickHouse hourly analytics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Separate operational processing from analytical scans; no 100K events/sec proof</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PostgreSQL + ClickHouse; no cache/vector store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Transactional tenant/vehicle state vs columnar historical analytics; omit vector absent use case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Java Spring Boot; React + TypeScript + Vite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Existing team stack, API separation, interactive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used</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Explainable rules meet current demonstration need; avoid unsupported model claims</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Docker Compose + GitHub Actions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Repeatable local stack/build; cloud HA and complete production observability remain pending</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Query / sample</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Before or baseline plan</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After / current plan</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Change / interpretation</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37-hour ClickHouse Reports request (historical local sample)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21.3 s raw-history path</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0.16 s after hourly rollups</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One earlier local request; full hours read rollups and partial boundaries raw data. Not a load test.</w:t>
            </w:r>
          </w:p>
        </w:tc>
      </w:tr>
      <w:tr w:rsidR="00591AD0" w14:paraId="18F330D7"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PostgreSQL Alerts list, 100 rows (same query and DB snapshot)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12.910 ms forced sequential scan + top-N sort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0.100 ms V7 expression-index scan</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One warm-cache plan comparison. Baseline scan was forced after V7 existed; it is not a historical pre-deployment run.</w:t>
            </w:r>
          </w:p>
        </w:tc>
      </w:tr>
      <w:tr>
        <w:tc>
          <w:tcPr>
            <w:tcW w:type="dxa" w:w="3257"/>
          </w:tcPr>
          <w:p>
            <w:r>
              <w:t>Fleet overview over 100,000 current states</w:t>
            </w:r>
          </w:p>
        </w:tc>
        <w:tc>
          <w:tcPr>
            <w:tcW w:type="dxa" w:w="1210"/>
          </w:tcPr>
          <w:p>
            <w:r>
              <w:t>Not captured before</w:t>
            </w:r>
          </w:p>
        </w:tc>
        <w:tc>
          <w:tcPr>
            <w:tcW w:type="dxa" w:w="1210"/>
          </w:tcPr>
          <w:p>
            <w:r>
              <w:t>82.143 ms current plan</w:t>
            </w:r>
          </w:p>
        </w:tc>
        <w:tc>
          <w:tcPr>
            <w:tcW w:type="dxa" w:w="3629"/>
          </w:tcPr>
          <w:p>
            <w:r>
              <w:t>One EXPLAIN ANALYZE sample; full tenant-state aggregation. No before/after change.</w:t>
            </w:r>
          </w:p>
        </w:tc>
      </w:tr>
      <w:tr>
        <w:tc>
          <w:tcPr>
            <w:tcW w:type="dxa" w:w="3257"/>
          </w:tcPr>
          <w:p>
            <w:r>
              <w:t>Vehicle page, newest 200 states</w:t>
            </w:r>
          </w:p>
        </w:tc>
        <w:tc>
          <w:tcPr>
            <w:tcW w:type="dxa" w:w="1210"/>
          </w:tcPr>
          <w:p>
            <w:r>
              <w:t>Not captured before</w:t>
            </w:r>
          </w:p>
        </w:tc>
        <w:tc>
          <w:tcPr>
            <w:tcW w:type="dxa" w:w="1210"/>
          </w:tcPr>
          <w:p>
            <w:r>
              <w:t>0.461 ms current plan</w:t>
            </w:r>
          </w:p>
        </w:tc>
        <w:tc>
          <w:tcPr>
            <w:tcW w:type="dxa" w:w="3629"/>
          </w:tcPr>
          <w:p>
            <w:r>
              <w:t>One warm-cache EXPLAIN ANALYZE sample using tenant/latest and open-alert indexes. No before/after change.</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14:paraId="657F6091" w14:textId="77777777" w:rsidR="00591AD0" w:rsidRDefault="00000000">
      <w:pPr>
        <w:spacing w:before="60" w:after="200" w:line="300" w:lineRule="auto"/>
      </w:pPr>
      <w:r>
        <w:t>Appendix A distinguishes the running local Compose topology from a proposed multi-node deployment. Local Compose is the only verified deployment. No Helm/Kubernetes/Terraform pack, cloud account deployment, multi-zone cluster, or second-cloud deployment has been verified; no claim of portability without code changes or 99.9% availability is made.</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t>Layer diagram: Appendix A shows intended API, application, domain, and infrastructure responsibilities. Repository tree: backend/src/main/java/com/fleetintelligence/{analytics,security,telemetry}; backend/src/main/resources/{db/migration,clickhouse}; frontend/src; src/fleetpulse; scripts; tests; docs; infra/clickhouse. The current TelemetryService still combines use-case decisions with JDBC operations, so the domain/infrastructure split is not fully enforced in code.</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rPr>
                <w:sz w:val="20"/>
                <w:szCs w:val="20"/>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rPr>
                <w:sz w:val="20"/>
                <w:szCs w:val="20"/>
              </w:rPr>
              <w:t>HTTP, WebSocket, validation, auth checks,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rPr>
                <w:sz w:val="20"/>
                <w:szCs w:val="20"/>
              </w:rPr>
              <w:t>Contain business rules or SQL</w:t>
            </w:r>
          </w:p>
        </w:tc>
      </w:tr>
      <w:tr w:rsidR="00591AD0" w14:paraId="6A5627BF"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B8B6C3" w14:textId="77777777" w:rsidR="00591AD0" w:rsidRDefault="00000000">
            <w:pPr>
              <w:keepNext/>
              <w:keepLines/>
              <w:spacing w:line="260" w:lineRule="auto"/>
            </w:pPr>
            <w:r>
              <w:rPr>
                <w:sz w:val="20"/>
                <w:szCs w:val="20"/>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48242B" w14:textId="77777777" w:rsidR="00591AD0" w:rsidRDefault="00000000">
            <w:pPr>
              <w:keepNext/>
              <w:keepLines/>
              <w:spacing w:line="260" w:lineRule="auto"/>
            </w:pPr>
            <w:r>
              <w:rPr>
                <w:sz w:val="20"/>
                <w:szCs w:val="20"/>
              </w:rPr>
              <w:t>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A04A7B" w14:textId="77777777" w:rsidR="00591AD0" w:rsidRDefault="00000000">
            <w:pPr>
              <w:keepNext/>
              <w:keepLines/>
              <w:spacing w:line="260" w:lineRule="auto"/>
            </w:pPr>
            <w:r>
              <w:rPr>
                <w:sz w:val="20"/>
                <w:szCs w:val="20"/>
              </w:rPr>
              <w:t>Depend on a specific database or broker</w:t>
            </w:r>
          </w:p>
        </w:tc>
      </w:tr>
      <w:tr w:rsidR="00591AD0" w14:paraId="4A49CF71"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3FCD24" w14:textId="77777777" w:rsidR="00591AD0" w:rsidRDefault="00000000">
            <w:pPr>
              <w:keepNext/>
              <w:keepLines/>
              <w:spacing w:line="260" w:lineRule="auto"/>
            </w:pPr>
            <w:r>
              <w:rPr>
                <w:sz w:val="20"/>
                <w:szCs w:val="20"/>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AD9021" w14:textId="77777777" w:rsidR="00591AD0" w:rsidRDefault="00000000">
            <w:pPr>
              <w:keepNext/>
              <w:keepLines/>
              <w:spacing w:line="260" w:lineRule="auto"/>
            </w:pPr>
            <w:r>
              <w:rPr>
                <w:sz w:val="20"/>
                <w:szCs w:val="20"/>
              </w:rPr>
              <w:t>Entities, value objects, business rules</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7F28B8" w14:textId="77777777" w:rsidR="00591AD0" w:rsidRDefault="00000000">
            <w:pPr>
              <w:keepNext/>
              <w:keepLines/>
              <w:spacing w:line="260" w:lineRule="auto"/>
            </w:pPr>
            <w:r>
              <w:rPr>
                <w:sz w:val="20"/>
                <w:szCs w:val="20"/>
              </w:rPr>
              <w:t>Import framework or infrastructure code</w:t>
            </w:r>
          </w:p>
        </w:tc>
      </w:tr>
      <w:tr w:rsidR="00591AD0" w14:paraId="7F455C2D"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A80F86" w14:textId="77777777" w:rsidR="00591AD0" w:rsidRDefault="00000000">
            <w:pPr>
              <w:keepNext/>
              <w:keepLines/>
              <w:spacing w:line="260" w:lineRule="auto"/>
            </w:pPr>
            <w:r>
              <w:rPr>
                <w:sz w:val="20"/>
                <w:szCs w:val="20"/>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68499E" w14:textId="77777777" w:rsidR="00591AD0" w:rsidRDefault="00000000">
            <w:pPr>
              <w:keepNext/>
              <w:keepLines/>
              <w:spacing w:line="260" w:lineRule="auto"/>
            </w:pPr>
            <w:r>
              <w:rPr>
                <w:sz w:val="20"/>
                <w:szCs w:val="20"/>
              </w:rPr>
              <w:t>Repositories, broker clients, external APIs, caches</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DD063F" w14:textId="77777777" w:rsidR="00591AD0" w:rsidRDefault="00000000">
            <w:pPr>
              <w:keepNext/>
              <w:keepLines/>
              <w:spacing w:line="260" w:lineRule="auto"/>
            </w:pPr>
            <w:r>
              <w:rPr>
                <w:sz w:val="20"/>
                <w:szCs w:val="20"/>
              </w:rPr>
              <w:t>Leak vendor types into the domain</w:t>
            </w:r>
          </w:p>
        </w:tc>
      </w:tr>
    </w:tbl>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t>SOLID: Controllers delegate to TelemetryService and ClickHouseAnalyticsService, keeping HTTP mapping separate from most use cases. The service still owns SQL and some business rules, so dependency inversion and a framework-independent domain layer are incomplete.</w:t>
      </w:r>
    </w:p>
    <w:p w14:paraId="70C496DA" w14:textId="77777777" w:rsidR="00591AD0" w:rsidRDefault="00000000">
      <w:pPr>
        <w:pStyle w:val="ListParagraph"/>
        <w:numPr>
          <w:ilvl w:val="0"/>
          <w:numId w:val="2"/>
        </w:numPr>
        <w:spacing w:after="90" w:line="290" w:lineRule="auto"/>
      </w:pPr>
      <w:r>
        <w:t>12-Factor: service addresses, credentials, OIDC issuer, Kafka tuning, and idle thresholds are supplied through environment-backed configuration in Compose; API containers are replaceable and data resides in external volumes. Local example secrets are for developer use only. Stateless horizontal scaling has not been demonstrated.</w:t>
      </w:r>
    </w:p>
    <w:p w14:paraId="40DC0E0D" w14:textId="77777777" w:rsidR="00591AD0" w:rsidRDefault="00000000">
      <w:pPr>
        <w:pStyle w:val="ListParagraph"/>
        <w:numPr>
          <w:ilvl w:val="0"/>
          <w:numId w:val="2"/>
        </w:numPr>
        <w:spacing w:after="90" w:line="290" w:lineRule="auto"/>
      </w:pPr>
      <w:r>
        <w:t>Idempotency and validation: event IDs are unique per tenant, late events do not rewind the latest state, request fields are validated, and database ownership uses composite tenant/vehicle foreign keys. Least privilege: hosted API methods check read/ingest/write scopes and tenant claims. Fail-fast: readiness and bounded time-range/limit validation return errors. Rate limits, production service identities, and a complete audit trail are not implemented.</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Idempotent consumer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Duplicate event identity is constrained and persisted once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backend/src/main/java/com/fleetintelligence/telemetry/TelemetryEventConsumer.java</w:t>
            </w:r>
          </w:p>
        </w:tc>
      </w:tr>
      <w:tr w:rsidR="00591AD0" w14:paraId="63F4E8FF"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Retry + dead-letter routing</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Bounded processing retries and retained failed events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backend/src/main/java/com/fleetintelligence/telemetry/TelemetryEventConsumer.java</w:t>
            </w:r>
          </w:p>
        </w:tc>
      </w:tr>
      <w:tr w:rsidR="00591AD0" w14:paraId="4756B5F3"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Materialized view / projection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ClickHouse hourly rollups serve analytics; latest vehicle state supports operational reads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backend/src/main/java/com/fleetintelligence/analytics; backend/src/main/resources/clickhouse</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14:paraId="659C6BB6" w14:textId="77777777" w:rsidR="00591AD0" w:rsidRDefault="00000000">
      <w:pPr>
        <w:spacing w:before="60" w:after="200" w:line="300" w:lineRule="auto"/>
      </w:pPr>
      <w:r>
        <w:t>Contracts: REST endpoints are versioned under /v1; ingestion returns 202 after Kafka acknowledgement; reads enforce tenant scope when hosted security is enabled. Telemetry is JSON keyed by tenant and vehicle; the local topic is fleet.telemetry.v1 with 12 partitions and seven-day retention. A published OpenAPI/AsyncAPI specification, JSON Schema registry, formal compatibility policy, cursor pagination, and request rate limits are not currently present. Flow A is validation → Kafka acknowledgement → PostgreSQL and ClickHouse consumers → dashboard/report. Flow B is stationary telemetry → persisted warning/critical episode → dashboard acknowledgement → later movement resolves it. Retry/DLQ routing is implemented; broker failure recovery and end-to-end duplicate/replay reconciliation are not verified. Diagrams: Appendix A7–A8.</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p w14:paraId="7730D982" w14:textId="77777777" w:rsidR="00591AD0" w:rsidRDefault="00000000">
      <w:pPr>
        <w:spacing w:before="60" w:after="200" w:line="300" w:lineRule="auto"/>
      </w:pPr>
      <w:r>
        <w:t>Algorithm and pseudocode: deduplicate by (tenant_id,event_id); register ownership; lock one tenant/vehicle state; ignore current-state updates when observed_at is not newer; otherwise update position/speed and stationary_since; open or escalate the idle episode when configured duration thresholds are crossed; resolve it on movement or engine-off; commit. Expected per-event logic is constant work apart from Kafka and indexed database operations (B-tree lookups are O(log N)); one current-state row is maintained per vehicle. The seeded generator is O(V+E) time and O(1) iterator state before output buffering. The Alerts query now uses a matching ordered expression index (expected O(log A + page size)); one local plan sample changed from 12.910 ms scan/sort to 0.100 ms index scan. Fleet overview aggregates V=100,000 states (82.143 ms in one current plan). Three simulator tests passed, including 100,000 unique IDs; no 100K events/sec runtime test has been run. See docs/ALGORITHMS_AND_CAPACITY.md and evidences/2026-10-02/runtime-and-query-plan-check.md.</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Load test required</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Timestamped end-to-end test required</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Representative API load test required</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NOT VERIFIED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Failure injection and backlog reconciliation required</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rPr>
                <w:highlight w:val="yellow"/>
              </w:rPr>
              <w:t>NOT VERIFIED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HA deployment and measured availability required</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14:paraId="64050E69" w14:textId="77777777" w:rsidR="00591AD0" w:rsidRDefault="00000000">
      <w:pPr>
        <w:spacing w:before="60" w:after="200" w:line="300" w:lineRule="auto"/>
      </w:pPr>
      <w:r>
        <w:t>Case-study targets: ≥100,000 events/sec; survive 3x burst for five minutes without loss; dashboard freshness &lt;2 s; critical alert &lt;5 s; API p95 &lt;200 ms and p99 &lt;500 ms; 99.9% availability with no single point of failure. Status: throughput and API/end-to-end percentiles NOT MEASURED; loss and resilience NOT VERIFIED; availability/cloud deployment NOT VERIFIED. The local simulator setting is 5 events/second, not measured capacity. Local observations: 37-hour Reports sample 0.16 s after rollup optimization, current populated ~27-hour analytics sample 0.690 s, and one alert query plan 12.910 ms scan/sort vs 0.100 ms indexed. These are individual local samples, not load-test results. No 100K events/sec or 3x burst run, consumer-lag reconciliation, or soak report exists. Full plan evidence and caveats: evidences/2026-10-02/runtime-and-query-plan-check.md.</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14:paraId="46609A08" w14:textId="77777777" w:rsidR="00591AD0" w:rsidRDefault="00000000">
      <w:pPr>
        <w:spacing w:before="60" w:after="200" w:line="300" w:lineRule="auto"/>
      </w:pPr>
      <w:r>
        <w:t>Threat model: see docs/SECURITY_THREAT_MODEL.md for the STRIDE review. Spoofing: hosted API mode validates OIDC JWT signature/issuer/expiry and scopes; device identity/mTLS is absent. Tampering: validation, idempotency, and tenant-scoped relational constraints exist; TLS and formal schema evolution are absent. Repudiation: acknowledgement timestamp/operator fields exist, but an append-only access/action audit log does not. Information disclosure: tenant claim/query checks exist in hosted mode; privacy masking and erasure are not implemented. Denial of service: Kafka buffers accepted events and retries are bounded, but rate limits/quotas and capacity controls are absent. Elevation of privilege: scope/tenant checks exist; no production role/provider configuration has been verified. Local Compose disables API authentication for the demo. No security scan or penetration test has been performed. Seven-day Kafka retention and 90-day ClickHouse raw retention are configured; PostgreSQL erasure and cold archive are not. Only synthetic data is intended; this prototype does not claim GDPR/DPDP compliance.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Python unittest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3</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Passed locally; coverage percentage not measured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Yes</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Spring Boot + Testcontainers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 integration methods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Earlier CI covers Kafka/PostgreSQL; ClickHouse is mocked. V7 CI rerun pending.</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Integration yes; separate contract suite no</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configured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 reported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BDD scenarios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controlled tool run</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 target-scale runs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100K events/sec, 3x burst, loss, lag and p95/p99 not measured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consolidated scans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 reports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verified scan report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Manual design only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 reported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Audit/erasure and broker/pod recovery not verified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51F1AE91" w14:textId="77777777" w:rsidR="00591AD0" w:rsidRDefault="00000000">
      <w:pPr>
        <w:spacing w:before="60" w:after="200" w:line="300" w:lineRule="auto"/>
      </w:pPr>
      <w:r>
        <w:t>Verified checks: three simulator unit tests passed locally; the React/TypeScript production build passed; the API Docker image packaged successfully; API readiness, dashboard, overview, vehicles, alerts, and analytics endpoints returned HTTP 200; and current local query plans are recorded. Earlier GitHub Actions passed a ten-method Kafka/PostgreSQL Testcontainers integration suite; the V7 migration requires its own CI run after push. No aggregate line/branch coverage percentage, separate contract suite, BDD acceptance suite, target-scale load/soak, security scan, chaos/failure recovery, or observability dashboard screenshot is available. For a latency spike, compare request rate and API p95/p99 with Kafka consumer lag and retry/DLQ counts; correlate API logs/request IDs with broker and database timeouts; use distributed traces to locate the slow hop. Metrics/traces are not yet instrumented, so this is a runbook plan, not a demonstrated walkthrough.</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69A0F03E" w14:textId="77777777" w:rsidR="00591AD0" w:rsidRDefault="00000000">
      <w:pPr>
        <w:spacing w:before="60" w:after="200" w:line="300" w:lineRule="auto"/>
      </w:pPr>
      <w:r>
        <w:t>No machine-learning model, vector retrieval, or LLM agent is part of the running product. Idle alerts use deterministic, explainable threshold rules; no trained-model use case or evaluation dataset exists. The brief makes vector storage conditional (“where useful”), so no vector store is installed without a grounded retrieval need. If a model is added later, evaluate it against the current rules baseline and include guardrails, human approval, access limits, latency, cost, and audit evidence.</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14:paraId="48CAEF1F" w14:textId="77777777" w:rsidR="00591AD0" w:rsidRDefault="00000000">
      <w:pPr>
        <w:spacing w:before="60" w:after="200" w:line="300" w:lineRule="auto"/>
      </w:pPr>
      <w:r>
        <w:t>Four ADRs record the product scope, Kafka messaging, ClickHouse analytics, and consistency/retention decisions (docs/adr/0001 through 0004). Risks include the single-node local topology, synthetic-only telemetry, estimated fuel/emissions, incomplete security controls, and unmeasured challenge-scale behavior. Next steps are to add cloud/HA deployment and production security settings; run controlled load, latency, coverage, security, and failure tests on suitable infrastructure; and record the five-minute demo before tagging a verified release. Current local observations do not establish production impact.</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rPr>
                <w:sz w:val="20"/>
                <w:szCs w:val="20"/>
              </w:rPr>
              <w:t>The user, the pain, and one number that proves it matters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Next/>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Next/>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91F5A4" w14:textId="77777777" w:rsidR="00591AD0" w:rsidRDefault="00000000">
            <w:pPr>
              <w:keepNext/>
              <w:keepLines/>
              <w:spacing w:line="260" w:lineRule="auto"/>
            </w:pPr>
            <w:r>
              <w:rPr>
                <w:sz w:val="20"/>
                <w:szCs w:val="20"/>
              </w:rPr>
              <w:t>One-line pitch and key value proposition</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Next/>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Next/>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4B88A1" w14:textId="77777777" w:rsidR="00591AD0" w:rsidRDefault="00000000">
            <w:pPr>
              <w:keepNext/>
              <w:keepLines/>
              <w:spacing w:line="260" w:lineRule="auto"/>
            </w:pPr>
            <w:r>
              <w:rPr>
                <w:sz w:val="20"/>
                <w:szCs w:val="20"/>
              </w:rPr>
              <w:t>Main user journey end to end on live data, including one real-time event</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Next/>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Next/>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4E2C4D" w14:textId="77777777" w:rsidR="00591AD0" w:rsidRDefault="00000000">
            <w:pPr>
              <w:keepNext/>
              <w:keepLines/>
              <w:spacing w:line="260" w:lineRule="auto"/>
            </w:pPr>
            <w:r>
              <w:rPr>
                <w:sz w:val="20"/>
                <w:szCs w:val="20"/>
              </w:rPr>
              <w:t>Architecture, load test or dashboard at scale, one failure-recovery moment</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Next/>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Next/>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C26E27" w14:textId="77777777" w:rsidR="00591AD0" w:rsidRDefault="00000000">
            <w:pPr>
              <w:keepNext/>
              <w:keepLines/>
              <w:spacing w:line="260" w:lineRule="auto"/>
            </w:pPr>
            <w:r>
              <w:rPr>
                <w:sz w:val="20"/>
                <w:szCs w:val="20"/>
              </w:rPr>
              <w:t>Measured results, what comes next, and the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t xml:space="preserve">Video Link: </w:t>
      </w:r>
      <w:r>
        <w:rPr>
          <w:highlight w:val="yellow"/>
        </w:rPr>
        <w:t>[ADD UNLISTED VIDEO URL — MAXIMUM 5 MINUTES]</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14:paraId="60225E80" w14:textId="77777777" w:rsidR="00591AD0" w:rsidRDefault="00000000">
      <w:pPr>
        <w:spacing w:before="60" w:after="200" w:line="300" w:lineRule="auto"/>
      </w:pPr>
      <w:r>
        <w:t xml:space="preserve">The prototype connects synthetic telemetry to operational fleet monitoring and historical analytics. Its clearest strength is an explainable path from event to alert and dashboard, with a separately queryable historical store. The main lesson is that functional correctness and local query optimizations do not prove the stated throughput, latency, resilience, security, or availability targets. The next phase is to validate these on a suitable multi-node environment, close production controls, and record the live demo. </w:t>
      </w:r>
      <w:r>
        <w:rPr>
          <w:highlight w:val="yellow"/>
        </w:rPr>
        <w:t>[TEAM: add your own learning and final team reflection after validation.]</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14:paraId="520829F2" w14:textId="77777777" w:rsidR="00591AD0" w:rsidRDefault="00000000">
      <w:pPr>
        <w:spacing w:before="60" w:after="200" w:line="300" w:lineRule="auto"/>
      </w:pPr>
      <w:r>
        <w:t xml:space="preserve">Open-source components and licences: direct dependencies and container base images are declared in backend/pom.xml, frontend/package-lock.json, Dockerfiles, and Compose. A complete transitive SBOM/license report has not yet been generated; review it before submission. AI tools: OpenAI Codex assisted with code review, implementation, and document drafting; no LLM API is called by the running product. Data declaration: simulator and demo records are synthetic; fuel and CO2 figures are estimates, not sensor measurements. </w:t>
      </w:r>
      <w:r>
        <w:rPr>
          <w:highlight w:val="yellow"/>
        </w:rPr>
        <w:t>[TEAM: list any other tools used and confirm the final data/formal declaration.]</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architecture, deployment, ER, layering, and sequence diagrams: see landscape Appendix A following the template pages.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pPr>
        <w:sectPr>
          <w:headerReference w:type="default" r:id="rId7"/>
          <w:footerReference w:type="default" r:id="rId8"/>
          <w:pgSz w:w="11906" w:h="16838"/>
          <w:pgMar w:top="1440" w:right="1300" w:bottom="1300" w:left="1300" w:header="600" w:footer="600" w:gutter="0"/>
          <w:cols w:space="720"/>
          <w:docGrid w:linePitch="360"/>
        </w:sectPr>
      </w:pPr>
    </w:p>
    <w:p>
      <w:pPr>
        <w:pStyle w:val="Heading1"/>
      </w:pPr>
      <w:r>
        <w:t>Appendix A — Architecture and Data Diagrams</w:t>
      </w:r>
    </w:p>
    <w:p>
      <w:r>
        <w:t>Editable source: tldraw board “Fleet Intelligence Platform — Hackathon Architecture &amp; Data Diagrams”. Implemented components reflect the local demo. Any future integrations or high-availability topology are explicitly marked as planned, not deployed. Latency figures are targets only until measured.</w:t>
      </w:r>
    </w:p>
    <w:p>
      <w:pPr>
        <w:pStyle w:val="Heading2"/>
        <w:keepNext/>
        <w:pageBreakBefore/>
      </w:pPr>
      <w:r>
        <w:t>A1. C4 system context</w:t>
      </w:r>
    </w:p>
    <w:p>
      <w:pPr>
        <w:keepLines/>
        <w:jc w:val="center"/>
      </w:pPr>
      <w:r>
        <w:drawing>
          <wp:inline xmlns:a="http://schemas.openxmlformats.org/drawingml/2006/main" xmlns:pic="http://schemas.openxmlformats.org/drawingml/2006/picture">
            <wp:extent cx="9006840" cy="5563199"/>
            <wp:docPr id="1" name="Picture 1"/>
            <wp:cNvGraphicFramePr>
              <a:graphicFrameLocks noChangeAspect="1"/>
            </wp:cNvGraphicFramePr>
            <a:graphic>
              <a:graphicData uri="http://schemas.openxmlformats.org/drawingml/2006/picture">
                <pic:pic>
                  <pic:nvPicPr>
                    <pic:cNvPr id="0" name="01-c4-context.png"/>
                    <pic:cNvPicPr/>
                  </pic:nvPicPr>
                  <pic:blipFill>
                    <a:blip r:embed="rId11"/>
                    <a:stretch>
                      <a:fillRect/>
                    </a:stretch>
                  </pic:blipFill>
                  <pic:spPr>
                    <a:xfrm>
                      <a:off x="0" y="0"/>
                      <a:ext cx="9006840" cy="5563199"/>
                    </a:xfrm>
                    <a:prstGeom prst="rect"/>
                  </pic:spPr>
                </pic:pic>
              </a:graphicData>
            </a:graphic>
          </wp:inline>
        </w:drawing>
      </w:r>
    </w:p>
    <w:p>
      <w:pPr>
        <w:keepLines/>
        <w:jc w:val="center"/>
      </w:pPr>
      <w:r>
        <w:t>Fleet manager, simulator, platform boundary, and external integrations not connected in the demo.</w:t>
      </w:r>
    </w:p>
    <w:p>
      <w:pPr>
        <w:pStyle w:val="Heading2"/>
        <w:keepNext/>
        <w:pageBreakBefore/>
      </w:pPr>
      <w:r>
        <w:t>A2. C4 containers</w:t>
      </w:r>
    </w:p>
    <w:p>
      <w:pPr>
        <w:keepLines/>
        <w:jc w:val="center"/>
      </w:pPr>
      <w:r>
        <w:drawing>
          <wp:inline xmlns:a="http://schemas.openxmlformats.org/drawingml/2006/main" xmlns:pic="http://schemas.openxmlformats.org/drawingml/2006/picture">
            <wp:extent cx="9006840" cy="2233839"/>
            <wp:docPr id="2" name="Picture 2"/>
            <wp:cNvGraphicFramePr>
              <a:graphicFrameLocks noChangeAspect="1"/>
            </wp:cNvGraphicFramePr>
            <a:graphic>
              <a:graphicData uri="http://schemas.openxmlformats.org/drawingml/2006/picture">
                <pic:pic>
                  <pic:nvPicPr>
                    <pic:cNvPr id="0" name="02-c4-containers.png"/>
                    <pic:cNvPicPr/>
                  </pic:nvPicPr>
                  <pic:blipFill>
                    <a:blip r:embed="rId12"/>
                    <a:stretch>
                      <a:fillRect/>
                    </a:stretch>
                  </pic:blipFill>
                  <pic:spPr>
                    <a:xfrm>
                      <a:off x="0" y="0"/>
                      <a:ext cx="9006840" cy="2233839"/>
                    </a:xfrm>
                    <a:prstGeom prst="rect"/>
                  </pic:spPr>
                </pic:pic>
              </a:graphicData>
            </a:graphic>
          </wp:inline>
        </w:drawing>
      </w:r>
    </w:p>
    <w:p>
      <w:pPr>
        <w:keepLines/>
        <w:jc w:val="center"/>
      </w:pPr>
      <w:r>
        <w:t>Current services, stores, protocols, event routes, and dead-letter handling.</w:t>
      </w:r>
    </w:p>
    <w:p>
      <w:pPr>
        <w:pStyle w:val="Heading2"/>
        <w:keepNext/>
        <w:pageBreakBefore/>
      </w:pPr>
      <w:r>
        <w:t>A3. Telemetry event flow</w:t>
      </w:r>
    </w:p>
    <w:p>
      <w:pPr>
        <w:keepLines/>
        <w:jc w:val="center"/>
      </w:pPr>
      <w:r>
        <w:drawing>
          <wp:inline xmlns:a="http://schemas.openxmlformats.org/drawingml/2006/main" xmlns:pic="http://schemas.openxmlformats.org/drawingml/2006/picture">
            <wp:extent cx="9006840" cy="2284117"/>
            <wp:docPr id="3" name="Picture 3"/>
            <wp:cNvGraphicFramePr>
              <a:graphicFrameLocks noChangeAspect="1"/>
            </wp:cNvGraphicFramePr>
            <a:graphic>
              <a:graphicData uri="http://schemas.openxmlformats.org/drawingml/2006/picture">
                <pic:pic>
                  <pic:nvPicPr>
                    <pic:cNvPr id="0" name="03-event-data-flow.png"/>
                    <pic:cNvPicPr/>
                  </pic:nvPicPr>
                  <pic:blipFill>
                    <a:blip r:embed="rId13"/>
                    <a:stretch>
                      <a:fillRect/>
                    </a:stretch>
                  </pic:blipFill>
                  <pic:spPr>
                    <a:xfrm>
                      <a:off x="0" y="0"/>
                      <a:ext cx="9006840" cy="2284117"/>
                    </a:xfrm>
                    <a:prstGeom prst="rect"/>
                  </pic:spPr>
                </pic:pic>
              </a:graphicData>
            </a:graphic>
          </wp:inline>
        </w:drawing>
      </w:r>
    </w:p>
    <w:p>
      <w:pPr>
        <w:keepLines/>
        <w:jc w:val="center"/>
      </w:pPr>
      <w:r>
        <w:t xml:space="preserve">Per-hop latency is marked </w:t>
      </w:r>
      <w:r>
        <w:rPr>
          <w:highlight w:val="yellow"/>
        </w:rPr>
        <w:t>TBD</w:t>
      </w:r>
      <w:r>
        <w:t>; dashboard and critical-alert values are challenge targets until measured.</w:t>
      </w:r>
    </w:p>
    <w:p>
      <w:pPr>
        <w:pStyle w:val="Heading2"/>
        <w:keepNext/>
        <w:pageBreakBefore/>
      </w:pPr>
      <w:r>
        <w:t>A4. Relational ER and tenant ownership</w:t>
      </w:r>
    </w:p>
    <w:p>
      <w:pPr>
        <w:keepLines/>
        <w:jc w:val="center"/>
      </w:pPr>
      <w:r>
        <w:drawing>
          <wp:inline xmlns:a="http://schemas.openxmlformats.org/drawingml/2006/main" xmlns:pic="http://schemas.openxmlformats.org/drawingml/2006/picture">
            <wp:extent cx="5338220" cy="5623559"/>
            <wp:docPr id="4" name="Picture 4"/>
            <wp:cNvGraphicFramePr>
              <a:graphicFrameLocks noChangeAspect="1"/>
            </wp:cNvGraphicFramePr>
            <a:graphic>
              <a:graphicData uri="http://schemas.openxmlformats.org/drawingml/2006/picture">
                <pic:pic>
                  <pic:nvPicPr>
                    <pic:cNvPr id="0" name="04-er-tenant-ownership.png"/>
                    <pic:cNvPicPr/>
                  </pic:nvPicPr>
                  <pic:blipFill>
                    <a:blip r:embed="rId14"/>
                    <a:stretch>
                      <a:fillRect/>
                    </a:stretch>
                  </pic:blipFill>
                  <pic:spPr>
                    <a:xfrm>
                      <a:off x="0" y="0"/>
                      <a:ext cx="5338220" cy="5623559"/>
                    </a:xfrm>
                    <a:prstGeom prst="rect"/>
                  </pic:spPr>
                </pic:pic>
              </a:graphicData>
            </a:graphic>
          </wp:inline>
        </w:drawing>
      </w:r>
    </w:p>
    <w:p>
      <w:pPr>
        <w:keepLines/>
        <w:jc w:val="center"/>
      </w:pPr>
      <w:r>
        <w:t>Post-V6 tenant and vehicle ownership, operational projections, and telemetry/fuel relationships.</w:t>
      </w:r>
    </w:p>
    <w:p>
      <w:pPr>
        <w:pStyle w:val="Heading2"/>
        <w:keepNext/>
        <w:pageBreakBefore/>
      </w:pPr>
      <w:r>
        <w:t>A5. Deployment view</w:t>
      </w:r>
    </w:p>
    <w:p>
      <w:pPr>
        <w:keepLines/>
        <w:jc w:val="center"/>
      </w:pPr>
      <w:r>
        <w:drawing>
          <wp:inline xmlns:a="http://schemas.openxmlformats.org/drawingml/2006/main" xmlns:pic="http://schemas.openxmlformats.org/drawingml/2006/picture">
            <wp:extent cx="9006840" cy="4659944"/>
            <wp:docPr id="5" name="Picture 5"/>
            <wp:cNvGraphicFramePr>
              <a:graphicFrameLocks noChangeAspect="1"/>
            </wp:cNvGraphicFramePr>
            <a:graphic>
              <a:graphicData uri="http://schemas.openxmlformats.org/drawingml/2006/picture">
                <pic:pic>
                  <pic:nvPicPr>
                    <pic:cNvPr id="0" name="05-deployment.png"/>
                    <pic:cNvPicPr/>
                  </pic:nvPicPr>
                  <pic:blipFill>
                    <a:blip r:embed="rId15"/>
                    <a:stretch>
                      <a:fillRect/>
                    </a:stretch>
                  </pic:blipFill>
                  <pic:spPr>
                    <a:xfrm>
                      <a:off x="0" y="0"/>
                      <a:ext cx="9006840" cy="4659944"/>
                    </a:xfrm>
                    <a:prstGeom prst="rect"/>
                  </pic:spPr>
                </pic:pic>
              </a:graphicData>
            </a:graphic>
          </wp:inline>
        </w:drawing>
      </w:r>
    </w:p>
    <w:p>
      <w:pPr>
        <w:keepLines/>
        <w:jc w:val="center"/>
      </w:pPr>
      <w:r>
        <w:t>Current local Compose topology beside a proposed HA target that is not deployed or verified.</w:t>
      </w:r>
    </w:p>
    <w:p>
      <w:pPr>
        <w:pStyle w:val="Heading2"/>
        <w:keepNext/>
        <w:pageBreakBefore/>
      </w:pPr>
      <w:r>
        <w:t>A6. Service layers</w:t>
      </w:r>
    </w:p>
    <w:p>
      <w:pPr>
        <w:keepLines/>
        <w:jc w:val="center"/>
      </w:pPr>
      <w:r>
        <w:drawing>
          <wp:inline xmlns:a="http://schemas.openxmlformats.org/drawingml/2006/main" xmlns:pic="http://schemas.openxmlformats.org/drawingml/2006/picture">
            <wp:extent cx="4483440" cy="5623559"/>
            <wp:docPr id="6" name="Picture 6"/>
            <wp:cNvGraphicFramePr>
              <a:graphicFrameLocks noChangeAspect="1"/>
            </wp:cNvGraphicFramePr>
            <a:graphic>
              <a:graphicData uri="http://schemas.openxmlformats.org/drawingml/2006/picture">
                <pic:pic>
                  <pic:nvPicPr>
                    <pic:cNvPr id="0" name="06-service-layers.png"/>
                    <pic:cNvPicPr/>
                  </pic:nvPicPr>
                  <pic:blipFill>
                    <a:blip r:embed="rId16"/>
                    <a:stretch>
                      <a:fillRect/>
                    </a:stretch>
                  </pic:blipFill>
                  <pic:spPr>
                    <a:xfrm>
                      <a:off x="0" y="0"/>
                      <a:ext cx="4483440" cy="5623559"/>
                    </a:xfrm>
                    <a:prstGeom prst="rect"/>
                  </pic:spPr>
                </pic:pic>
              </a:graphicData>
            </a:graphic>
          </wp:inline>
        </w:drawing>
      </w:r>
    </w:p>
    <w:p>
      <w:pPr>
        <w:keepLines/>
        <w:jc w:val="center"/>
      </w:pPr>
      <w:r>
        <w:t>Intended presentation, application, domain, and infrastructure responsibilities.</w:t>
      </w:r>
    </w:p>
    <w:p>
      <w:pPr>
        <w:pStyle w:val="Heading2"/>
        <w:keepNext/>
        <w:pageBreakBefore/>
      </w:pPr>
      <w:r>
        <w:t>A7. Sequence: ingest and failure handling</w:t>
      </w:r>
    </w:p>
    <w:p>
      <w:pPr>
        <w:keepLines/>
        <w:jc w:val="center"/>
      </w:pPr>
      <w:r>
        <w:drawing>
          <wp:inline xmlns:a="http://schemas.openxmlformats.org/drawingml/2006/main" xmlns:pic="http://schemas.openxmlformats.org/drawingml/2006/picture">
            <wp:extent cx="9006840" cy="4228436"/>
            <wp:docPr id="7" name="Picture 7"/>
            <wp:cNvGraphicFramePr>
              <a:graphicFrameLocks noChangeAspect="1"/>
            </wp:cNvGraphicFramePr>
            <a:graphic>
              <a:graphicData uri="http://schemas.openxmlformats.org/drawingml/2006/picture">
                <pic:pic>
                  <pic:nvPicPr>
                    <pic:cNvPr id="0" name="07-sequence-ingest-failure.png"/>
                    <pic:cNvPicPr/>
                  </pic:nvPicPr>
                  <pic:blipFill>
                    <a:blip r:embed="rId17"/>
                    <a:stretch>
                      <a:fillRect/>
                    </a:stretch>
                  </pic:blipFill>
                  <pic:spPr>
                    <a:xfrm>
                      <a:off x="0" y="0"/>
                      <a:ext cx="9006840" cy="4228436"/>
                    </a:xfrm>
                    <a:prstGeom prst="rect"/>
                  </pic:spPr>
                </pic:pic>
              </a:graphicData>
            </a:graphic>
          </wp:inline>
        </w:drawing>
      </w:r>
    </w:p>
    <w:p>
      <w:pPr>
        <w:keepLines/>
        <w:jc w:val="center"/>
      </w:pPr>
      <w:r>
        <w:t>Kafka acknowledgement, duplicate idempotency, broker unavailable retry, and dead-letter path.</w:t>
      </w:r>
    </w:p>
    <w:p>
      <w:pPr>
        <w:pStyle w:val="Heading2"/>
        <w:keepNext/>
        <w:pageBreakBefore/>
      </w:pPr>
      <w:r>
        <w:t>A8. Sequence: idle alert lifecycle</w:t>
      </w:r>
    </w:p>
    <w:p>
      <w:pPr>
        <w:keepLines/>
        <w:jc w:val="center"/>
      </w:pPr>
      <w:r>
        <w:drawing>
          <wp:inline xmlns:a="http://schemas.openxmlformats.org/drawingml/2006/main" xmlns:pic="http://schemas.openxmlformats.org/drawingml/2006/picture">
            <wp:extent cx="9006840" cy="5178480"/>
            <wp:docPr id="8" name="Picture 8"/>
            <wp:cNvGraphicFramePr>
              <a:graphicFrameLocks noChangeAspect="1"/>
            </wp:cNvGraphicFramePr>
            <a:graphic>
              <a:graphicData uri="http://schemas.openxmlformats.org/drawingml/2006/picture">
                <pic:pic>
                  <pic:nvPicPr>
                    <pic:cNvPr id="0" name="08-sequence-idle-alert.png"/>
                    <pic:cNvPicPr/>
                  </pic:nvPicPr>
                  <pic:blipFill>
                    <a:blip r:embed="rId18"/>
                    <a:stretch>
                      <a:fillRect/>
                    </a:stretch>
                  </pic:blipFill>
                  <pic:spPr>
                    <a:xfrm>
                      <a:off x="0" y="0"/>
                      <a:ext cx="9006840" cy="5178480"/>
                    </a:xfrm>
                    <a:prstGeom prst="rect"/>
                  </pic:spPr>
                </pic:pic>
              </a:graphicData>
            </a:graphic>
          </wp:inline>
        </w:drawing>
      </w:r>
    </w:p>
    <w:p>
      <w:pPr>
        <w:keepLines/>
        <w:jc w:val="center"/>
      </w:pPr>
      <w:r>
        <w:t>Idle threshold, persisted alert, dashboard acknowledgement, and later movement resolution.</w:t>
      </w:r>
    </w:p>
    <w:sectPr w:rsidR="00591AD0">
      <w:pgSz w:w="16838" w:h="11906" w:orient="landscape"/>
      <w:pgMar w:top="1080" w:right="1296" w:bottom="936" w:left="1296"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