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2F75B5"/>
          <w:sz w:val="22"/>
        </w:rPr>
        <w:t>MOTORQ HACKATHON</w:t>
      </w:r>
    </w:p>
    <w:p>
      <w:pPr>
        <w:pStyle w:val="Title"/>
      </w:pPr>
      <w:r>
        <w:t>Fleet Intelligence Project Blueprint</w:t>
      </w:r>
    </w:p>
    <w:p>
      <w:pPr>
        <w:spacing w:before="240"/>
      </w:pPr>
      <w:r>
        <w:rPr>
          <w:color w:val="5B6573"/>
          <w:sz w:val="30"/>
        </w:rPr>
        <w:t>A beginner-friendly plan to build the core system first, then add intelligence</w:t>
      </w:r>
    </w:p>
    <w:p>
      <w:r>
        <w:t>Version 1.0  |  Prepared 30 September 2026  |  Primary coding agent: Codex</w:t>
      </w:r>
    </w:p>
    <w:p>
      <w:r>
        <w:t>Use this document as the single build plan for the connected-vehicle fleet intelligence hackathon. It defines a recommended stack, a first milestone, the system design, acceptance checks, and copy-ready Codex prompts.</w:t>
      </w: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Pr>
                <w:b/>
                <w:color w:val="17365D"/>
              </w:rPr>
              <w:t xml:space="preserve">Start here  </w:t>
            </w:r>
            <w:r>
              <w:t>Do not ask an AI agent to build the whole platform in one prompt. Begin with Milestone 0, then complete one end-to-end vehicle event flow before expanding the system.</w:t>
            </w:r>
          </w:p>
        </w:tc>
      </w:tr>
    </w:tbl>
    <w:p>
      <w:pPr>
        <w:spacing w:after="20"/>
      </w:pPr>
    </w:p>
    <w:p>
      <w:pPr>
        <w:pStyle w:val="Heading2"/>
      </w:pPr>
      <w:r>
        <w:t>The project in one sentence</w:t>
      </w:r>
    </w:p>
    <w:p>
      <w:r>
        <w:t>Build a fleet intelligence platform that turns connected-vehicle events into trustworthy, explainable actions: Sense → Trust → Understand → Decide → Act → Measure → Learn.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vAlign w:val="center"/>
            <w:shd w:fill="17365D"/>
          </w:tcPr>
          <w:p>
            <w:pPr>
              <w:spacing w:after="20" w:before="20"/>
            </w:pPr>
            <w:r/>
            <w:r>
              <w:rPr>
                <w:rFonts w:ascii="Aptos" w:hAnsi="Aptos"/>
                <w:b/>
                <w:color w:val="FFFFFF"/>
                <w:sz w:val="16"/>
              </w:rPr>
              <w:t>First</w:t>
            </w:r>
          </w:p>
        </w:tc>
        <w:tc>
          <w:tcPr>
            <w:tcW w:type="dxa" w:w="3384"/>
            <w:vAlign w:val="center"/>
            <w:shd w:fill="17365D"/>
          </w:tcPr>
          <w:p>
            <w:pPr>
              <w:spacing w:after="20" w:before="20"/>
            </w:pPr>
            <w:r/>
            <w:r>
              <w:rPr>
                <w:rFonts w:ascii="Aptos" w:hAnsi="Aptos"/>
                <w:b/>
                <w:color w:val="FFFFFF"/>
                <w:sz w:val="16"/>
              </w:rPr>
              <w:t>Then</w:t>
            </w:r>
          </w:p>
        </w:tc>
        <w:tc>
          <w:tcPr>
            <w:tcW w:type="dxa" w:w="3672"/>
            <w:vAlign w:val="center"/>
            <w:shd w:fill="17365D"/>
          </w:tcPr>
          <w:p>
            <w:pPr>
              <w:spacing w:after="20" w:before="20"/>
            </w:pPr>
            <w:r/>
            <w:r>
              <w:rPr>
                <w:rFonts w:ascii="Aptos" w:hAnsi="Aptos"/>
                <w:b/>
                <w:color w:val="FFFFFF"/>
                <w:sz w:val="16"/>
              </w:rPr>
              <w:t>After the core is stable</w:t>
            </w:r>
          </w:p>
        </w:tc>
      </w:tr>
      <w:tr>
        <w:tc>
          <w:tcPr>
            <w:tcW w:type="dxa" w:w="3024"/>
            <w:vAlign w:val="center"/>
          </w:tcPr>
          <w:p>
            <w:pPr>
              <w:spacing w:after="20" w:before="20"/>
            </w:pPr>
            <w:r/>
            <w:r>
              <w:rPr>
                <w:rFonts w:ascii="Aptos" w:hAnsi="Aptos"/>
                <w:b w:val="0"/>
                <w:sz w:val="16"/>
              </w:rPr>
              <w:t>Working vertical slice, simulator, event ingestion, database, alert API, simple dashboard</w:t>
            </w:r>
          </w:p>
        </w:tc>
        <w:tc>
          <w:tcPr>
            <w:tcW w:type="dxa" w:w="3384"/>
            <w:vAlign w:val="center"/>
          </w:tcPr>
          <w:p>
            <w:pPr>
              <w:spacing w:after="20" w:before="20"/>
            </w:pPr>
            <w:r/>
            <w:r>
              <w:rPr>
                <w:rFonts w:ascii="Aptos" w:hAnsi="Aptos"/>
                <w:b w:val="0"/>
                <w:sz w:val="16"/>
              </w:rPr>
              <w:t>Scale, historical analytics, authentication, security, observability, performance evidence</w:t>
            </w:r>
          </w:p>
        </w:tc>
        <w:tc>
          <w:tcPr>
            <w:tcW w:type="dxa" w:w="3672"/>
            <w:vAlign w:val="center"/>
          </w:tcPr>
          <w:p>
            <w:pPr>
              <w:spacing w:after="20" w:before="20"/>
            </w:pPr>
            <w:r/>
            <w:r>
              <w:rPr>
                <w:rFonts w:ascii="Aptos" w:hAnsi="Aptos"/>
                <w:b w:val="0"/>
                <w:sz w:val="16"/>
              </w:rPr>
              <w:t>SignalSentry, Decision Engine, FleetContinuity, consent controls, outcome ledger, optional AI assistant</w:t>
            </w:r>
          </w:p>
        </w:tc>
      </w:tr>
    </w:tbl>
    <w:p>
      <w:pPr>
        <w:spacing w:after="20"/>
      </w:pPr>
    </w:p>
    <w:p>
      <w:r>
        <w:br w:type="page"/>
      </w:r>
    </w:p>
    <w:p>
      <w:pPr>
        <w:pStyle w:val="Heading1"/>
      </w:pPr>
      <w:r>
        <w:t>1. Decisions to keep the project simple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Decision</w:t>
            </w:r>
          </w:p>
        </w:tc>
        <w:tc>
          <w:tcPr>
            <w:tcW w:type="dxa" w:w="3331"/>
            <w:vAlign w:val="center"/>
            <w:shd w:fill="17365D"/>
          </w:tcPr>
          <w:p>
            <w:pPr>
              <w:spacing w:after="20" w:before="20"/>
            </w:pPr>
            <w:r/>
            <w:r>
              <w:rPr>
                <w:rFonts w:ascii="Aptos" w:hAnsi="Aptos"/>
                <w:b/>
                <w:color w:val="FFFFFF"/>
                <w:sz w:val="16"/>
              </w:rPr>
              <w:t>Recommendation</w:t>
            </w:r>
          </w:p>
        </w:tc>
        <w:tc>
          <w:tcPr>
            <w:tcW w:type="dxa" w:w="3331"/>
            <w:vAlign w:val="center"/>
            <w:shd w:fill="17365D"/>
          </w:tcPr>
          <w:p>
            <w:pPr>
              <w:spacing w:after="20" w:before="20"/>
            </w:pPr>
            <w:r/>
            <w:r>
              <w:rPr>
                <w:rFonts w:ascii="Aptos" w:hAnsi="Aptos"/>
                <w:b/>
                <w:color w:val="FFFFFF"/>
                <w:sz w:val="16"/>
              </w:rPr>
              <w:t>Reason</w:t>
            </w:r>
          </w:p>
        </w:tc>
      </w:tr>
      <w:tr>
        <w:tc>
          <w:tcPr>
            <w:tcW w:type="dxa" w:w="3331"/>
            <w:vAlign w:val="center"/>
          </w:tcPr>
          <w:p>
            <w:pPr>
              <w:spacing w:after="20" w:before="20"/>
            </w:pPr>
            <w:r/>
            <w:r>
              <w:rPr>
                <w:rFonts w:ascii="Aptos" w:hAnsi="Aptos"/>
                <w:b w:val="0"/>
                <w:sz w:val="16"/>
              </w:rPr>
              <w:t>AI workflow</w:t>
            </w:r>
          </w:p>
        </w:tc>
        <w:tc>
          <w:tcPr>
            <w:tcW w:type="dxa" w:w="3331"/>
            <w:vAlign w:val="center"/>
          </w:tcPr>
          <w:p>
            <w:pPr>
              <w:spacing w:after="20" w:before="20"/>
            </w:pPr>
            <w:r/>
            <w:r>
              <w:rPr>
                <w:rFonts w:ascii="Aptos" w:hAnsi="Aptos"/>
                <w:b w:val="0"/>
                <w:sz w:val="16"/>
              </w:rPr>
              <w:t>Codex as the one implementation agent</w:t>
            </w:r>
          </w:p>
        </w:tc>
        <w:tc>
          <w:tcPr>
            <w:tcW w:type="dxa" w:w="3331"/>
            <w:vAlign w:val="center"/>
          </w:tcPr>
          <w:p>
            <w:pPr>
              <w:spacing w:after="20" w:before="20"/>
            </w:pPr>
            <w:r/>
            <w:r>
              <w:rPr>
                <w:rFonts w:ascii="Aptos" w:hAnsi="Aptos"/>
                <w:b w:val="0"/>
                <w:sz w:val="16"/>
              </w:rPr>
              <w:t>It can inspect this workspace, edit code, run commands, and report changes. Project files preserve context when a chat ends.</w:t>
            </w:r>
          </w:p>
        </w:tc>
      </w:tr>
      <w:tr>
        <w:tc>
          <w:tcPr>
            <w:tcW w:type="dxa" w:w="3331"/>
            <w:vAlign w:val="center"/>
          </w:tcPr>
          <w:p>
            <w:pPr>
              <w:spacing w:after="20" w:before="20"/>
            </w:pPr>
            <w:r/>
            <w:r>
              <w:rPr>
                <w:rFonts w:ascii="Aptos" w:hAnsi="Aptos"/>
                <w:b w:val="0"/>
                <w:sz w:val="16"/>
              </w:rPr>
              <w:t>Project shape</w:t>
            </w:r>
          </w:p>
        </w:tc>
        <w:tc>
          <w:tcPr>
            <w:tcW w:type="dxa" w:w="3331"/>
            <w:vAlign w:val="center"/>
          </w:tcPr>
          <w:p>
            <w:pPr>
              <w:spacing w:after="20" w:before="20"/>
            </w:pPr>
            <w:r/>
            <w:r>
              <w:rPr>
                <w:rFonts w:ascii="Aptos" w:hAnsi="Aptos"/>
                <w:b w:val="0"/>
                <w:sz w:val="16"/>
              </w:rPr>
              <w:t>Modular monolith first; separate workers when needed</w:t>
            </w:r>
          </w:p>
        </w:tc>
        <w:tc>
          <w:tcPr>
            <w:tcW w:type="dxa" w:w="3331"/>
            <w:vAlign w:val="center"/>
          </w:tcPr>
          <w:p>
            <w:pPr>
              <w:spacing w:after="20" w:before="20"/>
            </w:pPr>
            <w:r/>
            <w:r>
              <w:rPr>
                <w:rFonts w:ascii="Aptos" w:hAnsi="Aptos"/>
                <w:b w:val="0"/>
                <w:sz w:val="16"/>
              </w:rPr>
              <w:t>Clear boundaries without creating many services before the first flow works.</w:t>
            </w:r>
          </w:p>
        </w:tc>
      </w:tr>
      <w:tr>
        <w:tc>
          <w:tcPr>
            <w:tcW w:type="dxa" w:w="3331"/>
            <w:vAlign w:val="center"/>
          </w:tcPr>
          <w:p>
            <w:pPr>
              <w:spacing w:after="20" w:before="20"/>
            </w:pPr>
            <w:r/>
            <w:r>
              <w:rPr>
                <w:rFonts w:ascii="Aptos" w:hAnsi="Aptos"/>
                <w:b w:val="0"/>
                <w:sz w:val="16"/>
              </w:rPr>
              <w:t>Backend</w:t>
            </w:r>
          </w:p>
        </w:tc>
        <w:tc>
          <w:tcPr>
            <w:tcW w:type="dxa" w:w="3331"/>
            <w:vAlign w:val="center"/>
          </w:tcPr>
          <w:p>
            <w:pPr>
              <w:spacing w:after="20" w:before="20"/>
            </w:pPr>
            <w:r/>
            <w:r>
              <w:rPr>
                <w:rFonts w:ascii="Aptos" w:hAnsi="Aptos"/>
                <w:b w:val="0"/>
                <w:sz w:val="16"/>
              </w:rPr>
              <w:t>Java 21 LTS with Spring Boot 3.5.16</w:t>
            </w:r>
          </w:p>
        </w:tc>
        <w:tc>
          <w:tcPr>
            <w:tcW w:type="dxa" w:w="3331"/>
            <w:vAlign w:val="center"/>
          </w:tcPr>
          <w:p>
            <w:pPr>
              <w:spacing w:after="20" w:before="20"/>
            </w:pPr>
            <w:r/>
            <w:r>
              <w:rPr>
                <w:rFonts w:ascii="Aptos" w:hAnsi="Aptos"/>
                <w:b w:val="0"/>
                <w:sz w:val="16"/>
              </w:rPr>
              <w:t>Matches the supplied project plan and uses a stable Java stack.</w:t>
            </w:r>
          </w:p>
        </w:tc>
      </w:tr>
      <w:tr>
        <w:tc>
          <w:tcPr>
            <w:tcW w:type="dxa" w:w="3331"/>
            <w:vAlign w:val="center"/>
          </w:tcPr>
          <w:p>
            <w:pPr>
              <w:spacing w:after="20" w:before="20"/>
            </w:pPr>
            <w:r/>
            <w:r>
              <w:rPr>
                <w:rFonts w:ascii="Aptos" w:hAnsi="Aptos"/>
                <w:b w:val="0"/>
                <w:sz w:val="16"/>
              </w:rPr>
              <w:t>Frontend</w:t>
            </w:r>
          </w:p>
        </w:tc>
        <w:tc>
          <w:tcPr>
            <w:tcW w:type="dxa" w:w="3331"/>
            <w:vAlign w:val="center"/>
          </w:tcPr>
          <w:p>
            <w:pPr>
              <w:spacing w:after="20" w:before="20"/>
            </w:pPr>
            <w:r/>
            <w:r>
              <w:rPr>
                <w:rFonts w:ascii="Aptos" w:hAnsi="Aptos"/>
                <w:b w:val="0"/>
                <w:sz w:val="16"/>
              </w:rPr>
              <w:t>React 19.3, TypeScript 7.0, Vite 8.3</w:t>
            </w:r>
          </w:p>
        </w:tc>
        <w:tc>
          <w:tcPr>
            <w:tcW w:type="dxa" w:w="3331"/>
            <w:vAlign w:val="center"/>
          </w:tcPr>
          <w:p>
            <w:pPr>
              <w:spacing w:after="20" w:before="20"/>
            </w:pPr>
            <w:r/>
            <w:r>
              <w:rPr>
                <w:rFonts w:ascii="Aptos" w:hAnsi="Aptos"/>
                <w:b w:val="0"/>
                <w:sz w:val="16"/>
              </w:rPr>
              <w:t>Current documented releases with a straightforward dashboard toolchain.</w:t>
            </w:r>
          </w:p>
        </w:tc>
      </w:tr>
      <w:tr>
        <w:tc>
          <w:tcPr>
            <w:tcW w:type="dxa" w:w="3331"/>
            <w:vAlign w:val="center"/>
          </w:tcPr>
          <w:p>
            <w:pPr>
              <w:spacing w:after="20" w:before="20"/>
            </w:pPr>
            <w:r/>
            <w:r>
              <w:rPr>
                <w:rFonts w:ascii="Aptos" w:hAnsi="Aptos"/>
                <w:b w:val="0"/>
                <w:sz w:val="16"/>
              </w:rPr>
              <w:t>Data</w:t>
            </w:r>
          </w:p>
        </w:tc>
        <w:tc>
          <w:tcPr>
            <w:tcW w:type="dxa" w:w="3331"/>
            <w:vAlign w:val="center"/>
          </w:tcPr>
          <w:p>
            <w:pPr>
              <w:spacing w:after="20" w:before="20"/>
            </w:pPr>
            <w:r/>
            <w:r>
              <w:rPr>
                <w:rFonts w:ascii="Aptos" w:hAnsi="Aptos"/>
                <w:b w:val="0"/>
                <w:sz w:val="16"/>
              </w:rPr>
              <w:t>PostgreSQL for business records; Cassandra for telemetry; Kafka for replay</w:t>
            </w:r>
          </w:p>
        </w:tc>
        <w:tc>
          <w:tcPr>
            <w:tcW w:type="dxa" w:w="3331"/>
            <w:vAlign w:val="center"/>
          </w:tcPr>
          <w:p>
            <w:pPr>
              <w:spacing w:after="20" w:before="20"/>
            </w:pPr>
            <w:r/>
            <w:r>
              <w:rPr>
                <w:rFonts w:ascii="Aptos" w:hAnsi="Aptos"/>
                <w:b w:val="0"/>
                <w:sz w:val="16"/>
              </w:rPr>
              <w:t>Each store has one job. Add them in milestones, not all at once.</w:t>
            </w:r>
          </w:p>
        </w:tc>
      </w:tr>
      <w:tr>
        <w:tc>
          <w:tcPr>
            <w:tcW w:type="dxa" w:w="3331"/>
            <w:vAlign w:val="center"/>
          </w:tcPr>
          <w:p>
            <w:pPr>
              <w:spacing w:after="20" w:before="20"/>
            </w:pPr>
            <w:r/>
            <w:r>
              <w:rPr>
                <w:rFonts w:ascii="Aptos" w:hAnsi="Aptos"/>
                <w:b w:val="0"/>
                <w:sz w:val="16"/>
              </w:rPr>
              <w:t>Simulator</w:t>
            </w:r>
          </w:p>
        </w:tc>
        <w:tc>
          <w:tcPr>
            <w:tcW w:type="dxa" w:w="3331"/>
            <w:vAlign w:val="center"/>
          </w:tcPr>
          <w:p>
            <w:pPr>
              <w:spacing w:after="20" w:before="20"/>
            </w:pPr>
            <w:r/>
            <w:r>
              <w:rPr>
                <w:rFonts w:ascii="Aptos" w:hAnsi="Aptos"/>
                <w:b w:val="0"/>
                <w:sz w:val="16"/>
              </w:rPr>
              <w:t>Python 3.13 virtual environment</w:t>
            </w:r>
          </w:p>
        </w:tc>
        <w:tc>
          <w:tcPr>
            <w:tcW w:type="dxa" w:w="3331"/>
            <w:vAlign w:val="center"/>
          </w:tcPr>
          <w:p>
            <w:pPr>
              <w:spacing w:after="20" w:before="20"/>
            </w:pPr>
            <w:r/>
            <w:r>
              <w:rPr>
                <w:rFonts w:ascii="Aptos" w:hAnsi="Aptos"/>
                <w:b w:val="0"/>
                <w:sz w:val="16"/>
              </w:rPr>
              <w:t>Quick deterministic synthetic data generation, separate from the Java API.</w:t>
            </w:r>
          </w:p>
        </w:tc>
      </w:tr>
      <w:tr>
        <w:tc>
          <w:tcPr>
            <w:tcW w:type="dxa" w:w="3331"/>
            <w:vAlign w:val="center"/>
          </w:tcPr>
          <w:p>
            <w:pPr>
              <w:spacing w:after="20" w:before="20"/>
            </w:pPr>
            <w:r/>
            <w:r>
              <w:rPr>
                <w:rFonts w:ascii="Aptos" w:hAnsi="Aptos"/>
                <w:b w:val="0"/>
                <w:sz w:val="16"/>
              </w:rPr>
              <w:t>Local run</w:t>
            </w:r>
          </w:p>
        </w:tc>
        <w:tc>
          <w:tcPr>
            <w:tcW w:type="dxa" w:w="3331"/>
            <w:vAlign w:val="center"/>
          </w:tcPr>
          <w:p>
            <w:pPr>
              <w:spacing w:after="20" w:before="20"/>
            </w:pPr>
            <w:r/>
            <w:r>
              <w:rPr>
                <w:rFonts w:ascii="Aptos" w:hAnsi="Aptos"/>
                <w:b w:val="0"/>
                <w:sz w:val="16"/>
              </w:rPr>
              <w:t>Docker Compose; GitHub Actions for CI</w:t>
            </w:r>
          </w:p>
        </w:tc>
        <w:tc>
          <w:tcPr>
            <w:tcW w:type="dxa" w:w="3331"/>
            <w:vAlign w:val="center"/>
          </w:tcPr>
          <w:p>
            <w:pPr>
              <w:spacing w:after="20" w:before="20"/>
            </w:pPr>
            <w:r/>
            <w:r>
              <w:rPr>
                <w:rFonts w:ascii="Aptos" w:hAnsi="Aptos"/>
                <w:b w:val="0"/>
                <w:sz w:val="16"/>
              </w:rPr>
              <w:t>One-command local startup and repeatable checks.</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Pr>
                <w:b/>
                <w:color w:val="17365D"/>
              </w:rPr>
              <w:t xml:space="preserve">Scope rule  </w:t>
            </w:r>
            <w:r>
              <w:t>Build the minimum end-to-end path first. AI recommendations, vector search, multi-cloud deployment, and extra databases wait until a measured need exists.</w:t>
            </w:r>
          </w:p>
        </w:tc>
      </w:tr>
    </w:tbl>
    <w:p>
      <w:pPr>
        <w:spacing w:after="20"/>
      </w:pPr>
    </w:p>
    <w:p>
      <w:pPr>
        <w:pStyle w:val="Heading1"/>
      </w:pPr>
      <w:r>
        <w:t>2. What the first release must do</w:t>
      </w:r>
    </w:p>
    <w:p>
      <w:r>
        <w:t>A fleet operator can load a synthetic fleet, see vehicles and recent events, receive a useful operational alert, inspect why it fired, and view the event history that supports it.</w:t>
      </w:r>
    </w:p>
    <w:p>
      <w:pPr>
        <w:pStyle w:val="Heading2"/>
      </w:pPr>
      <w:r>
        <w:t>Core user journey</w:t>
      </w:r>
    </w:p>
    <w:p>
      <w:r>
        <w:t>1.  The simulator creates a tenant, vehicles, and telemetry with stable IDs, timestamps, and a schema version.</w:t>
      </w:r>
    </w:p>
    <w:p>
      <w:r>
        <w:t>2.  The ingestion API authenticates the source, validates the event, rejects malformed data, and records an idempotency key.</w:t>
      </w:r>
    </w:p>
    <w:p>
      <w:r>
        <w:t>3.  The API publishes a valid event to Kafka. A consumer processes events at least once and safely handles retries.</w:t>
      </w:r>
    </w:p>
    <w:p>
      <w:r>
        <w:t>4.  The first rule detects a concrete condition such as a vehicle that stops reporting or remains idle unusually long.</w:t>
      </w:r>
    </w:p>
    <w:p>
      <w:r>
        <w:t>5.  The service stores business records in PostgreSQL and hot telemetry in Cassandra. Each alert records its rule version and evidence.</w:t>
      </w:r>
    </w:p>
    <w:p>
      <w:r>
        <w:t>6.  The dashboard shows fleet status, alert severity, time, vehicle, reason, and next action. An operator can acknowledge an alert.</w:t>
      </w:r>
    </w:p>
    <w:p>
      <w:pPr>
        <w:pStyle w:val="Heading2"/>
      </w:pPr>
      <w:r>
        <w:t>Core release boundaries</w:t>
      </w:r>
    </w:p>
    <w:p>
      <w:pPr>
        <w:pStyle w:val="ListBullet"/>
      </w:pPr>
      <w:r>
        <w:t>Use only synthetic or public data. Never include real driver identities or precise home/work routes.</w:t>
      </w:r>
    </w:p>
    <w:p>
      <w:pPr>
        <w:pStyle w:val="ListBullet"/>
      </w:pPr>
      <w:r>
        <w:t>Secure APIs, tenant isolation, schema validation, audit logging, and automated tests belong in the core.</w:t>
      </w:r>
    </w:p>
    <w:p>
      <w:pPr>
        <w:pStyle w:val="ListBullet"/>
      </w:pPr>
      <w:r>
        <w:t>Do not claim 100,000 events/second until a reproducible load test reaches that rate and records results.</w:t>
      </w:r>
    </w:p>
    <w:p>
      <w:pPr>
        <w:pStyle w:val="ListBullet"/>
      </w:pPr>
      <w:r>
        <w:t>Run the first demo locally in containers. Cloud deployment follows after the local system is repeatable.</w:t>
      </w:r>
    </w:p>
    <w:p>
      <w:r>
        <w:br w:type="page"/>
      </w:r>
    </w:p>
    <w:p>
      <w:pPr>
        <w:pStyle w:val="Heading1"/>
      </w:pPr>
      <w:r>
        <w:t>3. Technology versions to use</w:t>
      </w:r>
    </w:p>
    <w:p>
      <w:r>
        <w:t>Recommendations checked against official project release/support pages on 30 September 2026. Pin exact dependency versions in Maven and the JavaScript lockfile; use container image tags instead of `latest`. Apply security patches within the selected major line and record changes.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Area</w:t>
            </w:r>
          </w:p>
        </w:tc>
        <w:tc>
          <w:tcPr>
            <w:tcW w:type="dxa" w:w="3331"/>
            <w:vAlign w:val="center"/>
            <w:shd w:fill="17365D"/>
          </w:tcPr>
          <w:p>
            <w:pPr>
              <w:spacing w:after="20" w:before="20"/>
            </w:pPr>
            <w:r/>
            <w:r>
              <w:rPr>
                <w:rFonts w:ascii="Aptos" w:hAnsi="Aptos"/>
                <w:b/>
                <w:color w:val="FFFFFF"/>
                <w:sz w:val="16"/>
              </w:rPr>
              <w:t>Use</w:t>
            </w:r>
          </w:p>
        </w:tc>
        <w:tc>
          <w:tcPr>
            <w:tcW w:type="dxa" w:w="3331"/>
            <w:vAlign w:val="center"/>
            <w:shd w:fill="17365D"/>
          </w:tcPr>
          <w:p>
            <w:pPr>
              <w:spacing w:after="20" w:before="20"/>
            </w:pPr>
            <w:r/>
            <w:r>
              <w:rPr>
                <w:rFonts w:ascii="Aptos" w:hAnsi="Aptos"/>
                <w:b/>
                <w:color w:val="FFFFFF"/>
                <w:sz w:val="16"/>
              </w:rPr>
              <w:t>Pinning rule</w:t>
            </w:r>
          </w:p>
        </w:tc>
      </w:tr>
      <w:tr>
        <w:tc>
          <w:tcPr>
            <w:tcW w:type="dxa" w:w="3331"/>
            <w:vAlign w:val="center"/>
          </w:tcPr>
          <w:p>
            <w:pPr>
              <w:spacing w:after="20" w:before="20"/>
            </w:pPr>
            <w:r/>
            <w:r>
              <w:rPr>
                <w:rFonts w:ascii="Aptos" w:hAnsi="Aptos"/>
                <w:b w:val="0"/>
                <w:sz w:val="16"/>
              </w:rPr>
              <w:t>Java runtime</w:t>
            </w:r>
          </w:p>
        </w:tc>
        <w:tc>
          <w:tcPr>
            <w:tcW w:type="dxa" w:w="3331"/>
            <w:vAlign w:val="center"/>
          </w:tcPr>
          <w:p>
            <w:pPr>
              <w:spacing w:after="20" w:before="20"/>
            </w:pPr>
            <w:r/>
            <w:r>
              <w:rPr>
                <w:rFonts w:ascii="Aptos" w:hAnsi="Aptos"/>
                <w:b w:val="0"/>
                <w:sz w:val="16"/>
              </w:rPr>
              <w:t>Eclipse Temurin JDK 21.0.12.1+1 LTS</w:t>
            </w:r>
          </w:p>
        </w:tc>
        <w:tc>
          <w:tcPr>
            <w:tcW w:type="dxa" w:w="3331"/>
            <w:vAlign w:val="center"/>
          </w:tcPr>
          <w:p>
            <w:pPr>
              <w:spacing w:after="20" w:before="20"/>
            </w:pPr>
            <w:r/>
            <w:r>
              <w:rPr>
                <w:rFonts w:ascii="Aptos" w:hAnsi="Aptos"/>
                <w:b w:val="0"/>
                <w:sz w:val="16"/>
              </w:rPr>
              <w:t>Compile for Java 21. Recheck Temurin's latest 21.0.x patch before setup; do not assume Oracle-specific licensing terms.</w:t>
            </w:r>
          </w:p>
        </w:tc>
      </w:tr>
      <w:tr>
        <w:tc>
          <w:tcPr>
            <w:tcW w:type="dxa" w:w="3331"/>
            <w:vAlign w:val="center"/>
          </w:tcPr>
          <w:p>
            <w:pPr>
              <w:spacing w:after="20" w:before="20"/>
            </w:pPr>
            <w:r/>
            <w:r>
              <w:rPr>
                <w:rFonts w:ascii="Aptos" w:hAnsi="Aptos"/>
                <w:b w:val="0"/>
                <w:sz w:val="16"/>
              </w:rPr>
              <w:t>Backend framework</w:t>
            </w:r>
          </w:p>
        </w:tc>
        <w:tc>
          <w:tcPr>
            <w:tcW w:type="dxa" w:w="3331"/>
            <w:vAlign w:val="center"/>
          </w:tcPr>
          <w:p>
            <w:pPr>
              <w:spacing w:after="20" w:before="20"/>
            </w:pPr>
            <w:r/>
            <w:r>
              <w:rPr>
                <w:rFonts w:ascii="Aptos" w:hAnsi="Aptos"/>
                <w:b w:val="0"/>
                <w:sz w:val="16"/>
              </w:rPr>
              <w:t>Spring Boot 3.5.16</w:t>
            </w:r>
          </w:p>
        </w:tc>
        <w:tc>
          <w:tcPr>
            <w:tcW w:type="dxa" w:w="3331"/>
            <w:vAlign w:val="center"/>
          </w:tcPr>
          <w:p>
            <w:pPr>
              <w:spacing w:after="20" w:before="20"/>
            </w:pPr>
            <w:r/>
            <w:r>
              <w:rPr>
                <w:rFonts w:ascii="Aptos" w:hAnsi="Aptos"/>
                <w:b w:val="0"/>
                <w:sz w:val="16"/>
              </w:rPr>
              <w:t>Use its dependency BOM; do not override Spring library versions without a reason.</w:t>
            </w:r>
          </w:p>
        </w:tc>
      </w:tr>
      <w:tr>
        <w:tc>
          <w:tcPr>
            <w:tcW w:type="dxa" w:w="3331"/>
            <w:vAlign w:val="center"/>
          </w:tcPr>
          <w:p>
            <w:pPr>
              <w:spacing w:after="20" w:before="20"/>
            </w:pPr>
            <w:r/>
            <w:r>
              <w:rPr>
                <w:rFonts w:ascii="Aptos" w:hAnsi="Aptos"/>
                <w:b w:val="0"/>
                <w:sz w:val="16"/>
              </w:rPr>
              <w:t>Build</w:t>
            </w:r>
          </w:p>
        </w:tc>
        <w:tc>
          <w:tcPr>
            <w:tcW w:type="dxa" w:w="3331"/>
            <w:vAlign w:val="center"/>
          </w:tcPr>
          <w:p>
            <w:pPr>
              <w:spacing w:after="20" w:before="20"/>
            </w:pPr>
            <w:r/>
            <w:r>
              <w:rPr>
                <w:rFonts w:ascii="Aptos" w:hAnsi="Aptos"/>
                <w:b w:val="0"/>
                <w:sz w:val="16"/>
              </w:rPr>
              <w:t>Maven Wrapper 3.9.16</w:t>
            </w:r>
          </w:p>
        </w:tc>
        <w:tc>
          <w:tcPr>
            <w:tcW w:type="dxa" w:w="3331"/>
            <w:vAlign w:val="center"/>
          </w:tcPr>
          <w:p>
            <w:pPr>
              <w:spacing w:after="20" w:before="20"/>
            </w:pPr>
            <w:r/>
            <w:r>
              <w:rPr>
                <w:rFonts w:ascii="Aptos" w:hAnsi="Aptos"/>
                <w:b w:val="0"/>
                <w:sz w:val="16"/>
              </w:rPr>
              <w:t>Commit wrapper files so every developer uses the same Maven version.</w:t>
            </w:r>
          </w:p>
        </w:tc>
      </w:tr>
      <w:tr>
        <w:tc>
          <w:tcPr>
            <w:tcW w:type="dxa" w:w="3331"/>
            <w:vAlign w:val="center"/>
          </w:tcPr>
          <w:p>
            <w:pPr>
              <w:spacing w:after="20" w:before="20"/>
            </w:pPr>
            <w:r/>
            <w:r>
              <w:rPr>
                <w:rFonts w:ascii="Aptos" w:hAnsi="Aptos"/>
                <w:b w:val="0"/>
                <w:sz w:val="16"/>
              </w:rPr>
              <w:t>Frontend runtime</w:t>
            </w:r>
          </w:p>
        </w:tc>
        <w:tc>
          <w:tcPr>
            <w:tcW w:type="dxa" w:w="3331"/>
            <w:vAlign w:val="center"/>
          </w:tcPr>
          <w:p>
            <w:pPr>
              <w:spacing w:after="20" w:before="20"/>
            </w:pPr>
            <w:r/>
            <w:r>
              <w:rPr>
                <w:rFonts w:ascii="Aptos" w:hAnsi="Aptos"/>
                <w:b w:val="0"/>
                <w:sz w:val="16"/>
              </w:rPr>
              <w:t>Node.js 24.21.0 LTS with npm</w:t>
            </w:r>
          </w:p>
        </w:tc>
        <w:tc>
          <w:tcPr>
            <w:tcW w:type="dxa" w:w="3331"/>
            <w:vAlign w:val="center"/>
          </w:tcPr>
          <w:p>
            <w:pPr>
              <w:spacing w:after="20" w:before="20"/>
            </w:pPr>
            <w:r/>
            <w:r>
              <w:rPr>
                <w:rFonts w:ascii="Aptos" w:hAnsi="Aptos"/>
                <w:b w:val="0"/>
                <w:sz w:val="16"/>
              </w:rPr>
              <w:t>`.nvmrc` set to 24; commit `package-lock.json`; install with `npm ci`.</w:t>
            </w:r>
          </w:p>
        </w:tc>
      </w:tr>
      <w:tr>
        <w:tc>
          <w:tcPr>
            <w:tcW w:type="dxa" w:w="3331"/>
            <w:vAlign w:val="center"/>
          </w:tcPr>
          <w:p>
            <w:pPr>
              <w:spacing w:after="20" w:before="20"/>
            </w:pPr>
            <w:r/>
            <w:r>
              <w:rPr>
                <w:rFonts w:ascii="Aptos" w:hAnsi="Aptos"/>
                <w:b w:val="0"/>
                <w:sz w:val="16"/>
              </w:rPr>
              <w:t>UI</w:t>
            </w:r>
          </w:p>
        </w:tc>
        <w:tc>
          <w:tcPr>
            <w:tcW w:type="dxa" w:w="3331"/>
            <w:vAlign w:val="center"/>
          </w:tcPr>
          <w:p>
            <w:pPr>
              <w:spacing w:after="20" w:before="20"/>
            </w:pPr>
            <w:r/>
            <w:r>
              <w:rPr>
                <w:rFonts w:ascii="Aptos" w:hAnsi="Aptos"/>
                <w:b w:val="0"/>
                <w:sz w:val="16"/>
              </w:rPr>
              <w:t>React 19.3.0, TypeScript 7.0, Vite 8.3</w:t>
            </w:r>
          </w:p>
        </w:tc>
        <w:tc>
          <w:tcPr>
            <w:tcW w:type="dxa" w:w="3331"/>
            <w:vAlign w:val="center"/>
          </w:tcPr>
          <w:p>
            <w:pPr>
              <w:spacing w:after="20" w:before="20"/>
            </w:pPr>
            <w:r/>
            <w:r>
              <w:rPr>
                <w:rFonts w:ascii="Aptos" w:hAnsi="Aptos"/>
                <w:b w:val="0"/>
                <w:sz w:val="16"/>
              </w:rPr>
              <w:t>Exact versions in `package.json` and lockfile; run build and typecheck in CI.</w:t>
            </w:r>
          </w:p>
        </w:tc>
      </w:tr>
      <w:tr>
        <w:tc>
          <w:tcPr>
            <w:tcW w:type="dxa" w:w="3331"/>
            <w:vAlign w:val="center"/>
          </w:tcPr>
          <w:p>
            <w:pPr>
              <w:spacing w:after="20" w:before="20"/>
            </w:pPr>
            <w:r/>
            <w:r>
              <w:rPr>
                <w:rFonts w:ascii="Aptos" w:hAnsi="Aptos"/>
                <w:b w:val="0"/>
                <w:sz w:val="16"/>
              </w:rPr>
              <w:t>Simulator</w:t>
            </w:r>
          </w:p>
        </w:tc>
        <w:tc>
          <w:tcPr>
            <w:tcW w:type="dxa" w:w="3331"/>
            <w:vAlign w:val="center"/>
          </w:tcPr>
          <w:p>
            <w:pPr>
              <w:spacing w:after="20" w:before="20"/>
            </w:pPr>
            <w:r/>
            <w:r>
              <w:rPr>
                <w:rFonts w:ascii="Aptos" w:hAnsi="Aptos"/>
                <w:b w:val="0"/>
                <w:sz w:val="16"/>
              </w:rPr>
              <w:t>Python 3.13.15</w:t>
            </w:r>
          </w:p>
        </w:tc>
        <w:tc>
          <w:tcPr>
            <w:tcW w:type="dxa" w:w="3331"/>
            <w:vAlign w:val="center"/>
          </w:tcPr>
          <w:p>
            <w:pPr>
              <w:spacing w:after="20" w:before="20"/>
            </w:pPr>
            <w:r/>
            <w:r>
              <w:rPr>
                <w:rFonts w:ascii="Aptos" w:hAnsi="Aptos"/>
                <w:b w:val="0"/>
                <w:sz w:val="16"/>
              </w:rPr>
              <w:t>Use `.venv` and exact package versions in `requirements.txt`; never install project packages globally.</w:t>
            </w:r>
          </w:p>
        </w:tc>
      </w:tr>
      <w:tr>
        <w:tc>
          <w:tcPr>
            <w:tcW w:type="dxa" w:w="3331"/>
            <w:vAlign w:val="center"/>
          </w:tcPr>
          <w:p>
            <w:pPr>
              <w:spacing w:after="20" w:before="20"/>
            </w:pPr>
            <w:r/>
            <w:r>
              <w:rPr>
                <w:rFonts w:ascii="Aptos" w:hAnsi="Aptos"/>
                <w:b w:val="0"/>
                <w:sz w:val="16"/>
              </w:rPr>
              <w:t>Relational DB</w:t>
            </w:r>
          </w:p>
        </w:tc>
        <w:tc>
          <w:tcPr>
            <w:tcW w:type="dxa" w:w="3331"/>
            <w:vAlign w:val="center"/>
          </w:tcPr>
          <w:p>
            <w:pPr>
              <w:spacing w:after="20" w:before="20"/>
            </w:pPr>
            <w:r/>
            <w:r>
              <w:rPr>
                <w:rFonts w:ascii="Aptos" w:hAnsi="Aptos"/>
                <w:b w:val="0"/>
                <w:sz w:val="16"/>
              </w:rPr>
              <w:t>PostgreSQL 18.6</w:t>
            </w:r>
          </w:p>
        </w:tc>
        <w:tc>
          <w:tcPr>
            <w:tcW w:type="dxa" w:w="3331"/>
            <w:vAlign w:val="center"/>
          </w:tcPr>
          <w:p>
            <w:pPr>
              <w:spacing w:after="20" w:before="20"/>
            </w:pPr>
            <w:r/>
            <w:r>
              <w:rPr>
                <w:rFonts w:ascii="Aptos" w:hAnsi="Aptos"/>
                <w:b w:val="0"/>
                <w:sz w:val="16"/>
              </w:rPr>
              <w:t>Pin `postgres:18.6`; use named volume and Flyway migrations.</w:t>
            </w:r>
          </w:p>
        </w:tc>
      </w:tr>
      <w:tr>
        <w:tc>
          <w:tcPr>
            <w:tcW w:type="dxa" w:w="3331"/>
            <w:vAlign w:val="center"/>
          </w:tcPr>
          <w:p>
            <w:pPr>
              <w:spacing w:after="20" w:before="20"/>
            </w:pPr>
            <w:r/>
            <w:r>
              <w:rPr>
                <w:rFonts w:ascii="Aptos" w:hAnsi="Aptos"/>
                <w:b w:val="0"/>
                <w:sz w:val="16"/>
              </w:rPr>
              <w:t>Event broker</w:t>
            </w:r>
          </w:p>
        </w:tc>
        <w:tc>
          <w:tcPr>
            <w:tcW w:type="dxa" w:w="3331"/>
            <w:vAlign w:val="center"/>
          </w:tcPr>
          <w:p>
            <w:pPr>
              <w:spacing w:after="20" w:before="20"/>
            </w:pPr>
            <w:r/>
            <w:r>
              <w:rPr>
                <w:rFonts w:ascii="Aptos" w:hAnsi="Aptos"/>
                <w:b w:val="0"/>
                <w:sz w:val="16"/>
              </w:rPr>
              <w:t>Apache Kafka 4.2.0 in KRaft mode</w:t>
            </w:r>
          </w:p>
        </w:tc>
        <w:tc>
          <w:tcPr>
            <w:tcW w:type="dxa" w:w="3331"/>
            <w:vAlign w:val="center"/>
          </w:tcPr>
          <w:p>
            <w:pPr>
              <w:spacing w:after="20" w:before="20"/>
            </w:pPr>
            <w:r/>
            <w:r>
              <w:rPr>
                <w:rFonts w:ascii="Aptos" w:hAnsi="Aptos"/>
                <w:b w:val="0"/>
                <w:sz w:val="16"/>
              </w:rPr>
              <w:t>Pin broker image. Start with one local broker; production needs a multi-node topology.</w:t>
            </w:r>
          </w:p>
        </w:tc>
      </w:tr>
      <w:tr>
        <w:tc>
          <w:tcPr>
            <w:tcW w:type="dxa" w:w="3331"/>
            <w:vAlign w:val="center"/>
          </w:tcPr>
          <w:p>
            <w:pPr>
              <w:spacing w:after="20" w:before="20"/>
            </w:pPr>
            <w:r/>
            <w:r>
              <w:rPr>
                <w:rFonts w:ascii="Aptos" w:hAnsi="Aptos"/>
                <w:b w:val="0"/>
                <w:sz w:val="16"/>
              </w:rPr>
              <w:t>Telemetry DB</w:t>
            </w:r>
          </w:p>
        </w:tc>
        <w:tc>
          <w:tcPr>
            <w:tcW w:type="dxa" w:w="3331"/>
            <w:vAlign w:val="center"/>
          </w:tcPr>
          <w:p>
            <w:pPr>
              <w:spacing w:after="20" w:before="20"/>
            </w:pPr>
            <w:r/>
            <w:r>
              <w:rPr>
                <w:rFonts w:ascii="Aptos" w:hAnsi="Aptos"/>
                <w:b w:val="0"/>
                <w:sz w:val="16"/>
              </w:rPr>
              <w:t>Apache Cassandra 5.0.9</w:t>
            </w:r>
          </w:p>
        </w:tc>
        <w:tc>
          <w:tcPr>
            <w:tcW w:type="dxa" w:w="3331"/>
            <w:vAlign w:val="center"/>
          </w:tcPr>
          <w:p>
            <w:pPr>
              <w:spacing w:after="20" w:before="20"/>
            </w:pPr>
            <w:r/>
            <w:r>
              <w:rPr>
                <w:rFonts w:ascii="Aptos" w:hAnsi="Aptos"/>
                <w:b w:val="0"/>
                <w:sz w:val="16"/>
              </w:rPr>
              <w:t>Pin the exact image tag; single-node local instance is for development only.</w:t>
            </w:r>
          </w:p>
        </w:tc>
      </w:tr>
      <w:tr>
        <w:tc>
          <w:tcPr>
            <w:tcW w:type="dxa" w:w="3331"/>
            <w:vAlign w:val="center"/>
          </w:tcPr>
          <w:p>
            <w:pPr>
              <w:spacing w:after="20" w:before="20"/>
            </w:pPr>
            <w:r/>
            <w:r>
              <w:rPr>
                <w:rFonts w:ascii="Aptos" w:hAnsi="Aptos"/>
                <w:b w:val="0"/>
                <w:sz w:val="16"/>
              </w:rPr>
              <w:t>Containers</w:t>
            </w:r>
          </w:p>
        </w:tc>
        <w:tc>
          <w:tcPr>
            <w:tcW w:type="dxa" w:w="3331"/>
            <w:vAlign w:val="center"/>
          </w:tcPr>
          <w:p>
            <w:pPr>
              <w:spacing w:after="20" w:before="20"/>
            </w:pPr>
            <w:r/>
            <w:r>
              <w:rPr>
                <w:rFonts w:ascii="Aptos" w:hAnsi="Aptos"/>
                <w:b w:val="0"/>
                <w:sz w:val="16"/>
              </w:rPr>
              <w:t>Docker Desktop stable with Compose v2</w:t>
            </w:r>
          </w:p>
        </w:tc>
        <w:tc>
          <w:tcPr>
            <w:tcW w:type="dxa" w:w="3331"/>
            <w:vAlign w:val="center"/>
          </w:tcPr>
          <w:p>
            <w:pPr>
              <w:spacing w:after="20" w:before="20"/>
            </w:pPr>
            <w:r/>
            <w:r>
              <w:rPr>
                <w:rFonts w:ascii="Aptos" w:hAnsi="Aptos"/>
                <w:b w:val="0"/>
                <w:sz w:val="16"/>
              </w:rPr>
              <w:t>Record Docker/Compose versions; use Compose Specification, not legacy version fields.</w:t>
            </w:r>
          </w:p>
        </w:tc>
      </w:tr>
      <w:tr>
        <w:tc>
          <w:tcPr>
            <w:tcW w:type="dxa" w:w="3331"/>
            <w:vAlign w:val="center"/>
          </w:tcPr>
          <w:p>
            <w:pPr>
              <w:spacing w:after="20" w:before="20"/>
            </w:pPr>
            <w:r/>
            <w:r>
              <w:rPr>
                <w:rFonts w:ascii="Aptos" w:hAnsi="Aptos"/>
                <w:b w:val="0"/>
                <w:sz w:val="16"/>
              </w:rPr>
              <w:t>CI</w:t>
            </w:r>
          </w:p>
        </w:tc>
        <w:tc>
          <w:tcPr>
            <w:tcW w:type="dxa" w:w="3331"/>
            <w:vAlign w:val="center"/>
          </w:tcPr>
          <w:p>
            <w:pPr>
              <w:spacing w:after="20" w:before="20"/>
            </w:pPr>
            <w:r/>
            <w:r>
              <w:rPr>
                <w:rFonts w:ascii="Aptos" w:hAnsi="Aptos"/>
                <w:b w:val="0"/>
                <w:sz w:val="16"/>
              </w:rPr>
              <w:t>GitHub Actions, pinned action versions</w:t>
            </w:r>
          </w:p>
        </w:tc>
        <w:tc>
          <w:tcPr>
            <w:tcW w:type="dxa" w:w="3331"/>
            <w:vAlign w:val="center"/>
          </w:tcPr>
          <w:p>
            <w:pPr>
              <w:spacing w:after="20" w:before="20"/>
            </w:pPr>
            <w:r/>
            <w:r>
              <w:rPr>
                <w:rFonts w:ascii="Aptos" w:hAnsi="Aptos"/>
                <w:b w:val="0"/>
                <w:sz w:val="16"/>
              </w:rPr>
              <w:t>Least privilege, reviewed action versions, dependency and image scans.</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Pr>
                <w:b/>
                <w:color w:val="17365D"/>
              </w:rPr>
              <w:t xml:space="preserve">Version maintenance  </w:t>
            </w:r>
            <w:r>
              <w:t>Patch releases change. Before kickoff, recheck official release pages and update this table and lockfiles. Do not upgrade a major version mid-milestone.</w:t>
            </w:r>
          </w:p>
        </w:tc>
      </w:tr>
    </w:tbl>
    <w:p>
      <w:pPr>
        <w:spacing w:after="20"/>
      </w:pPr>
    </w:p>
    <w:p>
      <w:r>
        <w:t>The current workspace contains a FastAPI API starter and Python simulator. This blueprint chooses Java/Spring Boot for the backend, as specified in the supplied project plan. Keep Python for the simulator; migrate the temporary FastAPI backend deliberately during M1. Do not maintain two competing APIs.</w:t>
      </w:r>
    </w:p>
    <w:p>
      <w:pPr>
        <w:pStyle w:val="Heading2"/>
      </w:pPr>
      <w:r>
        <w:t>Where virtual environments apply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Part</w:t>
            </w:r>
          </w:p>
        </w:tc>
        <w:tc>
          <w:tcPr>
            <w:tcW w:type="dxa" w:w="3331"/>
            <w:vAlign w:val="center"/>
            <w:shd w:fill="17365D"/>
          </w:tcPr>
          <w:p>
            <w:pPr>
              <w:spacing w:after="20" w:before="20"/>
            </w:pPr>
            <w:r/>
            <w:r>
              <w:rPr>
                <w:rFonts w:ascii="Aptos" w:hAnsi="Aptos"/>
                <w:b/>
                <w:color w:val="FFFFFF"/>
                <w:sz w:val="16"/>
              </w:rPr>
              <w:t>Isolation</w:t>
            </w:r>
          </w:p>
        </w:tc>
        <w:tc>
          <w:tcPr>
            <w:tcW w:type="dxa" w:w="3331"/>
            <w:vAlign w:val="center"/>
            <w:shd w:fill="17365D"/>
          </w:tcPr>
          <w:p>
            <w:pPr>
              <w:spacing w:after="20" w:before="20"/>
            </w:pPr>
            <w:r/>
            <w:r>
              <w:rPr>
                <w:rFonts w:ascii="Aptos" w:hAnsi="Aptos"/>
                <w:b/>
                <w:color w:val="FFFFFF"/>
                <w:sz w:val="16"/>
              </w:rPr>
              <w:t>Commands / files</w:t>
            </w:r>
          </w:p>
        </w:tc>
      </w:tr>
      <w:tr>
        <w:tc>
          <w:tcPr>
            <w:tcW w:type="dxa" w:w="3331"/>
            <w:vAlign w:val="center"/>
          </w:tcPr>
          <w:p>
            <w:pPr>
              <w:spacing w:after="20" w:before="20"/>
            </w:pPr>
            <w:r/>
            <w:r>
              <w:rPr>
                <w:rFonts w:ascii="Aptos" w:hAnsi="Aptos"/>
                <w:b w:val="0"/>
                <w:sz w:val="16"/>
              </w:rPr>
              <w:t>Python simulator</w:t>
            </w:r>
          </w:p>
        </w:tc>
        <w:tc>
          <w:tcPr>
            <w:tcW w:type="dxa" w:w="3331"/>
            <w:vAlign w:val="center"/>
          </w:tcPr>
          <w:p>
            <w:pPr>
              <w:spacing w:after="20" w:before="20"/>
            </w:pPr>
            <w:r/>
            <w:r>
              <w:rPr>
                <w:rFonts w:ascii="Aptos" w:hAnsi="Aptos"/>
                <w:b w:val="0"/>
                <w:sz w:val="16"/>
              </w:rPr>
              <w:t>Virtual environment</w:t>
            </w:r>
          </w:p>
        </w:tc>
        <w:tc>
          <w:tcPr>
            <w:tcW w:type="dxa" w:w="3331"/>
            <w:vAlign w:val="center"/>
          </w:tcPr>
          <w:p>
            <w:pPr>
              <w:spacing w:after="20" w:before="20"/>
            </w:pPr>
            <w:r/>
            <w:r>
              <w:rPr>
                <w:rFonts w:ascii="Aptos" w:hAnsi="Aptos"/>
                <w:b w:val="0"/>
                <w:sz w:val="16"/>
              </w:rPr>
              <w:t>`.venv/`; `python -m venv .venv`; `pip install -r requirements.txt`</w:t>
            </w:r>
          </w:p>
        </w:tc>
      </w:tr>
      <w:tr>
        <w:tc>
          <w:tcPr>
            <w:tcW w:type="dxa" w:w="3331"/>
            <w:vAlign w:val="center"/>
          </w:tcPr>
          <w:p>
            <w:pPr>
              <w:spacing w:after="20" w:before="20"/>
            </w:pPr>
            <w:r/>
            <w:r>
              <w:rPr>
                <w:rFonts w:ascii="Aptos" w:hAnsi="Aptos"/>
                <w:b w:val="0"/>
                <w:sz w:val="16"/>
              </w:rPr>
              <w:t>Java backend</w:t>
            </w:r>
          </w:p>
        </w:tc>
        <w:tc>
          <w:tcPr>
            <w:tcW w:type="dxa" w:w="3331"/>
            <w:vAlign w:val="center"/>
          </w:tcPr>
          <w:p>
            <w:pPr>
              <w:spacing w:after="20" w:before="20"/>
            </w:pPr>
            <w:r/>
            <w:r>
              <w:rPr>
                <w:rFonts w:ascii="Aptos" w:hAnsi="Aptos"/>
                <w:b w:val="0"/>
                <w:sz w:val="16"/>
              </w:rPr>
              <w:t>Maven Wrapper</w:t>
            </w:r>
          </w:p>
        </w:tc>
        <w:tc>
          <w:tcPr>
            <w:tcW w:type="dxa" w:w="3331"/>
            <w:vAlign w:val="center"/>
          </w:tcPr>
          <w:p>
            <w:pPr>
              <w:spacing w:after="20" w:before="20"/>
            </w:pPr>
            <w:r/>
            <w:r>
              <w:rPr>
                <w:rFonts w:ascii="Aptos" w:hAnsi="Aptos"/>
                <w:b w:val="0"/>
                <w:sz w:val="16"/>
              </w:rPr>
              <w:t>`./mvnw clean verify` or `mvnw.cmd clean verify`</w:t>
            </w:r>
          </w:p>
        </w:tc>
      </w:tr>
      <w:tr>
        <w:tc>
          <w:tcPr>
            <w:tcW w:type="dxa" w:w="3331"/>
            <w:vAlign w:val="center"/>
          </w:tcPr>
          <w:p>
            <w:pPr>
              <w:spacing w:after="20" w:before="20"/>
            </w:pPr>
            <w:r/>
            <w:r>
              <w:rPr>
                <w:rFonts w:ascii="Aptos" w:hAnsi="Aptos"/>
                <w:b w:val="0"/>
                <w:sz w:val="16"/>
              </w:rPr>
              <w:t>React frontend</w:t>
            </w:r>
          </w:p>
        </w:tc>
        <w:tc>
          <w:tcPr>
            <w:tcW w:type="dxa" w:w="3331"/>
            <w:vAlign w:val="center"/>
          </w:tcPr>
          <w:p>
            <w:pPr>
              <w:spacing w:after="20" w:before="20"/>
            </w:pPr>
            <w:r/>
            <w:r>
              <w:rPr>
                <w:rFonts w:ascii="Aptos" w:hAnsi="Aptos"/>
                <w:b w:val="0"/>
                <w:sz w:val="16"/>
              </w:rPr>
              <w:t>Project-local npm</w:t>
            </w:r>
          </w:p>
        </w:tc>
        <w:tc>
          <w:tcPr>
            <w:tcW w:type="dxa" w:w="3331"/>
            <w:vAlign w:val="center"/>
          </w:tcPr>
          <w:p>
            <w:pPr>
              <w:spacing w:after="20" w:before="20"/>
            </w:pPr>
            <w:r/>
            <w:r>
              <w:rPr>
                <w:rFonts w:ascii="Aptos" w:hAnsi="Aptos"/>
                <w:b w:val="0"/>
                <w:sz w:val="16"/>
              </w:rPr>
              <w:t>`npm ci`; lockfile pins exact dependencies</w:t>
            </w:r>
          </w:p>
        </w:tc>
      </w:tr>
      <w:tr>
        <w:tc>
          <w:tcPr>
            <w:tcW w:type="dxa" w:w="3331"/>
            <w:vAlign w:val="center"/>
          </w:tcPr>
          <w:p>
            <w:pPr>
              <w:spacing w:after="20" w:before="20"/>
            </w:pPr>
            <w:r/>
            <w:r>
              <w:rPr>
                <w:rFonts w:ascii="Aptos" w:hAnsi="Aptos"/>
                <w:b w:val="0"/>
                <w:sz w:val="16"/>
              </w:rPr>
              <w:t>Postgres, Kafka, Cassandra</w:t>
            </w:r>
          </w:p>
        </w:tc>
        <w:tc>
          <w:tcPr>
            <w:tcW w:type="dxa" w:w="3331"/>
            <w:vAlign w:val="center"/>
          </w:tcPr>
          <w:p>
            <w:pPr>
              <w:spacing w:after="20" w:before="20"/>
            </w:pPr>
            <w:r/>
            <w:r>
              <w:rPr>
                <w:rFonts w:ascii="Aptos" w:hAnsi="Aptos"/>
                <w:b w:val="0"/>
                <w:sz w:val="16"/>
              </w:rPr>
              <w:t>Docker containers</w:t>
            </w:r>
          </w:p>
        </w:tc>
        <w:tc>
          <w:tcPr>
            <w:tcW w:type="dxa" w:w="3331"/>
            <w:vAlign w:val="center"/>
          </w:tcPr>
          <w:p>
            <w:pPr>
              <w:spacing w:after="20" w:before="20"/>
            </w:pPr>
            <w:r/>
            <w:r>
              <w:rPr>
                <w:rFonts w:ascii="Aptos" w:hAnsi="Aptos"/>
                <w:b w:val="0"/>
                <w:sz w:val="16"/>
              </w:rPr>
              <w:t>`docker compose up -d`</w:t>
            </w:r>
          </w:p>
        </w:tc>
      </w:tr>
    </w:tbl>
    <w:p>
      <w:pPr>
        <w:spacing w:after="20"/>
      </w:pPr>
    </w:p>
    <w:p>
      <w:r>
        <w:br w:type="page"/>
      </w:r>
    </w:p>
    <w:p>
      <w:pPr>
        <w:pStyle w:val="Heading1"/>
      </w:pPr>
      <w:r>
        <w:t>4. Create and run the environment</w:t>
      </w:r>
    </w:p>
    <w:p>
      <w:pPr>
        <w:pStyle w:val="Heading2"/>
      </w:pPr>
      <w:r>
        <w:t>Install once</w:t>
      </w:r>
    </w:p>
    <w:p>
      <w:pPr>
        <w:pStyle w:val="ListBullet"/>
      </w:pPr>
      <w:r>
        <w:t>Git, a code editor, Codex connected to this project workspace.</w:t>
      </w:r>
    </w:p>
    <w:p>
      <w:pPr>
        <w:pStyle w:val="ListBullet"/>
      </w:pPr>
      <w:r>
        <w:t>Eclipse Temurin JDK 21, Node.js 24 LTS, Python 3.13, Docker Desktop with Compose.</w:t>
      </w:r>
    </w:p>
    <w:p>
      <w:pPr>
        <w:pStyle w:val="ListBullet"/>
      </w:pPr>
      <w:r>
        <w:t>16 GB RAM is recommended to run the app, broker, databases, and frontend together. Use smaller simulator batches on lower-memory machines.</w:t>
      </w:r>
    </w:p>
    <w:p>
      <w:pPr>
        <w:pStyle w:val="ListBullet"/>
      </w:pPr>
      <w:r>
        <w:t>Use containers for Postgres, Cassandra, and Kafka; do not install them directly for the standard workflow.</w:t>
      </w:r>
    </w:p>
    <w:p>
      <w:pPr>
        <w:pStyle w:val="Heading2"/>
      </w:pPr>
      <w:r>
        <w:t>First setup commands</w:t>
      </w:r>
    </w:p>
    <w:p>
      <w:r>
        <w:t>Run from the repository root. Python virtual environment is only for the simulator.</w:t>
      </w:r>
    </w:p>
    <w:p>
      <w:pPr>
        <w:spacing w:after="20"/>
        <w:ind w:left="230"/>
      </w:pPr>
      <w:r>
        <w:rPr>
          <w:rFonts w:ascii="Consolas" w:hAnsi="Consolas"/>
          <w:color w:val="17365D"/>
          <w:sz w:val="16"/>
        </w:rPr>
        <w:t>git status --short</w:t>
      </w:r>
    </w:p>
    <w:p>
      <w:pPr>
        <w:spacing w:after="20"/>
        <w:ind w:left="230"/>
      </w:pPr>
      <w:r>
        <w:rPr>
          <w:rFonts w:ascii="Consolas" w:hAnsi="Consolas"/>
          <w:color w:val="17365D"/>
          <w:sz w:val="16"/>
        </w:rPr>
        <w:t>python3.13 -m venv .venv</w:t>
      </w:r>
    </w:p>
    <w:p>
      <w:pPr>
        <w:spacing w:after="20"/>
        <w:ind w:left="230"/>
      </w:pPr>
      <w:r>
        <w:rPr>
          <w:rFonts w:ascii="Consolas" w:hAnsi="Consolas"/>
          <w:color w:val="17365D"/>
          <w:sz w:val="16"/>
        </w:rPr>
        <w:t># macOS / Linux</w:t>
      </w:r>
    </w:p>
    <w:p>
      <w:pPr>
        <w:spacing w:after="20"/>
        <w:ind w:left="230"/>
      </w:pPr>
      <w:r>
        <w:rPr>
          <w:rFonts w:ascii="Consolas" w:hAnsi="Consolas"/>
          <w:color w:val="17365D"/>
          <w:sz w:val="16"/>
        </w:rPr>
        <w:t>source .venv/bin/activate</w:t>
      </w:r>
    </w:p>
    <w:p>
      <w:pPr>
        <w:spacing w:after="20"/>
        <w:ind w:left="230"/>
      </w:pPr>
      <w:r>
        <w:rPr>
          <w:rFonts w:ascii="Consolas" w:hAnsi="Consolas"/>
          <w:color w:val="17365D"/>
          <w:sz w:val="16"/>
        </w:rPr>
        <w:t># Windows PowerShell instead</w:t>
      </w:r>
    </w:p>
    <w:p>
      <w:pPr>
        <w:spacing w:after="20"/>
        <w:ind w:left="230"/>
      </w:pPr>
      <w:r>
        <w:rPr>
          <w:rFonts w:ascii="Consolas" w:hAnsi="Consolas"/>
          <w:color w:val="17365D"/>
          <w:sz w:val="16"/>
        </w:rPr>
        <w:t>.venv\Scripts\Activate.ps1</w:t>
      </w:r>
    </w:p>
    <w:p>
      <w:pPr>
        <w:spacing w:after="20"/>
        <w:ind w:left="230"/>
      </w:pPr>
      <w:r>
        <w:rPr>
          <w:rFonts w:ascii="Consolas" w:hAnsi="Consolas"/>
          <w:color w:val="17365D"/>
          <w:sz w:val="16"/>
        </w:rPr>
        <w:t>python -m pip install --upgrade pip</w:t>
      </w:r>
    </w:p>
    <w:p>
      <w:pPr>
        <w:spacing w:after="20"/>
        <w:ind w:left="230"/>
      </w:pPr>
      <w:r>
        <w:rPr>
          <w:rFonts w:ascii="Consolas" w:hAnsi="Consolas"/>
          <w:color w:val="17365D"/>
          <w:sz w:val="16"/>
        </w:rPr>
        <w:t>python -m pip install -r simulator/requirements.txt</w:t>
      </w:r>
    </w:p>
    <w:p>
      <w:pPr>
        <w:spacing w:after="20"/>
        <w:ind w:left="230"/>
      </w:pPr>
      <w:r>
        <w:rPr>
          <w:rFonts w:ascii="Consolas" w:hAnsi="Consolas"/>
          <w:color w:val="17365D"/>
          <w:sz w:val="16"/>
        </w:rPr>
        <w:t>cp .env.example .env  # Windows: copy .env.example .env</w:t>
      </w:r>
    </w:p>
    <w:p>
      <w:pPr>
        <w:spacing w:after="20"/>
        <w:ind w:left="230"/>
      </w:pPr>
      <w:r>
        <w:rPr>
          <w:rFonts w:ascii="Consolas" w:hAnsi="Consolas"/>
          <w:color w:val="17365D"/>
          <w:sz w:val="16"/>
        </w:rPr>
        <w:t>docker compose up -d postgres kafka cassandra</w:t>
      </w:r>
    </w:p>
    <w:p>
      <w:pPr>
        <w:spacing w:after="20"/>
        <w:ind w:left="230"/>
      </w:pPr>
      <w:r>
        <w:rPr>
          <w:rFonts w:ascii="Consolas" w:hAnsi="Consolas"/>
          <w:color w:val="17365D"/>
          <w:sz w:val="16"/>
        </w:rPr>
        <w:t>./mvnw spring-boot:run  # Windows: mvnw.cmd spring-boot:run</w:t>
      </w:r>
    </w:p>
    <w:p>
      <w:pPr>
        <w:spacing w:after="20"/>
        <w:ind w:left="230"/>
      </w:pPr>
      <w:r>
        <w:rPr>
          <w:rFonts w:ascii="Consolas" w:hAnsi="Consolas"/>
          <w:color w:val="17365D"/>
          <w:sz w:val="16"/>
        </w:rPr>
        <w:t>cd frontend &amp;&amp; npm ci &amp;&amp; npm run dev</w:t>
      </w: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Pr>
                <w:b/>
                <w:color w:val="17365D"/>
              </w:rPr>
              <w:t xml:space="preserve">Activation reminder  </w:t>
            </w:r>
            <w:r>
              <w:t>Activate `.venv` again in each new terminal before running simulator commands. If installation fails, check that `(.venv)` appears in the prompt and `python --version` is 3.13.x.</w:t>
            </w:r>
          </w:p>
        </w:tc>
      </w:tr>
    </w:tbl>
    <w:p>
      <w:pPr>
        <w:spacing w:after="20"/>
      </w:pPr>
    </w:p>
    <w:p>
      <w:pPr>
        <w:pStyle w:val="Heading2"/>
      </w:pPr>
      <w:r>
        <w:t>Normal daily startup</w:t>
      </w:r>
    </w:p>
    <w:p>
      <w:r>
        <w:t>1.  Open the project folder in Codex and read `PROJECT_STATUS.md`.</w:t>
      </w:r>
    </w:p>
    <w:p>
      <w:r>
        <w:t>2.  Start services: `docker compose up -d`.</w:t>
      </w:r>
    </w:p>
    <w:p>
      <w:r>
        <w:t>3.  Run backend: `./mvnw spring-boot:run`.</w:t>
      </w:r>
    </w:p>
    <w:p>
      <w:r>
        <w:t>4.  In another terminal: `cd frontend &amp;&amp; npm run dev`.</w:t>
      </w:r>
    </w:p>
    <w:p>
      <w:r>
        <w:t>5.  Activate `.venv` in a third terminal and run the simulator if needed.</w:t>
      </w:r>
    </w:p>
    <w:p>
      <w:r>
        <w:t>6.  Open the dashboard URL printed by Vite and API docs at `/swagger-ui/index.html`.</w:t>
      </w:r>
    </w:p>
    <w:p>
      <w:pPr>
        <w:pStyle w:val="Heading1"/>
      </w:pPr>
      <w:r>
        <w:t>5. Repository layout</w:t>
      </w:r>
    </w:p>
    <w:p>
      <w:r>
        <w:t>Start with this structure and add folders only when a real module needs them.</w:t>
      </w:r>
    </w:p>
    <w:p>
      <w:pPr>
        <w:spacing w:after="20"/>
        <w:ind w:left="230"/>
      </w:pPr>
      <w:r>
        <w:rPr>
          <w:rFonts w:ascii="Consolas" w:hAnsi="Consolas"/>
          <w:color w:val="17365D"/>
          <w:sz w:val="16"/>
        </w:rPr>
        <w:t>fleet-intelligence/</w:t>
      </w:r>
    </w:p>
    <w:p>
      <w:pPr>
        <w:spacing w:after="20"/>
        <w:ind w:left="230"/>
      </w:pPr>
      <w:r>
        <w:rPr>
          <w:rFonts w:ascii="Consolas" w:hAnsi="Consolas"/>
          <w:color w:val="17365D"/>
          <w:sz w:val="16"/>
        </w:rPr>
        <w:t>├── AGENTS.md</w:t>
      </w:r>
    </w:p>
    <w:p>
      <w:pPr>
        <w:spacing w:after="20"/>
        <w:ind w:left="230"/>
      </w:pPr>
      <w:r>
        <w:rPr>
          <w:rFonts w:ascii="Consolas" w:hAnsi="Consolas"/>
          <w:color w:val="17365D"/>
          <w:sz w:val="16"/>
        </w:rPr>
        <w:t>├── README.md</w:t>
      </w:r>
    </w:p>
    <w:p>
      <w:pPr>
        <w:spacing w:after="20"/>
        <w:ind w:left="230"/>
      </w:pPr>
      <w:r>
        <w:rPr>
          <w:rFonts w:ascii="Consolas" w:hAnsi="Consolas"/>
          <w:color w:val="17365D"/>
          <w:sz w:val="16"/>
        </w:rPr>
        <w:t>├── PROJECT_STATUS.md</w:t>
      </w:r>
    </w:p>
    <w:p>
      <w:pPr>
        <w:spacing w:after="20"/>
        <w:ind w:left="230"/>
      </w:pPr>
      <w:r>
        <w:rPr>
          <w:rFonts w:ascii="Consolas" w:hAnsi="Consolas"/>
          <w:color w:val="17365D"/>
          <w:sz w:val="16"/>
        </w:rPr>
        <w:t>├── DECISIONS.md</w:t>
      </w:r>
    </w:p>
    <w:p>
      <w:pPr>
        <w:spacing w:after="20"/>
        <w:ind w:left="230"/>
      </w:pPr>
      <w:r>
        <w:rPr>
          <w:rFonts w:ascii="Consolas" w:hAnsi="Consolas"/>
          <w:color w:val="17365D"/>
          <w:sz w:val="16"/>
        </w:rPr>
        <w:t>├── .env.example</w:t>
      </w:r>
    </w:p>
    <w:p>
      <w:pPr>
        <w:spacing w:after="20"/>
        <w:ind w:left="230"/>
      </w:pPr>
      <w:r>
        <w:rPr>
          <w:rFonts w:ascii="Consolas" w:hAnsi="Consolas"/>
          <w:color w:val="17365D"/>
          <w:sz w:val="16"/>
        </w:rPr>
        <w:t>├── compose.yaml</w:t>
      </w:r>
    </w:p>
    <w:p>
      <w:pPr>
        <w:spacing w:after="20"/>
        <w:ind w:left="230"/>
      </w:pPr>
      <w:r>
        <w:rPr>
          <w:rFonts w:ascii="Consolas" w:hAnsi="Consolas"/>
          <w:color w:val="17365D"/>
          <w:sz w:val="16"/>
        </w:rPr>
        <w:t>├── backend/  # Spring Boot modular monolith: identity, fleet, ingestion, telemetry, alerts</w:t>
      </w:r>
    </w:p>
    <w:p>
      <w:pPr>
        <w:spacing w:after="20"/>
        <w:ind w:left="230"/>
      </w:pPr>
      <w:r>
        <w:rPr>
          <w:rFonts w:ascii="Consolas" w:hAnsi="Consolas"/>
          <w:color w:val="17365D"/>
          <w:sz w:val="16"/>
        </w:rPr>
        <w:t>│   ├── mvnw, pom.xml</w:t>
      </w:r>
    </w:p>
    <w:p>
      <w:pPr>
        <w:spacing w:after="20"/>
        <w:ind w:left="230"/>
      </w:pPr>
      <w:r>
        <w:rPr>
          <w:rFonts w:ascii="Consolas" w:hAnsi="Consolas"/>
          <w:color w:val="17365D"/>
          <w:sz w:val="16"/>
        </w:rPr>
        <w:t>│   └── src/main/java/...</w:t>
      </w:r>
    </w:p>
    <w:p>
      <w:pPr>
        <w:spacing w:after="20"/>
        <w:ind w:left="230"/>
      </w:pPr>
      <w:r>
        <w:rPr>
          <w:rFonts w:ascii="Consolas" w:hAnsi="Consolas"/>
          <w:color w:val="17365D"/>
          <w:sz w:val="16"/>
        </w:rPr>
        <w:t>├── frontend/  # React + TypeScript dashboard</w:t>
      </w:r>
    </w:p>
    <w:p>
      <w:pPr>
        <w:spacing w:after="20"/>
        <w:ind w:left="230"/>
      </w:pPr>
      <w:r>
        <w:rPr>
          <w:rFonts w:ascii="Consolas" w:hAnsi="Consolas"/>
          <w:color w:val="17365D"/>
          <w:sz w:val="16"/>
        </w:rPr>
        <w:t>│   ├── package.json, package-lock.json</w:t>
      </w:r>
    </w:p>
    <w:p>
      <w:pPr>
        <w:spacing w:after="20"/>
        <w:ind w:left="230"/>
      </w:pPr>
      <w:r>
        <w:rPr>
          <w:rFonts w:ascii="Consolas" w:hAnsi="Consolas"/>
          <w:color w:val="17365D"/>
          <w:sz w:val="16"/>
        </w:rPr>
        <w:t>│   └── src/{app,features,components,api,types}</w:t>
      </w:r>
    </w:p>
    <w:p>
      <w:pPr>
        <w:spacing w:after="20"/>
        <w:ind w:left="230"/>
      </w:pPr>
      <w:r>
        <w:rPr>
          <w:rFonts w:ascii="Consolas" w:hAnsi="Consolas"/>
          <w:color w:val="17365D"/>
          <w:sz w:val="16"/>
        </w:rPr>
        <w:t>├── simulator/  # Python generator</w:t>
      </w:r>
    </w:p>
    <w:p>
      <w:pPr>
        <w:spacing w:after="20"/>
        <w:ind w:left="230"/>
      </w:pPr>
      <w:r>
        <w:rPr>
          <w:rFonts w:ascii="Consolas" w:hAnsi="Consolas"/>
          <w:color w:val="17365D"/>
          <w:sz w:val="16"/>
        </w:rPr>
        <w:t>│   ├── .venv/  # ignored by Git</w:t>
      </w:r>
    </w:p>
    <w:p>
      <w:pPr>
        <w:spacing w:after="20"/>
        <w:ind w:left="230"/>
      </w:pPr>
      <w:r>
        <w:rPr>
          <w:rFonts w:ascii="Consolas" w:hAnsi="Consolas"/>
          <w:color w:val="17365D"/>
          <w:sz w:val="16"/>
        </w:rPr>
        <w:t>│   ├── requirements.txt</w:t>
      </w:r>
    </w:p>
    <w:p>
      <w:pPr>
        <w:spacing w:after="20"/>
        <w:ind w:left="230"/>
      </w:pPr>
      <w:r>
        <w:rPr>
          <w:rFonts w:ascii="Consolas" w:hAnsi="Consolas"/>
          <w:color w:val="17365D"/>
          <w:sz w:val="16"/>
        </w:rPr>
        <w:t>│   └── src/</w:t>
      </w:r>
    </w:p>
    <w:p>
      <w:pPr>
        <w:spacing w:after="20"/>
        <w:ind w:left="230"/>
      </w:pPr>
      <w:r>
        <w:rPr>
          <w:rFonts w:ascii="Consolas" w:hAnsi="Consolas"/>
          <w:color w:val="17365D"/>
          <w:sz w:val="16"/>
        </w:rPr>
        <w:t>├── infra/  # Compose now; later Helm and Terraform</w:t>
      </w:r>
    </w:p>
    <w:p>
      <w:pPr>
        <w:spacing w:after="20"/>
        <w:ind w:left="230"/>
      </w:pPr>
      <w:r>
        <w:rPr>
          <w:rFonts w:ascii="Consolas" w:hAnsi="Consolas"/>
          <w:color w:val="17365D"/>
          <w:sz w:val="16"/>
        </w:rPr>
        <w:t>├── docs/  # architecture, schema, milestones, threat model</w:t>
      </w:r>
    </w:p>
    <w:p>
      <w:pPr>
        <w:spacing w:after="20"/>
        <w:ind w:left="230"/>
      </w:pPr>
      <w:r>
        <w:rPr>
          <w:rFonts w:ascii="Consolas" w:hAnsi="Consolas"/>
          <w:color w:val="17365D"/>
          <w:sz w:val="16"/>
        </w:rPr>
        <w:t>└── tests/  # load scenarios and end-to-end fixtures</w:t>
      </w:r>
    </w:p>
    <w:p>
      <w:r>
        <w:t>Ignore `.venv/`, `.env`, build output, `node_modules`, generated bulk data, and secrets. Commit simulator seed/configuration so datasets can be recreated.</w:t>
      </w:r>
    </w:p>
    <w:p>
      <w:pPr>
        <w:pStyle w:val="Heading1"/>
      </w:pPr>
      <w:r>
        <w:t>6. System design</w:t>
      </w:r>
    </w:p>
    <w:p>
      <w:pPr>
        <w:pStyle w:val="Heading2"/>
      </w:pPr>
      <w:r>
        <w:t>Main components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Component</w:t>
            </w:r>
          </w:p>
        </w:tc>
        <w:tc>
          <w:tcPr>
            <w:tcW w:type="dxa" w:w="3331"/>
            <w:vAlign w:val="center"/>
            <w:shd w:fill="17365D"/>
          </w:tcPr>
          <w:p>
            <w:pPr>
              <w:spacing w:after="20" w:before="20"/>
            </w:pPr>
            <w:r/>
            <w:r>
              <w:rPr>
                <w:rFonts w:ascii="Aptos" w:hAnsi="Aptos"/>
                <w:b/>
                <w:color w:val="FFFFFF"/>
                <w:sz w:val="16"/>
              </w:rPr>
              <w:t>Responsibility</w:t>
            </w:r>
          </w:p>
        </w:tc>
        <w:tc>
          <w:tcPr>
            <w:tcW w:type="dxa" w:w="3331"/>
            <w:vAlign w:val="center"/>
            <w:shd w:fill="17365D"/>
          </w:tcPr>
          <w:p>
            <w:pPr>
              <w:spacing w:after="20" w:before="20"/>
            </w:pPr>
            <w:r/>
            <w:r>
              <w:rPr>
                <w:rFonts w:ascii="Aptos" w:hAnsi="Aptos"/>
                <w:b/>
                <w:color w:val="FFFFFF"/>
                <w:sz w:val="16"/>
              </w:rPr>
              <w:t>First implementation</w:t>
            </w:r>
          </w:p>
        </w:tc>
      </w:tr>
      <w:tr>
        <w:tc>
          <w:tcPr>
            <w:tcW w:type="dxa" w:w="3331"/>
            <w:vAlign w:val="center"/>
          </w:tcPr>
          <w:p>
            <w:pPr>
              <w:spacing w:after="20" w:before="20"/>
            </w:pPr>
            <w:r/>
            <w:r>
              <w:rPr>
                <w:rFonts w:ascii="Aptos" w:hAnsi="Aptos"/>
                <w:b w:val="0"/>
                <w:sz w:val="16"/>
              </w:rPr>
              <w:t>Python simulator</w:t>
            </w:r>
          </w:p>
        </w:tc>
        <w:tc>
          <w:tcPr>
            <w:tcW w:type="dxa" w:w="3331"/>
            <w:vAlign w:val="center"/>
          </w:tcPr>
          <w:p>
            <w:pPr>
              <w:spacing w:after="20" w:before="20"/>
            </w:pPr>
            <w:r/>
            <w:r>
              <w:rPr>
                <w:rFonts w:ascii="Aptos" w:hAnsi="Aptos"/>
                <w:b w:val="0"/>
                <w:sz w:val="16"/>
              </w:rPr>
              <w:t>Create synthetic tenants, vehicles, faults, duplicates, and late/out-of-order messages.</w:t>
            </w:r>
          </w:p>
        </w:tc>
        <w:tc>
          <w:tcPr>
            <w:tcW w:type="dxa" w:w="3331"/>
            <w:vAlign w:val="center"/>
          </w:tcPr>
          <w:p>
            <w:pPr>
              <w:spacing w:after="20" w:before="20"/>
            </w:pPr>
            <w:r/>
            <w:r>
              <w:rPr>
                <w:rFonts w:ascii="Aptos" w:hAnsi="Aptos"/>
                <w:b w:val="0"/>
                <w:sz w:val="16"/>
              </w:rPr>
              <w:t>CLI writes JSONL and later publishes to Kafka.</w:t>
            </w:r>
          </w:p>
        </w:tc>
      </w:tr>
      <w:tr>
        <w:tc>
          <w:tcPr>
            <w:tcW w:type="dxa" w:w="3331"/>
            <w:vAlign w:val="center"/>
          </w:tcPr>
          <w:p>
            <w:pPr>
              <w:spacing w:after="20" w:before="20"/>
            </w:pPr>
            <w:r/>
            <w:r>
              <w:rPr>
                <w:rFonts w:ascii="Aptos" w:hAnsi="Aptos"/>
                <w:b w:val="0"/>
                <w:sz w:val="16"/>
              </w:rPr>
              <w:t>Ingestion API</w:t>
            </w:r>
          </w:p>
        </w:tc>
        <w:tc>
          <w:tcPr>
            <w:tcW w:type="dxa" w:w="3331"/>
            <w:vAlign w:val="center"/>
          </w:tcPr>
          <w:p>
            <w:pPr>
              <w:spacing w:after="20" w:before="20"/>
            </w:pPr>
            <w:r/>
            <w:r>
              <w:rPr>
                <w:rFonts w:ascii="Aptos" w:hAnsi="Aptos"/>
                <w:b w:val="0"/>
                <w:sz w:val="16"/>
              </w:rPr>
              <w:t>Authenticate source, validate event, limit size/rate, attach trace ID, publish.</w:t>
            </w:r>
          </w:p>
        </w:tc>
        <w:tc>
          <w:tcPr>
            <w:tcW w:type="dxa" w:w="3331"/>
            <w:vAlign w:val="center"/>
          </w:tcPr>
          <w:p>
            <w:pPr>
              <w:spacing w:after="20" w:before="20"/>
            </w:pPr>
            <w:r/>
            <w:r>
              <w:rPr>
                <w:rFonts w:ascii="Aptos" w:hAnsi="Aptos"/>
                <w:b w:val="0"/>
                <w:sz w:val="16"/>
              </w:rPr>
              <w:t>Spring Boot endpoint; return 202 after broker acknowledgement.</w:t>
            </w:r>
          </w:p>
        </w:tc>
      </w:tr>
      <w:tr>
        <w:tc>
          <w:tcPr>
            <w:tcW w:type="dxa" w:w="3331"/>
            <w:vAlign w:val="center"/>
          </w:tcPr>
          <w:p>
            <w:pPr>
              <w:spacing w:after="20" w:before="20"/>
            </w:pPr>
            <w:r/>
            <w:r>
              <w:rPr>
                <w:rFonts w:ascii="Aptos" w:hAnsi="Aptos"/>
                <w:b w:val="0"/>
                <w:sz w:val="16"/>
              </w:rPr>
              <w:t>Kafka</w:t>
            </w:r>
          </w:p>
        </w:tc>
        <w:tc>
          <w:tcPr>
            <w:tcW w:type="dxa" w:w="3331"/>
            <w:vAlign w:val="center"/>
          </w:tcPr>
          <w:p>
            <w:pPr>
              <w:spacing w:after="20" w:before="20"/>
            </w:pPr>
            <w:r/>
            <w:r>
              <w:rPr>
                <w:rFonts w:ascii="Aptos" w:hAnsi="Aptos"/>
                <w:b w:val="0"/>
                <w:sz w:val="16"/>
              </w:rPr>
              <w:t>Durable partitioned stream, replay, buffering during slowdown.</w:t>
            </w:r>
          </w:p>
        </w:tc>
        <w:tc>
          <w:tcPr>
            <w:tcW w:type="dxa" w:w="3331"/>
            <w:vAlign w:val="center"/>
          </w:tcPr>
          <w:p>
            <w:pPr>
              <w:spacing w:after="20" w:before="20"/>
            </w:pPr>
            <w:r/>
            <w:r>
              <w:rPr>
                <w:rFonts w:ascii="Aptos" w:hAnsi="Aptos"/>
                <w:b w:val="0"/>
                <w:sz w:val="16"/>
              </w:rPr>
              <w:t>Topics for raw, validated, dead-letter, and alert events.</w:t>
            </w:r>
          </w:p>
        </w:tc>
      </w:tr>
      <w:tr>
        <w:tc>
          <w:tcPr>
            <w:tcW w:type="dxa" w:w="3331"/>
            <w:vAlign w:val="center"/>
          </w:tcPr>
          <w:p>
            <w:pPr>
              <w:spacing w:after="20" w:before="20"/>
            </w:pPr>
            <w:r/>
            <w:r>
              <w:rPr>
                <w:rFonts w:ascii="Aptos" w:hAnsi="Aptos"/>
                <w:b w:val="0"/>
                <w:sz w:val="16"/>
              </w:rPr>
              <w:t>Stream processor</w:t>
            </w:r>
          </w:p>
        </w:tc>
        <w:tc>
          <w:tcPr>
            <w:tcW w:type="dxa" w:w="3331"/>
            <w:vAlign w:val="center"/>
          </w:tcPr>
          <w:p>
            <w:pPr>
              <w:spacing w:after="20" w:before="20"/>
            </w:pPr>
            <w:r/>
            <w:r>
              <w:rPr>
                <w:rFonts w:ascii="Aptos" w:hAnsi="Aptos"/>
                <w:b w:val="0"/>
                <w:sz w:val="16"/>
              </w:rPr>
              <w:t>Deduplicate, handle event-time windows, evaluate rules.</w:t>
            </w:r>
          </w:p>
        </w:tc>
        <w:tc>
          <w:tcPr>
            <w:tcW w:type="dxa" w:w="3331"/>
            <w:vAlign w:val="center"/>
          </w:tcPr>
          <w:p>
            <w:pPr>
              <w:spacing w:after="20" w:before="20"/>
            </w:pPr>
            <w:r/>
            <w:r>
              <w:rPr>
                <w:rFonts w:ascii="Aptos" w:hAnsi="Aptos"/>
                <w:b w:val="0"/>
                <w:sz w:val="16"/>
              </w:rPr>
              <w:t>Spring Kafka consumer first; consider Flink only if measured needs justify it.</w:t>
            </w:r>
          </w:p>
        </w:tc>
      </w:tr>
      <w:tr>
        <w:tc>
          <w:tcPr>
            <w:tcW w:type="dxa" w:w="3331"/>
            <w:vAlign w:val="center"/>
          </w:tcPr>
          <w:p>
            <w:pPr>
              <w:spacing w:after="20" w:before="20"/>
            </w:pPr>
            <w:r/>
            <w:r>
              <w:rPr>
                <w:rFonts w:ascii="Aptos" w:hAnsi="Aptos"/>
                <w:b w:val="0"/>
                <w:sz w:val="16"/>
              </w:rPr>
              <w:t>PostgreSQL</w:t>
            </w:r>
          </w:p>
        </w:tc>
        <w:tc>
          <w:tcPr>
            <w:tcW w:type="dxa" w:w="3331"/>
            <w:vAlign w:val="center"/>
          </w:tcPr>
          <w:p>
            <w:pPr>
              <w:spacing w:after="20" w:before="20"/>
            </w:pPr>
            <w:r/>
            <w:r>
              <w:rPr>
                <w:rFonts w:ascii="Aptos" w:hAnsi="Aptos"/>
                <w:b w:val="0"/>
                <w:sz w:val="16"/>
              </w:rPr>
              <w:t>Tenant, fleet, vehicle, users, rule config, alert lifecycle, audit.</w:t>
            </w:r>
          </w:p>
        </w:tc>
        <w:tc>
          <w:tcPr>
            <w:tcW w:type="dxa" w:w="3331"/>
            <w:vAlign w:val="center"/>
          </w:tcPr>
          <w:p>
            <w:pPr>
              <w:spacing w:after="20" w:before="20"/>
            </w:pPr>
            <w:r/>
            <w:r>
              <w:rPr>
                <w:rFonts w:ascii="Aptos" w:hAnsi="Aptos"/>
                <w:b w:val="0"/>
                <w:sz w:val="16"/>
              </w:rPr>
              <w:t>3NF, Flyway migrations, transactional changes.</w:t>
            </w:r>
          </w:p>
        </w:tc>
      </w:tr>
      <w:tr>
        <w:tc>
          <w:tcPr>
            <w:tcW w:type="dxa" w:w="3331"/>
            <w:vAlign w:val="center"/>
          </w:tcPr>
          <w:p>
            <w:pPr>
              <w:spacing w:after="20" w:before="20"/>
            </w:pPr>
            <w:r/>
            <w:r>
              <w:rPr>
                <w:rFonts w:ascii="Aptos" w:hAnsi="Aptos"/>
                <w:b w:val="0"/>
                <w:sz w:val="16"/>
              </w:rPr>
              <w:t>Cassandra</w:t>
            </w:r>
          </w:p>
        </w:tc>
        <w:tc>
          <w:tcPr>
            <w:tcW w:type="dxa" w:w="3331"/>
            <w:vAlign w:val="center"/>
          </w:tcPr>
          <w:p>
            <w:pPr>
              <w:spacing w:after="20" w:before="20"/>
            </w:pPr>
            <w:r/>
            <w:r>
              <w:rPr>
                <w:rFonts w:ascii="Aptos" w:hAnsi="Aptos"/>
                <w:b w:val="0"/>
                <w:sz w:val="16"/>
              </w:rPr>
              <w:t>High-volume append-oriented telemetry queries by vehicle/time.</w:t>
            </w:r>
          </w:p>
        </w:tc>
        <w:tc>
          <w:tcPr>
            <w:tcW w:type="dxa" w:w="3331"/>
            <w:vAlign w:val="center"/>
          </w:tcPr>
          <w:p>
            <w:pPr>
              <w:spacing w:after="20" w:before="20"/>
            </w:pPr>
            <w:r/>
            <w:r>
              <w:rPr>
                <w:rFonts w:ascii="Aptos" w:hAnsi="Aptos"/>
                <w:b w:val="0"/>
                <w:sz w:val="16"/>
              </w:rPr>
              <w:t>Time-bucketed partition keys, bounded partition size, no ad hoc joins.</w:t>
            </w:r>
          </w:p>
        </w:tc>
      </w:tr>
      <w:tr>
        <w:tc>
          <w:tcPr>
            <w:tcW w:type="dxa" w:w="3331"/>
            <w:vAlign w:val="center"/>
          </w:tcPr>
          <w:p>
            <w:pPr>
              <w:spacing w:after="20" w:before="20"/>
            </w:pPr>
            <w:r/>
            <w:r>
              <w:rPr>
                <w:rFonts w:ascii="Aptos" w:hAnsi="Aptos"/>
                <w:b w:val="0"/>
                <w:sz w:val="16"/>
              </w:rPr>
              <w:t>Object storage</w:t>
            </w:r>
          </w:p>
        </w:tc>
        <w:tc>
          <w:tcPr>
            <w:tcW w:type="dxa" w:w="3331"/>
            <w:vAlign w:val="center"/>
          </w:tcPr>
          <w:p>
            <w:pPr>
              <w:spacing w:after="20" w:before="20"/>
            </w:pPr>
            <w:r/>
            <w:r>
              <w:rPr>
                <w:rFonts w:ascii="Aptos" w:hAnsi="Aptos"/>
                <w:b w:val="0"/>
                <w:sz w:val="16"/>
              </w:rPr>
              <w:t>Cold history and batch datasets in Parquet.</w:t>
            </w:r>
          </w:p>
        </w:tc>
        <w:tc>
          <w:tcPr>
            <w:tcW w:type="dxa" w:w="3331"/>
            <w:vAlign w:val="center"/>
          </w:tcPr>
          <w:p>
            <w:pPr>
              <w:spacing w:after="20" w:before="20"/>
            </w:pPr>
            <w:r/>
            <w:r>
              <w:rPr>
                <w:rFonts w:ascii="Aptos" w:hAnsi="Aptos"/>
                <w:b w:val="0"/>
                <w:sz w:val="16"/>
              </w:rPr>
              <w:t>MinIO locally; cloud S3-compatible storage later.</w:t>
            </w:r>
          </w:p>
        </w:tc>
      </w:tr>
      <w:tr>
        <w:tc>
          <w:tcPr>
            <w:tcW w:type="dxa" w:w="3331"/>
            <w:vAlign w:val="center"/>
          </w:tcPr>
          <w:p>
            <w:pPr>
              <w:spacing w:after="20" w:before="20"/>
            </w:pPr>
            <w:r/>
            <w:r>
              <w:rPr>
                <w:rFonts w:ascii="Aptos" w:hAnsi="Aptos"/>
                <w:b w:val="0"/>
                <w:sz w:val="16"/>
              </w:rPr>
              <w:t>React dashboard</w:t>
            </w:r>
          </w:p>
        </w:tc>
        <w:tc>
          <w:tcPr>
            <w:tcW w:type="dxa" w:w="3331"/>
            <w:vAlign w:val="center"/>
          </w:tcPr>
          <w:p>
            <w:pPr>
              <w:spacing w:after="20" w:before="20"/>
            </w:pPr>
            <w:r/>
            <w:r>
              <w:rPr>
                <w:rFonts w:ascii="Aptos" w:hAnsi="Aptos"/>
                <w:b w:val="0"/>
                <w:sz w:val="16"/>
              </w:rPr>
              <w:t>Fleet overview, vehicle details, alert queue, acknowledge flow.</w:t>
            </w:r>
          </w:p>
        </w:tc>
        <w:tc>
          <w:tcPr>
            <w:tcW w:type="dxa" w:w="3331"/>
            <w:vAlign w:val="center"/>
          </w:tcPr>
          <w:p>
            <w:pPr>
              <w:spacing w:after="20" w:before="20"/>
            </w:pPr>
            <w:r/>
            <w:r>
              <w:rPr>
                <w:rFonts w:ascii="Aptos" w:hAnsi="Aptos"/>
                <w:b w:val="0"/>
                <w:sz w:val="16"/>
              </w:rPr>
              <w:t>Accessible responsive UI against versioned API.</w:t>
            </w:r>
          </w:p>
        </w:tc>
      </w:tr>
      <w:tr>
        <w:tc>
          <w:tcPr>
            <w:tcW w:type="dxa" w:w="3331"/>
            <w:vAlign w:val="center"/>
          </w:tcPr>
          <w:p>
            <w:pPr>
              <w:spacing w:after="20" w:before="20"/>
            </w:pPr>
            <w:r/>
            <w:r>
              <w:rPr>
                <w:rFonts w:ascii="Aptos" w:hAnsi="Aptos"/>
                <w:b w:val="0"/>
                <w:sz w:val="16"/>
              </w:rPr>
              <w:t>Observability</w:t>
            </w:r>
          </w:p>
        </w:tc>
        <w:tc>
          <w:tcPr>
            <w:tcW w:type="dxa" w:w="3331"/>
            <w:vAlign w:val="center"/>
          </w:tcPr>
          <w:p>
            <w:pPr>
              <w:spacing w:after="20" w:before="20"/>
            </w:pPr>
            <w:r/>
            <w:r>
              <w:rPr>
                <w:rFonts w:ascii="Aptos" w:hAnsi="Aptos"/>
                <w:b w:val="0"/>
                <w:sz w:val="16"/>
              </w:rPr>
              <w:t>Metrics, logs, traces, broker lag, health.</w:t>
            </w:r>
          </w:p>
        </w:tc>
        <w:tc>
          <w:tcPr>
            <w:tcW w:type="dxa" w:w="3331"/>
            <w:vAlign w:val="center"/>
          </w:tcPr>
          <w:p>
            <w:pPr>
              <w:spacing w:after="20" w:before="20"/>
            </w:pPr>
            <w:r/>
            <w:r>
              <w:rPr>
                <w:rFonts w:ascii="Aptos" w:hAnsi="Aptos"/>
                <w:b w:val="0"/>
                <w:sz w:val="16"/>
              </w:rPr>
              <w:t>OpenTelemetry; Prometheus and Grafana locally.</w:t>
            </w:r>
          </w:p>
        </w:tc>
      </w:tr>
    </w:tbl>
    <w:p>
      <w:pPr>
        <w:spacing w:after="20"/>
      </w:pPr>
    </w:p>
    <w:p>
      <w:pPr>
        <w:pStyle w:val="Heading2"/>
      </w:pPr>
      <w:r>
        <w:t>Event path</w:t>
      </w:r>
    </w:p>
    <w:p>
      <w:r>
        <w:t>Simulator → authenticated HTTPS ingestion → schema validation → Kafka raw topic → normalized event → stream rules → PostgreSQL alert and Cassandra telemetry → API → dashboard. Invalid events go to a dead-letter topic with a reason code. Transient errors retry with backoff; exhausted retries preserve data for replay instead of dropping it.</w:t>
      </w:r>
    </w:p>
    <w:p>
      <w:pPr>
        <w:pStyle w:val="Heading2"/>
      </w:pPr>
      <w:r>
        <w:t>Service boundaries</w:t>
      </w:r>
    </w:p>
    <w:p>
      <w:r>
        <w:t>Begin as a modular monolith with packages for identity, fleet, ingestion, telemetry, alerts, and analytics. Wrap Kafka, PostgreSQL, and Cassandra behind interfaces. Split a worker into a separate deployable only when throughput, failure isolation, or ownership makes that useful.</w:t>
      </w:r>
    </w:p>
    <w:p>
      <w:pPr>
        <w:pStyle w:val="Heading1"/>
      </w:pPr>
      <w:r>
        <w:t>7. Data model and storage</w:t>
      </w:r>
    </w:p>
    <w:p>
      <w:pPr>
        <w:pStyle w:val="Heading2"/>
      </w:pPr>
      <w:r>
        <w:t>Relational core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Entity</w:t>
            </w:r>
          </w:p>
        </w:tc>
        <w:tc>
          <w:tcPr>
            <w:tcW w:type="dxa" w:w="3331"/>
            <w:vAlign w:val="center"/>
            <w:shd w:fill="17365D"/>
          </w:tcPr>
          <w:p>
            <w:pPr>
              <w:spacing w:after="20" w:before="20"/>
            </w:pPr>
            <w:r/>
            <w:r>
              <w:rPr>
                <w:rFonts w:ascii="Aptos" w:hAnsi="Aptos"/>
                <w:b/>
                <w:color w:val="FFFFFF"/>
                <w:sz w:val="16"/>
              </w:rPr>
              <w:t>Key fields</w:t>
            </w:r>
          </w:p>
        </w:tc>
        <w:tc>
          <w:tcPr>
            <w:tcW w:type="dxa" w:w="3331"/>
            <w:vAlign w:val="center"/>
            <w:shd w:fill="17365D"/>
          </w:tcPr>
          <w:p>
            <w:pPr>
              <w:spacing w:after="20" w:before="20"/>
            </w:pPr>
            <w:r/>
            <w:r>
              <w:rPr>
                <w:rFonts w:ascii="Aptos" w:hAnsi="Aptos"/>
                <w:b/>
                <w:color w:val="FFFFFF"/>
                <w:sz w:val="16"/>
              </w:rPr>
              <w:t>Purpose</w:t>
            </w:r>
          </w:p>
        </w:tc>
      </w:tr>
      <w:tr>
        <w:tc>
          <w:tcPr>
            <w:tcW w:type="dxa" w:w="3331"/>
            <w:vAlign w:val="center"/>
          </w:tcPr>
          <w:p>
            <w:pPr>
              <w:spacing w:after="20" w:before="20"/>
            </w:pPr>
            <w:r/>
            <w:r>
              <w:rPr>
                <w:rFonts w:ascii="Aptos" w:hAnsi="Aptos"/>
                <w:b w:val="0"/>
                <w:sz w:val="16"/>
              </w:rPr>
              <w:t>Tenant</w:t>
            </w:r>
          </w:p>
        </w:tc>
        <w:tc>
          <w:tcPr>
            <w:tcW w:type="dxa" w:w="3331"/>
            <w:vAlign w:val="center"/>
          </w:tcPr>
          <w:p>
            <w:pPr>
              <w:spacing w:after="20" w:before="20"/>
            </w:pPr>
            <w:r/>
            <w:r>
              <w:rPr>
                <w:rFonts w:ascii="Aptos" w:hAnsi="Aptos"/>
                <w:b w:val="0"/>
                <w:sz w:val="16"/>
              </w:rPr>
              <w:t>tenant_id, name, status</w:t>
            </w:r>
          </w:p>
        </w:tc>
        <w:tc>
          <w:tcPr>
            <w:tcW w:type="dxa" w:w="3331"/>
            <w:vAlign w:val="center"/>
          </w:tcPr>
          <w:p>
            <w:pPr>
              <w:spacing w:after="20" w:before="20"/>
            </w:pPr>
            <w:r/>
            <w:r>
              <w:rPr>
                <w:rFonts w:ascii="Aptos" w:hAnsi="Aptos"/>
                <w:b w:val="0"/>
                <w:sz w:val="16"/>
              </w:rPr>
              <w:t>Top-level isolation boundary.</w:t>
            </w:r>
          </w:p>
        </w:tc>
      </w:tr>
      <w:tr>
        <w:tc>
          <w:tcPr>
            <w:tcW w:type="dxa" w:w="3331"/>
            <w:vAlign w:val="center"/>
          </w:tcPr>
          <w:p>
            <w:pPr>
              <w:spacing w:after="20" w:before="20"/>
            </w:pPr>
            <w:r/>
            <w:r>
              <w:rPr>
                <w:rFonts w:ascii="Aptos" w:hAnsi="Aptos"/>
                <w:b w:val="0"/>
                <w:sz w:val="16"/>
              </w:rPr>
              <w:t>Fleet</w:t>
            </w:r>
          </w:p>
        </w:tc>
        <w:tc>
          <w:tcPr>
            <w:tcW w:type="dxa" w:w="3331"/>
            <w:vAlign w:val="center"/>
          </w:tcPr>
          <w:p>
            <w:pPr>
              <w:spacing w:after="20" w:before="20"/>
            </w:pPr>
            <w:r/>
            <w:r>
              <w:rPr>
                <w:rFonts w:ascii="Aptos" w:hAnsi="Aptos"/>
                <w:b w:val="0"/>
                <w:sz w:val="16"/>
              </w:rPr>
              <w:t>fleet_id, tenant_id, name, timezone</w:t>
            </w:r>
          </w:p>
        </w:tc>
        <w:tc>
          <w:tcPr>
            <w:tcW w:type="dxa" w:w="3331"/>
            <w:vAlign w:val="center"/>
          </w:tcPr>
          <w:p>
            <w:pPr>
              <w:spacing w:after="20" w:before="20"/>
            </w:pPr>
            <w:r/>
            <w:r>
              <w:rPr>
                <w:rFonts w:ascii="Aptos" w:hAnsi="Aptos"/>
                <w:b w:val="0"/>
                <w:sz w:val="16"/>
              </w:rPr>
              <w:t>One tenant may have many fleets.</w:t>
            </w:r>
          </w:p>
        </w:tc>
      </w:tr>
      <w:tr>
        <w:tc>
          <w:tcPr>
            <w:tcW w:type="dxa" w:w="3331"/>
            <w:vAlign w:val="center"/>
          </w:tcPr>
          <w:p>
            <w:pPr>
              <w:spacing w:after="20" w:before="20"/>
            </w:pPr>
            <w:r/>
            <w:r>
              <w:rPr>
                <w:rFonts w:ascii="Aptos" w:hAnsi="Aptos"/>
                <w:b w:val="0"/>
                <w:sz w:val="16"/>
              </w:rPr>
              <w:t>Vehicle</w:t>
            </w:r>
          </w:p>
        </w:tc>
        <w:tc>
          <w:tcPr>
            <w:tcW w:type="dxa" w:w="3331"/>
            <w:vAlign w:val="center"/>
          </w:tcPr>
          <w:p>
            <w:pPr>
              <w:spacing w:after="20" w:before="20"/>
            </w:pPr>
            <w:r/>
            <w:r>
              <w:rPr>
                <w:rFonts w:ascii="Aptos" w:hAnsi="Aptos"/>
                <w:b w:val="0"/>
                <w:sz w:val="16"/>
              </w:rPr>
              <w:t>vehicle_id, fleet_id, external_ref, make/model/year/status</w:t>
            </w:r>
          </w:p>
        </w:tc>
        <w:tc>
          <w:tcPr>
            <w:tcW w:type="dxa" w:w="3331"/>
            <w:vAlign w:val="center"/>
          </w:tcPr>
          <w:p>
            <w:pPr>
              <w:spacing w:after="20" w:before="20"/>
            </w:pPr>
            <w:r/>
            <w:r>
              <w:rPr>
                <w:rFonts w:ascii="Aptos" w:hAnsi="Aptos"/>
                <w:b w:val="0"/>
                <w:sz w:val="16"/>
              </w:rPr>
              <w:t>Vehicle identity and assignment; do not expose VIN as public ID.</w:t>
            </w:r>
          </w:p>
        </w:tc>
      </w:tr>
      <w:tr>
        <w:tc>
          <w:tcPr>
            <w:tcW w:type="dxa" w:w="3331"/>
            <w:vAlign w:val="center"/>
          </w:tcPr>
          <w:p>
            <w:pPr>
              <w:spacing w:after="20" w:before="20"/>
            </w:pPr>
            <w:r/>
            <w:r>
              <w:rPr>
                <w:rFonts w:ascii="Aptos" w:hAnsi="Aptos"/>
                <w:b w:val="0"/>
                <w:sz w:val="16"/>
              </w:rPr>
              <w:t>DeviceConnection</w:t>
            </w:r>
          </w:p>
        </w:tc>
        <w:tc>
          <w:tcPr>
            <w:tcW w:type="dxa" w:w="3331"/>
            <w:vAlign w:val="center"/>
          </w:tcPr>
          <w:p>
            <w:pPr>
              <w:spacing w:after="20" w:before="20"/>
            </w:pPr>
            <w:r/>
            <w:r>
              <w:rPr>
                <w:rFonts w:ascii="Aptos" w:hAnsi="Aptos"/>
                <w:b w:val="0"/>
                <w:sz w:val="16"/>
              </w:rPr>
              <w:t>connection_id, vehicle_id, source_type, credential_ref</w:t>
            </w:r>
          </w:p>
        </w:tc>
        <w:tc>
          <w:tcPr>
            <w:tcW w:type="dxa" w:w="3331"/>
            <w:vAlign w:val="center"/>
          </w:tcPr>
          <w:p>
            <w:pPr>
              <w:spacing w:after="20" w:before="20"/>
            </w:pPr>
            <w:r/>
            <w:r>
              <w:rPr>
                <w:rFonts w:ascii="Aptos" w:hAnsi="Aptos"/>
                <w:b w:val="0"/>
                <w:sz w:val="16"/>
              </w:rPr>
              <w:t>OEM/simulator connection metadata; secrets stay in secret manager.</w:t>
            </w:r>
          </w:p>
        </w:tc>
      </w:tr>
      <w:tr>
        <w:tc>
          <w:tcPr>
            <w:tcW w:type="dxa" w:w="3331"/>
            <w:vAlign w:val="center"/>
          </w:tcPr>
          <w:p>
            <w:pPr>
              <w:spacing w:after="20" w:before="20"/>
            </w:pPr>
            <w:r/>
            <w:r>
              <w:rPr>
                <w:rFonts w:ascii="Aptos" w:hAnsi="Aptos"/>
                <w:b w:val="0"/>
                <w:sz w:val="16"/>
              </w:rPr>
              <w:t>Alert</w:t>
            </w:r>
          </w:p>
        </w:tc>
        <w:tc>
          <w:tcPr>
            <w:tcW w:type="dxa" w:w="3331"/>
            <w:vAlign w:val="center"/>
          </w:tcPr>
          <w:p>
            <w:pPr>
              <w:spacing w:after="20" w:before="20"/>
            </w:pPr>
            <w:r/>
            <w:r>
              <w:rPr>
                <w:rFonts w:ascii="Aptos" w:hAnsi="Aptos"/>
                <w:b w:val="0"/>
                <w:sz w:val="16"/>
              </w:rPr>
              <w:t>alert_id, tenant_id, vehicle_id, rule_id, severity, status, first/last_seen</w:t>
            </w:r>
          </w:p>
        </w:tc>
        <w:tc>
          <w:tcPr>
            <w:tcW w:type="dxa" w:w="3331"/>
            <w:vAlign w:val="center"/>
          </w:tcPr>
          <w:p>
            <w:pPr>
              <w:spacing w:after="20" w:before="20"/>
            </w:pPr>
            <w:r/>
            <w:r>
              <w:rPr>
                <w:rFonts w:ascii="Aptos" w:hAnsi="Aptos"/>
                <w:b w:val="0"/>
                <w:sz w:val="16"/>
              </w:rPr>
              <w:t>Alert lifecycle and acknowledgement.</w:t>
            </w:r>
          </w:p>
        </w:tc>
      </w:tr>
      <w:tr>
        <w:tc>
          <w:tcPr>
            <w:tcW w:type="dxa" w:w="3331"/>
            <w:vAlign w:val="center"/>
          </w:tcPr>
          <w:p>
            <w:pPr>
              <w:spacing w:after="20" w:before="20"/>
            </w:pPr>
            <w:r/>
            <w:r>
              <w:rPr>
                <w:rFonts w:ascii="Aptos" w:hAnsi="Aptos"/>
                <w:b w:val="0"/>
                <w:sz w:val="16"/>
              </w:rPr>
              <w:t>AlertEvidence</w:t>
            </w:r>
          </w:p>
        </w:tc>
        <w:tc>
          <w:tcPr>
            <w:tcW w:type="dxa" w:w="3331"/>
            <w:vAlign w:val="center"/>
          </w:tcPr>
          <w:p>
            <w:pPr>
              <w:spacing w:after="20" w:before="20"/>
            </w:pPr>
            <w:r/>
            <w:r>
              <w:rPr>
                <w:rFonts w:ascii="Aptos" w:hAnsi="Aptos"/>
                <w:b w:val="0"/>
                <w:sz w:val="16"/>
              </w:rPr>
              <w:t>evidence_id, alert_id, event_ids, rule_version</w:t>
            </w:r>
          </w:p>
        </w:tc>
        <w:tc>
          <w:tcPr>
            <w:tcW w:type="dxa" w:w="3331"/>
            <w:vAlign w:val="center"/>
          </w:tcPr>
          <w:p>
            <w:pPr>
              <w:spacing w:after="20" w:before="20"/>
            </w:pPr>
            <w:r/>
            <w:r>
              <w:rPr>
                <w:rFonts w:ascii="Aptos" w:hAnsi="Aptos"/>
                <w:b w:val="0"/>
                <w:sz w:val="16"/>
              </w:rPr>
              <w:t>Auditable facts supporting an alert.</w:t>
            </w:r>
          </w:p>
        </w:tc>
      </w:tr>
      <w:tr>
        <w:tc>
          <w:tcPr>
            <w:tcW w:type="dxa" w:w="3331"/>
            <w:vAlign w:val="center"/>
          </w:tcPr>
          <w:p>
            <w:pPr>
              <w:spacing w:after="20" w:before="20"/>
            </w:pPr>
            <w:r/>
            <w:r>
              <w:rPr>
                <w:rFonts w:ascii="Aptos" w:hAnsi="Aptos"/>
                <w:b w:val="0"/>
                <w:sz w:val="16"/>
              </w:rPr>
              <w:t>User and RoleBinding</w:t>
            </w:r>
          </w:p>
        </w:tc>
        <w:tc>
          <w:tcPr>
            <w:tcW w:type="dxa" w:w="3331"/>
            <w:vAlign w:val="center"/>
          </w:tcPr>
          <w:p>
            <w:pPr>
              <w:spacing w:after="20" w:before="20"/>
            </w:pPr>
            <w:r/>
            <w:r>
              <w:rPr>
                <w:rFonts w:ascii="Aptos" w:hAnsi="Aptos"/>
                <w:b w:val="0"/>
                <w:sz w:val="16"/>
              </w:rPr>
              <w:t>user_id, tenant_id, role</w:t>
            </w:r>
          </w:p>
        </w:tc>
        <w:tc>
          <w:tcPr>
            <w:tcW w:type="dxa" w:w="3331"/>
            <w:vAlign w:val="center"/>
          </w:tcPr>
          <w:p>
            <w:pPr>
              <w:spacing w:after="20" w:before="20"/>
            </w:pPr>
            <w:r/>
            <w:r>
              <w:rPr>
                <w:rFonts w:ascii="Aptos" w:hAnsi="Aptos"/>
                <w:b w:val="0"/>
                <w:sz w:val="16"/>
              </w:rPr>
              <w:t>Tenant-scoped authorization.</w:t>
            </w:r>
          </w:p>
        </w:tc>
      </w:tr>
      <w:tr>
        <w:tc>
          <w:tcPr>
            <w:tcW w:type="dxa" w:w="3331"/>
            <w:vAlign w:val="center"/>
          </w:tcPr>
          <w:p>
            <w:pPr>
              <w:spacing w:after="20" w:before="20"/>
            </w:pPr>
            <w:r/>
            <w:r>
              <w:rPr>
                <w:rFonts w:ascii="Aptos" w:hAnsi="Aptos"/>
                <w:b w:val="0"/>
                <w:sz w:val="16"/>
              </w:rPr>
              <w:t>AuditEvent</w:t>
            </w:r>
          </w:p>
        </w:tc>
        <w:tc>
          <w:tcPr>
            <w:tcW w:type="dxa" w:w="3331"/>
            <w:vAlign w:val="center"/>
          </w:tcPr>
          <w:p>
            <w:pPr>
              <w:spacing w:after="20" w:before="20"/>
            </w:pPr>
            <w:r/>
            <w:r>
              <w:rPr>
                <w:rFonts w:ascii="Aptos" w:hAnsi="Aptos"/>
                <w:b w:val="0"/>
                <w:sz w:val="16"/>
              </w:rPr>
              <w:t>audit_id, actor_id, tenant_id, action, resource, occurred_at</w:t>
            </w:r>
          </w:p>
        </w:tc>
        <w:tc>
          <w:tcPr>
            <w:tcW w:type="dxa" w:w="3331"/>
            <w:vAlign w:val="center"/>
          </w:tcPr>
          <w:p>
            <w:pPr>
              <w:spacing w:after="20" w:before="20"/>
            </w:pPr>
            <w:r/>
            <w:r>
              <w:rPr>
                <w:rFonts w:ascii="Aptos" w:hAnsi="Aptos"/>
                <w:b w:val="0"/>
                <w:sz w:val="16"/>
              </w:rPr>
              <w:t>Append-only security/data access trail.</w:t>
            </w:r>
          </w:p>
        </w:tc>
      </w:tr>
    </w:tbl>
    <w:p>
      <w:pPr>
        <w:spacing w:after="20"/>
      </w:pPr>
    </w:p>
    <w:p>
      <w:r>
        <w:t>Keep relational tables in third normal form. Denormalize only for a measured query need and document it. Every tenant-owned row carries tenant identity, checked in authorization and query paths.</w:t>
      </w:r>
    </w:p>
    <w:p>
      <w:pPr>
        <w:pStyle w:val="Heading2"/>
      </w:pPr>
      <w:r>
        <w:t>Storage roles and consistency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Store</w:t>
            </w:r>
          </w:p>
        </w:tc>
        <w:tc>
          <w:tcPr>
            <w:tcW w:type="dxa" w:w="3331"/>
            <w:vAlign w:val="center"/>
            <w:shd w:fill="17365D"/>
          </w:tcPr>
          <w:p>
            <w:pPr>
              <w:spacing w:after="20" w:before="20"/>
            </w:pPr>
            <w:r/>
            <w:r>
              <w:rPr>
                <w:rFonts w:ascii="Aptos" w:hAnsi="Aptos"/>
                <w:b/>
                <w:color w:val="FFFFFF"/>
                <w:sz w:val="16"/>
              </w:rPr>
              <w:t>Data</w:t>
            </w:r>
          </w:p>
        </w:tc>
        <w:tc>
          <w:tcPr>
            <w:tcW w:type="dxa" w:w="3331"/>
            <w:vAlign w:val="center"/>
            <w:shd w:fill="17365D"/>
          </w:tcPr>
          <w:p>
            <w:pPr>
              <w:spacing w:after="20" w:before="20"/>
            </w:pPr>
            <w:r/>
            <w:r>
              <w:rPr>
                <w:rFonts w:ascii="Aptos" w:hAnsi="Aptos"/>
                <w:b/>
                <w:color w:val="FFFFFF"/>
                <w:sz w:val="16"/>
              </w:rPr>
              <w:t>Trade-off</w:t>
            </w:r>
          </w:p>
        </w:tc>
      </w:tr>
      <w:tr>
        <w:tc>
          <w:tcPr>
            <w:tcW w:type="dxa" w:w="3331"/>
            <w:vAlign w:val="center"/>
          </w:tcPr>
          <w:p>
            <w:pPr>
              <w:spacing w:after="20" w:before="20"/>
            </w:pPr>
            <w:r/>
            <w:r>
              <w:rPr>
                <w:rFonts w:ascii="Aptos" w:hAnsi="Aptos"/>
                <w:b w:val="0"/>
                <w:sz w:val="16"/>
              </w:rPr>
              <w:t>Kafka</w:t>
            </w:r>
          </w:p>
        </w:tc>
        <w:tc>
          <w:tcPr>
            <w:tcW w:type="dxa" w:w="3331"/>
            <w:vAlign w:val="center"/>
          </w:tcPr>
          <w:p>
            <w:pPr>
              <w:spacing w:after="20" w:before="20"/>
            </w:pPr>
            <w:r/>
            <w:r>
              <w:rPr>
                <w:rFonts w:ascii="Aptos" w:hAnsi="Aptos"/>
                <w:b w:val="0"/>
                <w:sz w:val="16"/>
              </w:rPr>
              <w:t>Events awaiting processing/replay</w:t>
            </w:r>
          </w:p>
        </w:tc>
        <w:tc>
          <w:tcPr>
            <w:tcW w:type="dxa" w:w="3331"/>
            <w:vAlign w:val="center"/>
          </w:tcPr>
          <w:p>
            <w:pPr>
              <w:spacing w:after="20" w:before="20"/>
            </w:pPr>
            <w:r/>
            <w:r>
              <w:rPr>
                <w:rFonts w:ascii="Aptos" w:hAnsi="Aptos"/>
                <w:b w:val="0"/>
                <w:sz w:val="16"/>
              </w:rPr>
              <w:t>Durable replicated log; make producer ack and consumer offset behavior explicit.</w:t>
            </w:r>
          </w:p>
        </w:tc>
      </w:tr>
      <w:tr>
        <w:tc>
          <w:tcPr>
            <w:tcW w:type="dxa" w:w="3331"/>
            <w:vAlign w:val="center"/>
          </w:tcPr>
          <w:p>
            <w:pPr>
              <w:spacing w:after="20" w:before="20"/>
            </w:pPr>
            <w:r/>
            <w:r>
              <w:rPr>
                <w:rFonts w:ascii="Aptos" w:hAnsi="Aptos"/>
                <w:b w:val="0"/>
                <w:sz w:val="16"/>
              </w:rPr>
              <w:t>Cassandra</w:t>
            </w:r>
          </w:p>
        </w:tc>
        <w:tc>
          <w:tcPr>
            <w:tcW w:type="dxa" w:w="3331"/>
            <w:vAlign w:val="center"/>
          </w:tcPr>
          <w:p>
            <w:pPr>
              <w:spacing w:after="20" w:before="20"/>
            </w:pPr>
            <w:r/>
            <w:r>
              <w:rPr>
                <w:rFonts w:ascii="Aptos" w:hAnsi="Aptos"/>
                <w:b w:val="0"/>
                <w:sz w:val="16"/>
              </w:rPr>
              <w:t>Telemetry by tenant, vehicle, time bucket</w:t>
            </w:r>
          </w:p>
        </w:tc>
        <w:tc>
          <w:tcPr>
            <w:tcW w:type="dxa" w:w="3331"/>
            <w:vAlign w:val="center"/>
          </w:tcPr>
          <w:p>
            <w:pPr>
              <w:spacing w:after="20" w:before="20"/>
            </w:pPr>
            <w:r/>
            <w:r>
              <w:rPr>
                <w:rFonts w:ascii="Aptos" w:hAnsi="Aptos"/>
                <w:b w:val="0"/>
                <w:sz w:val="16"/>
              </w:rPr>
              <w:t>Available writes/eventual reads are acceptable for many dashboards; not the authority for ownership or acknowledgement.</w:t>
            </w:r>
          </w:p>
        </w:tc>
      </w:tr>
      <w:tr>
        <w:tc>
          <w:tcPr>
            <w:tcW w:type="dxa" w:w="3331"/>
            <w:vAlign w:val="center"/>
          </w:tcPr>
          <w:p>
            <w:pPr>
              <w:spacing w:after="20" w:before="20"/>
            </w:pPr>
            <w:r/>
            <w:r>
              <w:rPr>
                <w:rFonts w:ascii="Aptos" w:hAnsi="Aptos"/>
                <w:b w:val="0"/>
                <w:sz w:val="16"/>
              </w:rPr>
              <w:t>PostgreSQL</w:t>
            </w:r>
          </w:p>
        </w:tc>
        <w:tc>
          <w:tcPr>
            <w:tcW w:type="dxa" w:w="3331"/>
            <w:vAlign w:val="center"/>
          </w:tcPr>
          <w:p>
            <w:pPr>
              <w:spacing w:after="20" w:before="20"/>
            </w:pPr>
            <w:r/>
            <w:r>
              <w:rPr>
                <w:rFonts w:ascii="Aptos" w:hAnsi="Aptos"/>
                <w:b w:val="0"/>
                <w:sz w:val="16"/>
              </w:rPr>
              <w:t>Tenant, fleet, users, alert state, audit</w:t>
            </w:r>
          </w:p>
        </w:tc>
        <w:tc>
          <w:tcPr>
            <w:tcW w:type="dxa" w:w="3331"/>
            <w:vAlign w:val="center"/>
          </w:tcPr>
          <w:p>
            <w:pPr>
              <w:spacing w:after="20" w:before="20"/>
            </w:pPr>
            <w:r/>
            <w:r>
              <w:rPr>
                <w:rFonts w:ascii="Aptos" w:hAnsi="Aptos"/>
                <w:b w:val="0"/>
                <w:sz w:val="16"/>
              </w:rPr>
              <w:t>Prefer consistency for authorization, ownership, and alert acknowledgement.</w:t>
            </w:r>
          </w:p>
        </w:tc>
      </w:tr>
      <w:tr>
        <w:tc>
          <w:tcPr>
            <w:tcW w:type="dxa" w:w="3331"/>
            <w:vAlign w:val="center"/>
          </w:tcPr>
          <w:p>
            <w:pPr>
              <w:spacing w:after="20" w:before="20"/>
            </w:pPr>
            <w:r/>
            <w:r>
              <w:rPr>
                <w:rFonts w:ascii="Aptos" w:hAnsi="Aptos"/>
                <w:b w:val="0"/>
                <w:sz w:val="16"/>
              </w:rPr>
              <w:t>Object storage</w:t>
            </w:r>
          </w:p>
        </w:tc>
        <w:tc>
          <w:tcPr>
            <w:tcW w:type="dxa" w:w="3331"/>
            <w:vAlign w:val="center"/>
          </w:tcPr>
          <w:p>
            <w:pPr>
              <w:spacing w:after="20" w:before="20"/>
            </w:pPr>
            <w:r/>
            <w:r>
              <w:rPr>
                <w:rFonts w:ascii="Aptos" w:hAnsi="Aptos"/>
                <w:b w:val="0"/>
                <w:sz w:val="16"/>
              </w:rPr>
              <w:t>Cold Parquet history</w:t>
            </w:r>
          </w:p>
        </w:tc>
        <w:tc>
          <w:tcPr>
            <w:tcW w:type="dxa" w:w="3331"/>
            <w:vAlign w:val="center"/>
          </w:tcPr>
          <w:p>
            <w:pPr>
              <w:spacing w:after="20" w:before="20"/>
            </w:pPr>
            <w:r/>
            <w:r>
              <w:rPr>
                <w:rFonts w:ascii="Aptos" w:hAnsi="Aptos"/>
                <w:b w:val="0"/>
                <w:sz w:val="16"/>
              </w:rPr>
              <w:t>Batch visibility can be eventual; apply retention and deletion policy.</w:t>
            </w:r>
          </w:p>
        </w:tc>
      </w:tr>
      <w:tr>
        <w:tc>
          <w:tcPr>
            <w:tcW w:type="dxa" w:w="3331"/>
            <w:vAlign w:val="center"/>
          </w:tcPr>
          <w:p>
            <w:pPr>
              <w:spacing w:after="20" w:before="20"/>
            </w:pPr>
            <w:r/>
            <w:r>
              <w:rPr>
                <w:rFonts w:ascii="Aptos" w:hAnsi="Aptos"/>
                <w:b w:val="0"/>
                <w:sz w:val="16"/>
              </w:rPr>
              <w:t>Redis later</w:t>
            </w:r>
          </w:p>
        </w:tc>
        <w:tc>
          <w:tcPr>
            <w:tcW w:type="dxa" w:w="3331"/>
            <w:vAlign w:val="center"/>
          </w:tcPr>
          <w:p>
            <w:pPr>
              <w:spacing w:after="20" w:before="20"/>
            </w:pPr>
            <w:r/>
            <w:r>
              <w:rPr>
                <w:rFonts w:ascii="Aptos" w:hAnsi="Aptos"/>
                <w:b w:val="0"/>
                <w:sz w:val="16"/>
              </w:rPr>
              <w:t>Short-lived cache/rate-limit state</w:t>
            </w:r>
          </w:p>
        </w:tc>
        <w:tc>
          <w:tcPr>
            <w:tcW w:type="dxa" w:w="3331"/>
            <w:vAlign w:val="center"/>
          </w:tcPr>
          <w:p>
            <w:pPr>
              <w:spacing w:after="20" w:before="20"/>
            </w:pPr>
            <w:r/>
            <w:r>
              <w:rPr>
                <w:rFonts w:ascii="Aptos" w:hAnsi="Aptos"/>
                <w:b w:val="0"/>
                <w:sz w:val="16"/>
              </w:rPr>
              <w:t>Disposable only; PostgreSQL/Kafka remain authoritative.</w:t>
            </w:r>
          </w:p>
        </w:tc>
      </w:tr>
    </w:tbl>
    <w:p>
      <w:pPr>
        <w:spacing w:after="20"/>
      </w:pPr>
    </w:p>
    <w:p>
      <w:r>
        <w:t>Use a Kafka key based on vehicle identity to preserve per-vehicle ordering without partitioning only by tenant, which can create a hot partition. Cassandra partition key: `(tenant_id, vehicle_id, day_bucket)`; clustering by event time and ID. Keep partitions bounded.</w:t>
      </w:r>
    </w:p>
    <w:p>
      <w:pPr>
        <w:pStyle w:val="Heading2"/>
      </w:pPr>
      <w:r>
        <w:t>Capacity estimate</w:t>
      </w:r>
    </w:p>
    <w:p>
      <w:r>
        <w:t>The brief's illustrative baseline is 100,000 vehicles × 1 event/second × 1 KB = about 100,000 events/second, 8.6 TB/day, or roughly 3 PB/year before compression/down-sampling. These are planning estimates, not FleetPulse measurements. Track payload size, compression, replication, retention, and measured storage growth.</w:t>
      </w:r>
    </w:p>
    <w:p>
      <w:r>
        <w:br w:type="page"/>
      </w:r>
    </w:p>
    <w:p>
      <w:pPr>
        <w:pStyle w:val="Heading1"/>
      </w:pPr>
      <w:r>
        <w:t>8. Event and API contracts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Event field</w:t>
            </w:r>
          </w:p>
        </w:tc>
        <w:tc>
          <w:tcPr>
            <w:tcW w:type="dxa" w:w="3331"/>
            <w:vAlign w:val="center"/>
            <w:shd w:fill="17365D"/>
          </w:tcPr>
          <w:p>
            <w:pPr>
              <w:spacing w:after="20" w:before="20"/>
            </w:pPr>
            <w:r/>
            <w:r>
              <w:rPr>
                <w:rFonts w:ascii="Aptos" w:hAnsi="Aptos"/>
                <w:b/>
                <w:color w:val="FFFFFF"/>
                <w:sz w:val="16"/>
              </w:rPr>
              <w:t>Type</w:t>
            </w:r>
          </w:p>
        </w:tc>
        <w:tc>
          <w:tcPr>
            <w:tcW w:type="dxa" w:w="3331"/>
            <w:vAlign w:val="center"/>
            <w:shd w:fill="17365D"/>
          </w:tcPr>
          <w:p>
            <w:pPr>
              <w:spacing w:after="20" w:before="20"/>
            </w:pPr>
            <w:r/>
            <w:r>
              <w:rPr>
                <w:rFonts w:ascii="Aptos" w:hAnsi="Aptos"/>
                <w:b/>
                <w:color w:val="FFFFFF"/>
                <w:sz w:val="16"/>
              </w:rPr>
              <w:t>Rule</w:t>
            </w:r>
          </w:p>
        </w:tc>
      </w:tr>
      <w:tr>
        <w:tc>
          <w:tcPr>
            <w:tcW w:type="dxa" w:w="3331"/>
            <w:vAlign w:val="center"/>
          </w:tcPr>
          <w:p>
            <w:pPr>
              <w:spacing w:after="20" w:before="20"/>
            </w:pPr>
            <w:r/>
            <w:r>
              <w:rPr>
                <w:rFonts w:ascii="Aptos" w:hAnsi="Aptos"/>
                <w:b w:val="0"/>
                <w:sz w:val="16"/>
              </w:rPr>
              <w:t>event_id</w:t>
            </w:r>
          </w:p>
        </w:tc>
        <w:tc>
          <w:tcPr>
            <w:tcW w:type="dxa" w:w="3331"/>
            <w:vAlign w:val="center"/>
          </w:tcPr>
          <w:p>
            <w:pPr>
              <w:spacing w:after="20" w:before="20"/>
            </w:pPr>
            <w:r/>
            <w:r>
              <w:rPr>
                <w:rFonts w:ascii="Aptos" w:hAnsi="Aptos"/>
                <w:b w:val="0"/>
                <w:sz w:val="16"/>
              </w:rPr>
              <w:t>UUID</w:t>
            </w:r>
          </w:p>
        </w:tc>
        <w:tc>
          <w:tcPr>
            <w:tcW w:type="dxa" w:w="3331"/>
            <w:vAlign w:val="center"/>
          </w:tcPr>
          <w:p>
            <w:pPr>
              <w:spacing w:after="20" w:before="20"/>
            </w:pPr>
            <w:r/>
            <w:r>
              <w:rPr>
                <w:rFonts w:ascii="Aptos" w:hAnsi="Aptos"/>
                <w:b w:val="0"/>
                <w:sz w:val="16"/>
              </w:rPr>
              <w:t>Stable idempotency key; retries reuse it.</w:t>
            </w:r>
          </w:p>
        </w:tc>
      </w:tr>
      <w:tr>
        <w:tc>
          <w:tcPr>
            <w:tcW w:type="dxa" w:w="3331"/>
            <w:vAlign w:val="center"/>
          </w:tcPr>
          <w:p>
            <w:pPr>
              <w:spacing w:after="20" w:before="20"/>
            </w:pPr>
            <w:r/>
            <w:r>
              <w:rPr>
                <w:rFonts w:ascii="Aptos" w:hAnsi="Aptos"/>
                <w:b w:val="0"/>
                <w:sz w:val="16"/>
              </w:rPr>
              <w:t>schema_version</w:t>
            </w:r>
          </w:p>
        </w:tc>
        <w:tc>
          <w:tcPr>
            <w:tcW w:type="dxa" w:w="3331"/>
            <w:vAlign w:val="center"/>
          </w:tcPr>
          <w:p>
            <w:pPr>
              <w:spacing w:after="20" w:before="20"/>
            </w:pPr>
            <w:r/>
            <w:r>
              <w:rPr>
                <w:rFonts w:ascii="Aptos" w:hAnsi="Aptos"/>
                <w:b w:val="0"/>
                <w:sz w:val="16"/>
              </w:rPr>
              <w:t>string</w:t>
            </w:r>
          </w:p>
        </w:tc>
        <w:tc>
          <w:tcPr>
            <w:tcW w:type="dxa" w:w="3331"/>
            <w:vAlign w:val="center"/>
          </w:tcPr>
          <w:p>
            <w:pPr>
              <w:spacing w:after="20" w:before="20"/>
            </w:pPr>
            <w:r/>
            <w:r>
              <w:rPr>
                <w:rFonts w:ascii="Aptos" w:hAnsi="Aptos"/>
                <w:b w:val="0"/>
                <w:sz w:val="16"/>
              </w:rPr>
              <w:t>For example 1.0; incompatible changes get a new version/topic.</w:t>
            </w:r>
          </w:p>
        </w:tc>
      </w:tr>
      <w:tr>
        <w:tc>
          <w:tcPr>
            <w:tcW w:type="dxa" w:w="3331"/>
            <w:vAlign w:val="center"/>
          </w:tcPr>
          <w:p>
            <w:pPr>
              <w:spacing w:after="20" w:before="20"/>
            </w:pPr>
            <w:r/>
            <w:r>
              <w:rPr>
                <w:rFonts w:ascii="Aptos" w:hAnsi="Aptos"/>
                <w:b w:val="0"/>
                <w:sz w:val="16"/>
              </w:rPr>
              <w:t>tenant_id, vehicle_id</w:t>
            </w:r>
          </w:p>
        </w:tc>
        <w:tc>
          <w:tcPr>
            <w:tcW w:type="dxa" w:w="3331"/>
            <w:vAlign w:val="center"/>
          </w:tcPr>
          <w:p>
            <w:pPr>
              <w:spacing w:after="20" w:before="20"/>
            </w:pPr>
            <w:r/>
            <w:r>
              <w:rPr>
                <w:rFonts w:ascii="Aptos" w:hAnsi="Aptos"/>
                <w:b w:val="0"/>
                <w:sz w:val="16"/>
              </w:rPr>
              <w:t>UUID/string</w:t>
            </w:r>
          </w:p>
        </w:tc>
        <w:tc>
          <w:tcPr>
            <w:tcW w:type="dxa" w:w="3331"/>
            <w:vAlign w:val="center"/>
          </w:tcPr>
          <w:p>
            <w:pPr>
              <w:spacing w:after="20" w:before="20"/>
            </w:pPr>
            <w:r/>
            <w:r>
              <w:rPr>
                <w:rFonts w:ascii="Aptos" w:hAnsi="Aptos"/>
                <w:b w:val="0"/>
                <w:sz w:val="16"/>
              </w:rPr>
              <w:t>Required; ownership checked before reads/writes.</w:t>
            </w:r>
          </w:p>
        </w:tc>
      </w:tr>
      <w:tr>
        <w:tc>
          <w:tcPr>
            <w:tcW w:type="dxa" w:w="3331"/>
            <w:vAlign w:val="center"/>
          </w:tcPr>
          <w:p>
            <w:pPr>
              <w:spacing w:after="20" w:before="20"/>
            </w:pPr>
            <w:r/>
            <w:r>
              <w:rPr>
                <w:rFonts w:ascii="Aptos" w:hAnsi="Aptos"/>
                <w:b w:val="0"/>
                <w:sz w:val="16"/>
              </w:rPr>
              <w:t>source_id</w:t>
            </w:r>
          </w:p>
        </w:tc>
        <w:tc>
          <w:tcPr>
            <w:tcW w:type="dxa" w:w="3331"/>
            <w:vAlign w:val="center"/>
          </w:tcPr>
          <w:p>
            <w:pPr>
              <w:spacing w:after="20" w:before="20"/>
            </w:pPr>
            <w:r/>
            <w:r>
              <w:rPr>
                <w:rFonts w:ascii="Aptos" w:hAnsi="Aptos"/>
                <w:b w:val="0"/>
                <w:sz w:val="16"/>
              </w:rPr>
              <w:t>string</w:t>
            </w:r>
          </w:p>
        </w:tc>
        <w:tc>
          <w:tcPr>
            <w:tcW w:type="dxa" w:w="3331"/>
            <w:vAlign w:val="center"/>
          </w:tcPr>
          <w:p>
            <w:pPr>
              <w:spacing w:after="20" w:before="20"/>
            </w:pPr>
            <w:r/>
            <w:r>
              <w:rPr>
                <w:rFonts w:ascii="Aptos" w:hAnsi="Aptos"/>
                <w:b w:val="0"/>
                <w:sz w:val="16"/>
              </w:rPr>
              <w:t>Registered OEM/partner/simulator source.</w:t>
            </w:r>
          </w:p>
        </w:tc>
      </w:tr>
      <w:tr>
        <w:tc>
          <w:tcPr>
            <w:tcW w:type="dxa" w:w="3331"/>
            <w:vAlign w:val="center"/>
          </w:tcPr>
          <w:p>
            <w:pPr>
              <w:spacing w:after="20" w:before="20"/>
            </w:pPr>
            <w:r/>
            <w:r>
              <w:rPr>
                <w:rFonts w:ascii="Aptos" w:hAnsi="Aptos"/>
                <w:b w:val="0"/>
                <w:sz w:val="16"/>
              </w:rPr>
              <w:t>observed_at, received_at</w:t>
            </w:r>
          </w:p>
        </w:tc>
        <w:tc>
          <w:tcPr>
            <w:tcW w:type="dxa" w:w="3331"/>
            <w:vAlign w:val="center"/>
          </w:tcPr>
          <w:p>
            <w:pPr>
              <w:spacing w:after="20" w:before="20"/>
            </w:pPr>
            <w:r/>
            <w:r>
              <w:rPr>
                <w:rFonts w:ascii="Aptos" w:hAnsi="Aptos"/>
                <w:b w:val="0"/>
                <w:sz w:val="16"/>
              </w:rPr>
              <w:t>UTC timestamps</w:t>
            </w:r>
          </w:p>
        </w:tc>
        <w:tc>
          <w:tcPr>
            <w:tcW w:type="dxa" w:w="3331"/>
            <w:vAlign w:val="center"/>
          </w:tcPr>
          <w:p>
            <w:pPr>
              <w:spacing w:after="20" w:before="20"/>
            </w:pPr>
            <w:r/>
            <w:r>
              <w:rPr>
                <w:rFonts w:ascii="Aptos" w:hAnsi="Aptos"/>
                <w:b w:val="0"/>
                <w:sz w:val="16"/>
              </w:rPr>
              <w:t>Keep event time separate from arrival time.</w:t>
            </w:r>
          </w:p>
        </w:tc>
      </w:tr>
      <w:tr>
        <w:tc>
          <w:tcPr>
            <w:tcW w:type="dxa" w:w="3331"/>
            <w:vAlign w:val="center"/>
          </w:tcPr>
          <w:p>
            <w:pPr>
              <w:spacing w:after="20" w:before="20"/>
            </w:pPr>
            <w:r/>
            <w:r>
              <w:rPr>
                <w:rFonts w:ascii="Aptos" w:hAnsi="Aptos"/>
                <w:b w:val="0"/>
                <w:sz w:val="16"/>
              </w:rPr>
              <w:t>sequence</w:t>
            </w:r>
          </w:p>
        </w:tc>
        <w:tc>
          <w:tcPr>
            <w:tcW w:type="dxa" w:w="3331"/>
            <w:vAlign w:val="center"/>
          </w:tcPr>
          <w:p>
            <w:pPr>
              <w:spacing w:after="20" w:before="20"/>
            </w:pPr>
            <w:r/>
            <w:r>
              <w:rPr>
                <w:rFonts w:ascii="Aptos" w:hAnsi="Aptos"/>
                <w:b w:val="0"/>
                <w:sz w:val="16"/>
              </w:rPr>
              <w:t>integer</w:t>
            </w:r>
          </w:p>
        </w:tc>
        <w:tc>
          <w:tcPr>
            <w:tcW w:type="dxa" w:w="3331"/>
            <w:vAlign w:val="center"/>
          </w:tcPr>
          <w:p>
            <w:pPr>
              <w:spacing w:after="20" w:before="20"/>
            </w:pPr>
            <w:r/>
            <w:r>
              <w:rPr>
                <w:rFonts w:ascii="Aptos" w:hAnsi="Aptos"/>
                <w:b w:val="0"/>
                <w:sz w:val="16"/>
              </w:rPr>
              <w:t>Optional; detects source gaps and replay.</w:t>
            </w:r>
          </w:p>
        </w:tc>
      </w:tr>
      <w:tr>
        <w:tc>
          <w:tcPr>
            <w:tcW w:type="dxa" w:w="3331"/>
            <w:vAlign w:val="center"/>
          </w:tcPr>
          <w:p>
            <w:pPr>
              <w:spacing w:after="20" w:before="20"/>
            </w:pPr>
            <w:r/>
            <w:r>
              <w:rPr>
                <w:rFonts w:ascii="Aptos" w:hAnsi="Aptos"/>
                <w:b w:val="0"/>
                <w:sz w:val="16"/>
              </w:rPr>
              <w:t>event_type</w:t>
            </w:r>
          </w:p>
        </w:tc>
        <w:tc>
          <w:tcPr>
            <w:tcW w:type="dxa" w:w="3331"/>
            <w:vAlign w:val="center"/>
          </w:tcPr>
          <w:p>
            <w:pPr>
              <w:spacing w:after="20" w:before="20"/>
            </w:pPr>
            <w:r/>
            <w:r>
              <w:rPr>
                <w:rFonts w:ascii="Aptos" w:hAnsi="Aptos"/>
                <w:b w:val="0"/>
                <w:sz w:val="16"/>
              </w:rPr>
              <w:t>enum/string</w:t>
            </w:r>
          </w:p>
        </w:tc>
        <w:tc>
          <w:tcPr>
            <w:tcW w:type="dxa" w:w="3331"/>
            <w:vAlign w:val="center"/>
          </w:tcPr>
          <w:p>
            <w:pPr>
              <w:spacing w:after="20" w:before="20"/>
            </w:pPr>
            <w:r/>
            <w:r>
              <w:rPr>
                <w:rFonts w:ascii="Aptos" w:hAnsi="Aptos"/>
                <w:b w:val="0"/>
                <w:sz w:val="16"/>
              </w:rPr>
              <w:t>POSITION, ENGINE_STATUS, DIAGNOSTIC, HARSH_BRAKE.</w:t>
            </w:r>
          </w:p>
        </w:tc>
      </w:tr>
      <w:tr>
        <w:tc>
          <w:tcPr>
            <w:tcW w:type="dxa" w:w="3331"/>
            <w:vAlign w:val="center"/>
          </w:tcPr>
          <w:p>
            <w:pPr>
              <w:spacing w:after="20" w:before="20"/>
            </w:pPr>
            <w:r/>
            <w:r>
              <w:rPr>
                <w:rFonts w:ascii="Aptos" w:hAnsi="Aptos"/>
                <w:b w:val="0"/>
                <w:sz w:val="16"/>
              </w:rPr>
              <w:t>payload</w:t>
            </w:r>
          </w:p>
        </w:tc>
        <w:tc>
          <w:tcPr>
            <w:tcW w:type="dxa" w:w="3331"/>
            <w:vAlign w:val="center"/>
          </w:tcPr>
          <w:p>
            <w:pPr>
              <w:spacing w:after="20" w:before="20"/>
            </w:pPr>
            <w:r/>
            <w:r>
              <w:rPr>
                <w:rFonts w:ascii="Aptos" w:hAnsi="Aptos"/>
                <w:b w:val="0"/>
                <w:sz w:val="16"/>
              </w:rPr>
              <w:t>typed object</w:t>
            </w:r>
          </w:p>
        </w:tc>
        <w:tc>
          <w:tcPr>
            <w:tcW w:type="dxa" w:w="3331"/>
            <w:vAlign w:val="center"/>
          </w:tcPr>
          <w:p>
            <w:pPr>
              <w:spacing w:after="20" w:before="20"/>
            </w:pPr>
            <w:r/>
            <w:r>
              <w:rPr>
                <w:rFonts w:ascii="Aptos" w:hAnsi="Aptos"/>
                <w:b w:val="0"/>
                <w:sz w:val="16"/>
              </w:rPr>
              <w:t>Validate fields; quarantine unknown OEM payloads.</w:t>
            </w:r>
          </w:p>
        </w:tc>
      </w:tr>
      <w:tr>
        <w:tc>
          <w:tcPr>
            <w:tcW w:type="dxa" w:w="3331"/>
            <w:vAlign w:val="center"/>
          </w:tcPr>
          <w:p>
            <w:pPr>
              <w:spacing w:after="20" w:before="20"/>
            </w:pPr>
            <w:r/>
            <w:r>
              <w:rPr>
                <w:rFonts w:ascii="Aptos" w:hAnsi="Aptos"/>
                <w:b w:val="0"/>
                <w:sz w:val="16"/>
              </w:rPr>
              <w:t>trace_id</w:t>
            </w:r>
          </w:p>
        </w:tc>
        <w:tc>
          <w:tcPr>
            <w:tcW w:type="dxa" w:w="3331"/>
            <w:vAlign w:val="center"/>
          </w:tcPr>
          <w:p>
            <w:pPr>
              <w:spacing w:after="20" w:before="20"/>
            </w:pPr>
            <w:r/>
            <w:r>
              <w:rPr>
                <w:rFonts w:ascii="Aptos" w:hAnsi="Aptos"/>
                <w:b w:val="0"/>
                <w:sz w:val="16"/>
              </w:rPr>
              <w:t>string</w:t>
            </w:r>
          </w:p>
        </w:tc>
        <w:tc>
          <w:tcPr>
            <w:tcW w:type="dxa" w:w="3331"/>
            <w:vAlign w:val="center"/>
          </w:tcPr>
          <w:p>
            <w:pPr>
              <w:spacing w:after="20" w:before="20"/>
            </w:pPr>
            <w:r/>
            <w:r>
              <w:rPr>
                <w:rFonts w:ascii="Aptos" w:hAnsi="Aptos"/>
                <w:b w:val="0"/>
                <w:sz w:val="16"/>
              </w:rPr>
              <w:t>Correlates ingestion, processing, alert, API logs.</w:t>
            </w:r>
          </w:p>
        </w:tc>
      </w:tr>
    </w:tbl>
    <w:p>
      <w:pPr>
        <w:spacing w:after="20"/>
      </w:pPr>
    </w:p>
    <w:p>
      <w:pPr>
        <w:pStyle w:val="Heading2"/>
      </w:pPr>
      <w:r>
        <w:t>Starter API surface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Route</w:t>
            </w:r>
          </w:p>
        </w:tc>
        <w:tc>
          <w:tcPr>
            <w:tcW w:type="dxa" w:w="3331"/>
            <w:vAlign w:val="center"/>
            <w:shd w:fill="17365D"/>
          </w:tcPr>
          <w:p>
            <w:pPr>
              <w:spacing w:after="20" w:before="20"/>
            </w:pPr>
            <w:r/>
            <w:r>
              <w:rPr>
                <w:rFonts w:ascii="Aptos" w:hAnsi="Aptos"/>
                <w:b/>
                <w:color w:val="FFFFFF"/>
                <w:sz w:val="16"/>
              </w:rPr>
              <w:t>Use</w:t>
            </w:r>
          </w:p>
        </w:tc>
        <w:tc>
          <w:tcPr>
            <w:tcW w:type="dxa" w:w="3331"/>
            <w:vAlign w:val="center"/>
            <w:shd w:fill="17365D"/>
          </w:tcPr>
          <w:p>
            <w:pPr>
              <w:spacing w:after="20" w:before="20"/>
            </w:pPr>
            <w:r/>
            <w:r>
              <w:rPr>
                <w:rFonts w:ascii="Aptos" w:hAnsi="Aptos"/>
                <w:b/>
                <w:color w:val="FFFFFF"/>
                <w:sz w:val="16"/>
              </w:rPr>
              <w:t>Behavior</w:t>
            </w:r>
          </w:p>
        </w:tc>
      </w:tr>
      <w:tr>
        <w:tc>
          <w:tcPr>
            <w:tcW w:type="dxa" w:w="3331"/>
            <w:vAlign w:val="center"/>
          </w:tcPr>
          <w:p>
            <w:pPr>
              <w:spacing w:after="20" w:before="20"/>
            </w:pPr>
            <w:r/>
            <w:r>
              <w:rPr>
                <w:rFonts w:ascii="Aptos" w:hAnsi="Aptos"/>
                <w:b w:val="0"/>
                <w:sz w:val="16"/>
              </w:rPr>
              <w:t>POST /api/v1/telemetry</w:t>
            </w:r>
          </w:p>
        </w:tc>
        <w:tc>
          <w:tcPr>
            <w:tcW w:type="dxa" w:w="3331"/>
            <w:vAlign w:val="center"/>
          </w:tcPr>
          <w:p>
            <w:pPr>
              <w:spacing w:after="20" w:before="20"/>
            </w:pPr>
            <w:r/>
            <w:r>
              <w:rPr>
                <w:rFonts w:ascii="Aptos" w:hAnsi="Aptos"/>
                <w:b w:val="0"/>
                <w:sz w:val="16"/>
              </w:rPr>
              <w:t>Submit event or bounded batch</w:t>
            </w:r>
          </w:p>
        </w:tc>
        <w:tc>
          <w:tcPr>
            <w:tcW w:type="dxa" w:w="3331"/>
            <w:vAlign w:val="center"/>
          </w:tcPr>
          <w:p>
            <w:pPr>
              <w:spacing w:after="20" w:before="20"/>
            </w:pPr>
            <w:r/>
            <w:r>
              <w:rPr>
                <w:rFonts w:ascii="Aptos" w:hAnsi="Aptos"/>
                <w:b w:val="0"/>
                <w:sz w:val="16"/>
              </w:rPr>
              <w:t>202 after broker ack; 400/422 invalid; 401/403 identity; 429 rate limited.</w:t>
            </w:r>
          </w:p>
        </w:tc>
      </w:tr>
      <w:tr>
        <w:tc>
          <w:tcPr>
            <w:tcW w:type="dxa" w:w="3331"/>
            <w:vAlign w:val="center"/>
          </w:tcPr>
          <w:p>
            <w:pPr>
              <w:spacing w:after="20" w:before="20"/>
            </w:pPr>
            <w:r/>
            <w:r>
              <w:rPr>
                <w:rFonts w:ascii="Aptos" w:hAnsi="Aptos"/>
                <w:b w:val="0"/>
                <w:sz w:val="16"/>
              </w:rPr>
              <w:t>GET /api/v1/fleets</w:t>
            </w:r>
          </w:p>
        </w:tc>
        <w:tc>
          <w:tcPr>
            <w:tcW w:type="dxa" w:w="3331"/>
            <w:vAlign w:val="center"/>
          </w:tcPr>
          <w:p>
            <w:pPr>
              <w:spacing w:after="20" w:before="20"/>
            </w:pPr>
            <w:r/>
            <w:r>
              <w:rPr>
                <w:rFonts w:ascii="Aptos" w:hAnsi="Aptos"/>
                <w:b w:val="0"/>
                <w:sz w:val="16"/>
              </w:rPr>
              <w:t>List authorized fleets</w:t>
            </w:r>
          </w:p>
        </w:tc>
        <w:tc>
          <w:tcPr>
            <w:tcW w:type="dxa" w:w="3331"/>
            <w:vAlign w:val="center"/>
          </w:tcPr>
          <w:p>
            <w:pPr>
              <w:spacing w:after="20" w:before="20"/>
            </w:pPr>
            <w:r/>
            <w:r>
              <w:rPr>
                <w:rFonts w:ascii="Aptos" w:hAnsi="Aptos"/>
                <w:b w:val="0"/>
                <w:sz w:val="16"/>
              </w:rPr>
              <w:t>Tenant-scoped, cursor pagination.</w:t>
            </w:r>
          </w:p>
        </w:tc>
      </w:tr>
      <w:tr>
        <w:tc>
          <w:tcPr>
            <w:tcW w:type="dxa" w:w="3331"/>
            <w:vAlign w:val="center"/>
          </w:tcPr>
          <w:p>
            <w:pPr>
              <w:spacing w:after="20" w:before="20"/>
            </w:pPr>
            <w:r/>
            <w:r>
              <w:rPr>
                <w:rFonts w:ascii="Aptos" w:hAnsi="Aptos"/>
                <w:b w:val="0"/>
                <w:sz w:val="16"/>
              </w:rPr>
              <w:t>GET /api/v1/vehicles</w:t>
            </w:r>
          </w:p>
        </w:tc>
        <w:tc>
          <w:tcPr>
            <w:tcW w:type="dxa" w:w="3331"/>
            <w:vAlign w:val="center"/>
          </w:tcPr>
          <w:p>
            <w:pPr>
              <w:spacing w:after="20" w:before="20"/>
            </w:pPr>
            <w:r/>
            <w:r>
              <w:rPr>
                <w:rFonts w:ascii="Aptos" w:hAnsi="Aptos"/>
                <w:b w:val="0"/>
                <w:sz w:val="16"/>
              </w:rPr>
              <w:t>List/filter vehicles</w:t>
            </w:r>
          </w:p>
        </w:tc>
        <w:tc>
          <w:tcPr>
            <w:tcW w:type="dxa" w:w="3331"/>
            <w:vAlign w:val="center"/>
          </w:tcPr>
          <w:p>
            <w:pPr>
              <w:spacing w:after="20" w:before="20"/>
            </w:pPr>
            <w:r/>
            <w:r>
              <w:rPr>
                <w:rFonts w:ascii="Aptos" w:hAnsi="Aptos"/>
                <w:b w:val="0"/>
                <w:sz w:val="16"/>
              </w:rPr>
              <w:t>Allowlisted sort fields, cursor pagination.</w:t>
            </w:r>
          </w:p>
        </w:tc>
      </w:tr>
      <w:tr>
        <w:tc>
          <w:tcPr>
            <w:tcW w:type="dxa" w:w="3331"/>
            <w:vAlign w:val="center"/>
          </w:tcPr>
          <w:p>
            <w:pPr>
              <w:spacing w:after="20" w:before="20"/>
            </w:pPr>
            <w:r/>
            <w:r>
              <w:rPr>
                <w:rFonts w:ascii="Aptos" w:hAnsi="Aptos"/>
                <w:b w:val="0"/>
                <w:sz w:val="16"/>
              </w:rPr>
              <w:t>GET /api/v1/vehicles/{id}/telemetry</w:t>
            </w:r>
          </w:p>
        </w:tc>
        <w:tc>
          <w:tcPr>
            <w:tcW w:type="dxa" w:w="3331"/>
            <w:vAlign w:val="center"/>
          </w:tcPr>
          <w:p>
            <w:pPr>
              <w:spacing w:after="20" w:before="20"/>
            </w:pPr>
            <w:r/>
            <w:r>
              <w:rPr>
                <w:rFonts w:ascii="Aptos" w:hAnsi="Aptos"/>
                <w:b w:val="0"/>
                <w:sz w:val="16"/>
              </w:rPr>
              <w:t>Read time range</w:t>
            </w:r>
          </w:p>
        </w:tc>
        <w:tc>
          <w:tcPr>
            <w:tcW w:type="dxa" w:w="3331"/>
            <w:vAlign w:val="center"/>
          </w:tcPr>
          <w:p>
            <w:pPr>
              <w:spacing w:after="20" w:before="20"/>
            </w:pPr>
            <w:r/>
            <w:r>
              <w:rPr>
                <w:rFonts w:ascii="Aptos" w:hAnsi="Aptos"/>
                <w:b w:val="0"/>
                <w:sz w:val="16"/>
              </w:rPr>
              <w:t>Require from/to; cap range and page size.</w:t>
            </w:r>
          </w:p>
        </w:tc>
      </w:tr>
      <w:tr>
        <w:tc>
          <w:tcPr>
            <w:tcW w:type="dxa" w:w="3331"/>
            <w:vAlign w:val="center"/>
          </w:tcPr>
          <w:p>
            <w:pPr>
              <w:spacing w:after="20" w:before="20"/>
            </w:pPr>
            <w:r/>
            <w:r>
              <w:rPr>
                <w:rFonts w:ascii="Aptos" w:hAnsi="Aptos"/>
                <w:b w:val="0"/>
                <w:sz w:val="16"/>
              </w:rPr>
              <w:t>GET /api/v1/alerts</w:t>
            </w:r>
          </w:p>
        </w:tc>
        <w:tc>
          <w:tcPr>
            <w:tcW w:type="dxa" w:w="3331"/>
            <w:vAlign w:val="center"/>
          </w:tcPr>
          <w:p>
            <w:pPr>
              <w:spacing w:after="20" w:before="20"/>
            </w:pPr>
            <w:r/>
            <w:r>
              <w:rPr>
                <w:rFonts w:ascii="Aptos" w:hAnsi="Aptos"/>
                <w:b w:val="0"/>
                <w:sz w:val="16"/>
              </w:rPr>
              <w:t>Search alert queue</w:t>
            </w:r>
          </w:p>
        </w:tc>
        <w:tc>
          <w:tcPr>
            <w:tcW w:type="dxa" w:w="3331"/>
            <w:vAlign w:val="center"/>
          </w:tcPr>
          <w:p>
            <w:pPr>
              <w:spacing w:after="20" w:before="20"/>
            </w:pPr>
            <w:r/>
            <w:r>
              <w:rPr>
                <w:rFonts w:ascii="Aptos" w:hAnsi="Aptos"/>
                <w:b w:val="0"/>
                <w:sz w:val="16"/>
              </w:rPr>
              <w:t>Filter status/severity/fleet; cursor pagination.</w:t>
            </w:r>
          </w:p>
        </w:tc>
      </w:tr>
      <w:tr>
        <w:tc>
          <w:tcPr>
            <w:tcW w:type="dxa" w:w="3331"/>
            <w:vAlign w:val="center"/>
          </w:tcPr>
          <w:p>
            <w:pPr>
              <w:spacing w:after="20" w:before="20"/>
            </w:pPr>
            <w:r/>
            <w:r>
              <w:rPr>
                <w:rFonts w:ascii="Aptos" w:hAnsi="Aptos"/>
                <w:b w:val="0"/>
                <w:sz w:val="16"/>
              </w:rPr>
              <w:t>POST /api/v1/alerts/{id}/acknowledgement</w:t>
            </w:r>
          </w:p>
        </w:tc>
        <w:tc>
          <w:tcPr>
            <w:tcW w:type="dxa" w:w="3331"/>
            <w:vAlign w:val="center"/>
          </w:tcPr>
          <w:p>
            <w:pPr>
              <w:spacing w:after="20" w:before="20"/>
            </w:pPr>
            <w:r/>
            <w:r>
              <w:rPr>
                <w:rFonts w:ascii="Aptos" w:hAnsi="Aptos"/>
                <w:b w:val="0"/>
                <w:sz w:val="16"/>
              </w:rPr>
              <w:t>Record operator action</w:t>
            </w:r>
          </w:p>
        </w:tc>
        <w:tc>
          <w:tcPr>
            <w:tcW w:type="dxa" w:w="3331"/>
            <w:vAlign w:val="center"/>
          </w:tcPr>
          <w:p>
            <w:pPr>
              <w:spacing w:after="20" w:before="20"/>
            </w:pPr>
            <w:r/>
            <w:r>
              <w:rPr>
                <w:rFonts w:ascii="Aptos" w:hAnsi="Aptos"/>
                <w:b w:val="0"/>
                <w:sz w:val="16"/>
              </w:rPr>
              <w:t>Idempotent; audit actor and timestamp.</w:t>
            </w:r>
          </w:p>
        </w:tc>
      </w:tr>
      <w:tr>
        <w:tc>
          <w:tcPr>
            <w:tcW w:type="dxa" w:w="3331"/>
            <w:vAlign w:val="center"/>
          </w:tcPr>
          <w:p>
            <w:pPr>
              <w:spacing w:after="20" w:before="20"/>
            </w:pPr>
            <w:r/>
            <w:r>
              <w:rPr>
                <w:rFonts w:ascii="Aptos" w:hAnsi="Aptos"/>
                <w:b w:val="0"/>
                <w:sz w:val="16"/>
              </w:rPr>
              <w:t>GET /actuator/health</w:t>
            </w:r>
          </w:p>
        </w:tc>
        <w:tc>
          <w:tcPr>
            <w:tcW w:type="dxa" w:w="3331"/>
            <w:vAlign w:val="center"/>
          </w:tcPr>
          <w:p>
            <w:pPr>
              <w:spacing w:after="20" w:before="20"/>
            </w:pPr>
            <w:r/>
            <w:r>
              <w:rPr>
                <w:rFonts w:ascii="Aptos" w:hAnsi="Aptos"/>
                <w:b w:val="0"/>
                <w:sz w:val="16"/>
              </w:rPr>
              <w:t>Container health</w:t>
            </w:r>
          </w:p>
        </w:tc>
        <w:tc>
          <w:tcPr>
            <w:tcW w:type="dxa" w:w="3331"/>
            <w:vAlign w:val="center"/>
          </w:tcPr>
          <w:p>
            <w:pPr>
              <w:spacing w:after="20" w:before="20"/>
            </w:pPr>
            <w:r/>
            <w:r>
              <w:rPr>
                <w:rFonts w:ascii="Aptos" w:hAnsi="Aptos"/>
                <w:b w:val="0"/>
                <w:sz w:val="16"/>
              </w:rPr>
              <w:t>Separate liveness and readiness.</w:t>
            </w:r>
          </w:p>
        </w:tc>
      </w:tr>
    </w:tbl>
    <w:p>
      <w:pPr>
        <w:spacing w:after="20"/>
      </w:pPr>
    </w:p>
    <w:p>
      <w:r>
        <w:t>Publish OpenAPI from the backend and generate/check frontend types against it. Errors use `code`, `message`, `traceId`, and field errors. Never expose stack traces or raw database errors.</w:t>
      </w:r>
    </w:p>
    <w:p>
      <w:pPr>
        <w:pStyle w:val="Heading2"/>
      </w:pPr>
      <w:r>
        <w:t>Algorithms and data structures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Problem</w:t>
            </w:r>
          </w:p>
        </w:tc>
        <w:tc>
          <w:tcPr>
            <w:tcW w:type="dxa" w:w="3331"/>
            <w:vAlign w:val="center"/>
            <w:shd w:fill="17365D"/>
          </w:tcPr>
          <w:p>
            <w:pPr>
              <w:spacing w:after="20" w:before="20"/>
            </w:pPr>
            <w:r/>
            <w:r>
              <w:rPr>
                <w:rFonts w:ascii="Aptos" w:hAnsi="Aptos"/>
                <w:b/>
                <w:color w:val="FFFFFF"/>
                <w:sz w:val="16"/>
              </w:rPr>
              <w:t>Method</w:t>
            </w:r>
          </w:p>
        </w:tc>
        <w:tc>
          <w:tcPr>
            <w:tcW w:type="dxa" w:w="3331"/>
            <w:vAlign w:val="center"/>
            <w:shd w:fill="17365D"/>
          </w:tcPr>
          <w:p>
            <w:pPr>
              <w:spacing w:after="20" w:before="20"/>
            </w:pPr>
            <w:r/>
            <w:r>
              <w:rPr>
                <w:rFonts w:ascii="Aptos" w:hAnsi="Aptos"/>
                <w:b/>
                <w:color w:val="FFFFFF"/>
                <w:sz w:val="16"/>
              </w:rPr>
              <w:t>Cost and reason</w:t>
            </w:r>
          </w:p>
        </w:tc>
      </w:tr>
      <w:tr>
        <w:tc>
          <w:tcPr>
            <w:tcW w:type="dxa" w:w="3331"/>
            <w:vAlign w:val="center"/>
          </w:tcPr>
          <w:p>
            <w:pPr>
              <w:spacing w:after="20" w:before="20"/>
            </w:pPr>
            <w:r/>
            <w:r>
              <w:rPr>
                <w:rFonts w:ascii="Aptos" w:hAnsi="Aptos"/>
                <w:b w:val="0"/>
                <w:sz w:val="16"/>
              </w:rPr>
              <w:t>Reject duplicate delivery</w:t>
            </w:r>
          </w:p>
        </w:tc>
        <w:tc>
          <w:tcPr>
            <w:tcW w:type="dxa" w:w="3331"/>
            <w:vAlign w:val="center"/>
          </w:tcPr>
          <w:p>
            <w:pPr>
              <w:spacing w:after="20" w:before="20"/>
            </w:pPr>
            <w:r/>
            <w:r>
              <w:rPr>
                <w:rFonts w:ascii="Aptos" w:hAnsi="Aptos"/>
                <w:b w:val="0"/>
                <w:sz w:val="16"/>
              </w:rPr>
              <w:t>Unique `(tenant_id, event_id)` constraint plus an idempotency result</w:t>
            </w:r>
          </w:p>
        </w:tc>
        <w:tc>
          <w:tcPr>
            <w:tcW w:type="dxa" w:w="3331"/>
            <w:vAlign w:val="center"/>
          </w:tcPr>
          <w:p>
            <w:pPr>
              <w:spacing w:after="20" w:before="20"/>
            </w:pPr>
            <w:r/>
            <w:r>
              <w:rPr>
                <w:rFonts w:ascii="Aptos" w:hAnsi="Aptos"/>
                <w:b w:val="0"/>
                <w:sz w:val="16"/>
              </w:rPr>
              <w:t>Expected O(1) lookup with an indexed key; the database constraint is authoritative across retries and service replicas.</w:t>
            </w:r>
          </w:p>
        </w:tc>
      </w:tr>
      <w:tr>
        <w:tc>
          <w:tcPr>
            <w:tcW w:type="dxa" w:w="3331"/>
            <w:vAlign w:val="center"/>
          </w:tcPr>
          <w:p>
            <w:pPr>
              <w:spacing w:after="20" w:before="20"/>
            </w:pPr>
            <w:r/>
            <w:r>
              <w:rPr>
                <w:rFonts w:ascii="Aptos" w:hAnsi="Aptos"/>
                <w:b w:val="0"/>
                <w:sz w:val="16"/>
              </w:rPr>
              <w:t>Validate / normalize event</w:t>
            </w:r>
          </w:p>
        </w:tc>
        <w:tc>
          <w:tcPr>
            <w:tcW w:type="dxa" w:w="3331"/>
            <w:vAlign w:val="center"/>
          </w:tcPr>
          <w:p>
            <w:pPr>
              <w:spacing w:after="20" w:before="20"/>
            </w:pPr>
            <w:r/>
            <w:r>
              <w:rPr>
                <w:rFonts w:ascii="Aptos" w:hAnsi="Aptos"/>
                <w:b w:val="0"/>
                <w:sz w:val="16"/>
              </w:rPr>
              <w:t>Schema validation and adapter per OEM source</w:t>
            </w:r>
          </w:p>
        </w:tc>
        <w:tc>
          <w:tcPr>
            <w:tcW w:type="dxa" w:w="3331"/>
            <w:vAlign w:val="center"/>
          </w:tcPr>
          <w:p>
            <w:pPr>
              <w:spacing w:after="20" w:before="20"/>
            </w:pPr>
            <w:r/>
            <w:r>
              <w:rPr>
                <w:rFonts w:ascii="Aptos" w:hAnsi="Aptos"/>
                <w:b w:val="0"/>
                <w:sz w:val="16"/>
              </w:rPr>
              <w:t>O(b) time in payload bytes b; keeps one canonical internal event without coupling downstream rules to OEM formats.</w:t>
            </w:r>
          </w:p>
        </w:tc>
      </w:tr>
      <w:tr>
        <w:tc>
          <w:tcPr>
            <w:tcW w:type="dxa" w:w="3331"/>
            <w:vAlign w:val="center"/>
          </w:tcPr>
          <w:p>
            <w:pPr>
              <w:spacing w:after="20" w:before="20"/>
            </w:pPr>
            <w:r/>
            <w:r>
              <w:rPr>
                <w:rFonts w:ascii="Aptos" w:hAnsi="Aptos"/>
                <w:b w:val="0"/>
                <w:sz w:val="16"/>
              </w:rPr>
              <w:t>Detect stale or missing signals</w:t>
            </w:r>
          </w:p>
        </w:tc>
        <w:tc>
          <w:tcPr>
            <w:tcW w:type="dxa" w:w="3331"/>
            <w:vAlign w:val="center"/>
          </w:tcPr>
          <w:p>
            <w:pPr>
              <w:spacing w:after="20" w:before="20"/>
            </w:pPr>
            <w:r/>
            <w:r>
              <w:rPr>
                <w:rFonts w:ascii="Aptos" w:hAnsi="Aptos"/>
                <w:b w:val="0"/>
                <w:sz w:val="16"/>
              </w:rPr>
              <w:t>Per-vehicle event-time window with bounded lateness and last-seen state</w:t>
            </w:r>
          </w:p>
        </w:tc>
        <w:tc>
          <w:tcPr>
            <w:tcW w:type="dxa" w:w="3331"/>
            <w:vAlign w:val="center"/>
          </w:tcPr>
          <w:p>
            <w:pPr>
              <w:spacing w:after="20" w:before="20"/>
            </w:pPr>
            <w:r/>
            <w:r>
              <w:rPr>
                <w:rFonts w:ascii="Aptos" w:hAnsi="Aptos"/>
                <w:b w:val="0"/>
                <w:sz w:val="16"/>
              </w:rPr>
              <w:t>O(1) amortized update per event; memory bounded by active vehicles × configured window state. Late events outside the window are flagged, not silently reordered.</w:t>
            </w:r>
          </w:p>
        </w:tc>
      </w:tr>
      <w:tr>
        <w:tc>
          <w:tcPr>
            <w:tcW w:type="dxa" w:w="3331"/>
            <w:vAlign w:val="center"/>
          </w:tcPr>
          <w:p>
            <w:pPr>
              <w:spacing w:after="20" w:before="20"/>
            </w:pPr>
            <w:r/>
            <w:r>
              <w:rPr>
                <w:rFonts w:ascii="Aptos" w:hAnsi="Aptos"/>
                <w:b w:val="0"/>
                <w:sz w:val="16"/>
              </w:rPr>
              <w:t>Segment trips (later)</w:t>
            </w:r>
          </w:p>
        </w:tc>
        <w:tc>
          <w:tcPr>
            <w:tcW w:type="dxa" w:w="3331"/>
            <w:vAlign w:val="center"/>
          </w:tcPr>
          <w:p>
            <w:pPr>
              <w:spacing w:after="20" w:before="20"/>
            </w:pPr>
            <w:r/>
            <w:r>
              <w:rPr>
                <w:rFonts w:ascii="Aptos" w:hAnsi="Aptos"/>
                <w:b w:val="0"/>
                <w:sz w:val="16"/>
              </w:rPr>
              <w:t>State machine over ignition, speed, and time-gap signals</w:t>
            </w:r>
          </w:p>
        </w:tc>
        <w:tc>
          <w:tcPr>
            <w:tcW w:type="dxa" w:w="3331"/>
            <w:vAlign w:val="center"/>
          </w:tcPr>
          <w:p>
            <w:pPr>
              <w:spacing w:after="20" w:before="20"/>
            </w:pPr>
            <w:r/>
            <w:r>
              <w:rPr>
                <w:rFonts w:ascii="Aptos" w:hAnsi="Aptos"/>
                <w:b w:val="0"/>
                <w:sz w:val="16"/>
              </w:rPr>
              <w:t>O(n) for n events, O(1) active state per vehicle plus bounded late-event buffer; rules remain explainable.</w:t>
            </w:r>
          </w:p>
        </w:tc>
      </w:tr>
      <w:tr>
        <w:tc>
          <w:tcPr>
            <w:tcW w:type="dxa" w:w="3331"/>
            <w:vAlign w:val="center"/>
          </w:tcPr>
          <w:p>
            <w:pPr>
              <w:spacing w:after="20" w:before="20"/>
            </w:pPr>
            <w:r/>
            <w:r>
              <w:rPr>
                <w:rFonts w:ascii="Aptos" w:hAnsi="Aptos"/>
                <w:b w:val="0"/>
                <w:sz w:val="16"/>
              </w:rPr>
              <w:t>Find a continuity route (later)</w:t>
            </w:r>
          </w:p>
        </w:tc>
        <w:tc>
          <w:tcPr>
            <w:tcW w:type="dxa" w:w="3331"/>
            <w:vAlign w:val="center"/>
          </w:tcPr>
          <w:p>
            <w:pPr>
              <w:spacing w:after="20" w:before="20"/>
            </w:pPr>
            <w:r/>
            <w:r>
              <w:rPr>
                <w:rFonts w:ascii="Aptos" w:hAnsi="Aptos"/>
                <w:b w:val="0"/>
                <w:sz w:val="16"/>
              </w:rPr>
              <w:t>A* over a road graph with distance/time/capacity costs</w:t>
            </w:r>
          </w:p>
        </w:tc>
        <w:tc>
          <w:tcPr>
            <w:tcW w:type="dxa" w:w="3331"/>
            <w:vAlign w:val="center"/>
          </w:tcPr>
          <w:p>
            <w:pPr>
              <w:spacing w:after="20" w:before="20"/>
            </w:pPr>
            <w:r/>
            <w:r>
              <w:rPr>
                <w:rFonts w:ascii="Aptos" w:hAnsi="Aptos"/>
                <w:b w:val="0"/>
                <w:sz w:val="16"/>
              </w:rPr>
              <w:t>O((V+E) log V) with a priority queue in the usual sparse-graph implementation; run only when disruption planning enters scope.</w:t>
            </w:r>
          </w:p>
        </w:tc>
      </w:tr>
    </w:tbl>
    <w:p>
      <w:pPr>
        <w:spacing w:after="20"/>
      </w:pPr>
    </w:p>
    <w:p>
      <w:pPr>
        <w:pStyle w:val="Heading2"/>
      </w:pPr>
      <w:r>
        <w:t>SQL optimization evidence</w:t>
      </w:r>
    </w:p>
    <w:p>
      <w:pPr>
        <w:pStyle w:val="ListBullet"/>
      </w:pPr>
      <w:r>
        <w:t>Capture `EXPLAIN (ANALYZE, BUFFERS)` for the slowest alert and vehicle-history queries on a fixed synthetic dataset.</w:t>
      </w:r>
    </w:p>
    <w:p>
      <w:pPr>
        <w:pStyle w:val="ListBullet"/>
      </w:pPr>
      <w:r>
        <w:t>Compare offset pagination with keyset pagination ordered by `(observed_at, event_id)`; cap time ranges and page sizes.</w:t>
      </w:r>
    </w:p>
    <w:p>
      <w:pPr>
        <w:pStyle w:val="ListBullet"/>
      </w:pPr>
      <w:r>
        <w:t>Test composite indexes such as `(tenant_id, status, last_seen DESC, alert_id)` and a partial index for open alerts. Keep indexes only when plans and write cost justify them.</w:t>
      </w:r>
    </w:p>
    <w:p>
      <w:pPr>
        <w:pStyle w:val="ListBullet"/>
      </w:pPr>
      <w:r>
        <w:t>Record before/after latency, row counts, buffers, dataset size, database version, and query. Never enter estimated gains as measured results.</w:t>
      </w:r>
    </w:p>
    <w:p>
      <w:pPr>
        <w:pStyle w:val="Heading2"/>
      </w:pPr>
      <w:r>
        <w:t>Architecture decisions to record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65D"/>
          </w:tcPr>
          <w:p>
            <w:pPr>
              <w:spacing w:after="20" w:before="20"/>
            </w:pPr>
            <w:r/>
            <w:r>
              <w:rPr>
                <w:rFonts w:ascii="Aptos" w:hAnsi="Aptos"/>
                <w:b/>
                <w:color w:val="FFFFFF"/>
                <w:sz w:val="16"/>
              </w:rPr>
              <w:t>ADR</w:t>
            </w:r>
          </w:p>
        </w:tc>
        <w:tc>
          <w:tcPr>
            <w:tcW w:type="dxa" w:w="4997"/>
            <w:vAlign w:val="center"/>
            <w:shd w:fill="17365D"/>
          </w:tcPr>
          <w:p>
            <w:pPr>
              <w:spacing w:after="20" w:before="20"/>
            </w:pPr>
            <w:r/>
            <w:r>
              <w:rPr>
                <w:rFonts w:ascii="Aptos" w:hAnsi="Aptos"/>
                <w:b/>
                <w:color w:val="FFFFFF"/>
                <w:sz w:val="16"/>
              </w:rPr>
              <w:t>Decision to document</w:t>
            </w:r>
          </w:p>
        </w:tc>
      </w:tr>
      <w:tr>
        <w:tc>
          <w:tcPr>
            <w:tcW w:type="dxa" w:w="4997"/>
            <w:vAlign w:val="center"/>
          </w:tcPr>
          <w:p>
            <w:pPr>
              <w:spacing w:after="20" w:before="20"/>
            </w:pPr>
            <w:r/>
            <w:r>
              <w:rPr>
                <w:rFonts w:ascii="Aptos" w:hAnsi="Aptos"/>
                <w:b w:val="0"/>
                <w:sz w:val="16"/>
              </w:rPr>
              <w:t>ADR 001</w:t>
            </w:r>
          </w:p>
        </w:tc>
        <w:tc>
          <w:tcPr>
            <w:tcW w:type="dxa" w:w="4997"/>
            <w:vAlign w:val="center"/>
          </w:tcPr>
          <w:p>
            <w:pPr>
              <w:spacing w:after="20" w:before="20"/>
            </w:pPr>
            <w:r/>
            <w:r>
              <w:rPr>
                <w:rFonts w:ascii="Aptos" w:hAnsi="Aptos"/>
                <w:b w:val="0"/>
                <w:sz w:val="16"/>
              </w:rPr>
              <w:t>Kafka over a queue-only broker because replay and partitioned per-vehicle ordering support telemetry recovery.</w:t>
            </w:r>
          </w:p>
        </w:tc>
      </w:tr>
      <w:tr>
        <w:tc>
          <w:tcPr>
            <w:tcW w:type="dxa" w:w="4997"/>
            <w:vAlign w:val="center"/>
          </w:tcPr>
          <w:p>
            <w:pPr>
              <w:spacing w:after="20" w:before="20"/>
            </w:pPr>
            <w:r/>
            <w:r>
              <w:rPr>
                <w:rFonts w:ascii="Aptos" w:hAnsi="Aptos"/>
                <w:b w:val="0"/>
                <w:sz w:val="16"/>
              </w:rPr>
              <w:t>ADR 002</w:t>
            </w:r>
          </w:p>
        </w:tc>
        <w:tc>
          <w:tcPr>
            <w:tcW w:type="dxa" w:w="4997"/>
            <w:vAlign w:val="center"/>
          </w:tcPr>
          <w:p>
            <w:pPr>
              <w:spacing w:after="20" w:before="20"/>
            </w:pPr>
            <w:r/>
            <w:r>
              <w:rPr>
                <w:rFonts w:ascii="Aptos" w:hAnsi="Aptos"/>
                <w:b w:val="0"/>
                <w:sz w:val="16"/>
              </w:rPr>
              <w:t>PostgreSQL for transactional fleet/alert data and Cassandra for high-volume time-series reads; define ownership and avoid cross-store transactions.</w:t>
            </w:r>
          </w:p>
        </w:tc>
      </w:tr>
      <w:tr>
        <w:tc>
          <w:tcPr>
            <w:tcW w:type="dxa" w:w="4997"/>
            <w:vAlign w:val="center"/>
          </w:tcPr>
          <w:p>
            <w:pPr>
              <w:spacing w:after="20" w:before="20"/>
            </w:pPr>
            <w:r/>
            <w:r>
              <w:rPr>
                <w:rFonts w:ascii="Aptos" w:hAnsi="Aptos"/>
                <w:b w:val="0"/>
                <w:sz w:val="16"/>
              </w:rPr>
              <w:t>ADR 003</w:t>
            </w:r>
          </w:p>
        </w:tc>
        <w:tc>
          <w:tcPr>
            <w:tcW w:type="dxa" w:w="4997"/>
            <w:vAlign w:val="center"/>
          </w:tcPr>
          <w:p>
            <w:pPr>
              <w:spacing w:after="20" w:before="20"/>
            </w:pPr>
            <w:r/>
            <w:r>
              <w:rPr>
                <w:rFonts w:ascii="Aptos" w:hAnsi="Aptos"/>
                <w:b w:val="0"/>
                <w:sz w:val="16"/>
              </w:rPr>
              <w:t>Strong consistency for tenant/vehicle ownership and alert acknowledgements; eventual visibility for raw telemetry and batch aggregates.</w:t>
            </w:r>
          </w:p>
        </w:tc>
      </w:tr>
    </w:tbl>
    <w:p>
      <w:pPr>
        <w:spacing w:after="20"/>
      </w:pPr>
    </w:p>
    <w:p>
      <w:pPr>
        <w:pStyle w:val="Heading1"/>
      </w:pPr>
      <w:r>
        <w:t>9. Product intelligence after core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Feature</w:t>
            </w:r>
          </w:p>
        </w:tc>
        <w:tc>
          <w:tcPr>
            <w:tcW w:type="dxa" w:w="3331"/>
            <w:vAlign w:val="center"/>
            <w:shd w:fill="17365D"/>
          </w:tcPr>
          <w:p>
            <w:pPr>
              <w:spacing w:after="20" w:before="20"/>
            </w:pPr>
            <w:r/>
            <w:r>
              <w:rPr>
                <w:rFonts w:ascii="Aptos" w:hAnsi="Aptos"/>
                <w:b/>
                <w:color w:val="FFFFFF"/>
                <w:sz w:val="16"/>
              </w:rPr>
              <w:t>Purpose and first rule</w:t>
            </w:r>
          </w:p>
        </w:tc>
        <w:tc>
          <w:tcPr>
            <w:tcW w:type="dxa" w:w="3331"/>
            <w:vAlign w:val="center"/>
            <w:shd w:fill="17365D"/>
          </w:tcPr>
          <w:p>
            <w:pPr>
              <w:spacing w:after="20" w:before="20"/>
            </w:pPr>
            <w:r/>
            <w:r>
              <w:rPr>
                <w:rFonts w:ascii="Aptos" w:hAnsi="Aptos"/>
                <w:b/>
                <w:color w:val="FFFFFF"/>
                <w:sz w:val="16"/>
              </w:rPr>
              <w:t>Evidence required</w:t>
            </w:r>
          </w:p>
        </w:tc>
      </w:tr>
      <w:tr>
        <w:tc>
          <w:tcPr>
            <w:tcW w:type="dxa" w:w="3331"/>
            <w:vAlign w:val="center"/>
          </w:tcPr>
          <w:p>
            <w:pPr>
              <w:spacing w:after="20" w:before="20"/>
            </w:pPr>
            <w:r/>
            <w:r>
              <w:rPr>
                <w:rFonts w:ascii="Aptos" w:hAnsi="Aptos"/>
                <w:b w:val="0"/>
                <w:sz w:val="16"/>
              </w:rPr>
              <w:t>SignalSentry</w:t>
            </w:r>
          </w:p>
        </w:tc>
        <w:tc>
          <w:tcPr>
            <w:tcW w:type="dxa" w:w="3331"/>
            <w:vAlign w:val="center"/>
          </w:tcPr>
          <w:p>
            <w:pPr>
              <w:spacing w:after="20" w:before="20"/>
            </w:pPr>
            <w:r/>
            <w:r>
              <w:rPr>
                <w:rFonts w:ascii="Aptos" w:hAnsi="Aptos"/>
                <w:b w:val="0"/>
                <w:sz w:val="16"/>
              </w:rPr>
              <w:t>Detect stale timestamps, impossible coordinates/speeds, duplicate IDs, sequence gaps, and schema drift. Add quality flags; retain raw event.</w:t>
            </w:r>
          </w:p>
        </w:tc>
        <w:tc>
          <w:tcPr>
            <w:tcW w:type="dxa" w:w="3331"/>
            <w:vAlign w:val="center"/>
          </w:tcPr>
          <w:p>
            <w:pPr>
              <w:spacing w:after="20" w:before="20"/>
            </w:pPr>
            <w:r/>
            <w:r>
              <w:rPr>
                <w:rFonts w:ascii="Aptos" w:hAnsi="Aptos"/>
                <w:b w:val="0"/>
                <w:sz w:val="16"/>
              </w:rPr>
              <w:t>Synthetic fault suite, detection results, quarantine count, recovery.</w:t>
            </w:r>
          </w:p>
        </w:tc>
      </w:tr>
      <w:tr>
        <w:tc>
          <w:tcPr>
            <w:tcW w:type="dxa" w:w="3331"/>
            <w:vAlign w:val="center"/>
          </w:tcPr>
          <w:p>
            <w:pPr>
              <w:spacing w:after="20" w:before="20"/>
            </w:pPr>
            <w:r/>
            <w:r>
              <w:rPr>
                <w:rFonts w:ascii="Aptos" w:hAnsi="Aptos"/>
                <w:b w:val="0"/>
                <w:sz w:val="16"/>
              </w:rPr>
              <w:t>Decision Engine</w:t>
            </w:r>
          </w:p>
        </w:tc>
        <w:tc>
          <w:tcPr>
            <w:tcW w:type="dxa" w:w="3331"/>
            <w:vAlign w:val="center"/>
          </w:tcPr>
          <w:p>
            <w:pPr>
              <w:spacing w:after="20" w:before="20"/>
            </w:pPr>
            <w:r/>
            <w:r>
              <w:rPr>
                <w:rFonts w:ascii="Aptos" w:hAnsi="Aptos"/>
                <w:b w:val="0"/>
                <w:sz w:val="16"/>
              </w:rPr>
              <w:t>Rank explainable actions with deterministic rules; cite inputs, rule version, confidence, expected impact.</w:t>
            </w:r>
          </w:p>
        </w:tc>
        <w:tc>
          <w:tcPr>
            <w:tcW w:type="dxa" w:w="3331"/>
            <w:vAlign w:val="center"/>
          </w:tcPr>
          <w:p>
            <w:pPr>
              <w:spacing w:after="20" w:before="20"/>
            </w:pPr>
            <w:r/>
            <w:r>
              <w:rPr>
                <w:rFonts w:ascii="Aptos" w:hAnsi="Aptos"/>
                <w:b w:val="0"/>
                <w:sz w:val="16"/>
              </w:rPr>
              <w:t>Baseline comparison and correct/incorrect cases.</w:t>
            </w:r>
          </w:p>
        </w:tc>
      </w:tr>
      <w:tr>
        <w:tc>
          <w:tcPr>
            <w:tcW w:type="dxa" w:w="3331"/>
            <w:vAlign w:val="center"/>
          </w:tcPr>
          <w:p>
            <w:pPr>
              <w:spacing w:after="20" w:before="20"/>
            </w:pPr>
            <w:r/>
            <w:r>
              <w:rPr>
                <w:rFonts w:ascii="Aptos" w:hAnsi="Aptos"/>
                <w:b w:val="0"/>
                <w:sz w:val="16"/>
              </w:rPr>
              <w:t>FleetContinuity</w:t>
            </w:r>
          </w:p>
        </w:tc>
        <w:tc>
          <w:tcPr>
            <w:tcW w:type="dxa" w:w="3331"/>
            <w:vAlign w:val="center"/>
          </w:tcPr>
          <w:p>
            <w:pPr>
              <w:spacing w:after="20" w:before="20"/>
            </w:pPr>
            <w:r/>
            <w:r>
              <w:rPr>
                <w:rFonts w:ascii="Aptos" w:hAnsi="Aptos"/>
                <w:b w:val="0"/>
                <w:sz w:val="16"/>
              </w:rPr>
              <w:t>Recommend constrained alternatives during vehicle/route disruption; human approval required.</w:t>
            </w:r>
          </w:p>
        </w:tc>
        <w:tc>
          <w:tcPr>
            <w:tcW w:type="dxa" w:w="3331"/>
            <w:vAlign w:val="center"/>
          </w:tcPr>
          <w:p>
            <w:pPr>
              <w:spacing w:after="20" w:before="20"/>
            </w:pPr>
            <w:r/>
            <w:r>
              <w:rPr>
                <w:rFonts w:ascii="Aptos" w:hAnsi="Aptos"/>
                <w:b w:val="0"/>
                <w:sz w:val="16"/>
              </w:rPr>
              <w:t>Replayable scenarios, feasible alternatives, reason and cost/delay.</w:t>
            </w:r>
          </w:p>
        </w:tc>
      </w:tr>
      <w:tr>
        <w:tc>
          <w:tcPr>
            <w:tcW w:type="dxa" w:w="3331"/>
            <w:vAlign w:val="center"/>
          </w:tcPr>
          <w:p>
            <w:pPr>
              <w:spacing w:after="20" w:before="20"/>
            </w:pPr>
            <w:r/>
            <w:r>
              <w:rPr>
                <w:rFonts w:ascii="Aptos" w:hAnsi="Aptos"/>
                <w:b w:val="0"/>
                <w:sz w:val="16"/>
              </w:rPr>
              <w:t>ConsentGraph</w:t>
            </w:r>
          </w:p>
        </w:tc>
        <w:tc>
          <w:tcPr>
            <w:tcW w:type="dxa" w:w="3331"/>
            <w:vAlign w:val="center"/>
          </w:tcPr>
          <w:p>
            <w:pPr>
              <w:spacing w:after="20" w:before="20"/>
            </w:pPr>
            <w:r/>
            <w:r>
              <w:rPr>
                <w:rFonts w:ascii="Aptos" w:hAnsi="Aptos"/>
                <w:b w:val="0"/>
                <w:sz w:val="16"/>
              </w:rPr>
              <w:t>Purpose and consent metadata before data sharing.</w:t>
            </w:r>
          </w:p>
        </w:tc>
        <w:tc>
          <w:tcPr>
            <w:tcW w:type="dxa" w:w="3331"/>
            <w:vAlign w:val="center"/>
          </w:tcPr>
          <w:p>
            <w:pPr>
              <w:spacing w:after="20" w:before="20"/>
            </w:pPr>
            <w:r/>
            <w:r>
              <w:rPr>
                <w:rFonts w:ascii="Aptos" w:hAnsi="Aptos"/>
                <w:b w:val="0"/>
                <w:sz w:val="16"/>
              </w:rPr>
              <w:t>Denied-access tests, audit, deletion/retention.</w:t>
            </w:r>
          </w:p>
        </w:tc>
      </w:tr>
      <w:tr>
        <w:tc>
          <w:tcPr>
            <w:tcW w:type="dxa" w:w="3331"/>
            <w:vAlign w:val="center"/>
          </w:tcPr>
          <w:p>
            <w:pPr>
              <w:spacing w:after="20" w:before="20"/>
            </w:pPr>
            <w:r/>
            <w:r>
              <w:rPr>
                <w:rFonts w:ascii="Aptos" w:hAnsi="Aptos"/>
                <w:b w:val="0"/>
                <w:sz w:val="16"/>
              </w:rPr>
              <w:t>ImpactLedger</w:t>
            </w:r>
          </w:p>
        </w:tc>
        <w:tc>
          <w:tcPr>
            <w:tcW w:type="dxa" w:w="3331"/>
            <w:vAlign w:val="center"/>
          </w:tcPr>
          <w:p>
            <w:pPr>
              <w:spacing w:after="20" w:before="20"/>
            </w:pPr>
            <w:r/>
            <w:r>
              <w:rPr>
                <w:rFonts w:ascii="Aptos" w:hAnsi="Aptos"/>
                <w:b w:val="0"/>
                <w:sz w:val="16"/>
              </w:rPr>
              <w:t>Record recommendation, operator choice, baseline and follow-up outcome.</w:t>
            </w:r>
          </w:p>
        </w:tc>
        <w:tc>
          <w:tcPr>
            <w:tcW w:type="dxa" w:w="3331"/>
            <w:vAlign w:val="center"/>
          </w:tcPr>
          <w:p>
            <w:pPr>
              <w:spacing w:after="20" w:before="20"/>
            </w:pPr>
            <w:r/>
            <w:r>
              <w:rPr>
                <w:rFonts w:ascii="Aptos" w:hAnsi="Aptos"/>
                <w:b w:val="0"/>
                <w:sz w:val="16"/>
              </w:rPr>
              <w:t>Method and caveats; do not claim causation from correlation.</w:t>
            </w:r>
          </w:p>
        </w:tc>
      </w:tr>
      <w:tr>
        <w:tc>
          <w:tcPr>
            <w:tcW w:type="dxa" w:w="3331"/>
            <w:vAlign w:val="center"/>
          </w:tcPr>
          <w:p>
            <w:pPr>
              <w:spacing w:after="20" w:before="20"/>
            </w:pPr>
            <w:r/>
            <w:r>
              <w:rPr>
                <w:rFonts w:ascii="Aptos" w:hAnsi="Aptos"/>
                <w:b w:val="0"/>
                <w:sz w:val="16"/>
              </w:rPr>
              <w:t>AI assistant optional</w:t>
            </w:r>
          </w:p>
        </w:tc>
        <w:tc>
          <w:tcPr>
            <w:tcW w:type="dxa" w:w="3331"/>
            <w:vAlign w:val="center"/>
          </w:tcPr>
          <w:p>
            <w:pPr>
              <w:spacing w:after="20" w:before="20"/>
            </w:pPr>
            <w:r/>
            <w:r>
              <w:rPr>
                <w:rFonts w:ascii="Aptos" w:hAnsi="Aptos"/>
                <w:b w:val="0"/>
                <w:sz w:val="16"/>
              </w:rPr>
              <w:t>Read-only fleet question answering with tenant-scoped tools and citations.</w:t>
            </w:r>
          </w:p>
        </w:tc>
        <w:tc>
          <w:tcPr>
            <w:tcW w:type="dxa" w:w="3331"/>
            <w:vAlign w:val="center"/>
          </w:tcPr>
          <w:p>
            <w:pPr>
              <w:spacing w:after="20" w:before="20"/>
            </w:pPr>
            <w:r/>
            <w:r>
              <w:rPr>
                <w:rFonts w:ascii="Aptos" w:hAnsi="Aptos"/>
                <w:b w:val="0"/>
                <w:sz w:val="16"/>
              </w:rPr>
              <w:t>Evaluation set, prompt injection tests, audit, latency/cost; no autonomous high-impact action.</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Pr>
                <w:b/>
                <w:color w:val="17365D"/>
              </w:rPr>
              <w:t xml:space="preserve">AI rule  </w:t>
            </w:r>
            <w:r>
              <w:t>The model is not the source of truth. Data stores and server-side authorization control what it can read and request.</w:t>
            </w:r>
          </w:p>
        </w:tc>
      </w:tr>
    </w:tbl>
    <w:p>
      <w:pPr>
        <w:spacing w:after="20"/>
      </w:pPr>
    </w:p>
    <w:p>
      <w:r>
        <w:br w:type="page"/>
      </w:r>
    </w:p>
    <w:p>
      <w:pPr>
        <w:pStyle w:val="Heading1"/>
      </w:pPr>
      <w:r>
        <w:t>10. Milestones and completion checks</w:t>
      </w:r>
    </w:p>
    <w:p>
      <w:r>
        <w:t>The deadline and team size are unknown, so this blueprint does not invent calendar dates. Complete milestones in order, then add dates and owners once those facts are known. If time is short, cut optional features first.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Milestone</w:t>
            </w:r>
          </w:p>
        </w:tc>
        <w:tc>
          <w:tcPr>
            <w:tcW w:type="dxa" w:w="3331"/>
            <w:vAlign w:val="center"/>
            <w:shd w:fill="17365D"/>
          </w:tcPr>
          <w:p>
            <w:pPr>
              <w:spacing w:after="20" w:before="20"/>
            </w:pPr>
            <w:r/>
            <w:r>
              <w:rPr>
                <w:rFonts w:ascii="Aptos" w:hAnsi="Aptos"/>
                <w:b/>
                <w:color w:val="FFFFFF"/>
                <w:sz w:val="16"/>
              </w:rPr>
              <w:t>Build</w:t>
            </w:r>
          </w:p>
        </w:tc>
        <w:tc>
          <w:tcPr>
            <w:tcW w:type="dxa" w:w="3331"/>
            <w:vAlign w:val="center"/>
            <w:shd w:fill="17365D"/>
          </w:tcPr>
          <w:p>
            <w:pPr>
              <w:spacing w:after="20" w:before="20"/>
            </w:pPr>
            <w:r/>
            <w:r>
              <w:rPr>
                <w:rFonts w:ascii="Aptos" w:hAnsi="Aptos"/>
                <w:b/>
                <w:color w:val="FFFFFF"/>
                <w:sz w:val="16"/>
              </w:rPr>
              <w:t>Done when</w:t>
            </w:r>
          </w:p>
        </w:tc>
      </w:tr>
      <w:tr>
        <w:tc>
          <w:tcPr>
            <w:tcW w:type="dxa" w:w="3331"/>
            <w:vAlign w:val="center"/>
          </w:tcPr>
          <w:p>
            <w:pPr>
              <w:spacing w:after="20" w:before="20"/>
            </w:pPr>
            <w:r/>
            <w:r>
              <w:rPr>
                <w:rFonts w:ascii="Aptos" w:hAnsi="Aptos"/>
                <w:b w:val="0"/>
                <w:sz w:val="16"/>
              </w:rPr>
              <w:t>M0 Plan</w:t>
            </w:r>
          </w:p>
        </w:tc>
        <w:tc>
          <w:tcPr>
            <w:tcW w:type="dxa" w:w="3331"/>
            <w:vAlign w:val="center"/>
          </w:tcPr>
          <w:p>
            <w:pPr>
              <w:spacing w:after="20" w:before="20"/>
            </w:pPr>
            <w:r/>
            <w:r>
              <w:rPr>
                <w:rFonts w:ascii="Aptos" w:hAnsi="Aptos"/>
                <w:b w:val="0"/>
                <w:sz w:val="16"/>
              </w:rPr>
              <w:t>Confirm stack; reconcile temporary FastAPI starter with Java target; create project memory files and Git branch.</w:t>
            </w:r>
          </w:p>
        </w:tc>
        <w:tc>
          <w:tcPr>
            <w:tcW w:type="dxa" w:w="3331"/>
            <w:vAlign w:val="center"/>
          </w:tcPr>
          <w:p>
            <w:pPr>
              <w:spacing w:after="20" w:before="20"/>
            </w:pPr>
            <w:r/>
            <w:r>
              <w:rPr>
                <w:rFonts w:ascii="Aptos" w:hAnsi="Aptos"/>
                <w:b w:val="0"/>
                <w:sz w:val="16"/>
              </w:rPr>
              <w:t>First feature and acceptance checks agreed; backend migration recorded.</w:t>
            </w:r>
          </w:p>
        </w:tc>
      </w:tr>
      <w:tr>
        <w:tc>
          <w:tcPr>
            <w:tcW w:type="dxa" w:w="3331"/>
            <w:vAlign w:val="center"/>
          </w:tcPr>
          <w:p>
            <w:pPr>
              <w:spacing w:after="20" w:before="20"/>
            </w:pPr>
            <w:r/>
            <w:r>
              <w:rPr>
                <w:rFonts w:ascii="Aptos" w:hAnsi="Aptos"/>
                <w:b w:val="0"/>
                <w:sz w:val="16"/>
              </w:rPr>
              <w:t>M1 Vertical slice</w:t>
            </w:r>
          </w:p>
        </w:tc>
        <w:tc>
          <w:tcPr>
            <w:tcW w:type="dxa" w:w="3331"/>
            <w:vAlign w:val="center"/>
          </w:tcPr>
          <w:p>
            <w:pPr>
              <w:spacing w:after="20" w:before="20"/>
            </w:pPr>
            <w:r/>
            <w:r>
              <w:rPr>
                <w:rFonts w:ascii="Aptos" w:hAnsi="Aptos"/>
                <w:b w:val="0"/>
                <w:sz w:val="16"/>
              </w:rPr>
              <w:t>One synthetic event → Java API → PostgreSQL → React screen. Keep this first path relational and simple.</w:t>
            </w:r>
          </w:p>
        </w:tc>
        <w:tc>
          <w:tcPr>
            <w:tcW w:type="dxa" w:w="3331"/>
            <w:vAlign w:val="center"/>
          </w:tcPr>
          <w:p>
            <w:pPr>
              <w:spacing w:after="20" w:before="20"/>
            </w:pPr>
            <w:r/>
            <w:r>
              <w:rPr>
                <w:rFonts w:ascii="Aptos" w:hAnsi="Aptos"/>
                <w:b w:val="0"/>
                <w:sz w:val="16"/>
              </w:rPr>
              <w:t>Clean clone starts; one event appears; invalid/duplicate cases behave as expected; tests pass.</w:t>
            </w:r>
          </w:p>
        </w:tc>
      </w:tr>
      <w:tr>
        <w:tc>
          <w:tcPr>
            <w:tcW w:type="dxa" w:w="3331"/>
            <w:vAlign w:val="center"/>
          </w:tcPr>
          <w:p>
            <w:pPr>
              <w:spacing w:after="20" w:before="20"/>
            </w:pPr>
            <w:r/>
            <w:r>
              <w:rPr>
                <w:rFonts w:ascii="Aptos" w:hAnsi="Aptos"/>
                <w:b w:val="0"/>
                <w:sz w:val="16"/>
              </w:rPr>
              <w:t>M2 Data foundation</w:t>
            </w:r>
          </w:p>
        </w:tc>
        <w:tc>
          <w:tcPr>
            <w:tcW w:type="dxa" w:w="3331"/>
            <w:vAlign w:val="center"/>
          </w:tcPr>
          <w:p>
            <w:pPr>
              <w:spacing w:after="20" w:before="20"/>
            </w:pPr>
            <w:r/>
            <w:r>
              <w:rPr>
                <w:rFonts w:ascii="Aptos" w:hAnsi="Aptos"/>
                <w:b w:val="0"/>
                <w:sz w:val="16"/>
              </w:rPr>
              <w:t>Python simulator; canonical schema; Kafka; idempotency; Cassandra; dead-letter and replay.</w:t>
            </w:r>
          </w:p>
        </w:tc>
        <w:tc>
          <w:tcPr>
            <w:tcW w:type="dxa" w:w="3331"/>
            <w:vAlign w:val="center"/>
          </w:tcPr>
          <w:p>
            <w:pPr>
              <w:spacing w:after="20" w:before="20"/>
            </w:pPr>
            <w:r/>
            <w:r>
              <w:rPr>
                <w:rFonts w:ascii="Aptos" w:hAnsi="Aptos"/>
                <w:b w:val="0"/>
                <w:sz w:val="16"/>
              </w:rPr>
              <w:t>Seed 100,000 vehicle IDs; duplicates/late/invalid events and broker recovery demonstrated.</w:t>
            </w:r>
          </w:p>
        </w:tc>
      </w:tr>
      <w:tr>
        <w:tc>
          <w:tcPr>
            <w:tcW w:type="dxa" w:w="3331"/>
            <w:vAlign w:val="center"/>
          </w:tcPr>
          <w:p>
            <w:pPr>
              <w:spacing w:after="20" w:before="20"/>
            </w:pPr>
            <w:r/>
            <w:r>
              <w:rPr>
                <w:rFonts w:ascii="Aptos" w:hAnsi="Aptos"/>
                <w:b w:val="0"/>
                <w:sz w:val="16"/>
              </w:rPr>
              <w:t>M3 UI and batch</w:t>
            </w:r>
          </w:p>
        </w:tc>
        <w:tc>
          <w:tcPr>
            <w:tcW w:type="dxa" w:w="3331"/>
            <w:vAlign w:val="center"/>
          </w:tcPr>
          <w:p>
            <w:pPr>
              <w:spacing w:after="20" w:before="20"/>
            </w:pPr>
            <w:r/>
            <w:r>
              <w:rPr>
                <w:rFonts w:ascii="Aptos" w:hAnsi="Aptos"/>
                <w:b w:val="0"/>
                <w:sz w:val="16"/>
              </w:rPr>
              <w:t>Fleet, vehicle, alert pages; time-range query; aggregate and Parquet batch job.</w:t>
            </w:r>
          </w:p>
        </w:tc>
        <w:tc>
          <w:tcPr>
            <w:tcW w:type="dxa" w:w="3331"/>
            <w:vAlign w:val="center"/>
          </w:tcPr>
          <w:p>
            <w:pPr>
              <w:spacing w:after="20" w:before="20"/>
            </w:pPr>
            <w:r/>
            <w:r>
              <w:rPr>
                <w:rFonts w:ascii="Aptos" w:hAnsi="Aptos"/>
                <w:b w:val="0"/>
                <w:sz w:val="16"/>
              </w:rPr>
              <w:t>Operator can explain alert; batch output reconciles with fixture.</w:t>
            </w:r>
          </w:p>
        </w:tc>
      </w:tr>
      <w:tr>
        <w:tc>
          <w:tcPr>
            <w:tcW w:type="dxa" w:w="3331"/>
            <w:vAlign w:val="center"/>
          </w:tcPr>
          <w:p>
            <w:pPr>
              <w:spacing w:after="20" w:before="20"/>
            </w:pPr>
            <w:r/>
            <w:r>
              <w:rPr>
                <w:rFonts w:ascii="Aptos" w:hAnsi="Aptos"/>
                <w:b w:val="0"/>
                <w:sz w:val="16"/>
              </w:rPr>
              <w:t>M4 Security</w:t>
            </w:r>
          </w:p>
        </w:tc>
        <w:tc>
          <w:tcPr>
            <w:tcW w:type="dxa" w:w="3331"/>
            <w:vAlign w:val="center"/>
          </w:tcPr>
          <w:p>
            <w:pPr>
              <w:spacing w:after="20" w:before="20"/>
            </w:pPr>
            <w:r/>
            <w:r>
              <w:rPr>
                <w:rFonts w:ascii="Aptos" w:hAnsi="Aptos"/>
                <w:b w:val="0"/>
                <w:sz w:val="16"/>
              </w:rPr>
              <w:t>OIDC/JWT, RBAC, tenant checks, audit, limits, secret handling, timeouts/retries.</w:t>
            </w:r>
          </w:p>
        </w:tc>
        <w:tc>
          <w:tcPr>
            <w:tcW w:type="dxa" w:w="3331"/>
            <w:vAlign w:val="center"/>
          </w:tcPr>
          <w:p>
            <w:pPr>
              <w:spacing w:after="20" w:before="20"/>
            </w:pPr>
            <w:r/>
            <w:r>
              <w:rPr>
                <w:rFonts w:ascii="Aptos" w:hAnsi="Aptos"/>
                <w:b w:val="0"/>
                <w:sz w:val="16"/>
              </w:rPr>
              <w:t>Cross-tenant negative tests pass; secret scan clean; dependency failure recovery shown.</w:t>
            </w:r>
          </w:p>
        </w:tc>
      </w:tr>
      <w:tr>
        <w:tc>
          <w:tcPr>
            <w:tcW w:type="dxa" w:w="3331"/>
            <w:vAlign w:val="center"/>
          </w:tcPr>
          <w:p>
            <w:pPr>
              <w:spacing w:after="20" w:before="20"/>
            </w:pPr>
            <w:r/>
            <w:r>
              <w:rPr>
                <w:rFonts w:ascii="Aptos" w:hAnsi="Aptos"/>
                <w:b w:val="0"/>
                <w:sz w:val="16"/>
              </w:rPr>
              <w:t>M5 SignalSentry</w:t>
            </w:r>
          </w:p>
        </w:tc>
        <w:tc>
          <w:tcPr>
            <w:tcW w:type="dxa" w:w="3331"/>
            <w:vAlign w:val="center"/>
          </w:tcPr>
          <w:p>
            <w:pPr>
              <w:spacing w:after="20" w:before="20"/>
            </w:pPr>
            <w:r/>
            <w:r>
              <w:rPr>
                <w:rFonts w:ascii="Aptos" w:hAnsi="Aptos"/>
                <w:b w:val="0"/>
                <w:sz w:val="16"/>
              </w:rPr>
              <w:t>Quality checks and quarantine flags.</w:t>
            </w:r>
          </w:p>
        </w:tc>
        <w:tc>
          <w:tcPr>
            <w:tcW w:type="dxa" w:w="3331"/>
            <w:vAlign w:val="center"/>
          </w:tcPr>
          <w:p>
            <w:pPr>
              <w:spacing w:after="20" w:before="20"/>
            </w:pPr>
            <w:r/>
            <w:r>
              <w:rPr>
                <w:rFonts w:ascii="Aptos" w:hAnsi="Aptos"/>
                <w:b w:val="0"/>
                <w:sz w:val="16"/>
              </w:rPr>
              <w:t>Synthetic anomaly suite has reported results; raw input preserved.</w:t>
            </w:r>
          </w:p>
        </w:tc>
      </w:tr>
      <w:tr>
        <w:tc>
          <w:tcPr>
            <w:tcW w:type="dxa" w:w="3331"/>
            <w:vAlign w:val="center"/>
          </w:tcPr>
          <w:p>
            <w:pPr>
              <w:spacing w:after="20" w:before="20"/>
            </w:pPr>
            <w:r/>
            <w:r>
              <w:rPr>
                <w:rFonts w:ascii="Aptos" w:hAnsi="Aptos"/>
                <w:b w:val="0"/>
                <w:sz w:val="16"/>
              </w:rPr>
              <w:t>M6 Decision Engine</w:t>
            </w:r>
          </w:p>
        </w:tc>
        <w:tc>
          <w:tcPr>
            <w:tcW w:type="dxa" w:w="3331"/>
            <w:vAlign w:val="center"/>
          </w:tcPr>
          <w:p>
            <w:pPr>
              <w:spacing w:after="20" w:before="20"/>
            </w:pPr>
            <w:r/>
            <w:r>
              <w:rPr>
                <w:rFonts w:ascii="Aptos" w:hAnsi="Aptos"/>
                <w:b w:val="0"/>
                <w:sz w:val="16"/>
              </w:rPr>
              <w:t>Explainable action ranking.</w:t>
            </w:r>
          </w:p>
        </w:tc>
        <w:tc>
          <w:tcPr>
            <w:tcW w:type="dxa" w:w="3331"/>
            <w:vAlign w:val="center"/>
          </w:tcPr>
          <w:p>
            <w:pPr>
              <w:spacing w:after="20" w:before="20"/>
            </w:pPr>
            <w:r/>
            <w:r>
              <w:rPr>
                <w:rFonts w:ascii="Aptos" w:hAnsi="Aptos"/>
                <w:b w:val="0"/>
                <w:sz w:val="16"/>
              </w:rPr>
              <w:t>Every recommendation contains reasons, version, evidence, baseline.</w:t>
            </w:r>
          </w:p>
        </w:tc>
      </w:tr>
      <w:tr>
        <w:tc>
          <w:tcPr>
            <w:tcW w:type="dxa" w:w="3331"/>
            <w:vAlign w:val="center"/>
          </w:tcPr>
          <w:p>
            <w:pPr>
              <w:spacing w:after="20" w:before="20"/>
            </w:pPr>
            <w:r/>
            <w:r>
              <w:rPr>
                <w:rFonts w:ascii="Aptos" w:hAnsi="Aptos"/>
                <w:b w:val="0"/>
                <w:sz w:val="16"/>
              </w:rPr>
              <w:t>M7 FleetContinuity</w:t>
            </w:r>
          </w:p>
        </w:tc>
        <w:tc>
          <w:tcPr>
            <w:tcW w:type="dxa" w:w="3331"/>
            <w:vAlign w:val="center"/>
          </w:tcPr>
          <w:p>
            <w:pPr>
              <w:spacing w:after="20" w:before="20"/>
            </w:pPr>
            <w:r/>
            <w:r>
              <w:rPr>
                <w:rFonts w:ascii="Aptos" w:hAnsi="Aptos"/>
                <w:b w:val="0"/>
                <w:sz w:val="16"/>
              </w:rPr>
              <w:t>Disruption planner and human approval.</w:t>
            </w:r>
          </w:p>
        </w:tc>
        <w:tc>
          <w:tcPr>
            <w:tcW w:type="dxa" w:w="3331"/>
            <w:vAlign w:val="center"/>
          </w:tcPr>
          <w:p>
            <w:pPr>
              <w:spacing w:after="20" w:before="20"/>
            </w:pPr>
            <w:r/>
            <w:r>
              <w:rPr>
                <w:rFonts w:ascii="Aptos" w:hAnsi="Aptos"/>
                <w:b w:val="0"/>
                <w:sz w:val="16"/>
              </w:rPr>
              <w:t>Two scenarios produce feasible explainable alternatives.</w:t>
            </w:r>
          </w:p>
        </w:tc>
      </w:tr>
      <w:tr>
        <w:tc>
          <w:tcPr>
            <w:tcW w:type="dxa" w:w="3331"/>
            <w:vAlign w:val="center"/>
          </w:tcPr>
          <w:p>
            <w:pPr>
              <w:spacing w:after="20" w:before="20"/>
            </w:pPr>
            <w:r/>
            <w:r>
              <w:rPr>
                <w:rFonts w:ascii="Aptos" w:hAnsi="Aptos"/>
                <w:b w:val="0"/>
                <w:sz w:val="16"/>
              </w:rPr>
              <w:t>M8 Extras</w:t>
            </w:r>
          </w:p>
        </w:tc>
        <w:tc>
          <w:tcPr>
            <w:tcW w:type="dxa" w:w="3331"/>
            <w:vAlign w:val="center"/>
          </w:tcPr>
          <w:p>
            <w:pPr>
              <w:spacing w:after="20" w:before="20"/>
            </w:pPr>
            <w:r/>
            <w:r>
              <w:rPr>
                <w:rFonts w:ascii="Aptos" w:hAnsi="Aptos"/>
                <w:b w:val="0"/>
                <w:sz w:val="16"/>
              </w:rPr>
              <w:t>ConsentGraph, ImpactLedger, optional AI assistant.</w:t>
            </w:r>
          </w:p>
        </w:tc>
        <w:tc>
          <w:tcPr>
            <w:tcW w:type="dxa" w:w="3331"/>
            <w:vAlign w:val="center"/>
          </w:tcPr>
          <w:p>
            <w:pPr>
              <w:spacing w:after="20" w:before="20"/>
            </w:pPr>
            <w:r/>
            <w:r>
              <w:rPr>
                <w:rFonts w:ascii="Aptos" w:hAnsi="Aptos"/>
                <w:b w:val="0"/>
                <w:sz w:val="16"/>
              </w:rPr>
              <w:t>Privacy tests and core regression suite pass.</w:t>
            </w:r>
          </w:p>
        </w:tc>
      </w:tr>
      <w:tr>
        <w:tc>
          <w:tcPr>
            <w:tcW w:type="dxa" w:w="3331"/>
            <w:vAlign w:val="center"/>
          </w:tcPr>
          <w:p>
            <w:pPr>
              <w:spacing w:after="20" w:before="20"/>
            </w:pPr>
            <w:r/>
            <w:r>
              <w:rPr>
                <w:rFonts w:ascii="Aptos" w:hAnsi="Aptos"/>
                <w:b w:val="0"/>
                <w:sz w:val="16"/>
              </w:rPr>
              <w:t>M9 Submission</w:t>
            </w:r>
          </w:p>
        </w:tc>
        <w:tc>
          <w:tcPr>
            <w:tcW w:type="dxa" w:w="3331"/>
            <w:vAlign w:val="center"/>
          </w:tcPr>
          <w:p>
            <w:pPr>
              <w:spacing w:after="20" w:before="20"/>
            </w:pPr>
            <w:r/>
            <w:r>
              <w:rPr>
                <w:rFonts w:ascii="Aptos" w:hAnsi="Aptos"/>
                <w:b w:val="0"/>
                <w:sz w:val="16"/>
              </w:rPr>
              <w:t>Clean startup rehearsal, reports, docs, five-minute demo, final tag.</w:t>
            </w:r>
          </w:p>
        </w:tc>
        <w:tc>
          <w:tcPr>
            <w:tcW w:type="dxa" w:w="3331"/>
            <w:vAlign w:val="center"/>
          </w:tcPr>
          <w:p>
            <w:pPr>
              <w:spacing w:after="20" w:before="20"/>
            </w:pPr>
            <w:r/>
            <w:r>
              <w:rPr>
                <w:rFonts w:ascii="Aptos" w:hAnsi="Aptos"/>
                <w:b w:val="0"/>
                <w:sz w:val="16"/>
              </w:rPr>
              <w:t>Deliverables open, match tested code, and are ready before code freeze.</w:t>
            </w:r>
          </w:p>
        </w:tc>
      </w:tr>
    </w:tbl>
    <w:p>
      <w:pPr>
        <w:spacing w:after="20"/>
      </w:pPr>
    </w:p>
    <w:p>
      <w:pPr>
        <w:pStyle w:val="Heading1"/>
      </w:pPr>
      <w:r>
        <w:t>11. Testing and performance evidence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Layer</w:t>
            </w:r>
          </w:p>
        </w:tc>
        <w:tc>
          <w:tcPr>
            <w:tcW w:type="dxa" w:w="3331"/>
            <w:vAlign w:val="center"/>
            <w:shd w:fill="17365D"/>
          </w:tcPr>
          <w:p>
            <w:pPr>
              <w:spacing w:after="20" w:before="20"/>
            </w:pPr>
            <w:r/>
            <w:r>
              <w:rPr>
                <w:rFonts w:ascii="Aptos" w:hAnsi="Aptos"/>
                <w:b/>
                <w:color w:val="FFFFFF"/>
                <w:sz w:val="16"/>
              </w:rPr>
              <w:t>Cover</w:t>
            </w:r>
          </w:p>
        </w:tc>
        <w:tc>
          <w:tcPr>
            <w:tcW w:type="dxa" w:w="3331"/>
            <w:vAlign w:val="center"/>
            <w:shd w:fill="17365D"/>
          </w:tcPr>
          <w:p>
            <w:pPr>
              <w:spacing w:after="20" w:before="20"/>
            </w:pPr>
            <w:r/>
            <w:r>
              <w:rPr>
                <w:rFonts w:ascii="Aptos" w:hAnsi="Aptos"/>
                <w:b/>
                <w:color w:val="FFFFFF"/>
                <w:sz w:val="16"/>
              </w:rPr>
              <w:t>Evidence</w:t>
            </w:r>
          </w:p>
        </w:tc>
      </w:tr>
      <w:tr>
        <w:tc>
          <w:tcPr>
            <w:tcW w:type="dxa" w:w="3331"/>
            <w:vAlign w:val="center"/>
          </w:tcPr>
          <w:p>
            <w:pPr>
              <w:spacing w:after="20" w:before="20"/>
            </w:pPr>
            <w:r/>
            <w:r>
              <w:rPr>
                <w:rFonts w:ascii="Aptos" w:hAnsi="Aptos"/>
                <w:b w:val="0"/>
                <w:sz w:val="16"/>
              </w:rPr>
              <w:t>Unit</w:t>
            </w:r>
          </w:p>
        </w:tc>
        <w:tc>
          <w:tcPr>
            <w:tcW w:type="dxa" w:w="3331"/>
            <w:vAlign w:val="center"/>
          </w:tcPr>
          <w:p>
            <w:pPr>
              <w:spacing w:after="20" w:before="20"/>
            </w:pPr>
            <w:r/>
            <w:r>
              <w:rPr>
                <w:rFonts w:ascii="Aptos" w:hAnsi="Aptos"/>
                <w:b w:val="0"/>
                <w:sz w:val="16"/>
              </w:rPr>
              <w:t>Validation, normalization, event time, idempotency, rules, authorization.</w:t>
            </w:r>
          </w:p>
        </w:tc>
        <w:tc>
          <w:tcPr>
            <w:tcW w:type="dxa" w:w="3331"/>
            <w:vAlign w:val="center"/>
          </w:tcPr>
          <w:p>
            <w:pPr>
              <w:spacing w:after="20" w:before="20"/>
            </w:pPr>
            <w:r/>
            <w:r>
              <w:rPr>
                <w:rFonts w:ascii="Aptos" w:hAnsi="Aptos"/>
                <w:b w:val="0"/>
                <w:sz w:val="16"/>
              </w:rPr>
              <w:t>JUnit tests; aim for ≥80% line coverage of core logic.</w:t>
            </w:r>
          </w:p>
        </w:tc>
      </w:tr>
      <w:tr>
        <w:tc>
          <w:tcPr>
            <w:tcW w:type="dxa" w:w="3331"/>
            <w:vAlign w:val="center"/>
          </w:tcPr>
          <w:p>
            <w:pPr>
              <w:spacing w:after="20" w:before="20"/>
            </w:pPr>
            <w:r/>
            <w:r>
              <w:rPr>
                <w:rFonts w:ascii="Aptos" w:hAnsi="Aptos"/>
                <w:b w:val="0"/>
                <w:sz w:val="16"/>
              </w:rPr>
              <w:t>Integration</w:t>
            </w:r>
          </w:p>
        </w:tc>
        <w:tc>
          <w:tcPr>
            <w:tcW w:type="dxa" w:w="3331"/>
            <w:vAlign w:val="center"/>
          </w:tcPr>
          <w:p>
            <w:pPr>
              <w:spacing w:after="20" w:before="20"/>
            </w:pPr>
            <w:r/>
            <w:r>
              <w:rPr>
                <w:rFonts w:ascii="Aptos" w:hAnsi="Aptos"/>
                <w:b w:val="0"/>
                <w:sz w:val="16"/>
              </w:rPr>
              <w:t>Spring with Postgres, Cassandra, Kafka via Testcontainers or Compose test profile.</w:t>
            </w:r>
          </w:p>
        </w:tc>
        <w:tc>
          <w:tcPr>
            <w:tcW w:type="dxa" w:w="3331"/>
            <w:vAlign w:val="center"/>
          </w:tcPr>
          <w:p>
            <w:pPr>
              <w:spacing w:after="20" w:before="20"/>
            </w:pPr>
            <w:r/>
            <w:r>
              <w:rPr>
                <w:rFonts w:ascii="Aptos" w:hAnsi="Aptos"/>
                <w:b w:val="0"/>
                <w:sz w:val="16"/>
              </w:rPr>
              <w:t>Repeatable CI tests real boundaries and migrations.</w:t>
            </w:r>
          </w:p>
        </w:tc>
      </w:tr>
      <w:tr>
        <w:tc>
          <w:tcPr>
            <w:tcW w:type="dxa" w:w="3331"/>
            <w:vAlign w:val="center"/>
          </w:tcPr>
          <w:p>
            <w:pPr>
              <w:spacing w:after="20" w:before="20"/>
            </w:pPr>
            <w:r/>
            <w:r>
              <w:rPr>
                <w:rFonts w:ascii="Aptos" w:hAnsi="Aptos"/>
                <w:b w:val="0"/>
                <w:sz w:val="16"/>
              </w:rPr>
              <w:t>Contract</w:t>
            </w:r>
          </w:p>
        </w:tc>
        <w:tc>
          <w:tcPr>
            <w:tcW w:type="dxa" w:w="3331"/>
            <w:vAlign w:val="center"/>
          </w:tcPr>
          <w:p>
            <w:pPr>
              <w:spacing w:after="20" w:before="20"/>
            </w:pPr>
            <w:r/>
            <w:r>
              <w:rPr>
                <w:rFonts w:ascii="Aptos" w:hAnsi="Aptos"/>
                <w:b w:val="0"/>
                <w:sz w:val="16"/>
              </w:rPr>
              <w:t>OpenAPI and event schema compatibility.</w:t>
            </w:r>
          </w:p>
        </w:tc>
        <w:tc>
          <w:tcPr>
            <w:tcW w:type="dxa" w:w="3331"/>
            <w:vAlign w:val="center"/>
          </w:tcPr>
          <w:p>
            <w:pPr>
              <w:spacing w:after="20" w:before="20"/>
            </w:pPr>
            <w:r/>
            <w:r>
              <w:rPr>
                <w:rFonts w:ascii="Aptos" w:hAnsi="Aptos"/>
                <w:b w:val="0"/>
                <w:sz w:val="16"/>
              </w:rPr>
              <w:t>Valid samples pass; incompatible versions fail or quarantine.</w:t>
            </w:r>
          </w:p>
        </w:tc>
      </w:tr>
      <w:tr>
        <w:tc>
          <w:tcPr>
            <w:tcW w:type="dxa" w:w="3331"/>
            <w:vAlign w:val="center"/>
          </w:tcPr>
          <w:p>
            <w:pPr>
              <w:spacing w:after="20" w:before="20"/>
            </w:pPr>
            <w:r/>
            <w:r>
              <w:rPr>
                <w:rFonts w:ascii="Aptos" w:hAnsi="Aptos"/>
                <w:b w:val="0"/>
                <w:sz w:val="16"/>
              </w:rPr>
              <w:t>Acceptance</w:t>
            </w:r>
          </w:p>
        </w:tc>
        <w:tc>
          <w:tcPr>
            <w:tcW w:type="dxa" w:w="3331"/>
            <w:vAlign w:val="center"/>
          </w:tcPr>
          <w:p>
            <w:pPr>
              <w:spacing w:after="20" w:before="20"/>
            </w:pPr>
            <w:r/>
            <w:r>
              <w:rPr>
                <w:rFonts w:ascii="Aptos" w:hAnsi="Aptos"/>
                <w:b w:val="0"/>
                <w:sz w:val="16"/>
              </w:rPr>
              <w:t>Event through displayed alert and acknowledgement.</w:t>
            </w:r>
          </w:p>
        </w:tc>
        <w:tc>
          <w:tcPr>
            <w:tcW w:type="dxa" w:w="3331"/>
            <w:vAlign w:val="center"/>
          </w:tcPr>
          <w:p>
            <w:pPr>
              <w:spacing w:after="20" w:before="20"/>
            </w:pPr>
            <w:r/>
            <w:r>
              <w:rPr>
                <w:rFonts w:ascii="Aptos" w:hAnsi="Aptos"/>
                <w:b w:val="0"/>
                <w:sz w:val="16"/>
              </w:rPr>
              <w:t>Automated browser/API scenario using synthetic fixture.</w:t>
            </w:r>
          </w:p>
        </w:tc>
      </w:tr>
      <w:tr>
        <w:tc>
          <w:tcPr>
            <w:tcW w:type="dxa" w:w="3331"/>
            <w:vAlign w:val="center"/>
          </w:tcPr>
          <w:p>
            <w:pPr>
              <w:spacing w:after="20" w:before="20"/>
            </w:pPr>
            <w:r/>
            <w:r>
              <w:rPr>
                <w:rFonts w:ascii="Aptos" w:hAnsi="Aptos"/>
                <w:b w:val="0"/>
                <w:sz w:val="16"/>
              </w:rPr>
              <w:t>Load/soak</w:t>
            </w:r>
          </w:p>
        </w:tc>
        <w:tc>
          <w:tcPr>
            <w:tcW w:type="dxa" w:w="3331"/>
            <w:vAlign w:val="center"/>
          </w:tcPr>
          <w:p>
            <w:pPr>
              <w:spacing w:after="20" w:before="20"/>
            </w:pPr>
            <w:r/>
            <w:r>
              <w:rPr>
                <w:rFonts w:ascii="Aptos" w:hAnsi="Aptos"/>
                <w:b w:val="0"/>
                <w:sz w:val="16"/>
              </w:rPr>
              <w:t>Nominal rate, 3x five-minute burst, sustained run, lag.</w:t>
            </w:r>
          </w:p>
        </w:tc>
        <w:tc>
          <w:tcPr>
            <w:tcW w:type="dxa" w:w="3331"/>
            <w:vAlign w:val="center"/>
          </w:tcPr>
          <w:p>
            <w:pPr>
              <w:spacing w:after="20" w:before="20"/>
            </w:pPr>
            <w:r/>
            <w:r>
              <w:rPr>
                <w:rFonts w:ascii="Aptos" w:hAnsi="Aptos"/>
                <w:b w:val="0"/>
                <w:sz w:val="16"/>
              </w:rPr>
              <w:t>Record hardware, volume, duration, errors, p50/p95/p99, recovery.</w:t>
            </w:r>
          </w:p>
        </w:tc>
      </w:tr>
      <w:tr>
        <w:tc>
          <w:tcPr>
            <w:tcW w:type="dxa" w:w="3331"/>
            <w:vAlign w:val="center"/>
          </w:tcPr>
          <w:p>
            <w:pPr>
              <w:spacing w:after="20" w:before="20"/>
            </w:pPr>
            <w:r/>
            <w:r>
              <w:rPr>
                <w:rFonts w:ascii="Aptos" w:hAnsi="Aptos"/>
                <w:b w:val="0"/>
                <w:sz w:val="16"/>
              </w:rPr>
              <w:t>Security</w:t>
            </w:r>
          </w:p>
        </w:tc>
        <w:tc>
          <w:tcPr>
            <w:tcW w:type="dxa" w:w="3331"/>
            <w:vAlign w:val="center"/>
          </w:tcPr>
          <w:p>
            <w:pPr>
              <w:spacing w:after="20" w:before="20"/>
            </w:pPr>
            <w:r/>
            <w:r>
              <w:rPr>
                <w:rFonts w:ascii="Aptos" w:hAnsi="Aptos"/>
                <w:b w:val="0"/>
                <w:sz w:val="16"/>
              </w:rPr>
              <w:t>SAST, dependency/image scans, authorization, secret scan, OWASP.</w:t>
            </w:r>
          </w:p>
        </w:tc>
        <w:tc>
          <w:tcPr>
            <w:tcW w:type="dxa" w:w="3331"/>
            <w:vAlign w:val="center"/>
          </w:tcPr>
          <w:p>
            <w:pPr>
              <w:spacing w:after="20" w:before="20"/>
            </w:pPr>
            <w:r/>
            <w:r>
              <w:rPr>
                <w:rFonts w:ascii="Aptos" w:hAnsi="Aptos"/>
                <w:b w:val="0"/>
                <w:sz w:val="16"/>
              </w:rPr>
              <w:t>No unresolved critical/high issue without mitigation and owner.</w:t>
            </w:r>
          </w:p>
        </w:tc>
      </w:tr>
      <w:tr>
        <w:tc>
          <w:tcPr>
            <w:tcW w:type="dxa" w:w="3331"/>
            <w:vAlign w:val="center"/>
          </w:tcPr>
          <w:p>
            <w:pPr>
              <w:spacing w:after="20" w:before="20"/>
            </w:pPr>
            <w:r/>
            <w:r>
              <w:rPr>
                <w:rFonts w:ascii="Aptos" w:hAnsi="Aptos"/>
                <w:b w:val="0"/>
                <w:sz w:val="16"/>
              </w:rPr>
              <w:t>Resilience</w:t>
            </w:r>
          </w:p>
        </w:tc>
        <w:tc>
          <w:tcPr>
            <w:tcW w:type="dxa" w:w="3331"/>
            <w:vAlign w:val="center"/>
          </w:tcPr>
          <w:p>
            <w:pPr>
              <w:spacing w:after="20" w:before="20"/>
            </w:pPr>
            <w:r/>
            <w:r>
              <w:rPr>
                <w:rFonts w:ascii="Aptos" w:hAnsi="Aptos"/>
                <w:b w:val="0"/>
                <w:sz w:val="16"/>
              </w:rPr>
              <w:t>Kill consumer/broker or pause DB; restart and replay.</w:t>
            </w:r>
          </w:p>
        </w:tc>
        <w:tc>
          <w:tcPr>
            <w:tcW w:type="dxa" w:w="3331"/>
            <w:vAlign w:val="center"/>
          </w:tcPr>
          <w:p>
            <w:pPr>
              <w:spacing w:after="20" w:before="20"/>
            </w:pPr>
            <w:r/>
            <w:r>
              <w:rPr>
                <w:rFonts w:ascii="Aptos" w:hAnsi="Aptos"/>
                <w:b w:val="0"/>
                <w:sz w:val="16"/>
              </w:rPr>
              <w:t>No silent loss; show duplicate safety and recovery time.</w:t>
            </w:r>
          </w:p>
        </w:tc>
      </w:tr>
    </w:tbl>
    <w:p>
      <w:pPr>
        <w:spacing w:after="20"/>
      </w:pPr>
    </w:p>
    <w:p>
      <w:pPr>
        <w:pStyle w:val="Heading2"/>
      </w:pPr>
      <w:r>
        <w:t>Targets from the brief</w:t>
      </w:r>
    </w:p>
    <w:p>
      <w:pPr>
        <w:pStyle w:val="ListBullet"/>
      </w:pPr>
      <w:r>
        <w:t>100,000+ events/second sustained; survive 3x burst for five minutes without loss.</w:t>
      </w:r>
    </w:p>
    <w:p>
      <w:pPr>
        <w:pStyle w:val="ListBullet"/>
      </w:pPr>
      <w:r>
        <w:t>Ingest-to-dashboard under 2 seconds; critical alert under 5 seconds.</w:t>
      </w:r>
    </w:p>
    <w:p>
      <w:pPr>
        <w:pStyle w:val="ListBullet"/>
      </w:pPr>
      <w:r>
        <w:t>API p95 under 200 ms and p99 under 500 ms under a documented load.</w:t>
      </w:r>
    </w:p>
    <w:p>
      <w:pPr>
        <w:pStyle w:val="ListBullet"/>
      </w:pPr>
      <w:r>
        <w:t>Demonstrate recovery for availability claims; a local demo alone does not prove 99.9% availability.</w:t>
      </w:r>
    </w:p>
    <w:p>
      <w:r>
        <w:t>Benchmark progressively at 1,000, 10,000, then target events/second. Fix correctness and bottlenecks between runs. A laptop result is not a cloud capacity claim.</w:t>
      </w:r>
    </w:p>
    <w:p>
      <w:pPr>
        <w:pStyle w:val="Heading1"/>
      </w:pPr>
      <w:r>
        <w:t>12. Security and privacy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65D"/>
          </w:tcPr>
          <w:p>
            <w:pPr>
              <w:spacing w:after="20" w:before="20"/>
            </w:pPr>
            <w:r/>
            <w:r>
              <w:rPr>
                <w:rFonts w:ascii="Aptos" w:hAnsi="Aptos"/>
                <w:b/>
                <w:color w:val="FFFFFF"/>
                <w:sz w:val="16"/>
              </w:rPr>
              <w:t>Risk</w:t>
            </w:r>
          </w:p>
        </w:tc>
        <w:tc>
          <w:tcPr>
            <w:tcW w:type="dxa" w:w="4997"/>
            <w:vAlign w:val="center"/>
            <w:shd w:fill="17365D"/>
          </w:tcPr>
          <w:p>
            <w:pPr>
              <w:spacing w:after="20" w:before="20"/>
            </w:pPr>
            <w:r/>
            <w:r>
              <w:rPr>
                <w:rFonts w:ascii="Aptos" w:hAnsi="Aptos"/>
                <w:b/>
                <w:color w:val="FFFFFF"/>
                <w:sz w:val="16"/>
              </w:rPr>
              <w:t>Minimum control</w:t>
            </w:r>
          </w:p>
        </w:tc>
      </w:tr>
      <w:tr>
        <w:tc>
          <w:tcPr>
            <w:tcW w:type="dxa" w:w="4997"/>
            <w:vAlign w:val="center"/>
          </w:tcPr>
          <w:p>
            <w:pPr>
              <w:spacing w:after="20" w:before="20"/>
            </w:pPr>
            <w:r/>
            <w:r>
              <w:rPr>
                <w:rFonts w:ascii="Aptos" w:hAnsi="Aptos"/>
                <w:b w:val="0"/>
                <w:sz w:val="16"/>
              </w:rPr>
              <w:t>Cross-tenant exposure</w:t>
            </w:r>
          </w:p>
        </w:tc>
        <w:tc>
          <w:tcPr>
            <w:tcW w:type="dxa" w:w="4997"/>
            <w:vAlign w:val="center"/>
          </w:tcPr>
          <w:p>
            <w:pPr>
              <w:spacing w:after="20" w:before="20"/>
            </w:pPr>
            <w:r/>
            <w:r>
              <w:rPr>
                <w:rFonts w:ascii="Aptos" w:hAnsi="Aptos"/>
                <w:b w:val="0"/>
                <w:sz w:val="16"/>
              </w:rPr>
              <w:t>Tenant from verified identity; negative tests for every resource API.</w:t>
            </w:r>
          </w:p>
        </w:tc>
      </w:tr>
      <w:tr>
        <w:tc>
          <w:tcPr>
            <w:tcW w:type="dxa" w:w="4997"/>
            <w:vAlign w:val="center"/>
          </w:tcPr>
          <w:p>
            <w:pPr>
              <w:spacing w:after="20" w:before="20"/>
            </w:pPr>
            <w:r/>
            <w:r>
              <w:rPr>
                <w:rFonts w:ascii="Aptos" w:hAnsi="Aptos"/>
                <w:b w:val="0"/>
                <w:sz w:val="16"/>
              </w:rPr>
              <w:t>Stolen credentials</w:t>
            </w:r>
          </w:p>
        </w:tc>
        <w:tc>
          <w:tcPr>
            <w:tcW w:type="dxa" w:w="4997"/>
            <w:vAlign w:val="center"/>
          </w:tcPr>
          <w:p>
            <w:pPr>
              <w:spacing w:after="20" w:before="20"/>
            </w:pPr>
            <w:r/>
            <w:r>
              <w:rPr>
                <w:rFonts w:ascii="Aptos" w:hAnsi="Aptos"/>
                <w:b w:val="0"/>
                <w:sz w:val="16"/>
              </w:rPr>
              <w:t>OIDC/JWT, short-lived tokens, role checks, secret manager, rotation. No secrets in Git/screenshots.</w:t>
            </w:r>
          </w:p>
        </w:tc>
      </w:tr>
      <w:tr>
        <w:tc>
          <w:tcPr>
            <w:tcW w:type="dxa" w:w="4997"/>
            <w:vAlign w:val="center"/>
          </w:tcPr>
          <w:p>
            <w:pPr>
              <w:spacing w:after="20" w:before="20"/>
            </w:pPr>
            <w:r/>
            <w:r>
              <w:rPr>
                <w:rFonts w:ascii="Aptos" w:hAnsi="Aptos"/>
                <w:b w:val="0"/>
                <w:sz w:val="16"/>
              </w:rPr>
              <w:t>Forged/replayed telemetry</w:t>
            </w:r>
          </w:p>
        </w:tc>
        <w:tc>
          <w:tcPr>
            <w:tcW w:type="dxa" w:w="4997"/>
            <w:vAlign w:val="center"/>
          </w:tcPr>
          <w:p>
            <w:pPr>
              <w:spacing w:after="20" w:before="20"/>
            </w:pPr>
            <w:r/>
            <w:r>
              <w:rPr>
                <w:rFonts w:ascii="Aptos" w:hAnsi="Aptos"/>
                <w:b w:val="0"/>
                <w:sz w:val="16"/>
              </w:rPr>
              <w:t>Source identity, TLS, event IDs, timestamps, sequence checks, rate limits, idempotency.</w:t>
            </w:r>
          </w:p>
        </w:tc>
      </w:tr>
      <w:tr>
        <w:tc>
          <w:tcPr>
            <w:tcW w:type="dxa" w:w="4997"/>
            <w:vAlign w:val="center"/>
          </w:tcPr>
          <w:p>
            <w:pPr>
              <w:spacing w:after="20" w:before="20"/>
            </w:pPr>
            <w:r/>
            <w:r>
              <w:rPr>
                <w:rFonts w:ascii="Aptos" w:hAnsi="Aptos"/>
                <w:b w:val="0"/>
                <w:sz w:val="16"/>
              </w:rPr>
              <w:t>Malicious payload/schema drift</w:t>
            </w:r>
          </w:p>
        </w:tc>
        <w:tc>
          <w:tcPr>
            <w:tcW w:type="dxa" w:w="4997"/>
            <w:vAlign w:val="center"/>
          </w:tcPr>
          <w:p>
            <w:pPr>
              <w:spacing w:after="20" w:before="20"/>
            </w:pPr>
            <w:r/>
            <w:r>
              <w:rPr>
                <w:rFonts w:ascii="Aptos" w:hAnsi="Aptos"/>
                <w:b w:val="0"/>
                <w:sz w:val="16"/>
              </w:rPr>
              <w:t>Size limits, allowlisted schema, dead-letter quarantine, parser limits, dependency updates.</w:t>
            </w:r>
          </w:p>
        </w:tc>
      </w:tr>
      <w:tr>
        <w:tc>
          <w:tcPr>
            <w:tcW w:type="dxa" w:w="4997"/>
            <w:vAlign w:val="center"/>
          </w:tcPr>
          <w:p>
            <w:pPr>
              <w:spacing w:after="20" w:before="20"/>
            </w:pPr>
            <w:r/>
            <w:r>
              <w:rPr>
                <w:rFonts w:ascii="Aptos" w:hAnsi="Aptos"/>
                <w:b w:val="0"/>
                <w:sz w:val="16"/>
              </w:rPr>
              <w:t>Location privacy</w:t>
            </w:r>
          </w:p>
        </w:tc>
        <w:tc>
          <w:tcPr>
            <w:tcW w:type="dxa" w:w="4997"/>
            <w:vAlign w:val="center"/>
          </w:tcPr>
          <w:p>
            <w:pPr>
              <w:spacing w:after="20" w:before="20"/>
            </w:pPr>
            <w:r/>
            <w:r>
              <w:rPr>
                <w:rFonts w:ascii="Aptos" w:hAnsi="Aptos"/>
                <w:b w:val="0"/>
                <w:sz w:val="16"/>
              </w:rPr>
              <w:t>Synthetic points; minimize precision, restrict access, log reads, define retention/deletion.</w:t>
            </w:r>
          </w:p>
        </w:tc>
      </w:tr>
      <w:tr>
        <w:tc>
          <w:tcPr>
            <w:tcW w:type="dxa" w:w="4997"/>
            <w:vAlign w:val="center"/>
          </w:tcPr>
          <w:p>
            <w:pPr>
              <w:spacing w:after="20" w:before="20"/>
            </w:pPr>
            <w:r/>
            <w:r>
              <w:rPr>
                <w:rFonts w:ascii="Aptos" w:hAnsi="Aptos"/>
                <w:b w:val="0"/>
                <w:sz w:val="16"/>
              </w:rPr>
              <w:t>Unsafe AI action</w:t>
            </w:r>
          </w:p>
        </w:tc>
        <w:tc>
          <w:tcPr>
            <w:tcW w:type="dxa" w:w="4997"/>
            <w:vAlign w:val="center"/>
          </w:tcPr>
          <w:p>
            <w:pPr>
              <w:spacing w:after="20" w:before="20"/>
            </w:pPr>
            <w:r/>
            <w:r>
              <w:rPr>
                <w:rFonts w:ascii="Aptos" w:hAnsi="Aptos"/>
                <w:b w:val="0"/>
                <w:sz w:val="16"/>
              </w:rPr>
              <w:t>Read-only default; server-side tool permissions, evidence citations, audit, human approval.</w:t>
            </w:r>
          </w:p>
        </w:tc>
      </w:tr>
    </w:tbl>
    <w:p>
      <w:pPr>
        <w:spacing w:after="20"/>
      </w:pPr>
    </w:p>
    <w:p>
      <w:r>
        <w:t>Use STRIDE for ingestion and public API. Document threat, likelihood/impact, mitigation, and residual risk. Use TLS in transit and encryption at rest. Production secrets belong in a cloud secret manager. `.env` stays local and is ignored by Git.</w:t>
      </w:r>
    </w:p>
    <w:p>
      <w:pPr>
        <w:pStyle w:val="Heading1"/>
      </w:pPr>
      <w:r>
        <w:t>13. Deployment plan</w:t>
      </w:r>
    </w:p>
    <w:p>
      <w:pPr>
        <w:pStyle w:val="Heading2"/>
      </w:pPr>
      <w:r>
        <w:t>Local</w:t>
      </w:r>
    </w:p>
    <w:p>
      <w:r>
        <w:t>Docker Compose starts PostgreSQL, Kafka, Cassandra, and optional monitoring. Run backend/frontend on the host during development if that makes rebuilds faster. Add health checks, named volumes, documented ports, and safe placeholders in `.env.example`.</w:t>
      </w:r>
    </w:p>
    <w:p>
      <w:pPr>
        <w:pStyle w:val="Heading2"/>
      </w:pPr>
      <w:r>
        <w:t>Cloud after local success</w:t>
      </w:r>
    </w:p>
    <w:p>
      <w:r>
        <w:t>Choose one provider only after the local demo works. Use Terraform for network, database/broker where budget permits, object storage, registry, and app runtime. Keep the same app containers/config pattern across environments. Describe equivalent services in a second cloud; do not claim no-code portability until rehearsed.</w:t>
      </w:r>
    </w:p>
    <w:p>
      <w:pPr>
        <w:pStyle w:val="Heading2"/>
      </w:pPr>
      <w:r>
        <w:t>CI pipeline</w:t>
      </w:r>
    </w:p>
    <w:p>
      <w:r>
        <w:t>1.  On pull request: format/lint, compile, unit tests, frontend typecheck/build, dependency scan.</w:t>
      </w:r>
    </w:p>
    <w:p>
      <w:r>
        <w:t>2.  On merge: integration/contract tests, versioned container build, SBOM, image scan.</w:t>
      </w:r>
    </w:p>
    <w:p>
      <w:r>
        <w:t>3.  For release: deploy to test, run smoke checks, preserve reports, approve demo/production deployment.</w:t>
      </w:r>
    </w:p>
    <w:p>
      <w:r>
        <w:br w:type="page"/>
      </w:r>
    </w:p>
    <w:p>
      <w:pPr>
        <w:pStyle w:val="Heading1"/>
      </w:pPr>
      <w:r>
        <w:t>14. Codex workflow</w:t>
      </w:r>
    </w:p>
    <w:p>
      <w:r>
        <w:t>Use Codex as the primary builder. Do not let Codex and Cursor/Antigravity edit the same checkout at the same time. A second tool can review a diff without writing. You remain responsible for accepting the design and understanding the demo.</w:t>
      </w:r>
    </w:p>
    <w:p>
      <w:pPr>
        <w:pStyle w:val="Heading2"/>
      </w:pPr>
      <w:r>
        <w:t>Task cycle</w:t>
      </w:r>
    </w:p>
    <w:p>
      <w:r>
        <w:t>1.  Read `AGENTS.md`, `PROJECT_STATUS.md`, and relevant docs before work.</w:t>
      </w:r>
    </w:p>
    <w:p>
      <w:r>
        <w:t>2.  Give one bounded task, milestone, files/scope, and acceptance checks.</w:t>
      </w:r>
    </w:p>
    <w:p>
      <w:r>
        <w:t>3.  For architectural changes, ask for a short plan before edits.</w:t>
      </w:r>
    </w:p>
    <w:p>
      <w:r>
        <w:t>4.  Review the diff and actual test output yourself.</w:t>
      </w:r>
    </w:p>
    <w:p>
      <w:r>
        <w:t>5.  Update status and decisions with verified facts; commit after checks pass and you understand the change.</w:t>
      </w:r>
    </w:p>
    <w:p>
      <w:pPr>
        <w:pStyle w:val="Heading2"/>
      </w:pPr>
      <w:r>
        <w:t>Start prompt</w:t>
      </w: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Pr>
                <w:b/>
                <w:color w:val="17365D"/>
              </w:rPr>
              <w:t xml:space="preserve">Copy into Codex  </w:t>
            </w:r>
            <w:r>
              <w:t>Read this blueprint and the hackathon problem statement, then inspect the current workspace. Do not code yet. Report (1) existing files and working features, (2) conflicts with this blueprint, especially FastAPI versus Java/Spring Boot, (3) M0/M1 plan, (4) acceptance criteria for the first event flow, and (5) risks or decisions for me. Do not invent test results. Recommend one next action and wait before changing architecture or deleting files.</w:t>
            </w:r>
          </w:p>
        </w:tc>
      </w:tr>
    </w:tbl>
    <w:p>
      <w:pPr>
        <w:spacing w:after="20"/>
      </w:pPr>
    </w:p>
    <w:p>
      <w:pPr>
        <w:pStyle w:val="Heading2"/>
      </w:pPr>
      <w:r>
        <w:t>Implementation prompt</w:t>
      </w: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Pr>
                <w:b/>
                <w:color w:val="17365D"/>
              </w:rPr>
              <w:t xml:space="preserve">Copy into Codex  </w:t>
            </w:r>
            <w:r>
              <w:t>Implement only [TASK] in [MILESTONE]. First read AGENTS.md, PROJECT_STATUS.md, and related architecture/schema docs. Preserve unrelated work. Before editing, list expected files and acceptance checks. After editing, run the requested checks, report exact commands and results, summarize the diff and limitations, and update PROJECT_STATUS.md. Do not claim checks passed unless run.</w:t>
            </w:r>
          </w:p>
        </w:tc>
      </w:tr>
    </w:tbl>
    <w:p>
      <w:pPr>
        <w:spacing w:after="20"/>
      </w:pPr>
    </w:p>
    <w:p>
      <w:pPr>
        <w:pStyle w:val="Heading2"/>
      </w:pPr>
      <w:r>
        <w:t>Review prompt</w:t>
      </w: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Pr>
                <w:b/>
                <w:color w:val="17365D"/>
              </w:rPr>
              <w:t xml:space="preserve">Copy into Codex  </w:t>
            </w:r>
            <w:r>
              <w:t>Review the current diff for correctness, security, tenant isolation, concurrency, data loss, and missing tests. Do not edit files. Report actionable findings with file/line, severity, impact, and concrete fix. If none, state what you reviewed and review limits.</w:t>
            </w:r>
          </w:p>
        </w:tc>
      </w:tr>
    </w:tbl>
    <w:p>
      <w:pPr>
        <w:spacing w:after="20"/>
      </w:pPr>
    </w:p>
    <w:p>
      <w:pPr>
        <w:pStyle w:val="Heading1"/>
      </w:pPr>
      <w:r>
        <w:t>15. Preserve context between Codex sessions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65D"/>
          </w:tcPr>
          <w:p>
            <w:pPr>
              <w:spacing w:after="20" w:before="20"/>
            </w:pPr>
            <w:r/>
            <w:r>
              <w:rPr>
                <w:rFonts w:ascii="Aptos" w:hAnsi="Aptos"/>
                <w:b/>
                <w:color w:val="FFFFFF"/>
                <w:sz w:val="16"/>
              </w:rPr>
              <w:t>File</w:t>
            </w:r>
          </w:p>
        </w:tc>
        <w:tc>
          <w:tcPr>
            <w:tcW w:type="dxa" w:w="4997"/>
            <w:vAlign w:val="center"/>
            <w:shd w:fill="17365D"/>
          </w:tcPr>
          <w:p>
            <w:pPr>
              <w:spacing w:after="20" w:before="20"/>
            </w:pPr>
            <w:r/>
            <w:r>
              <w:rPr>
                <w:rFonts w:ascii="Aptos" w:hAnsi="Aptos"/>
                <w:b/>
                <w:color w:val="FFFFFF"/>
                <w:sz w:val="16"/>
              </w:rPr>
              <w:t>What it records</w:t>
            </w:r>
          </w:p>
        </w:tc>
      </w:tr>
      <w:tr>
        <w:tc>
          <w:tcPr>
            <w:tcW w:type="dxa" w:w="4997"/>
            <w:vAlign w:val="center"/>
          </w:tcPr>
          <w:p>
            <w:pPr>
              <w:spacing w:after="20" w:before="20"/>
            </w:pPr>
            <w:r/>
            <w:r>
              <w:rPr>
                <w:rFonts w:ascii="Aptos" w:hAnsi="Aptos"/>
                <w:b w:val="0"/>
                <w:sz w:val="16"/>
              </w:rPr>
              <w:t>AGENTS.md</w:t>
            </w:r>
          </w:p>
        </w:tc>
        <w:tc>
          <w:tcPr>
            <w:tcW w:type="dxa" w:w="4997"/>
            <w:vAlign w:val="center"/>
          </w:tcPr>
          <w:p>
            <w:pPr>
              <w:spacing w:after="20" w:before="20"/>
            </w:pPr>
            <w:r/>
            <w:r>
              <w:rPr>
                <w:rFonts w:ascii="Aptos" w:hAnsi="Aptos"/>
                <w:b w:val="0"/>
                <w:sz w:val="16"/>
              </w:rPr>
              <w:t>Project goal, stack, safe coding rules, one milestone per task, truthful test reporting.</w:t>
            </w:r>
          </w:p>
        </w:tc>
      </w:tr>
      <w:tr>
        <w:tc>
          <w:tcPr>
            <w:tcW w:type="dxa" w:w="4997"/>
            <w:vAlign w:val="center"/>
          </w:tcPr>
          <w:p>
            <w:pPr>
              <w:spacing w:after="20" w:before="20"/>
            </w:pPr>
            <w:r/>
            <w:r>
              <w:rPr>
                <w:rFonts w:ascii="Aptos" w:hAnsi="Aptos"/>
                <w:b w:val="0"/>
                <w:sz w:val="16"/>
              </w:rPr>
              <w:t>PROJECT_STATUS.md</w:t>
            </w:r>
          </w:p>
        </w:tc>
        <w:tc>
          <w:tcPr>
            <w:tcW w:type="dxa" w:w="4997"/>
            <w:vAlign w:val="center"/>
          </w:tcPr>
          <w:p>
            <w:pPr>
              <w:spacing w:after="20" w:before="20"/>
            </w:pPr>
            <w:r/>
            <w:r>
              <w:rPr>
                <w:rFonts w:ascii="Aptos" w:hAnsi="Aptos"/>
                <w:b w:val="0"/>
                <w:sz w:val="16"/>
              </w:rPr>
              <w:t>Current milestone, verified features, commands/results, issues, next task and acceptance checks.</w:t>
            </w:r>
          </w:p>
        </w:tc>
      </w:tr>
      <w:tr>
        <w:tc>
          <w:tcPr>
            <w:tcW w:type="dxa" w:w="4997"/>
            <w:vAlign w:val="center"/>
          </w:tcPr>
          <w:p>
            <w:pPr>
              <w:spacing w:after="20" w:before="20"/>
            </w:pPr>
            <w:r/>
            <w:r>
              <w:rPr>
                <w:rFonts w:ascii="Aptos" w:hAnsi="Aptos"/>
                <w:b w:val="0"/>
                <w:sz w:val="16"/>
              </w:rPr>
              <w:t>DECISIONS.md</w:t>
            </w:r>
          </w:p>
        </w:tc>
        <w:tc>
          <w:tcPr>
            <w:tcW w:type="dxa" w:w="4997"/>
            <w:vAlign w:val="center"/>
          </w:tcPr>
          <w:p>
            <w:pPr>
              <w:spacing w:after="20" w:before="20"/>
            </w:pPr>
            <w:r/>
            <w:r>
              <w:rPr>
                <w:rFonts w:ascii="Aptos" w:hAnsi="Aptos"/>
                <w:b w:val="0"/>
                <w:sz w:val="16"/>
              </w:rPr>
              <w:t>Why choices were made: backend, stores, CAP, and changes from this blueprint.</w:t>
            </w:r>
          </w:p>
        </w:tc>
      </w:tr>
    </w:tbl>
    <w:p>
      <w:pPr>
        <w:spacing w:after="20"/>
      </w:pPr>
    </w:p>
    <w:p>
      <w:r>
        <w:t>Keep `docs/ARCHITECTURE.md`, `docs/DATABASE_SCHEMA.md`, and `docs/MILESTONES.md` aligned with the code. Git history protects code; it does not replace these short notes.</w:t>
      </w:r>
    </w:p>
    <w:p>
      <w:pPr>
        <w:pStyle w:val="Heading2"/>
      </w:pPr>
      <w:r>
        <w:t>End-of-session prompt</w:t>
      </w: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Pr>
                <w:b/>
                <w:color w:val="17365D"/>
              </w:rPr>
              <w:t xml:space="preserve">Copy into Codex  </w:t>
            </w:r>
            <w:r>
              <w:t>Prepare this repository for a fresh session. Inspect actual code, Git status/diff, and test output. Update PROJECT_STATUS.md with verified work, implementation, changed files, commands/results, issues, milestone, and exact next task/acceptance. Update DECISIONS.md for any changed choice. Do not reset, delete, or discard work. Give me a concise handoff summary.</w:t>
            </w:r>
          </w:p>
        </w:tc>
      </w:tr>
    </w:tbl>
    <w:p>
      <w:pPr>
        <w:spacing w:after="20"/>
      </w:pPr>
    </w:p>
    <w:p>
      <w:pPr>
        <w:pStyle w:val="Heading2"/>
      </w:pPr>
      <w:r>
        <w:t>Resume prompt</w:t>
      </w:r>
    </w:p>
    <w:tbl>
      <w:tblPr>
        <w:tblStyle w:val="TableGrid"/>
        <w:tblW w:type="auto" w:w="0"/>
        <w:tblLook w:firstColumn="1" w:firstRow="1" w:lastColumn="0" w:lastRow="0" w:noHBand="0" w:noVBand="1" w:val="04A0"/>
      </w:tblPr>
      <w:tblGrid>
        <w:gridCol w:w="9994"/>
      </w:tblGrid>
      <w:tr>
        <w:tc>
          <w:tcPr>
            <w:tcW w:type="dxa" w:w="9994"/>
            <w:shd w:fill="EAF1F8"/>
          </w:tcPr>
          <w:p>
            <w:pPr>
              <w:spacing w:after="40"/>
            </w:pPr>
            <w:r>
              <w:rPr>
                <w:b/>
                <w:color w:val="17365D"/>
              </w:rPr>
              <w:t xml:space="preserve">Copy into Codex  </w:t>
            </w:r>
            <w:r>
              <w:t>Continue the existing Fleet Intelligence project. First read AGENTS.md, PROJECT_STATUS.md, DECISIONS.md, README.md, this blueprint, and relevant design docs. Inspect actual files and Git status. Treat code and recorded test output as truth. Summarize architecture, verified work, milestone, issues, and next task/acceptance. Do not modify files yet. Ask me to confirm the next task.</w:t>
            </w:r>
          </w:p>
        </w:tc>
      </w:tr>
    </w:tbl>
    <w:p>
      <w:pPr>
        <w:spacing w:after="20"/>
      </w:pPr>
    </w:p>
    <w:p>
      <w:pPr>
        <w:pStyle w:val="Heading2"/>
      </w:pPr>
      <w:r>
        <w:t>Usage limit versus context limit</w:t>
      </w:r>
    </w:p>
    <w:p>
      <w:r>
        <w:t>A long conversation can be replaced with a fresh one in this project; use the resume prompt and repository notes. An account usage limit may require waiting for reset; a new chat may not restore usage. Do not start parallel editing to bypass the limit.</w:t>
      </w:r>
    </w:p>
    <w:p>
      <w:pPr>
        <w:pStyle w:val="Heading2"/>
      </w:pPr>
      <w:r>
        <w:t>Git checkpoint</w:t>
      </w:r>
    </w:p>
    <w:p>
      <w:pPr>
        <w:spacing w:after="20"/>
        <w:ind w:left="230"/>
      </w:pPr>
      <w:r>
        <w:rPr>
          <w:rFonts w:ascii="Consolas" w:hAnsi="Consolas"/>
          <w:color w:val="17365D"/>
          <w:sz w:val="16"/>
        </w:rPr>
        <w:t>git status</w:t>
      </w:r>
    </w:p>
    <w:p>
      <w:pPr>
        <w:spacing w:after="20"/>
        <w:ind w:left="230"/>
      </w:pPr>
      <w:r>
        <w:rPr>
          <w:rFonts w:ascii="Consolas" w:hAnsi="Consolas"/>
          <w:color w:val="17365D"/>
          <w:sz w:val="16"/>
        </w:rPr>
        <w:t>git diff</w:t>
      </w:r>
    </w:p>
    <w:p>
      <w:pPr>
        <w:spacing w:after="20"/>
        <w:ind w:left="230"/>
      </w:pPr>
      <w:r>
        <w:rPr>
          <w:rFonts w:ascii="Consolas" w:hAnsi="Consolas"/>
          <w:color w:val="17365D"/>
          <w:sz w:val="16"/>
        </w:rPr>
        <w:t>git add &lt;reviewed-files&gt;</w:t>
      </w:r>
    </w:p>
    <w:p>
      <w:pPr>
        <w:spacing w:after="20"/>
        <w:ind w:left="230"/>
      </w:pPr>
      <w:r>
        <w:rPr>
          <w:rFonts w:ascii="Consolas" w:hAnsi="Consolas"/>
          <w:color w:val="17365D"/>
          <w:sz w:val="16"/>
        </w:rPr>
        <w:t>git commit -m "Complete M1 event vertical slice"</w:t>
      </w:r>
    </w:p>
    <w:p>
      <w:pPr>
        <w:spacing w:after="20"/>
        <w:ind w:left="230"/>
      </w:pPr>
      <w:r>
        <w:rPr>
          <w:rFonts w:ascii="Consolas" w:hAnsi="Consolas"/>
          <w:color w:val="17365D"/>
          <w:sz w:val="16"/>
        </w:rPr>
        <w:t>git log --oneline -5</w:t>
      </w:r>
    </w:p>
    <w:p>
      <w:r>
        <w:t>Review status and diff before staging. Avoid destructive reset commands. Add `.gitignore` before generating local data or secrets.</w:t>
      </w:r>
    </w:p>
    <w:p>
      <w:r>
        <w:br w:type="page"/>
      </w:r>
    </w:p>
    <w:p>
      <w:pPr>
        <w:pStyle w:val="Heading1"/>
      </w:pPr>
      <w:r>
        <w:t>16. Five-minute demo and submission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20" w:before="20"/>
            </w:pPr>
            <w:r/>
            <w:r>
              <w:rPr>
                <w:rFonts w:ascii="Aptos" w:hAnsi="Aptos"/>
                <w:b/>
                <w:color w:val="FFFFFF"/>
                <w:sz w:val="16"/>
              </w:rPr>
              <w:t>Time</w:t>
            </w:r>
          </w:p>
        </w:tc>
        <w:tc>
          <w:tcPr>
            <w:tcW w:type="dxa" w:w="3331"/>
            <w:vAlign w:val="center"/>
            <w:shd w:fill="17365D"/>
          </w:tcPr>
          <w:p>
            <w:pPr>
              <w:spacing w:after="20" w:before="20"/>
            </w:pPr>
            <w:r/>
            <w:r>
              <w:rPr>
                <w:rFonts w:ascii="Aptos" w:hAnsi="Aptos"/>
                <w:b/>
                <w:color w:val="FFFFFF"/>
                <w:sz w:val="16"/>
              </w:rPr>
              <w:t>Show</w:t>
            </w:r>
          </w:p>
        </w:tc>
        <w:tc>
          <w:tcPr>
            <w:tcW w:type="dxa" w:w="3331"/>
            <w:vAlign w:val="center"/>
            <w:shd w:fill="17365D"/>
          </w:tcPr>
          <w:p>
            <w:pPr>
              <w:spacing w:after="20" w:before="20"/>
            </w:pPr>
            <w:r/>
            <w:r>
              <w:rPr>
                <w:rFonts w:ascii="Aptos" w:hAnsi="Aptos"/>
                <w:b/>
                <w:color w:val="FFFFFF"/>
                <w:sz w:val="16"/>
              </w:rPr>
              <w:t>Proof</w:t>
            </w:r>
          </w:p>
        </w:tc>
      </w:tr>
      <w:tr>
        <w:tc>
          <w:tcPr>
            <w:tcW w:type="dxa" w:w="3331"/>
            <w:vAlign w:val="center"/>
          </w:tcPr>
          <w:p>
            <w:pPr>
              <w:spacing w:after="20" w:before="20"/>
            </w:pPr>
            <w:r/>
            <w:r>
              <w:rPr>
                <w:rFonts w:ascii="Aptos" w:hAnsi="Aptos"/>
                <w:b w:val="0"/>
                <w:sz w:val="16"/>
              </w:rPr>
              <w:t>0:00–0:30</w:t>
            </w:r>
          </w:p>
        </w:tc>
        <w:tc>
          <w:tcPr>
            <w:tcW w:type="dxa" w:w="3331"/>
            <w:vAlign w:val="center"/>
          </w:tcPr>
          <w:p>
            <w:pPr>
              <w:spacing w:after="20" w:before="20"/>
            </w:pPr>
            <w:r/>
            <w:r>
              <w:rPr>
                <w:rFonts w:ascii="Aptos" w:hAnsi="Aptos"/>
                <w:b w:val="0"/>
                <w:sz w:val="16"/>
              </w:rPr>
              <w:t>Fleet manager problem and scale estimate</w:t>
            </w:r>
          </w:p>
        </w:tc>
        <w:tc>
          <w:tcPr>
            <w:tcW w:type="dxa" w:w="3331"/>
            <w:vAlign w:val="center"/>
          </w:tcPr>
          <w:p>
            <w:pPr>
              <w:spacing w:after="20" w:before="20"/>
            </w:pPr>
            <w:r/>
            <w:r>
              <w:rPr>
                <w:rFonts w:ascii="Aptos" w:hAnsi="Aptos"/>
                <w:b w:val="0"/>
                <w:sz w:val="16"/>
              </w:rPr>
              <w:t>Identify case-study estimate; do not present it as benchmark.</w:t>
            </w:r>
          </w:p>
        </w:tc>
      </w:tr>
      <w:tr>
        <w:tc>
          <w:tcPr>
            <w:tcW w:type="dxa" w:w="3331"/>
            <w:vAlign w:val="center"/>
          </w:tcPr>
          <w:p>
            <w:pPr>
              <w:spacing w:after="20" w:before="20"/>
            </w:pPr>
            <w:r/>
            <w:r>
              <w:rPr>
                <w:rFonts w:ascii="Aptos" w:hAnsi="Aptos"/>
                <w:b w:val="0"/>
                <w:sz w:val="16"/>
              </w:rPr>
              <w:t>0:30–1:00</w:t>
            </w:r>
          </w:p>
        </w:tc>
        <w:tc>
          <w:tcPr>
            <w:tcW w:type="dxa" w:w="3331"/>
            <w:vAlign w:val="center"/>
          </w:tcPr>
          <w:p>
            <w:pPr>
              <w:spacing w:after="20" w:before="20"/>
            </w:pPr>
            <w:r/>
            <w:r>
              <w:rPr>
                <w:rFonts w:ascii="Aptos" w:hAnsi="Aptos"/>
                <w:b w:val="0"/>
                <w:sz w:val="16"/>
              </w:rPr>
              <w:t>Product and user</w:t>
            </w:r>
          </w:p>
        </w:tc>
        <w:tc>
          <w:tcPr>
            <w:tcW w:type="dxa" w:w="3331"/>
            <w:vAlign w:val="center"/>
          </w:tcPr>
          <w:p>
            <w:pPr>
              <w:spacing w:after="20" w:before="20"/>
            </w:pPr>
            <w:r/>
            <w:r>
              <w:rPr>
                <w:rFonts w:ascii="Aptos" w:hAnsi="Aptos"/>
                <w:b w:val="0"/>
                <w:sz w:val="16"/>
              </w:rPr>
              <w:t>Who needs what decision and why.</w:t>
            </w:r>
          </w:p>
        </w:tc>
      </w:tr>
      <w:tr>
        <w:tc>
          <w:tcPr>
            <w:tcW w:type="dxa" w:w="3331"/>
            <w:vAlign w:val="center"/>
          </w:tcPr>
          <w:p>
            <w:pPr>
              <w:spacing w:after="20" w:before="20"/>
            </w:pPr>
            <w:r/>
            <w:r>
              <w:rPr>
                <w:rFonts w:ascii="Aptos" w:hAnsi="Aptos"/>
                <w:b w:val="0"/>
                <w:sz w:val="16"/>
              </w:rPr>
              <w:t>1:00–3:00</w:t>
            </w:r>
          </w:p>
        </w:tc>
        <w:tc>
          <w:tcPr>
            <w:tcW w:type="dxa" w:w="3331"/>
            <w:vAlign w:val="center"/>
          </w:tcPr>
          <w:p>
            <w:pPr>
              <w:spacing w:after="20" w:before="20"/>
            </w:pPr>
            <w:r/>
            <w:r>
              <w:rPr>
                <w:rFonts w:ascii="Aptos" w:hAnsi="Aptos"/>
                <w:b w:val="0"/>
                <w:sz w:val="16"/>
              </w:rPr>
              <w:t>Live journey</w:t>
            </w:r>
          </w:p>
        </w:tc>
        <w:tc>
          <w:tcPr>
            <w:tcW w:type="dxa" w:w="3331"/>
            <w:vAlign w:val="center"/>
          </w:tcPr>
          <w:p>
            <w:pPr>
              <w:spacing w:after="20" w:before="20"/>
            </w:pPr>
            <w:r/>
            <w:r>
              <w:rPr>
                <w:rFonts w:ascii="Aptos" w:hAnsi="Aptos"/>
                <w:b w:val="0"/>
                <w:sz w:val="16"/>
              </w:rPr>
              <w:t>Generate event, ingest, inspect alert evidence, acknowledge.</w:t>
            </w:r>
          </w:p>
        </w:tc>
      </w:tr>
      <w:tr>
        <w:tc>
          <w:tcPr>
            <w:tcW w:type="dxa" w:w="3331"/>
            <w:vAlign w:val="center"/>
          </w:tcPr>
          <w:p>
            <w:pPr>
              <w:spacing w:after="20" w:before="20"/>
            </w:pPr>
            <w:r/>
            <w:r>
              <w:rPr>
                <w:rFonts w:ascii="Aptos" w:hAnsi="Aptos"/>
                <w:b w:val="0"/>
                <w:sz w:val="16"/>
              </w:rPr>
              <w:t>3:00–4:15</w:t>
            </w:r>
          </w:p>
        </w:tc>
        <w:tc>
          <w:tcPr>
            <w:tcW w:type="dxa" w:w="3331"/>
            <w:vAlign w:val="center"/>
          </w:tcPr>
          <w:p>
            <w:pPr>
              <w:spacing w:after="20" w:before="20"/>
            </w:pPr>
            <w:r/>
            <w:r>
              <w:rPr>
                <w:rFonts w:ascii="Aptos" w:hAnsi="Aptos"/>
                <w:b w:val="0"/>
                <w:sz w:val="16"/>
              </w:rPr>
              <w:t>Architecture/resilience</w:t>
            </w:r>
          </w:p>
        </w:tc>
        <w:tc>
          <w:tcPr>
            <w:tcW w:type="dxa" w:w="3331"/>
            <w:vAlign w:val="center"/>
          </w:tcPr>
          <w:p>
            <w:pPr>
              <w:spacing w:after="20" w:before="20"/>
            </w:pPr>
            <w:r/>
            <w:r>
              <w:rPr>
                <w:rFonts w:ascii="Aptos" w:hAnsi="Aptos"/>
                <w:b w:val="0"/>
                <w:sz w:val="16"/>
              </w:rPr>
              <w:t>Show event path, dashboard metrics, tested failure/replay.</w:t>
            </w:r>
          </w:p>
        </w:tc>
      </w:tr>
      <w:tr>
        <w:tc>
          <w:tcPr>
            <w:tcW w:type="dxa" w:w="3331"/>
            <w:vAlign w:val="center"/>
          </w:tcPr>
          <w:p>
            <w:pPr>
              <w:spacing w:after="20" w:before="20"/>
            </w:pPr>
            <w:r/>
            <w:r>
              <w:rPr>
                <w:rFonts w:ascii="Aptos" w:hAnsi="Aptos"/>
                <w:b w:val="0"/>
                <w:sz w:val="16"/>
              </w:rPr>
              <w:t>4:15–5:00</w:t>
            </w:r>
          </w:p>
        </w:tc>
        <w:tc>
          <w:tcPr>
            <w:tcW w:type="dxa" w:w="3331"/>
            <w:vAlign w:val="center"/>
          </w:tcPr>
          <w:p>
            <w:pPr>
              <w:spacing w:after="20" w:before="20"/>
            </w:pPr>
            <w:r/>
            <w:r>
              <w:rPr>
                <w:rFonts w:ascii="Aptos" w:hAnsi="Aptos"/>
                <w:b w:val="0"/>
                <w:sz w:val="16"/>
              </w:rPr>
              <w:t>Results and next step</w:t>
            </w:r>
          </w:p>
        </w:tc>
        <w:tc>
          <w:tcPr>
            <w:tcW w:type="dxa" w:w="3331"/>
            <w:vAlign w:val="center"/>
          </w:tcPr>
          <w:p>
            <w:pPr>
              <w:spacing w:after="20" w:before="20"/>
            </w:pPr>
            <w:r/>
            <w:r>
              <w:rPr>
                <w:rFonts w:ascii="Aptos" w:hAnsi="Aptos"/>
                <w:b w:val="0"/>
                <w:sz w:val="16"/>
              </w:rPr>
              <w:t>Actual test evidence and one honest limitation.</w:t>
            </w:r>
          </w:p>
        </w:tc>
      </w:tr>
    </w:tbl>
    <w:p>
      <w:pPr>
        <w:spacing w:after="20"/>
      </w:pPr>
    </w:p>
    <w:p>
      <w:pPr>
        <w:pStyle w:val="Heading2"/>
      </w:pPr>
      <w:r>
        <w:t>Submission checklist</w:t>
      </w:r>
    </w:p>
    <w:p>
      <w:pPr>
        <w:pStyle w:val="ListBullet"/>
      </w:pPr>
      <w:r>
        <w:t>Completed solution document in the provided submission template; leave source template unchanged.</w:t>
      </w:r>
    </w:p>
    <w:p>
      <w:pPr>
        <w:pStyle w:val="ListBullet"/>
      </w:pPr>
      <w:r>
        <w:t>README with problem, architecture, quick start, env vars, test commands, known issues.</w:t>
      </w:r>
    </w:p>
    <w:p>
      <w:pPr>
        <w:pStyle w:val="ListBullet"/>
      </w:pPr>
      <w:r>
        <w:t>Compose startup and synthetic 100,000-vehicle seed capability.</w:t>
      </w:r>
    </w:p>
    <w:p>
      <w:pPr>
        <w:pStyle w:val="ListBullet"/>
      </w:pPr>
      <w:r>
        <w:t>Architecture/3NF ER diagrams, 3–5 ADRs, STRIDE threat model, API/event schemas.</w:t>
      </w:r>
    </w:p>
    <w:p>
      <w:pPr>
        <w:pStyle w:val="ListBullet"/>
      </w:pPr>
      <w:r>
        <w:t>Unit, integration, acceptance, load, security, recovery evidence with reproducible commands.</w:t>
      </w:r>
    </w:p>
    <w:p>
      <w:pPr>
        <w:pStyle w:val="ListBullet"/>
      </w:pPr>
      <w:r>
        <w:t>Cloud pack for one provider; explain portability to a second.</w:t>
      </w:r>
    </w:p>
    <w:p>
      <w:pPr>
        <w:pStyle w:val="ListBullet"/>
      </w:pPr>
      <w:r>
        <w:t>Five-minute demo video and final tag `v1.0-submission` after code freeze.</w:t>
      </w:r>
    </w:p>
    <w:p>
      <w:pPr>
        <w:pStyle w:val="ListBullet"/>
      </w:pPr>
      <w:r>
        <w:t>Declare licenses and AI tools; confirm data is synthetic/public.</w:t>
      </w:r>
    </w:p>
    <w:p>
      <w:pPr>
        <w:pStyle w:val="Heading1"/>
      </w:pPr>
      <w:r>
        <w:t>17. Risks and controls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7365D"/>
          </w:tcPr>
          <w:p>
            <w:pPr>
              <w:spacing w:after="20" w:before="20"/>
            </w:pPr>
            <w:r/>
            <w:r>
              <w:rPr>
                <w:rFonts w:ascii="Aptos" w:hAnsi="Aptos"/>
                <w:b/>
                <w:color w:val="FFFFFF"/>
                <w:sz w:val="16"/>
              </w:rPr>
              <w:t>Risk</w:t>
            </w:r>
          </w:p>
        </w:tc>
        <w:tc>
          <w:tcPr>
            <w:tcW w:type="dxa" w:w="4997"/>
            <w:vAlign w:val="center"/>
            <w:shd w:fill="17365D"/>
          </w:tcPr>
          <w:p>
            <w:pPr>
              <w:spacing w:after="20" w:before="20"/>
            </w:pPr>
            <w:r/>
            <w:r>
              <w:rPr>
                <w:rFonts w:ascii="Aptos" w:hAnsi="Aptos"/>
                <w:b/>
                <w:color w:val="FFFFFF"/>
                <w:sz w:val="16"/>
              </w:rPr>
              <w:t>Control</w:t>
            </w:r>
          </w:p>
        </w:tc>
      </w:tr>
      <w:tr>
        <w:tc>
          <w:tcPr>
            <w:tcW w:type="dxa" w:w="4997"/>
            <w:vAlign w:val="center"/>
          </w:tcPr>
          <w:p>
            <w:pPr>
              <w:spacing w:after="20" w:before="20"/>
            </w:pPr>
            <w:r/>
            <w:r>
              <w:rPr>
                <w:rFonts w:ascii="Aptos" w:hAnsi="Aptos"/>
                <w:b w:val="0"/>
                <w:sz w:val="16"/>
              </w:rPr>
              <w:t>Too much breadth before working demo</w:t>
            </w:r>
          </w:p>
        </w:tc>
        <w:tc>
          <w:tcPr>
            <w:tcW w:type="dxa" w:w="4997"/>
            <w:vAlign w:val="center"/>
          </w:tcPr>
          <w:p>
            <w:pPr>
              <w:spacing w:after="20" w:before="20"/>
            </w:pPr>
            <w:r/>
            <w:r>
              <w:rPr>
                <w:rFonts w:ascii="Aptos" w:hAnsi="Aptos"/>
                <w:b w:val="0"/>
                <w:sz w:val="16"/>
              </w:rPr>
              <w:t>M1 is the first gate; postpone innovation until it passes.</w:t>
            </w:r>
          </w:p>
        </w:tc>
      </w:tr>
      <w:tr>
        <w:tc>
          <w:tcPr>
            <w:tcW w:type="dxa" w:w="4997"/>
            <w:vAlign w:val="center"/>
          </w:tcPr>
          <w:p>
            <w:pPr>
              <w:spacing w:after="20" w:before="20"/>
            </w:pPr>
            <w:r/>
            <w:r>
              <w:rPr>
                <w:rFonts w:ascii="Aptos" w:hAnsi="Aptos"/>
                <w:b w:val="0"/>
                <w:sz w:val="16"/>
              </w:rPr>
              <w:t>Two backends create confusion</w:t>
            </w:r>
          </w:p>
        </w:tc>
        <w:tc>
          <w:tcPr>
            <w:tcW w:type="dxa" w:w="4997"/>
            <w:vAlign w:val="center"/>
          </w:tcPr>
          <w:p>
            <w:pPr>
              <w:spacing w:after="20" w:before="20"/>
            </w:pPr>
            <w:r/>
            <w:r>
              <w:rPr>
                <w:rFonts w:ascii="Aptos" w:hAnsi="Aptos"/>
                <w:b w:val="0"/>
                <w:sz w:val="16"/>
              </w:rPr>
              <w:t>Java/Spring Boot is target backend; Python remains simulator. Migrate temporary FastAPI deliberately.</w:t>
            </w:r>
          </w:p>
        </w:tc>
      </w:tr>
      <w:tr>
        <w:tc>
          <w:tcPr>
            <w:tcW w:type="dxa" w:w="4997"/>
            <w:vAlign w:val="center"/>
          </w:tcPr>
          <w:p>
            <w:pPr>
              <w:spacing w:after="20" w:before="20"/>
            </w:pPr>
            <w:r/>
            <w:r>
              <w:rPr>
                <w:rFonts w:ascii="Aptos" w:hAnsi="Aptos"/>
                <w:b w:val="0"/>
                <w:sz w:val="16"/>
              </w:rPr>
              <w:t>Scale claims without evidence</w:t>
            </w:r>
          </w:p>
        </w:tc>
        <w:tc>
          <w:tcPr>
            <w:tcW w:type="dxa" w:w="4997"/>
            <w:vAlign w:val="center"/>
          </w:tcPr>
          <w:p>
            <w:pPr>
              <w:spacing w:after="20" w:before="20"/>
            </w:pPr>
            <w:r/>
            <w:r>
              <w:rPr>
                <w:rFonts w:ascii="Aptos" w:hAnsi="Aptos"/>
                <w:b w:val="0"/>
                <w:sz w:val="16"/>
              </w:rPr>
              <w:t>Separate targets from measurements; preserve raw load results and machine details.</w:t>
            </w:r>
          </w:p>
        </w:tc>
      </w:tr>
      <w:tr>
        <w:tc>
          <w:tcPr>
            <w:tcW w:type="dxa" w:w="4997"/>
            <w:vAlign w:val="center"/>
          </w:tcPr>
          <w:p>
            <w:pPr>
              <w:spacing w:after="20" w:before="20"/>
            </w:pPr>
            <w:r/>
            <w:r>
              <w:rPr>
                <w:rFonts w:ascii="Aptos" w:hAnsi="Aptos"/>
                <w:b w:val="0"/>
                <w:sz w:val="16"/>
              </w:rPr>
              <w:t>AI changes too much at once</w:t>
            </w:r>
          </w:p>
        </w:tc>
        <w:tc>
          <w:tcPr>
            <w:tcW w:type="dxa" w:w="4997"/>
            <w:vAlign w:val="center"/>
          </w:tcPr>
          <w:p>
            <w:pPr>
              <w:spacing w:after="20" w:before="20"/>
            </w:pPr>
            <w:r/>
            <w:r>
              <w:rPr>
                <w:rFonts w:ascii="Aptos" w:hAnsi="Aptos"/>
                <w:b w:val="0"/>
                <w:sz w:val="16"/>
              </w:rPr>
              <w:t>One task per prompt, review diffs, run checks, checkpoint status.</w:t>
            </w:r>
          </w:p>
        </w:tc>
      </w:tr>
      <w:tr>
        <w:tc>
          <w:tcPr>
            <w:tcW w:type="dxa" w:w="4997"/>
            <w:vAlign w:val="center"/>
          </w:tcPr>
          <w:p>
            <w:pPr>
              <w:spacing w:after="20" w:before="20"/>
            </w:pPr>
            <w:r/>
            <w:r>
              <w:rPr>
                <w:rFonts w:ascii="Aptos" w:hAnsi="Aptos"/>
                <w:b w:val="0"/>
                <w:sz w:val="16"/>
              </w:rPr>
              <w:t>Different local environments</w:t>
            </w:r>
          </w:p>
        </w:tc>
        <w:tc>
          <w:tcPr>
            <w:tcW w:type="dxa" w:w="4997"/>
            <w:vAlign w:val="center"/>
          </w:tcPr>
          <w:p>
            <w:pPr>
              <w:spacing w:after="20" w:before="20"/>
            </w:pPr>
            <w:r/>
            <w:r>
              <w:rPr>
                <w:rFonts w:ascii="Aptos" w:hAnsi="Aptos"/>
                <w:b w:val="0"/>
                <w:sz w:val="16"/>
              </w:rPr>
              <w:t>Maven Wrapper, `.venv`, npm lock, pinned containers, `.env.example`, clean-clone rehearsal.</w:t>
            </w:r>
          </w:p>
        </w:tc>
      </w:tr>
      <w:tr>
        <w:tc>
          <w:tcPr>
            <w:tcW w:type="dxa" w:w="4997"/>
            <w:vAlign w:val="center"/>
          </w:tcPr>
          <w:p>
            <w:pPr>
              <w:spacing w:after="20" w:before="20"/>
            </w:pPr>
            <w:r/>
            <w:r>
              <w:rPr>
                <w:rFonts w:ascii="Aptos" w:hAnsi="Aptos"/>
                <w:b w:val="0"/>
                <w:sz w:val="16"/>
              </w:rPr>
              <w:t>Deadline too close</w:t>
            </w:r>
          </w:p>
        </w:tc>
        <w:tc>
          <w:tcPr>
            <w:tcW w:type="dxa" w:w="4997"/>
            <w:vAlign w:val="center"/>
          </w:tcPr>
          <w:p>
            <w:pPr>
              <w:spacing w:after="20" w:before="20"/>
            </w:pPr>
            <w:r/>
            <w:r>
              <w:rPr>
                <w:rFonts w:ascii="Aptos" w:hAnsi="Aptos"/>
                <w:b w:val="0"/>
                <w:sz w:val="16"/>
              </w:rPr>
              <w:t>Cut AI assistant, ConsentGraph, ImpactLedger, then advanced continuity; protect core tests/security/demo.</w:t>
            </w:r>
          </w:p>
        </w:tc>
      </w:tr>
      <w:tr>
        <w:tc>
          <w:tcPr>
            <w:tcW w:type="dxa" w:w="4997"/>
            <w:vAlign w:val="center"/>
          </w:tcPr>
          <w:p>
            <w:pPr>
              <w:spacing w:after="20" w:before="20"/>
            </w:pPr>
            <w:r/>
            <w:r>
              <w:rPr>
                <w:rFonts w:ascii="Aptos" w:hAnsi="Aptos"/>
                <w:b w:val="0"/>
                <w:sz w:val="16"/>
              </w:rPr>
              <w:t>Deadline/team size unknown</w:t>
            </w:r>
          </w:p>
        </w:tc>
        <w:tc>
          <w:tcPr>
            <w:tcW w:type="dxa" w:w="4997"/>
            <w:vAlign w:val="center"/>
          </w:tcPr>
          <w:p>
            <w:pPr>
              <w:spacing w:after="20" w:before="20"/>
            </w:pPr>
            <w:r/>
            <w:r>
              <w:rPr>
                <w:rFonts w:ascii="Aptos" w:hAnsi="Aptos"/>
                <w:b w:val="0"/>
                <w:sz w:val="16"/>
              </w:rPr>
              <w:t>Add real deadline and team size before assigning calendar dates/owners.</w:t>
            </w:r>
          </w:p>
        </w:tc>
      </w:tr>
    </w:tbl>
    <w:p>
      <w:pPr>
        <w:spacing w:after="20"/>
      </w:pPr>
    </w:p>
    <w:p>
      <w:pPr>
        <w:pStyle w:val="Heading1"/>
      </w:pPr>
      <w:r>
        <w:t>18. Official version references</w:t>
      </w:r>
    </w:p>
    <w:p>
      <w:r>
        <w:t>Version choices checked on 30 September 2026. Recheck before changing runtimes or container images.</w:t>
      </w:r>
    </w:p>
    <w:p>
      <w:pPr>
        <w:pStyle w:val="ListBullet"/>
        <w:spacing w:after="0" w:line="240" w:lineRule="auto"/>
      </w:pPr>
      <w:r>
        <w:rPr>
          <w:sz w:val="15"/>
        </w:rPr>
        <w:t>Spring Boot stable lines: https://docs.spring.io/spring-boot/spring-projects.html</w:t>
      </w:r>
    </w:p>
    <w:p>
      <w:pPr>
        <w:pStyle w:val="ListBullet"/>
        <w:spacing w:after="0" w:line="240" w:lineRule="auto"/>
      </w:pPr>
      <w:r>
        <w:rPr>
          <w:sz w:val="15"/>
        </w:rPr>
        <w:t>Spring Boot system requirements: https://docs.spring.io/spring-boot/4.0/system-requirements.html</w:t>
      </w:r>
    </w:p>
    <w:p>
      <w:pPr>
        <w:pStyle w:val="ListBullet"/>
        <w:spacing w:after="0" w:line="240" w:lineRule="auto"/>
      </w:pPr>
      <w:r>
        <w:rPr>
          <w:sz w:val="15"/>
        </w:rPr>
        <w:t>Oracle Java support roadmap: https://www.oracle.com/java/technologies/java-se-support-roadmap.html</w:t>
      </w:r>
    </w:p>
    <w:p>
      <w:pPr>
        <w:pStyle w:val="ListBullet"/>
        <w:spacing w:after="0" w:line="240" w:lineRule="auto"/>
      </w:pPr>
      <w:r>
        <w:rPr>
          <w:sz w:val="15"/>
        </w:rPr>
        <w:t>Eclipse Temurin downloads: https://adoptium.net/temurin/releases/?version=21</w:t>
      </w:r>
    </w:p>
    <w:p>
      <w:pPr>
        <w:pStyle w:val="ListBullet"/>
        <w:spacing w:after="0" w:line="240" w:lineRule="auto"/>
      </w:pPr>
      <w:r>
        <w:rPr>
          <w:sz w:val="15"/>
        </w:rPr>
        <w:t>Apache Maven downloads: https://maven.apache.org/download.cgi</w:t>
      </w:r>
    </w:p>
    <w:p>
      <w:pPr>
        <w:pStyle w:val="ListBullet"/>
        <w:spacing w:after="0" w:line="240" w:lineRule="auto"/>
      </w:pPr>
      <w:r>
        <w:rPr>
          <w:sz w:val="15"/>
        </w:rPr>
        <w:t>Node.js release status: https://nodejs.org/en/about/previous-releases</w:t>
      </w:r>
    </w:p>
    <w:p>
      <w:pPr>
        <w:pStyle w:val="ListBullet"/>
        <w:spacing w:after="0" w:line="240" w:lineRule="auto"/>
      </w:pPr>
      <w:r>
        <w:rPr>
          <w:sz w:val="15"/>
        </w:rPr>
        <w:t>React versions: https://react.dev/versions</w:t>
      </w:r>
    </w:p>
    <w:p>
      <w:pPr>
        <w:pStyle w:val="ListBullet"/>
        <w:spacing w:after="0" w:line="240" w:lineRule="auto"/>
      </w:pPr>
      <w:r>
        <w:rPr>
          <w:sz w:val="15"/>
        </w:rPr>
        <w:t>Vite supported releases: https://vite.dev/releases</w:t>
      </w:r>
    </w:p>
    <w:p>
      <w:pPr>
        <w:pStyle w:val="ListBullet"/>
        <w:spacing w:after="0" w:line="240" w:lineRule="auto"/>
      </w:pPr>
      <w:r>
        <w:rPr>
          <w:sz w:val="15"/>
        </w:rPr>
        <w:t>TypeScript install/lockfile guidance: https://www.typescriptlang.org/download/</w:t>
      </w:r>
    </w:p>
    <w:p>
      <w:pPr>
        <w:pStyle w:val="ListBullet"/>
        <w:spacing w:after="0" w:line="240" w:lineRule="auto"/>
      </w:pPr>
      <w:r>
        <w:rPr>
          <w:sz w:val="15"/>
        </w:rPr>
        <w:t>Python stable releases: https://www.python.org/getit/source/</w:t>
      </w:r>
    </w:p>
    <w:p>
      <w:pPr>
        <w:pStyle w:val="ListBullet"/>
        <w:spacing w:after="0" w:line="240" w:lineRule="auto"/>
      </w:pPr>
      <w:r>
        <w:rPr>
          <w:sz w:val="15"/>
        </w:rPr>
        <w:t>PostgreSQL supported versions: https://www.postgresql.org/support/versioning/</w:t>
      </w:r>
    </w:p>
    <w:p>
      <w:pPr>
        <w:pStyle w:val="ListBullet"/>
        <w:spacing w:after="0" w:line="240" w:lineRule="auto"/>
      </w:pPr>
      <w:r>
        <w:rPr>
          <w:sz w:val="15"/>
        </w:rPr>
        <w:t>Apache Kafka releases: https://kafka.apache.org/community/downloads/</w:t>
      </w:r>
    </w:p>
    <w:p>
      <w:pPr>
        <w:pStyle w:val="ListBullet"/>
        <w:spacing w:after="0" w:line="240" w:lineRule="auto"/>
      </w:pPr>
      <w:r>
        <w:rPr>
          <w:sz w:val="15"/>
        </w:rPr>
        <w:t>Apache Cassandra releases: https://cassandra.apache.org/_/download.html</w:t>
      </w:r>
    </w:p>
    <w:p>
      <w:pPr>
        <w:pStyle w:val="ListBullet"/>
        <w:spacing w:after="0" w:line="240" w:lineRule="auto"/>
      </w:pPr>
      <w:r>
        <w:rPr>
          <w:sz w:val="15"/>
        </w:rPr>
        <w:t>Docker Compose installation: https://docs.docker.com/compose/install/</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Project guide  •  30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B6573"/>
        <w:sz w:val="16"/>
      </w:rPr>
      <w:t>FLEET INTELLIGENCE PROJECT  |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B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4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Intelligence Project Blueprint</dc:title>
  <dc:subject>Motorq connected-vehicle hackathon implementation plan</dc:subject>
  <dc:creator>Fleet Intelligence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