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3b6711908c759c4937ac135e0adfdbeef71b441"/>
    <w:p>
      <w:pPr>
        <w:pStyle w:val="Heading1"/>
      </w:pPr>
      <w:r>
        <w:t xml:space="preserve">Portfolio Intelligence Weekly Brief (30‑Day)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a repeatable, email‑first</w:t>
      </w:r>
      <w:r>
        <w:t xml:space="preserve"> </w:t>
      </w:r>
      <w:r>
        <w:rPr>
          <w:b/>
          <w:bCs/>
        </w:rPr>
        <w:t xml:space="preserve">Portfolio Intelligence Weekly Brief</w:t>
      </w:r>
      <w:r>
        <w:t xml:space="preserve"> </w:t>
      </w:r>
      <w:r>
        <w:t xml:space="preserve">that surfaces material portfolio‑level changes without interpretation or recommendations. This brief complements property‑level PIBs by directing attention to where deeper review may be warranted.</w:t>
      </w:r>
    </w:p>
    <w:p>
      <w:pPr>
        <w:pStyle w:val="BodyText"/>
      </w:pPr>
      <w:r>
        <w:rPr>
          <w:b/>
          <w:bCs/>
        </w:rPr>
        <w:t xml:space="preserve">Communication Model:</w:t>
      </w:r>
      <w:r>
        <w:t xml:space="preserve"> </w:t>
      </w:r>
      <w:r>
        <w:t xml:space="preserve">Status → Evidence → Context</w:t>
      </w:r>
      <w:r>
        <w:br/>
      </w:r>
      <w:r>
        <w:rPr>
          <w:b/>
          <w:bCs/>
        </w:rPr>
        <w:t xml:space="preserve">Primary Consumption:</w:t>
      </w:r>
      <w:r>
        <w:t xml:space="preserve"> </w:t>
      </w:r>
      <w:r>
        <w:t xml:space="preserve">Email (top‑to‑bottom scan)</w:t>
      </w:r>
    </w:p>
    <w:p>
      <w:r>
        <w:pict>
          <v:rect style="width:0;height:1.5pt" o:hralign="center" o:hrstd="t" o:hr="t"/>
        </w:pict>
      </w:r>
    </w:p>
    <w:bookmarkEnd w:id="20"/>
    <w:bookmarkStart w:id="21" w:name="reading-guide-included-in-email"/>
    <w:p>
      <w:pPr>
        <w:pStyle w:val="Heading2"/>
      </w:pPr>
      <w:r>
        <w:t xml:space="preserve">Reading Guide (Included in Email)</w:t>
      </w:r>
    </w:p>
    <w:p>
      <w:pPr>
        <w:pStyle w:val="Compact"/>
        <w:numPr>
          <w:ilvl w:val="0"/>
          <w:numId w:val="1001"/>
        </w:numPr>
      </w:pPr>
      <w:r>
        <w:t xml:space="preserve">Scan section headers first</w:t>
      </w:r>
    </w:p>
    <w:p>
      <w:pPr>
        <w:pStyle w:val="Compact"/>
        <w:numPr>
          <w:ilvl w:val="0"/>
          <w:numId w:val="1001"/>
        </w:numPr>
      </w:pPr>
      <w:r>
        <w:t xml:space="preserve">Read deeper only where changes are material</w:t>
      </w:r>
    </w:p>
    <w:p>
      <w:pPr>
        <w:pStyle w:val="Compact"/>
        <w:numPr>
          <w:ilvl w:val="0"/>
          <w:numId w:val="1001"/>
        </w:numPr>
      </w:pPr>
      <w:r>
        <w:t xml:space="preserve">No action is implied unless stated elsewhere</w:t>
      </w:r>
    </w:p>
    <w:p>
      <w:r>
        <w:pict>
          <v:rect style="width:0;height:1.5pt" o:hralign="center" o:hrstd="t" o:hr="t"/>
        </w:pict>
      </w:r>
    </w:p>
    <w:bookmarkEnd w:id="21"/>
    <w:bookmarkStart w:id="22" w:name="standard-reporting-window"/>
    <w:p>
      <w:pPr>
        <w:pStyle w:val="Heading2"/>
      </w:pPr>
      <w:r>
        <w:t xml:space="preserve">Standard Reporting Window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window:</w:t>
      </w:r>
      <w:r>
        <w:t xml:space="preserve"> </w:t>
      </w:r>
      <w:r>
        <w:t xml:space="preserve">Last 30 days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Comparison window:</w:t>
      </w:r>
      <w:r>
        <w:t xml:space="preserve"> </w:t>
      </w:r>
      <w:r>
        <w:t xml:space="preserve">Prior 30 days</w:t>
      </w:r>
    </w:p>
    <w:p>
      <w:pPr>
        <w:pStyle w:val="Compact"/>
        <w:numPr>
          <w:ilvl w:val="0"/>
          <w:numId w:val="1002"/>
        </w:numPr>
      </w:pPr>
      <w:r>
        <w:t xml:space="preserve">Windows are aligned per source (GA4, GSC, GBP, PageSpeed) using each source’s latest available date</w:t>
      </w:r>
    </w:p>
    <w:p>
      <w:r>
        <w:pict>
          <v:rect style="width:0;height:1.5pt" o:hralign="center" o:hrstd="t" o:hr="t"/>
        </w:pict>
      </w:r>
    </w:p>
    <w:bookmarkEnd w:id="22"/>
    <w:bookmarkStart w:id="28" w:name="section-structure-locked"/>
    <w:p>
      <w:pPr>
        <w:pStyle w:val="Heading2"/>
      </w:pPr>
      <w:r>
        <w:t xml:space="preserve">Section Structure (Locked)</w:t>
      </w:r>
    </w:p>
    <w:bookmarkStart w:id="23" w:name="section-1-portfolio-movers"/>
    <w:p>
      <w:pPr>
        <w:pStyle w:val="Heading3"/>
      </w:pPr>
      <w:r>
        <w:t xml:space="preserve">Section 1: Portfolio Movers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Surface the largest acquisition and demand shifts.</w:t>
      </w:r>
    </w:p>
    <w:p>
      <w:pPr>
        <w:pStyle w:val="BodyText"/>
      </w:pPr>
      <w:r>
        <w:rPr>
          <w:b/>
          <w:bCs/>
        </w:rPr>
        <w:t xml:space="preserve">Traffic (GA4 Sessions)</w:t>
      </w:r>
      <w:r>
        <w:t xml:space="preserve"> </w:t>
      </w:r>
      <w:r>
        <w:t xml:space="preserve">- Top increases (ranked by % change, minimum volume threshold)</w:t>
      </w:r>
      <w:r>
        <w:t xml:space="preserve"> </w:t>
      </w:r>
      <w:r>
        <w:t xml:space="preserve">- Top declines (ranked by % change)</w:t>
      </w:r>
    </w:p>
    <w:p>
      <w:pPr>
        <w:pStyle w:val="BodyText"/>
      </w:pPr>
      <w:r>
        <w:rPr>
          <w:b/>
          <w:bCs/>
        </w:rPr>
        <w:t xml:space="preserve">Search Demand (GSC Clicks)</w:t>
      </w:r>
      <w:r>
        <w:t xml:space="preserve"> </w:t>
      </w:r>
      <w:r>
        <w:t xml:space="preserve">- Gainers: click increase with stable or improving avg position</w:t>
      </w:r>
      <w:r>
        <w:t xml:space="preserve"> </w:t>
      </w:r>
      <w:r>
        <w:t xml:space="preserve">- Decliners: click decrease with worsening avg position</w:t>
      </w:r>
    </w:p>
    <w:p>
      <w:pPr>
        <w:pStyle w:val="BodyText"/>
      </w:pPr>
      <w:r>
        <w:rPr>
          <w:b/>
          <w:bCs/>
        </w:rPr>
        <w:t xml:space="preserve">Context Notes (Allowed):</w:t>
      </w:r>
      <w:r>
        <w:t xml:space="preserve"> </w:t>
      </w:r>
      <w:r>
        <w:t xml:space="preserve">- Traffic movements reflect acquisition volatility, not intent quality</w:t>
      </w:r>
      <w:r>
        <w:t xml:space="preserve"> </w:t>
      </w:r>
      <w:r>
        <w:t xml:space="preserve">- Click changes paired with ranking movement are higher‑confidence signals</w:t>
      </w:r>
    </w:p>
    <w:p>
      <w:r>
        <w:pict>
          <v:rect style="width:0;height:1.5pt" o:hralign="center" o:hrstd="t" o:hr="t"/>
        </w:pict>
      </w:r>
    </w:p>
    <w:bookmarkEnd w:id="23"/>
    <w:bookmarkStart w:id="24" w:name="section-2-conversion-intent-watch-cir"/>
    <w:p>
      <w:pPr>
        <w:pStyle w:val="Heading3"/>
      </w:pPr>
      <w:r>
        <w:t xml:space="preserve">Section 2: Conversion Intent Watch (CIR)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Identify intent deterioration or improvement independent of traffic.</w:t>
      </w:r>
    </w:p>
    <w:p>
      <w:pPr>
        <w:pStyle w:val="BodyText"/>
      </w:pPr>
      <w:r>
        <w:rPr>
          <w:b/>
          <w:bCs/>
        </w:rPr>
        <w:t xml:space="preserve">Signals:</w:t>
      </w:r>
      <w:r>
        <w:t xml:space="preserve"> </w:t>
      </w:r>
      <w:r>
        <w:t xml:space="preserve">- Material CIR change (≥10 pts recommended threshold)</w:t>
      </w:r>
      <w:r>
        <w:t xml:space="preserve"> </w:t>
      </w:r>
      <w:r>
        <w:t xml:space="preserve">- Sessions included for context only</w:t>
      </w:r>
    </w:p>
    <w:p>
      <w:pPr>
        <w:pStyle w:val="BodyText"/>
      </w:pPr>
      <w:r>
        <w:rPr>
          <w:b/>
          <w:bCs/>
        </w:rPr>
        <w:t xml:space="preserve">Context Notes (Allowed):</w:t>
      </w:r>
      <w:r>
        <w:t xml:space="preserve"> </w:t>
      </w:r>
      <w:r>
        <w:t xml:space="preserve">- CIR shifts with stable traffic indicate on‑site or message‑fit changes</w:t>
      </w:r>
    </w:p>
    <w:p>
      <w:r>
        <w:pict>
          <v:rect style="width:0;height:1.5pt" o:hralign="center" o:hrstd="t" o:hr="t"/>
        </w:pict>
      </w:r>
    </w:p>
    <w:bookmarkEnd w:id="24"/>
    <w:bookmarkStart w:id="25" w:name="X4a4b7555d794efeeee82d4e504d4d9d012fc840"/>
    <w:p>
      <w:pPr>
        <w:pStyle w:val="Heading3"/>
      </w:pPr>
      <w:r>
        <w:t xml:space="preserve">Section 3: Site Performance Signals (PageSpeed – Mobile)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Flag technical regressions that may precede engagement or intent changes.</w:t>
      </w:r>
    </w:p>
    <w:p>
      <w:pPr>
        <w:pStyle w:val="BodyText"/>
      </w:pPr>
      <w:r>
        <w:rPr>
          <w:b/>
          <w:bCs/>
        </w:rPr>
        <w:t xml:space="preserve">Signals:</w:t>
      </w:r>
      <w:r>
        <w:t xml:space="preserve"> </w:t>
      </w:r>
      <w:r>
        <w:t xml:space="preserve">- Mobile PageSpeed score change (recommended flag ≥5–6 pts)</w:t>
      </w:r>
    </w:p>
    <w:p>
      <w:pPr>
        <w:pStyle w:val="BodyText"/>
      </w:pPr>
      <w:r>
        <w:rPr>
          <w:b/>
          <w:bCs/>
        </w:rPr>
        <w:t xml:space="preserve">Context Notes (Allowed):</w:t>
      </w:r>
      <w:r>
        <w:t xml:space="preserve"> </w:t>
      </w:r>
      <w:r>
        <w:t xml:space="preserve">- PageSpeed regressions often lead engagement/CIR changes with short lag</w:t>
      </w:r>
    </w:p>
    <w:p>
      <w:r>
        <w:pict>
          <v:rect style="width:0;height:1.5pt" o:hralign="center" o:hrstd="t" o:hr="t"/>
        </w:pict>
      </w:r>
    </w:p>
    <w:bookmarkEnd w:id="25"/>
    <w:bookmarkStart w:id="26" w:name="section-4-local-discovery-gbp"/>
    <w:p>
      <w:pPr>
        <w:pStyle w:val="Heading3"/>
      </w:pPr>
      <w:r>
        <w:t xml:space="preserve">Section 4: Local Discovery (GBP)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visibility vs engagement quality at the local layer.</w:t>
      </w:r>
    </w:p>
    <w:p>
      <w:pPr>
        <w:pStyle w:val="BodyText"/>
      </w:pPr>
      <w:r>
        <w:rPr>
          <w:b/>
          <w:bCs/>
        </w:rPr>
        <w:t xml:space="preserve">Signals:</w:t>
      </w:r>
      <w:r>
        <w:t xml:space="preserve"> </w:t>
      </w:r>
      <w:r>
        <w:t xml:space="preserve">- Profile views change</w:t>
      </w:r>
      <w:r>
        <w:t xml:space="preserve"> </w:t>
      </w:r>
      <w:r>
        <w:t xml:space="preserve">- Action rate change</w:t>
      </w:r>
    </w:p>
    <w:p>
      <w:pPr>
        <w:pStyle w:val="BodyText"/>
      </w:pPr>
      <w:r>
        <w:rPr>
          <w:b/>
          <w:bCs/>
        </w:rPr>
        <w:t xml:space="preserve">Patterns Called Out Separately:</w:t>
      </w:r>
      <w:r>
        <w:t xml:space="preserve"> </w:t>
      </w:r>
      <w:r>
        <w:t xml:space="preserve">- Visibility down + action rate down (discovery + engagement issue)</w:t>
      </w:r>
      <w:r>
        <w:t xml:space="preserve"> </w:t>
      </w:r>
      <w:r>
        <w:t xml:space="preserve">- Visibility down + action rate stable/up (discovery pressure only)</w:t>
      </w:r>
    </w:p>
    <w:p>
      <w:r>
        <w:pict>
          <v:rect style="width:0;height:1.5pt" o:hralign="center" o:hrstd="t" o:hr="t"/>
        </w:pict>
      </w:r>
    </w:p>
    <w:bookmarkEnd w:id="26"/>
    <w:bookmarkStart w:id="27" w:name="section-5-portfolio-patterns-observed"/>
    <w:p>
      <w:pPr>
        <w:pStyle w:val="Heading3"/>
      </w:pPr>
      <w:r>
        <w:t xml:space="preserve">Section 5: Portfolio Patterns Observed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Summarize cross‑section patterns without inference.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- Observational only</w:t>
      </w:r>
      <w:r>
        <w:t xml:space="preserve"> </w:t>
      </w:r>
      <w:r>
        <w:t xml:space="preserve">- No recommendations</w:t>
      </w:r>
      <w:r>
        <w:t xml:space="preserve"> </w:t>
      </w:r>
      <w:r>
        <w:t xml:space="preserve">- No scoring or ranking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ata-confidence-integrity-block-required"/>
    <w:p>
      <w:pPr>
        <w:pStyle w:val="Heading2"/>
      </w:pPr>
      <w:r>
        <w:t xml:space="preserve">Data Confidence &amp; Integrity Block (Required)</w:t>
      </w:r>
    </w:p>
    <w:p>
      <w:pPr>
        <w:pStyle w:val="Compact"/>
        <w:numPr>
          <w:ilvl w:val="0"/>
          <w:numId w:val="1003"/>
        </w:numPr>
      </w:pPr>
      <w:r>
        <w:t xml:space="preserve">Portfolio coverage confirmation</w:t>
      </w:r>
    </w:p>
    <w:p>
      <w:pPr>
        <w:pStyle w:val="Compact"/>
        <w:numPr>
          <w:ilvl w:val="0"/>
          <w:numId w:val="1003"/>
        </w:numPr>
      </w:pPr>
      <w:r>
        <w:t xml:space="preserve">Data freshness window</w:t>
      </w:r>
    </w:p>
    <w:p>
      <w:pPr>
        <w:pStyle w:val="Compact"/>
        <w:numPr>
          <w:ilvl w:val="0"/>
          <w:numId w:val="1003"/>
        </w:numPr>
      </w:pPr>
      <w:r>
        <w:t xml:space="preserve">CIR derivation consistency</w:t>
      </w:r>
    </w:p>
    <w:p>
      <w:pPr>
        <w:pStyle w:val="Compact"/>
        <w:numPr>
          <w:ilvl w:val="0"/>
          <w:numId w:val="1003"/>
        </w:numPr>
      </w:pPr>
      <w:r>
        <w:t xml:space="preserve">Explicit statement when no integrity issues are detected</w:t>
      </w:r>
    </w:p>
    <w:p>
      <w:r>
        <w:pict>
          <v:rect style="width:0;height:1.5pt" o:hralign="center" o:hrstd="t" o:hr="t"/>
        </w:pict>
      </w:r>
    </w:p>
    <w:bookmarkEnd w:id="29"/>
    <w:bookmarkStart w:id="30" w:name="what-this-brief-is-is-not-locked-copy"/>
    <w:p>
      <w:pPr>
        <w:pStyle w:val="Heading2"/>
      </w:pPr>
      <w:r>
        <w:t xml:space="preserve">What This Brief Is / Is Not (Locked Copy)</w:t>
      </w:r>
    </w:p>
    <w:p>
      <w:pPr>
        <w:pStyle w:val="FirstParagraph"/>
      </w:pPr>
      <w:r>
        <w:rPr>
          <w:b/>
          <w:bCs/>
        </w:rPr>
        <w:t xml:space="preserve">This Brief Is:</w:t>
      </w:r>
      <w:r>
        <w:t xml:space="preserve"> </w:t>
      </w:r>
      <w:r>
        <w:t xml:space="preserve">- Portfolio‑level situational awareness</w:t>
      </w:r>
      <w:r>
        <w:t xml:space="preserve"> </w:t>
      </w:r>
      <w:r>
        <w:t xml:space="preserve">- A triage layer directing attention to property‑level PIBs</w:t>
      </w:r>
    </w:p>
    <w:p>
      <w:pPr>
        <w:pStyle w:val="BodyText"/>
      </w:pPr>
      <w:r>
        <w:rPr>
          <w:b/>
          <w:bCs/>
        </w:rPr>
        <w:t xml:space="preserve">This Brief Is Not:</w:t>
      </w:r>
      <w:r>
        <w:t xml:space="preserve"> </w:t>
      </w:r>
      <w:r>
        <w:t xml:space="preserve">- A recommendation engine</w:t>
      </w:r>
      <w:r>
        <w:t xml:space="preserve"> </w:t>
      </w:r>
      <w:r>
        <w:t xml:space="preserve">- A performance scorecard</w:t>
      </w:r>
      <w:r>
        <w:t xml:space="preserve"> </w:t>
      </w:r>
      <w:r>
        <w:t xml:space="preserve">- A replacement for individual PIBs</w:t>
      </w:r>
    </w:p>
    <w:p>
      <w:r>
        <w:pict>
          <v:rect style="width:0;height:1.5pt" o:hralign="center" o:hrstd="t" o:hr="t"/>
        </w:pict>
      </w:r>
    </w:p>
    <w:bookmarkEnd w:id="30"/>
    <w:bookmarkStart w:id="31" w:name="deterministic-design-principles"/>
    <w:p>
      <w:pPr>
        <w:pStyle w:val="Heading2"/>
      </w:pPr>
      <w:r>
        <w:t xml:space="preserve">Deterministic Design Principles</w:t>
      </w:r>
    </w:p>
    <w:p>
      <w:pPr>
        <w:pStyle w:val="Compact"/>
        <w:numPr>
          <w:ilvl w:val="0"/>
          <w:numId w:val="1004"/>
        </w:numPr>
      </w:pPr>
      <w:r>
        <w:t xml:space="preserve">No executive summary</w:t>
      </w:r>
    </w:p>
    <w:p>
      <w:pPr>
        <w:pStyle w:val="Compact"/>
        <w:numPr>
          <w:ilvl w:val="0"/>
          <w:numId w:val="1004"/>
        </w:numPr>
      </w:pPr>
      <w:r>
        <w:t xml:space="preserve">No At‑a‑Glance block</w:t>
      </w:r>
    </w:p>
    <w:p>
      <w:pPr>
        <w:pStyle w:val="Compact"/>
        <w:numPr>
          <w:ilvl w:val="0"/>
          <w:numId w:val="1004"/>
        </w:numPr>
      </w:pPr>
      <w:r>
        <w:t xml:space="preserve">Section headers + evidence carry the narrative</w:t>
      </w:r>
    </w:p>
    <w:p>
      <w:pPr>
        <w:pStyle w:val="Compact"/>
        <w:numPr>
          <w:ilvl w:val="0"/>
          <w:numId w:val="1004"/>
        </w:numPr>
      </w:pPr>
      <w:r>
        <w:t xml:space="preserve">All language must be neutral and factual</w:t>
      </w:r>
    </w:p>
    <w:p>
      <w:pPr>
        <w:pStyle w:val="Compact"/>
        <w:numPr>
          <w:ilvl w:val="0"/>
          <w:numId w:val="1004"/>
        </w:numPr>
      </w:pPr>
      <w:r>
        <w:t xml:space="preserve">Email output contains full content; no browser references</w:t>
      </w:r>
    </w:p>
    <w:p>
      <w:r>
        <w:pict>
          <v:rect style="width:0;height:1.5pt" o:hralign="center" o:hrstd="t" o:hr="t"/>
        </w:pict>
      </w:r>
    </w:p>
    <w:bookmarkEnd w:id="31"/>
    <w:bookmarkStart w:id="32" w:name="futuresafe-extensions-optional"/>
    <w:p>
      <w:pPr>
        <w:pStyle w:val="Heading2"/>
      </w:pPr>
      <w:r>
        <w:t xml:space="preserve">Future‑Safe Extensions (Optional)</w:t>
      </w:r>
    </w:p>
    <w:p>
      <w:pPr>
        <w:pStyle w:val="Compact"/>
        <w:numPr>
          <w:ilvl w:val="0"/>
          <w:numId w:val="1005"/>
        </w:numPr>
      </w:pPr>
      <w:r>
        <w:t xml:space="preserve">Hidden Gems: High CIR + low traffic</w:t>
      </w:r>
    </w:p>
    <w:p>
      <w:pPr>
        <w:pStyle w:val="Compact"/>
        <w:numPr>
          <w:ilvl w:val="0"/>
          <w:numId w:val="1005"/>
        </w:numPr>
      </w:pPr>
      <w:r>
        <w:t xml:space="preserve">Efficiency Frontier: CIR vs Search Position</w:t>
      </w:r>
    </w:p>
    <w:p>
      <w:pPr>
        <w:pStyle w:val="Compact"/>
        <w:numPr>
          <w:ilvl w:val="0"/>
          <w:numId w:val="1005"/>
        </w:numPr>
      </w:pPr>
      <w:r>
        <w:t xml:space="preserve">Integrity Alerts: Cross‑source consistency failures</w:t>
      </w:r>
    </w:p>
    <w:p>
      <w:pPr>
        <w:pStyle w:val="FirstParagraph"/>
      </w:pPr>
      <w:r>
        <w:t xml:space="preserve">(Extensions must preserve Status → Evidence → Context and email‑first delivery.)</w:t>
      </w:r>
    </w:p>
    <w:p>
      <w:r>
        <w:pict>
          <v:rect style="width:0;height:1.5pt" o:hralign="center" o:hrstd="t" o:hr="t"/>
        </w:pict>
      </w:r>
    </w:p>
    <w:bookmarkEnd w:id="32"/>
    <w:bookmarkStart w:id="33" w:name="canonical-role-in-the-system"/>
    <w:p>
      <w:pPr>
        <w:pStyle w:val="Heading2"/>
      </w:pPr>
      <w:r>
        <w:t xml:space="preserve">Canonical Role in the System</w:t>
      </w:r>
    </w:p>
    <w:p>
      <w:pPr>
        <w:pStyle w:val="FirstParagraph"/>
      </w:pPr>
      <w:r>
        <w:t xml:space="preserve">The Portfolio Intelligence Weekly Brief is the</w:t>
      </w:r>
      <w:r>
        <w:t xml:space="preserve"> </w:t>
      </w:r>
      <w:r>
        <w:rPr>
          <w:b/>
          <w:bCs/>
        </w:rPr>
        <w:t xml:space="preserve">portfolio‑level awareness layer</w:t>
      </w:r>
      <w:r>
        <w:t xml:space="preserve">. It feeds leadership awareness and determines which properties warrant deeper PIB review. It does not replace property‑level analysis or decision‑making.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2026-01-26T02:44:52Z</dcterms:created>
  <dcterms:modified xsi:type="dcterms:W3CDTF">2026-01-26T02:44:52Z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