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0999A3" w14:textId="77777777" w:rsidR="00A03121" w:rsidRPr="00A03121" w:rsidRDefault="00A03121" w:rsidP="00A03121">
      <w:r w:rsidRPr="00A03121">
        <w:t>Zaheer, S. (1995). Overcoming the liability of foreignness. </w:t>
      </w:r>
      <w:r w:rsidRPr="00A03121">
        <w:rPr>
          <w:i/>
          <w:iCs/>
        </w:rPr>
        <w:t>Academy of Management Journal</w:t>
      </w:r>
      <w:r w:rsidRPr="00A03121">
        <w:t>, 38(2), 341–363. https://doi.org/10.5465/256683</w:t>
      </w:r>
    </w:p>
    <w:p w14:paraId="4D57DA41" w14:textId="77777777" w:rsidR="00A03121" w:rsidRPr="00A03121" w:rsidRDefault="00A03121" w:rsidP="00A03121">
      <w:pPr>
        <w:rPr>
          <w:b/>
          <w:bCs/>
        </w:rPr>
      </w:pPr>
      <w:r w:rsidRPr="00A03121">
        <w:rPr>
          <w:b/>
          <w:bCs/>
        </w:rPr>
        <w:t>Complete Exam-Ready Study Report: Zaheer (1995) – "Overcoming the Liability of Foreignness"</w:t>
      </w:r>
    </w:p>
    <w:p w14:paraId="3E5CD9DD" w14:textId="77777777" w:rsidR="00A03121" w:rsidRPr="00A03121" w:rsidRDefault="00A03121" w:rsidP="00A03121">
      <w:pPr>
        <w:rPr>
          <w:b/>
          <w:bCs/>
        </w:rPr>
      </w:pPr>
      <w:r w:rsidRPr="00A03121">
        <w:rPr>
          <w:b/>
          <w:bCs/>
        </w:rPr>
        <w:t>1. Introduction and Core Research Problem</w:t>
      </w:r>
    </w:p>
    <w:p w14:paraId="0B1EBC7E" w14:textId="77777777" w:rsidR="00A03121" w:rsidRPr="00A03121" w:rsidRDefault="00A03121" w:rsidP="00A03121">
      <w:r w:rsidRPr="00A03121">
        <w:t>Multinational enterprises (MNEs) expanding operations into foreign markets face distinct competitive dynamics that test whether operating abroad carries inherent cost disadvantages relative to domestic competitors. Determining whether a "liability of foreignness" (LOF) persists in globally integrated, highly competitive commodity markets—where traditional sources of competitive advantage such as product differentiation, proprietary technology, or location-based factor cost savings are minimal—is a central question in international business and strategic management. This empirical inquiry addresses a core theoretical paradox: when operating in overseas host environments, should MNE subunits overcome foreignness liabilities by transferring internal organizational capabilities from their parent corporations, or should they seek competitive parity by conforming to local host-market organizational practices?</w:t>
      </w:r>
    </w:p>
    <w:p w14:paraId="3531F302" w14:textId="77777777" w:rsidR="00A03121" w:rsidRPr="00A03121" w:rsidRDefault="00A03121" w:rsidP="00A03121">
      <w:pPr>
        <w:numPr>
          <w:ilvl w:val="0"/>
          <w:numId w:val="1"/>
        </w:numPr>
      </w:pPr>
      <w:r w:rsidRPr="00A03121">
        <w:rPr>
          <w:b/>
          <w:bCs/>
        </w:rPr>
        <w:t>Core Research Question:</w:t>
      </w:r>
      <w:r w:rsidRPr="00A03121">
        <w:t> The central puzzle addressed by Zaheer is whether MNE subunits face a measurable "liability of foreignness" (LOF) in host environments, and whether this liability is better mitigated by importing firm-specific capabilities from the home parent enterprise (the resource-based / administrative heritage view) or by mimicking local organizational practices in the host market (the institutional / local isomorphism view).</w:t>
      </w:r>
    </w:p>
    <w:p w14:paraId="58446745" w14:textId="77777777" w:rsidR="00A03121" w:rsidRPr="00A03121" w:rsidRDefault="00A03121" w:rsidP="00A03121">
      <w:pPr>
        <w:numPr>
          <w:ilvl w:val="0"/>
          <w:numId w:val="1"/>
        </w:numPr>
      </w:pPr>
      <w:r w:rsidRPr="00A03121">
        <w:rPr>
          <w:b/>
          <w:bCs/>
        </w:rPr>
        <w:t>Empirical Context:</w:t>
      </w:r>
      <w:r w:rsidRPr="00A03121">
        <w:t> The empirical setting comprises foreign exchange (FX) trading rooms of major Western and Japanese commercial and investment banks operating in New York and Tokyo. This sector provides a particularly rigorous test site because currency trading involves an undifferentiated commodity product, standard global trading technology (supplied predominantly by three worldwide vendors), and a globally integrated, highly liquid 24-hour market driven primarily by short-term trend speculation.</w:t>
      </w:r>
    </w:p>
    <w:p w14:paraId="533AB036" w14:textId="77777777" w:rsidR="00A03121" w:rsidRPr="00A03121" w:rsidRDefault="00A03121" w:rsidP="00A03121">
      <w:pPr>
        <w:numPr>
          <w:ilvl w:val="0"/>
          <w:numId w:val="1"/>
        </w:numPr>
      </w:pPr>
      <w:r w:rsidRPr="00A03121">
        <w:rPr>
          <w:b/>
          <w:bCs/>
        </w:rPr>
        <w:t>Key Theoretical Pillars:</w:t>
      </w:r>
      <w:r w:rsidRPr="00A03121">
        <w:t> The paper evaluates two competing theoretical perspectives:</w:t>
      </w:r>
    </w:p>
    <w:p w14:paraId="0D86E1E9" w14:textId="77777777" w:rsidR="00A03121" w:rsidRPr="00A03121" w:rsidRDefault="00A03121" w:rsidP="00A03121">
      <w:pPr>
        <w:numPr>
          <w:ilvl w:val="1"/>
          <w:numId w:val="1"/>
        </w:numPr>
      </w:pPr>
      <w:r w:rsidRPr="00A03121">
        <w:rPr>
          <w:i/>
          <w:iCs/>
        </w:rPr>
        <w:t>Resource-Based / Strategy View:</w:t>
      </w:r>
      <w:r w:rsidRPr="00A03121">
        <w:t> MNE subunits overcome LOF by importing organizational capabilities and practices embodied in their parent enterprise's administrative heritage, utilizing firm-specific resources to achieve sustainable competitive advantage.</w:t>
      </w:r>
    </w:p>
    <w:p w14:paraId="0A955667" w14:textId="77777777" w:rsidR="00A03121" w:rsidRPr="00A03121" w:rsidRDefault="00A03121" w:rsidP="00A03121">
      <w:pPr>
        <w:numPr>
          <w:ilvl w:val="1"/>
          <w:numId w:val="1"/>
        </w:numPr>
      </w:pPr>
      <w:r w:rsidRPr="00A03121">
        <w:rPr>
          <w:i/>
          <w:iCs/>
        </w:rPr>
        <w:lastRenderedPageBreak/>
        <w:t>Institutional Theory View:</w:t>
      </w:r>
      <w:r w:rsidRPr="00A03121">
        <w:t> MNE subunits survive and excel by achieving local isomorphism, conforming to host-country normative, coercive, and mimetic pressures to replicate the practices of successful local exemplars.</w:t>
      </w:r>
    </w:p>
    <w:p w14:paraId="1E206E15" w14:textId="77777777" w:rsidR="00A03121" w:rsidRPr="00A03121" w:rsidRDefault="00A03121" w:rsidP="00A03121">
      <w:r w:rsidRPr="00A03121">
        <w:t>To evaluate these competing perspectives, the theoretical framework must first explicitly define the operational mechanisms of foreignness costs and formalize testable hypotheses regarding subunit capability transfer and institutional imitation.</w:t>
      </w:r>
    </w:p>
    <w:p w14:paraId="5D2BEC1A" w14:textId="77777777" w:rsidR="00A03121" w:rsidRPr="00A03121" w:rsidRDefault="00A03121" w:rsidP="00A03121">
      <w:pPr>
        <w:rPr>
          <w:b/>
          <w:bCs/>
        </w:rPr>
      </w:pPr>
      <w:r w:rsidRPr="00A03121">
        <w:rPr>
          <w:b/>
          <w:bCs/>
        </w:rPr>
        <w:t>2. THEORY AND HYPOTHESES</w:t>
      </w:r>
    </w:p>
    <w:p w14:paraId="790D7E6E" w14:textId="77777777" w:rsidR="00A03121" w:rsidRPr="00A03121" w:rsidRDefault="00A03121" w:rsidP="00A03121">
      <w:r w:rsidRPr="00A03121">
        <w:t>The theoretical foundation of the liability of foreignness rests on the assumption that doing business abroad creates distinct structural and operational costs that place foreign subunits at a competitive disadvantage relative to local firms. Strategic management and institutional theories generate opposing predictions regarding how subunits should structure their organizational practices to offset these foreignness costs.</w:t>
      </w:r>
    </w:p>
    <w:p w14:paraId="15B82BC3" w14:textId="77777777" w:rsidR="00A03121" w:rsidRPr="00A03121" w:rsidRDefault="00A03121" w:rsidP="00A03121">
      <w:pPr>
        <w:rPr>
          <w:b/>
          <w:bCs/>
        </w:rPr>
      </w:pPr>
      <w:r w:rsidRPr="00A03121">
        <w:rPr>
          <w:b/>
          <w:bCs/>
        </w:rPr>
        <w:t>2.1 The Liability of Foreignness</w:t>
      </w:r>
    </w:p>
    <w:p w14:paraId="55739D99" w14:textId="77777777" w:rsidR="00A03121" w:rsidRPr="00A03121" w:rsidRDefault="00A03121" w:rsidP="00A03121">
      <w:pPr>
        <w:numPr>
          <w:ilvl w:val="0"/>
          <w:numId w:val="2"/>
        </w:numPr>
      </w:pPr>
      <w:r w:rsidRPr="00A03121">
        <w:rPr>
          <w:b/>
          <w:bCs/>
        </w:rPr>
        <w:t>Formal Definition:</w:t>
      </w:r>
      <w:r w:rsidRPr="00A03121">
        <w:t> The </w:t>
      </w:r>
      <w:r w:rsidRPr="00A03121">
        <w:rPr>
          <w:i/>
          <w:iCs/>
        </w:rPr>
        <w:t>liability of foreignness</w:t>
      </w:r>
      <w:r w:rsidRPr="00A03121">
        <w:t> is conceptualized by Zaheer as all additional costs a firm operating in a market overseas incurs that a local firm would not incur, resulting in a competitive disadvantage for the MNE subunit.</w:t>
      </w:r>
    </w:p>
    <w:p w14:paraId="4F71D48B" w14:textId="77777777" w:rsidR="00A03121" w:rsidRPr="00A03121" w:rsidRDefault="00A03121" w:rsidP="00A03121">
      <w:pPr>
        <w:numPr>
          <w:ilvl w:val="0"/>
          <w:numId w:val="2"/>
        </w:numPr>
      </w:pPr>
      <w:r w:rsidRPr="00A03121">
        <w:rPr>
          <w:b/>
          <w:bCs/>
        </w:rPr>
        <w:t>Four Sources of LOF:</w:t>
      </w:r>
      <w:r w:rsidRPr="00A03121">
        <w:t> Foreignness costs stem from four non-independent sources:</w:t>
      </w:r>
    </w:p>
    <w:p w14:paraId="5CF3A9CB" w14:textId="77777777" w:rsidR="00A03121" w:rsidRPr="00A03121" w:rsidRDefault="00A03121" w:rsidP="00A03121">
      <w:pPr>
        <w:numPr>
          <w:ilvl w:val="1"/>
          <w:numId w:val="2"/>
        </w:numPr>
      </w:pPr>
      <w:r w:rsidRPr="00A03121">
        <w:rPr>
          <w:i/>
          <w:iCs/>
        </w:rPr>
        <w:t>Spatial Distance Costs:</w:t>
      </w:r>
      <w:r w:rsidRPr="00A03121">
        <w:t> Direct expenses associated with physical travel, transportation, and operational coordination across geographical distance and time zones.</w:t>
      </w:r>
    </w:p>
    <w:p w14:paraId="0AC5ADA9" w14:textId="77777777" w:rsidR="00A03121" w:rsidRPr="00A03121" w:rsidRDefault="00A03121" w:rsidP="00A03121">
      <w:pPr>
        <w:numPr>
          <w:ilvl w:val="1"/>
          <w:numId w:val="2"/>
        </w:numPr>
      </w:pPr>
      <w:r w:rsidRPr="00A03121">
        <w:rPr>
          <w:i/>
          <w:iCs/>
        </w:rPr>
        <w:t>Unfamiliarity Costs:</w:t>
      </w:r>
      <w:r w:rsidRPr="00A03121">
        <w:t> Firm-specific costs arising from a lack of roots, local network integration, and unfamiliarity with the host country environment.</w:t>
      </w:r>
    </w:p>
    <w:p w14:paraId="5CA3E8DC" w14:textId="77777777" w:rsidR="00A03121" w:rsidRPr="00A03121" w:rsidRDefault="00A03121" w:rsidP="00A03121">
      <w:pPr>
        <w:numPr>
          <w:ilvl w:val="1"/>
          <w:numId w:val="2"/>
        </w:numPr>
      </w:pPr>
      <w:r w:rsidRPr="00A03121">
        <w:rPr>
          <w:i/>
          <w:iCs/>
        </w:rPr>
        <w:t>Host-Country Costs:</w:t>
      </w:r>
      <w:r w:rsidRPr="00A03121">
        <w:t> Disadvantages resulting from host-environment factors, such as lack of institutional legitimacy, economic nationalism, and political discrimination against foreign firms.</w:t>
      </w:r>
    </w:p>
    <w:p w14:paraId="1729302B" w14:textId="77777777" w:rsidR="00A03121" w:rsidRPr="00A03121" w:rsidRDefault="00A03121" w:rsidP="00A03121">
      <w:pPr>
        <w:numPr>
          <w:ilvl w:val="1"/>
          <w:numId w:val="2"/>
        </w:numPr>
      </w:pPr>
      <w:r w:rsidRPr="00A03121">
        <w:rPr>
          <w:i/>
          <w:iCs/>
        </w:rPr>
        <w:t>Home-Country Costs:</w:t>
      </w:r>
      <w:r w:rsidRPr="00A03121">
        <w:t> Institutional restrictions imposed on the parent enterprise by its home government (e.g., U.S. high-technology sales restrictions) that constrain overseas subunit operations.</w:t>
      </w:r>
    </w:p>
    <w:p w14:paraId="222998D8" w14:textId="77777777" w:rsidR="00A03121" w:rsidRPr="00A03121" w:rsidRDefault="00A03121" w:rsidP="00A03121">
      <w:pPr>
        <w:numPr>
          <w:ilvl w:val="0"/>
          <w:numId w:val="2"/>
        </w:numPr>
      </w:pPr>
      <w:r w:rsidRPr="00A03121">
        <w:rPr>
          <w:b/>
          <w:bCs/>
        </w:rPr>
        <w:t>MNE Archetypes and LOF Vulnerability:</w:t>
      </w:r>
      <w:r w:rsidRPr="00A03121">
        <w:t xml:space="preserve"> The severity of LOF depends on MNE structural design. Horizontal/market-seeking MNEs (standalone subunits replicating operations local-for-local) face particularly acute LOF. Conversely, vertical MNEs (geographically dispersed subunits acting as stages in a globally integrated value </w:t>
      </w:r>
      <w:r w:rsidRPr="00A03121">
        <w:lastRenderedPageBreak/>
        <w:t>chain) and networked MNEs (subunits with differentiated roles and integration levels) experience LOF less severely due to global scale and scope economies.</w:t>
      </w:r>
    </w:p>
    <w:p w14:paraId="30D96B4A" w14:textId="77777777" w:rsidR="00A03121" w:rsidRPr="00A03121" w:rsidRDefault="00A03121" w:rsidP="00A03121">
      <w:pPr>
        <w:numPr>
          <w:ilvl w:val="0"/>
          <w:numId w:val="2"/>
        </w:numPr>
      </w:pPr>
      <w:r w:rsidRPr="00A03121">
        <w:rPr>
          <w:b/>
          <w:bCs/>
        </w:rPr>
        <w:t>Hypothesis 1 Formulation:</w:t>
      </w:r>
    </w:p>
    <w:p w14:paraId="1FF5C10A" w14:textId="77777777" w:rsidR="00A03121" w:rsidRPr="00A03121" w:rsidRDefault="00A03121" w:rsidP="00A03121">
      <w:pPr>
        <w:numPr>
          <w:ilvl w:val="1"/>
          <w:numId w:val="3"/>
        </w:numPr>
      </w:pPr>
      <w:r w:rsidRPr="00A03121">
        <w:rPr>
          <w:b/>
          <w:bCs/>
        </w:rPr>
        <w:t>Hypothesis 1:</w:t>
      </w:r>
      <w:r w:rsidRPr="00A03121">
        <w:t> </w:t>
      </w:r>
      <w:r w:rsidRPr="00A03121">
        <w:rPr>
          <w:i/>
          <w:iCs/>
        </w:rPr>
        <w:t>"Foreign trading rooms will be less profitable than local trading rooms in the same location, ceteris paribus."</w:t>
      </w:r>
    </w:p>
    <w:p w14:paraId="31FB573A" w14:textId="77777777" w:rsidR="00A03121" w:rsidRPr="00A03121" w:rsidRDefault="00A03121" w:rsidP="00A03121">
      <w:pPr>
        <w:numPr>
          <w:ilvl w:val="1"/>
          <w:numId w:val="3"/>
        </w:numPr>
      </w:pPr>
      <w:r w:rsidRPr="00A03121">
        <w:rPr>
          <w:i/>
          <w:iCs/>
        </w:rPr>
        <w:t>Causal Logic:</w:t>
      </w:r>
      <w:r w:rsidRPr="00A03121">
        <w:t> Although speculative currency trading occurs across international borders, customer-driven order flow remains largely local due to institutional relationships, convenience, and cost. Local trading rooms possess superior integration into local information networks, larger customer bases, and direct connections to local central banks and policymakers (e.g., German banks possessing superior insight into Bundesbank interest rate policy). Because customer order flows serve as leading indicators of currency demand and facilitate speculative positioning ("trading ahead" of customer orders), foreign trading rooms face an informational disadvantage that depresses trading profitability.</w:t>
      </w:r>
    </w:p>
    <w:p w14:paraId="124E2790" w14:textId="77777777" w:rsidR="00A03121" w:rsidRPr="00A03121" w:rsidRDefault="00A03121" w:rsidP="00A03121">
      <w:pPr>
        <w:rPr>
          <w:b/>
          <w:bCs/>
        </w:rPr>
      </w:pPr>
      <w:r w:rsidRPr="00A03121">
        <w:rPr>
          <w:b/>
          <w:bCs/>
        </w:rPr>
        <w:t>2.2 Firm-Specific Advantage Versus Local Isomorphism</w:t>
      </w:r>
    </w:p>
    <w:p w14:paraId="5B506A78" w14:textId="77777777" w:rsidR="00A03121" w:rsidRPr="00A03121" w:rsidRDefault="00A03121" w:rsidP="00A03121">
      <w:pPr>
        <w:numPr>
          <w:ilvl w:val="0"/>
          <w:numId w:val="4"/>
        </w:numPr>
      </w:pPr>
      <w:r w:rsidRPr="00A03121">
        <w:rPr>
          <w:b/>
          <w:bCs/>
        </w:rPr>
        <w:t>Strategic Dilemma:</w:t>
      </w:r>
      <w:r w:rsidRPr="00A03121">
        <w:t> MNEs encounter a fundamental trade-off between maintaining home-parent organizational routines across overseas operations versus adapting those routines to achieve congruence with host-country norms.</w:t>
      </w:r>
    </w:p>
    <w:p w14:paraId="37116F69" w14:textId="77777777" w:rsidR="00A03121" w:rsidRPr="00A03121" w:rsidRDefault="00A03121" w:rsidP="00A03121">
      <w:pPr>
        <w:numPr>
          <w:ilvl w:val="0"/>
          <w:numId w:val="4"/>
        </w:numPr>
      </w:pPr>
      <w:r w:rsidRPr="00A03121">
        <w:rPr>
          <w:b/>
          <w:bCs/>
        </w:rPr>
        <w:t>Firm-Specific Advantage Logic:</w:t>
      </w:r>
      <w:r w:rsidRPr="00A03121">
        <w:t> In commodity markets lacking product differentiation, transferring organizational routines (such as managerial skills and internal control systems) serves as an imported capability that compensates for foreignness liabilities.</w:t>
      </w:r>
    </w:p>
    <w:p w14:paraId="32EBE59D" w14:textId="77777777" w:rsidR="00A03121" w:rsidRPr="00A03121" w:rsidRDefault="00A03121" w:rsidP="00A03121">
      <w:pPr>
        <w:numPr>
          <w:ilvl w:val="0"/>
          <w:numId w:val="4"/>
        </w:numPr>
      </w:pPr>
      <w:r w:rsidRPr="00A03121">
        <w:rPr>
          <w:b/>
          <w:bCs/>
        </w:rPr>
        <w:t>Institutional Isomorphism Logic:</w:t>
      </w:r>
      <w:r w:rsidRPr="00A03121">
        <w:t> Institutional theory identifies three mechanisms driving organizational uniformity: coercive isomorphism (regulatory mandates), normative isomorphism (professional standards), and </w:t>
      </w:r>
      <w:r w:rsidRPr="00A03121">
        <w:rPr>
          <w:i/>
          <w:iCs/>
        </w:rPr>
        <w:t>mimetic isomorphism</w:t>
      </w:r>
      <w:r w:rsidRPr="00A03121">
        <w:t> (imitating successful local exemplars). Mimetic isomorphism is especially powerful in free, unregulated competitive environments where firms copy successful host-market competitors to improve performance.</w:t>
      </w:r>
    </w:p>
    <w:p w14:paraId="1ED4830A" w14:textId="77777777" w:rsidR="00A03121" w:rsidRPr="00A03121" w:rsidRDefault="00A03121" w:rsidP="00A03121">
      <w:pPr>
        <w:numPr>
          <w:ilvl w:val="0"/>
          <w:numId w:val="4"/>
        </w:numPr>
      </w:pPr>
      <w:r w:rsidRPr="00A03121">
        <w:rPr>
          <w:b/>
          <w:bCs/>
        </w:rPr>
        <w:t>Competing Hypotheses Formulations:</w:t>
      </w:r>
    </w:p>
    <w:p w14:paraId="59B3E9A7" w14:textId="77777777" w:rsidR="00A03121" w:rsidRPr="00A03121" w:rsidRDefault="00A03121" w:rsidP="00A03121">
      <w:pPr>
        <w:numPr>
          <w:ilvl w:val="1"/>
          <w:numId w:val="4"/>
        </w:numPr>
      </w:pPr>
      <w:r w:rsidRPr="00A03121">
        <w:rPr>
          <w:b/>
          <w:bCs/>
        </w:rPr>
        <w:t>Hypothesis 2a:</w:t>
      </w:r>
      <w:r w:rsidRPr="00A03121">
        <w:t> </w:t>
      </w:r>
      <w:r w:rsidRPr="00A03121">
        <w:rPr>
          <w:i/>
          <w:iCs/>
        </w:rPr>
        <w:t>"Foreign trading rooms whose organizational practices more closely resemble those of their firms' domestic trading rooms will show less evidence of the liability of foreignness."</w:t>
      </w:r>
    </w:p>
    <w:p w14:paraId="66178F65" w14:textId="77777777" w:rsidR="00A03121" w:rsidRPr="00A03121" w:rsidRDefault="00A03121" w:rsidP="00A03121">
      <w:pPr>
        <w:numPr>
          <w:ilvl w:val="1"/>
          <w:numId w:val="4"/>
        </w:numPr>
      </w:pPr>
      <w:r w:rsidRPr="00A03121">
        <w:rPr>
          <w:b/>
          <w:bCs/>
        </w:rPr>
        <w:lastRenderedPageBreak/>
        <w:t>Hypothesis 2b:</w:t>
      </w:r>
      <w:r w:rsidRPr="00A03121">
        <w:t> </w:t>
      </w:r>
      <w:r w:rsidRPr="00A03121">
        <w:rPr>
          <w:i/>
          <w:iCs/>
        </w:rPr>
        <w:t>"Foreign trading rooms whose organizational practices more closely resemble the practices of local trading rooms in their location will show less evidence of the liability of foreignness."</w:t>
      </w:r>
    </w:p>
    <w:p w14:paraId="30E50CD4" w14:textId="77777777" w:rsidR="00A03121" w:rsidRPr="00A03121" w:rsidRDefault="00A03121" w:rsidP="00A03121">
      <w:pPr>
        <w:rPr>
          <w:b/>
          <w:bCs/>
        </w:rPr>
      </w:pPr>
      <w:r w:rsidRPr="00A03121">
        <w:rPr>
          <w:b/>
          <w:bCs/>
        </w:rPr>
        <w:t>2.3 Market and Bureaucratic Controls</w:t>
      </w:r>
    </w:p>
    <w:p w14:paraId="5E29F383" w14:textId="77777777" w:rsidR="00A03121" w:rsidRPr="00A03121" w:rsidRDefault="00A03121" w:rsidP="00A03121">
      <w:pPr>
        <w:numPr>
          <w:ilvl w:val="0"/>
          <w:numId w:val="5"/>
        </w:numPr>
      </w:pPr>
      <w:r w:rsidRPr="00A03121">
        <w:rPr>
          <w:b/>
          <w:bCs/>
        </w:rPr>
        <w:t>Practice Selection Criteria:</w:t>
      </w:r>
      <w:r w:rsidRPr="00A03121">
        <w:t> To empirically test competing hypotheses, organizational practices were selected based on two criteria:</w:t>
      </w:r>
    </w:p>
    <w:p w14:paraId="0A6FC1E8" w14:textId="77777777" w:rsidR="00A03121" w:rsidRPr="00A03121" w:rsidRDefault="00A03121" w:rsidP="00A03121">
      <w:pPr>
        <w:numPr>
          <w:ilvl w:val="1"/>
          <w:numId w:val="5"/>
        </w:numPr>
      </w:pPr>
      <w:r w:rsidRPr="00A03121">
        <w:t>The practices must differ significantly between local trading rooms in Western banks in New York and Japanese banks in Tokyo.</w:t>
      </w:r>
    </w:p>
    <w:p w14:paraId="7C6EA889" w14:textId="77777777" w:rsidR="00A03121" w:rsidRPr="00A03121" w:rsidRDefault="00A03121" w:rsidP="00A03121">
      <w:pPr>
        <w:numPr>
          <w:ilvl w:val="1"/>
          <w:numId w:val="5"/>
        </w:numPr>
      </w:pPr>
      <w:r w:rsidRPr="00A03121">
        <w:t>The practices must directly influence trading room performance.</w:t>
      </w:r>
    </w:p>
    <w:p w14:paraId="3C448602" w14:textId="77777777" w:rsidR="00A03121" w:rsidRPr="00A03121" w:rsidRDefault="00A03121" w:rsidP="00A03121">
      <w:pPr>
        <w:numPr>
          <w:ilvl w:val="0"/>
          <w:numId w:val="5"/>
        </w:numPr>
      </w:pPr>
      <w:r w:rsidRPr="00A03121">
        <w:rPr>
          <w:b/>
          <w:bCs/>
        </w:rPr>
        <w:t>Eliminated Practices:</w:t>
      </w:r>
      <w:r w:rsidRPr="00A03121">
        <w:t> Formal organizational structure (identical across regions: currency pair traders, client traders, back-office settlement) and physical desk layout (predominantly straight-line, with a few island configurations in New York) showed minimal variance and were controlled for or eliminated.</w:t>
      </w:r>
    </w:p>
    <w:p w14:paraId="2BD5C655" w14:textId="77777777" w:rsidR="00A03121" w:rsidRPr="00A03121" w:rsidRDefault="00A03121" w:rsidP="00A03121">
      <w:pPr>
        <w:numPr>
          <w:ilvl w:val="0"/>
          <w:numId w:val="5"/>
        </w:numPr>
      </w:pPr>
      <w:r w:rsidRPr="00A03121">
        <w:rPr>
          <w:b/>
          <w:bCs/>
        </w:rPr>
        <w:t>Exclusion of Ouchi's Clan Controls (p. 346, Footnote 2):</w:t>
      </w:r>
      <w:r w:rsidRPr="00A03121">
        <w:t> Clan controls were explicitly omitted from the empirical models for two primary reasons:</w:t>
      </w:r>
    </w:p>
    <w:p w14:paraId="432668EB" w14:textId="77777777" w:rsidR="00A03121" w:rsidRPr="00A03121" w:rsidRDefault="00A03121" w:rsidP="00A03121">
      <w:pPr>
        <w:numPr>
          <w:ilvl w:val="1"/>
          <w:numId w:val="5"/>
        </w:numPr>
      </w:pPr>
      <w:r w:rsidRPr="00A03121">
        <w:t>Construct reliability across subsamples was exceptionally low (\alpha = .35 - .62).</w:t>
      </w:r>
    </w:p>
    <w:p w14:paraId="3393E87F" w14:textId="77777777" w:rsidR="00A03121" w:rsidRPr="00A03121" w:rsidRDefault="00A03121" w:rsidP="00A03121">
      <w:pPr>
        <w:numPr>
          <w:ilvl w:val="1"/>
          <w:numId w:val="5"/>
        </w:numPr>
      </w:pPr>
      <w:r w:rsidRPr="00A03121">
        <w:t>Japanese banks scored high on </w:t>
      </w:r>
      <w:r w:rsidRPr="00A03121">
        <w:rPr>
          <w:i/>
          <w:iCs/>
        </w:rPr>
        <w:t>both</w:t>
      </w:r>
      <w:r w:rsidRPr="00A03121">
        <w:t> clan controls and bureaucratic controls. This disproved the theoretical assumption (Ouchi, 1981) that clan controls act as a substitute for formal control mechanisms in currency trading environments.</w:t>
      </w:r>
    </w:p>
    <w:p w14:paraId="4C4B23E8" w14:textId="77777777" w:rsidR="00A03121" w:rsidRPr="00A03121" w:rsidRDefault="00A03121" w:rsidP="00A03121">
      <w:pPr>
        <w:numPr>
          <w:ilvl w:val="0"/>
          <w:numId w:val="5"/>
        </w:numPr>
      </w:pPr>
      <w:r w:rsidRPr="00A03121">
        <w:rPr>
          <w:b/>
          <w:bCs/>
        </w:rPr>
        <w:t>Market Controls (Ouchi, 1979):</w:t>
      </w:r>
    </w:p>
    <w:p w14:paraId="79AD57F7" w14:textId="77777777" w:rsidR="00A03121" w:rsidRPr="00A03121" w:rsidRDefault="00A03121" w:rsidP="00A03121">
      <w:pPr>
        <w:numPr>
          <w:ilvl w:val="1"/>
          <w:numId w:val="6"/>
        </w:numPr>
      </w:pPr>
      <w:r w:rsidRPr="00A03121">
        <w:rPr>
          <w:i/>
          <w:iCs/>
        </w:rPr>
        <w:t>Definition &amp; Translation:</w:t>
      </w:r>
      <w:r w:rsidRPr="00A03121">
        <w:t> Systems that control employee behavior by rewarding direct individual performance contributions (performance-linked bonuses, external labor market hiring, high trader turnover). At the trader level, market controls tie compensation directly to individual profit generation; at the room level, they dictate talent acquisition and retention strategy.</w:t>
      </w:r>
    </w:p>
    <w:p w14:paraId="0A149306" w14:textId="77777777" w:rsidR="00A03121" w:rsidRPr="00A03121" w:rsidRDefault="00A03121" w:rsidP="00A03121">
      <w:pPr>
        <w:numPr>
          <w:ilvl w:val="1"/>
          <w:numId w:val="6"/>
        </w:numPr>
      </w:pPr>
      <w:r w:rsidRPr="00A03121">
        <w:rPr>
          <w:i/>
          <w:iCs/>
        </w:rPr>
        <w:t>Regional Contrast:</w:t>
      </w:r>
      <w:r w:rsidRPr="00A03121">
        <w:t> Highly prevalent in Western banks in New York; virtually absent in Japanese banks in Tokyo.</w:t>
      </w:r>
    </w:p>
    <w:p w14:paraId="5258FD0F" w14:textId="77777777" w:rsidR="00A03121" w:rsidRPr="00A03121" w:rsidRDefault="00A03121" w:rsidP="00A03121">
      <w:pPr>
        <w:numPr>
          <w:ilvl w:val="1"/>
          <w:numId w:val="6"/>
        </w:numPr>
      </w:pPr>
      <w:r w:rsidRPr="00A03121">
        <w:rPr>
          <w:i/>
          <w:iCs/>
        </w:rPr>
        <w:t>Performance Impact:</w:t>
      </w:r>
      <w:r w:rsidRPr="00A03121">
        <w:t xml:space="preserve"> In speculative FX trading, room performance depends on individual trader skill and effort. Market controls attract top-tier trading </w:t>
      </w:r>
      <w:r w:rsidRPr="00A03121">
        <w:lastRenderedPageBreak/>
        <w:t>talent through self-selection and incentivize maximum trading effort by raising individual financial stakes, establishing a positive relationship with room profitability.</w:t>
      </w:r>
    </w:p>
    <w:p w14:paraId="3AF104E9" w14:textId="77777777" w:rsidR="00A03121" w:rsidRPr="00A03121" w:rsidRDefault="00A03121" w:rsidP="00A03121">
      <w:pPr>
        <w:numPr>
          <w:ilvl w:val="0"/>
          <w:numId w:val="5"/>
        </w:numPr>
      </w:pPr>
      <w:r w:rsidRPr="00A03121">
        <w:rPr>
          <w:b/>
          <w:bCs/>
        </w:rPr>
        <w:t xml:space="preserve">Bureaucratic </w:t>
      </w:r>
      <w:proofErr w:type="spellStart"/>
      <w:r w:rsidRPr="00A03121">
        <w:rPr>
          <w:b/>
          <w:bCs/>
        </w:rPr>
        <w:t>Microcontrols</w:t>
      </w:r>
      <w:proofErr w:type="spellEnd"/>
      <w:r w:rsidRPr="00A03121">
        <w:rPr>
          <w:b/>
          <w:bCs/>
        </w:rPr>
        <w:t>:</w:t>
      </w:r>
    </w:p>
    <w:p w14:paraId="4B563E07" w14:textId="77777777" w:rsidR="00A03121" w:rsidRPr="00A03121" w:rsidRDefault="00A03121" w:rsidP="00A03121">
      <w:pPr>
        <w:numPr>
          <w:ilvl w:val="1"/>
          <w:numId w:val="7"/>
        </w:numPr>
      </w:pPr>
      <w:r w:rsidRPr="00A03121">
        <w:rPr>
          <w:i/>
          <w:iCs/>
        </w:rPr>
        <w:t>Definition:</w:t>
      </w:r>
      <w:r w:rsidRPr="00A03121">
        <w:t> Rule-based control systems that enforce detailed operational constraints ("</w:t>
      </w:r>
      <w:proofErr w:type="spellStart"/>
      <w:r w:rsidRPr="00A03121">
        <w:t>microcontrols</w:t>
      </w:r>
      <w:proofErr w:type="spellEnd"/>
      <w:r w:rsidRPr="00A03121">
        <w:t>"), specifically establishing strict intraday and overnight open position limits per currency and per trader.</w:t>
      </w:r>
    </w:p>
    <w:p w14:paraId="46967526" w14:textId="77777777" w:rsidR="00A03121" w:rsidRPr="00A03121" w:rsidRDefault="00A03121" w:rsidP="00A03121">
      <w:pPr>
        <w:numPr>
          <w:ilvl w:val="1"/>
          <w:numId w:val="7"/>
        </w:numPr>
      </w:pPr>
      <w:r w:rsidRPr="00A03121">
        <w:rPr>
          <w:i/>
          <w:iCs/>
        </w:rPr>
        <w:t>Regional Contrast:</w:t>
      </w:r>
      <w:r w:rsidRPr="00A03121">
        <w:t> Rigidly enforced in Japanese banks in Tokyo; loose or flexible in Western banks in New York.</w:t>
      </w:r>
    </w:p>
    <w:p w14:paraId="15190E25" w14:textId="77777777" w:rsidR="00A03121" w:rsidRPr="00A03121" w:rsidRDefault="00A03121" w:rsidP="00A03121">
      <w:pPr>
        <w:numPr>
          <w:ilvl w:val="1"/>
          <w:numId w:val="7"/>
        </w:numPr>
      </w:pPr>
      <w:r w:rsidRPr="00A03121">
        <w:rPr>
          <w:i/>
          <w:iCs/>
        </w:rPr>
        <w:t>Performance Impact:</w:t>
      </w:r>
      <w:r w:rsidRPr="00A03121">
        <w:t xml:space="preserve"> Fast-moving speculative markets require traders to make split-second decisions based on subtle market trends. Rigid bureaucratic </w:t>
      </w:r>
      <w:proofErr w:type="spellStart"/>
      <w:r w:rsidRPr="00A03121">
        <w:t>microcontrols</w:t>
      </w:r>
      <w:proofErr w:type="spellEnd"/>
      <w:r w:rsidRPr="00A03121">
        <w:t xml:space="preserve"> restrict trader agility, prevent full exploitation of short-term profit opportunities, and degrade room performance by preventing traders from sensing and "riding" market momentum.</w:t>
      </w:r>
    </w:p>
    <w:p w14:paraId="7D406506" w14:textId="77777777" w:rsidR="00A03121" w:rsidRPr="00A03121" w:rsidRDefault="00A03121" w:rsidP="00A03121">
      <w:r w:rsidRPr="00A03121">
        <w:t>Translating these theoretical constructs into empirical tests requires a cross-national research design to operationalize foreignness liabilities and control mechanisms across international financial centers.</w:t>
      </w:r>
    </w:p>
    <w:p w14:paraId="2A70913D" w14:textId="77777777" w:rsidR="00A03121" w:rsidRPr="00A03121" w:rsidRDefault="00A03121" w:rsidP="00A03121">
      <w:pPr>
        <w:rPr>
          <w:b/>
          <w:bCs/>
        </w:rPr>
      </w:pPr>
      <w:r w:rsidRPr="00A03121">
        <w:rPr>
          <w:b/>
          <w:bCs/>
        </w:rPr>
        <w:t>3. METHODS</w:t>
      </w:r>
    </w:p>
    <w:p w14:paraId="3B80A6F4" w14:textId="77777777" w:rsidR="00A03121" w:rsidRPr="00A03121" w:rsidRDefault="00A03121" w:rsidP="00A03121">
      <w:r w:rsidRPr="00A03121">
        <w:t>Evaluating LOF and organizational practice transfer requires a multi-method, cross-national paired sample design that controls for industry-specific and firm-level confounding variables.</w:t>
      </w:r>
    </w:p>
    <w:p w14:paraId="5191B7A8" w14:textId="77777777" w:rsidR="00A03121" w:rsidRPr="00A03121" w:rsidRDefault="00A03121" w:rsidP="00A03121">
      <w:pPr>
        <w:rPr>
          <w:b/>
          <w:bCs/>
        </w:rPr>
      </w:pPr>
      <w:r w:rsidRPr="00A03121">
        <w:rPr>
          <w:b/>
          <w:bCs/>
        </w:rPr>
        <w:t>3.1 Data</w:t>
      </w:r>
    </w:p>
    <w:p w14:paraId="5E3F79C7" w14:textId="77777777" w:rsidR="00A03121" w:rsidRPr="00A03121" w:rsidRDefault="00A03121" w:rsidP="00A03121">
      <w:pPr>
        <w:numPr>
          <w:ilvl w:val="0"/>
          <w:numId w:val="8"/>
        </w:numPr>
      </w:pPr>
      <w:r w:rsidRPr="00A03121">
        <w:rPr>
          <w:b/>
          <w:bCs/>
        </w:rPr>
        <w:t>Sampling Frame and Institutional Sources:</w:t>
      </w:r>
      <w:r w:rsidRPr="00A03121">
        <w:t> Foreign banks in Tokyo were identified using the directory published by the </w:t>
      </w:r>
      <w:r w:rsidRPr="00A03121">
        <w:rPr>
          <w:i/>
          <w:iCs/>
        </w:rPr>
        <w:t>Federation of Bankers Associations of Japan (</w:t>
      </w:r>
      <w:proofErr w:type="spellStart"/>
      <w:r w:rsidRPr="00A03121">
        <w:rPr>
          <w:i/>
          <w:iCs/>
        </w:rPr>
        <w:t>Zenginkyo</w:t>
      </w:r>
      <w:proofErr w:type="spellEnd"/>
      <w:r w:rsidRPr="00A03121">
        <w:rPr>
          <w:i/>
          <w:iCs/>
        </w:rPr>
        <w:t>, 1989)</w:t>
      </w:r>
      <w:r w:rsidRPr="00A03121">
        <w:t> and </w:t>
      </w:r>
      <w:r w:rsidRPr="00A03121">
        <w:rPr>
          <w:i/>
          <w:iCs/>
        </w:rPr>
        <w:t>Hambros Bank's (1989) Foreign Exchange and Bullion Dealers Directory</w:t>
      </w:r>
      <w:r w:rsidRPr="00A03121">
        <w:t>. To ensure global competitiveness, 10 of the 12 sampled parent banks appeared on </w:t>
      </w:r>
      <w:r w:rsidRPr="00A03121">
        <w:rPr>
          <w:i/>
          <w:iCs/>
        </w:rPr>
        <w:t>Euromoney's (1991)</w:t>
      </w:r>
      <w:r w:rsidRPr="00A03121">
        <w:t> list of the top 50 worldwide foreign exchange dealers over the 1979–1991 period.</w:t>
      </w:r>
    </w:p>
    <w:p w14:paraId="442FA7A7" w14:textId="77777777" w:rsidR="00A03121" w:rsidRPr="00A03121" w:rsidRDefault="00A03121" w:rsidP="00A03121">
      <w:pPr>
        <w:numPr>
          <w:ilvl w:val="0"/>
          <w:numId w:val="8"/>
        </w:numPr>
      </w:pPr>
      <w:r w:rsidRPr="00A03121">
        <w:rPr>
          <w:b/>
          <w:bCs/>
        </w:rPr>
        <w:t>Sample Structure:</w:t>
      </w:r>
    </w:p>
    <w:p w14:paraId="733F7BC5" w14:textId="77777777" w:rsidR="00A03121" w:rsidRPr="00A03121" w:rsidRDefault="00A03121" w:rsidP="00A03121">
      <w:pPr>
        <w:numPr>
          <w:ilvl w:val="1"/>
          <w:numId w:val="8"/>
        </w:numPr>
      </w:pPr>
      <w:r w:rsidRPr="00A03121">
        <w:rPr>
          <w:i/>
          <w:iCs/>
        </w:rPr>
        <w:t>Full Sample:</w:t>
      </w:r>
      <w:r w:rsidRPr="00A03121">
        <w:t> 28 trading rooms (13 in New York, 15 in Tokyo) belonging to 8 Western and 8 Japanese multinational banks.</w:t>
      </w:r>
    </w:p>
    <w:p w14:paraId="657C270E" w14:textId="77777777" w:rsidR="00A03121" w:rsidRPr="00A03121" w:rsidRDefault="00A03121" w:rsidP="00A03121">
      <w:pPr>
        <w:numPr>
          <w:ilvl w:val="1"/>
          <w:numId w:val="8"/>
        </w:numPr>
      </w:pPr>
      <w:r w:rsidRPr="00A03121">
        <w:rPr>
          <w:i/>
          <w:iCs/>
        </w:rPr>
        <w:lastRenderedPageBreak/>
        <w:t>Paired Sample for Hypothesis Tests:</w:t>
      </w:r>
      <w:r w:rsidRPr="00A03121">
        <w:t> 24 trading rooms (12 in New York, 12 in Tokyo) belonging to 6 Western and 6 Japanese banks, structured as matched pairs where each pair belongs to the exact same parent bank.</w:t>
      </w:r>
    </w:p>
    <w:p w14:paraId="66F332E7" w14:textId="77777777" w:rsidR="00A03121" w:rsidRPr="00A03121" w:rsidRDefault="00A03121" w:rsidP="00A03121">
      <w:pPr>
        <w:numPr>
          <w:ilvl w:val="0"/>
          <w:numId w:val="8"/>
        </w:numPr>
      </w:pPr>
      <w:r w:rsidRPr="00A03121">
        <w:rPr>
          <w:b/>
          <w:bCs/>
        </w:rPr>
        <w:t>Respondent Breakdown:</w:t>
      </w:r>
      <w:r w:rsidRPr="00A03121">
        <w:t> Surveys were completed by 198 foreign exchange traders, achieving an overall response rate of 79% (63% in New York, 92% in Tokyo). The paired sample yielded 174 trader responses (51 Japanese traders in Tokyo, 31 Japanese traders in New York, 53 Western traders in Tokyo, 39 Western traders in New York).</w:t>
      </w:r>
    </w:p>
    <w:p w14:paraId="1AF4BA90" w14:textId="77777777" w:rsidR="00A03121" w:rsidRPr="00A03121" w:rsidRDefault="00A03121" w:rsidP="00A03121">
      <w:pPr>
        <w:rPr>
          <w:b/>
          <w:bCs/>
        </w:rPr>
      </w:pPr>
      <w:r w:rsidRPr="00A03121">
        <w:rPr>
          <w:b/>
          <w:bCs/>
        </w:rPr>
        <w:t>3.2 Questionnaires</w:t>
      </w:r>
    </w:p>
    <w:p w14:paraId="39A5D658" w14:textId="77777777" w:rsidR="00A03121" w:rsidRPr="00A03121" w:rsidRDefault="00A03121" w:rsidP="00A03121">
      <w:pPr>
        <w:numPr>
          <w:ilvl w:val="0"/>
          <w:numId w:val="9"/>
        </w:numPr>
      </w:pPr>
      <w:r w:rsidRPr="00A03121">
        <w:rPr>
          <w:b/>
          <w:bCs/>
        </w:rPr>
        <w:t>Two-Level Survey Design:</w:t>
      </w:r>
      <w:r w:rsidRPr="00A03121">
        <w:t> To eliminate common method bias, measurement roles were split across distinct informant groups:</w:t>
      </w:r>
    </w:p>
    <w:p w14:paraId="2A1CB201" w14:textId="77777777" w:rsidR="00A03121" w:rsidRPr="00A03121" w:rsidRDefault="00A03121" w:rsidP="00A03121">
      <w:pPr>
        <w:numPr>
          <w:ilvl w:val="1"/>
          <w:numId w:val="9"/>
        </w:numPr>
      </w:pPr>
      <w:r w:rsidRPr="00A03121">
        <w:rPr>
          <w:i/>
          <w:iCs/>
        </w:rPr>
        <w:t>Traders:</w:t>
      </w:r>
      <w:r w:rsidRPr="00A03121">
        <w:t> Assessed room-level organizational practices (independent variables).</w:t>
      </w:r>
    </w:p>
    <w:p w14:paraId="29E5A782" w14:textId="77777777" w:rsidR="00A03121" w:rsidRPr="00A03121" w:rsidRDefault="00A03121" w:rsidP="00A03121">
      <w:pPr>
        <w:numPr>
          <w:ilvl w:val="1"/>
          <w:numId w:val="9"/>
        </w:numPr>
      </w:pPr>
      <w:r w:rsidRPr="00A03121">
        <w:rPr>
          <w:i/>
          <w:iCs/>
        </w:rPr>
        <w:t>Trading Room Heads:</w:t>
      </w:r>
      <w:r w:rsidRPr="00A03121">
        <w:t> Evaluated trading room profitability and performance (dependent variable).</w:t>
      </w:r>
    </w:p>
    <w:p w14:paraId="6A57E337" w14:textId="77777777" w:rsidR="00A03121" w:rsidRPr="00A03121" w:rsidRDefault="00A03121" w:rsidP="00A03121">
      <w:pPr>
        <w:numPr>
          <w:ilvl w:val="0"/>
          <w:numId w:val="9"/>
        </w:numPr>
      </w:pPr>
      <w:r w:rsidRPr="00A03121">
        <w:rPr>
          <w:b/>
          <w:bCs/>
        </w:rPr>
        <w:t>Translation &amp; Reliability:</w:t>
      </w:r>
      <w:r w:rsidRPr="00A03121">
        <w:t> Japanese survey instruments underwent formal translation, back-translation, and pretesting. Construct reliabilities across Japanese and English versions proved stable, ranging from \alpha = .65 to \alpha = .95.</w:t>
      </w:r>
    </w:p>
    <w:p w14:paraId="48B4AFA3" w14:textId="77777777" w:rsidR="00A03121" w:rsidRPr="00A03121" w:rsidRDefault="00A03121" w:rsidP="00A03121">
      <w:pPr>
        <w:rPr>
          <w:b/>
          <w:bCs/>
        </w:rPr>
      </w:pPr>
      <w:r w:rsidRPr="00A03121">
        <w:rPr>
          <w:b/>
          <w:bCs/>
        </w:rPr>
        <w:t>3.3 Variables</w:t>
      </w:r>
    </w:p>
    <w:p w14:paraId="56C2E751" w14:textId="77777777" w:rsidR="00A03121" w:rsidRPr="00A03121" w:rsidRDefault="00A03121" w:rsidP="00A03121">
      <w:r w:rsidRPr="00A03121">
        <w:t>The table below summarizes the operationalization, definitions, mathematical measures, and scale reliabilities for all variables:</w:t>
      </w:r>
    </w:p>
    <w:tbl>
      <w:tblPr>
        <w:tblW w:w="117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95"/>
        <w:gridCol w:w="2208"/>
        <w:gridCol w:w="3777"/>
        <w:gridCol w:w="3980"/>
      </w:tblGrid>
      <w:tr w:rsidR="00A03121" w:rsidRPr="00A03121" w14:paraId="1A1A5E6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30E5DF" w14:textId="77777777" w:rsidR="00A03121" w:rsidRPr="00A03121" w:rsidRDefault="00A03121" w:rsidP="00A03121">
            <w:r w:rsidRPr="00A03121">
              <w:t>Variable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4EF4E84" w14:textId="77777777" w:rsidR="00A03121" w:rsidRPr="00A03121" w:rsidRDefault="00A03121" w:rsidP="00A03121">
            <w:r w:rsidRPr="00A03121">
              <w:t>Operational Definition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BA3E1C3" w14:textId="77777777" w:rsidR="00A03121" w:rsidRPr="00A03121" w:rsidRDefault="00A03121" w:rsidP="00A03121">
            <w:r w:rsidRPr="00A03121">
              <w:t>Mathematical Measure / Scale Design</w:t>
            </w:r>
          </w:p>
        </w:tc>
        <w:tc>
          <w:tcPr>
            <w:tcW w:w="0" w:type="auto"/>
            <w:tcBorders>
              <w:top w:val="outset" w:sz="6" w:space="0" w:color="auto"/>
              <w:left w:val="outset" w:sz="6" w:space="0" w:color="auto"/>
              <w:bottom w:val="outset" w:sz="6" w:space="0" w:color="auto"/>
              <w:right w:val="outset" w:sz="6" w:space="0" w:color="auto"/>
            </w:tcBorders>
            <w:vAlign w:val="center"/>
            <w:hideMark/>
          </w:tcPr>
          <w:p w14:paraId="0918DE72" w14:textId="77777777" w:rsidR="00A03121" w:rsidRPr="00A03121" w:rsidRDefault="00A03121" w:rsidP="00A03121">
            <w:r w:rsidRPr="00A03121">
              <w:t>Reliability / Validation</w:t>
            </w:r>
          </w:p>
        </w:tc>
      </w:tr>
      <w:tr w:rsidR="00A03121" w:rsidRPr="00A03121" w14:paraId="7E125AE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A48EF5" w14:textId="77777777" w:rsidR="00A03121" w:rsidRPr="00A03121" w:rsidRDefault="00A03121" w:rsidP="00A03121">
            <w:r w:rsidRPr="00A03121">
              <w:rPr>
                <w:b/>
                <w:bCs/>
              </w:rPr>
              <w:t>Liability of Foreignness (DV)</w:t>
            </w:r>
          </w:p>
        </w:tc>
        <w:tc>
          <w:tcPr>
            <w:tcW w:w="0" w:type="auto"/>
            <w:tcBorders>
              <w:top w:val="outset" w:sz="6" w:space="0" w:color="auto"/>
              <w:left w:val="outset" w:sz="6" w:space="0" w:color="auto"/>
              <w:bottom w:val="outset" w:sz="6" w:space="0" w:color="auto"/>
              <w:right w:val="outset" w:sz="6" w:space="0" w:color="auto"/>
            </w:tcBorders>
            <w:vAlign w:val="center"/>
            <w:hideMark/>
          </w:tcPr>
          <w:p w14:paraId="440CF1F2" w14:textId="77777777" w:rsidR="00A03121" w:rsidRPr="00A03121" w:rsidRDefault="00A03121" w:rsidP="00A03121">
            <w:r w:rsidRPr="00A03121">
              <w:t>Profit gap between local average and focal foreign trading room.</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A9972" w14:textId="77777777" w:rsidR="00A03121" w:rsidRPr="00A03121" w:rsidRDefault="00A03121" w:rsidP="00A03121">
            <w:r w:rsidRPr="00A03121">
              <w:t>\</w:t>
            </w:r>
            <w:proofErr w:type="gramStart"/>
            <w:r w:rsidRPr="00A03121">
              <w:t>text{</w:t>
            </w:r>
            <w:proofErr w:type="gramEnd"/>
            <w:r w:rsidRPr="00A03121">
              <w:t>Profit}</w:t>
            </w:r>
            <w:proofErr w:type="gramStart"/>
            <w:r w:rsidRPr="00A03121">
              <w:t>_{</w:t>
            </w:r>
            <w:proofErr w:type="gramEnd"/>
            <w:r w:rsidRPr="00A03121">
              <w:t>\</w:t>
            </w:r>
            <w:proofErr w:type="gramStart"/>
            <w:r w:rsidRPr="00A03121">
              <w:t>text{</w:t>
            </w:r>
            <w:proofErr w:type="gramEnd"/>
            <w:r w:rsidRPr="00A03121">
              <w:t>local average}} - \</w:t>
            </w:r>
            <w:proofErr w:type="gramStart"/>
            <w:r w:rsidRPr="00A03121">
              <w:t>text{</w:t>
            </w:r>
            <w:proofErr w:type="gramEnd"/>
            <w:r w:rsidRPr="00A03121">
              <w:t>Profit}</w:t>
            </w:r>
            <w:proofErr w:type="gramStart"/>
            <w:r w:rsidRPr="00A03121">
              <w:t>_{</w:t>
            </w:r>
            <w:proofErr w:type="gramEnd"/>
            <w:r w:rsidRPr="00A03121">
              <w:t>\</w:t>
            </w:r>
            <w:proofErr w:type="gramStart"/>
            <w:r w:rsidRPr="00A03121">
              <w:t>text{</w:t>
            </w:r>
            <w:proofErr w:type="gramEnd"/>
            <w:r w:rsidRPr="00A03121">
              <w:t>foreign room}}, using log-transformed profit per trader.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ECD8920" w14:textId="77777777" w:rsidR="00A03121" w:rsidRPr="00A03121" w:rsidRDefault="00A03121" w:rsidP="00A03121">
            <w:r w:rsidRPr="00A03121">
              <w:t>High values indicate greater LOF. Derived from trading room head surveys.</w:t>
            </w:r>
          </w:p>
        </w:tc>
      </w:tr>
      <w:tr w:rsidR="00A03121" w:rsidRPr="00A03121" w14:paraId="5B638CA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3543CE" w14:textId="77777777" w:rsidR="00A03121" w:rsidRPr="00A03121" w:rsidRDefault="00A03121" w:rsidP="00A03121">
            <w:r w:rsidRPr="00A03121">
              <w:rPr>
                <w:b/>
                <w:bCs/>
              </w:rPr>
              <w:t>Perceived Room Performance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376F60D" w14:textId="77777777" w:rsidR="00A03121" w:rsidRPr="00A03121" w:rsidRDefault="00A03121" w:rsidP="00A03121">
            <w:r w:rsidRPr="00A03121">
              <w:t>Perceptual rating of room profitability and trader quality.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A1DBF" w14:textId="77777777" w:rsidR="00A03121" w:rsidRPr="00A03121" w:rsidRDefault="00A03121" w:rsidP="00A03121">
            <w:r w:rsidRPr="00A03121">
              <w:t>4-item, 7-point Likert scale (1 = strongly disagree, 7 = strongly agree).</w:t>
            </w:r>
          </w:p>
        </w:tc>
        <w:tc>
          <w:tcPr>
            <w:tcW w:w="0" w:type="auto"/>
            <w:tcBorders>
              <w:top w:val="outset" w:sz="6" w:space="0" w:color="auto"/>
              <w:left w:val="outset" w:sz="6" w:space="0" w:color="auto"/>
              <w:bottom w:val="outset" w:sz="6" w:space="0" w:color="auto"/>
              <w:right w:val="outset" w:sz="6" w:space="0" w:color="auto"/>
            </w:tcBorders>
            <w:vAlign w:val="center"/>
            <w:hideMark/>
          </w:tcPr>
          <w:p w14:paraId="45E41E19" w14:textId="77777777" w:rsidR="00A03121" w:rsidRPr="00A03121" w:rsidRDefault="00A03121" w:rsidP="00A03121">
            <w:r w:rsidRPr="00A03121">
              <w:t>\alpha = .93 - .95. Correlated with actual profit (r = .65, p &lt; .01). Missing profits (10 rooms) estimated via regression (R^2 = .29, F = 10.56, p = .003, \beta = .54, t = 3.25).</w:t>
            </w:r>
          </w:p>
        </w:tc>
      </w:tr>
      <w:tr w:rsidR="00A03121" w:rsidRPr="00A03121" w14:paraId="7B2F99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516FDBE" w14:textId="77777777" w:rsidR="00A03121" w:rsidRPr="00A03121" w:rsidRDefault="00A03121" w:rsidP="00A03121">
            <w:r w:rsidRPr="00A03121">
              <w:rPr>
                <w:b/>
                <w:bCs/>
              </w:rPr>
              <w:lastRenderedPageBreak/>
              <w:t>Extent of Local Isomorphism</w:t>
            </w:r>
          </w:p>
        </w:tc>
        <w:tc>
          <w:tcPr>
            <w:tcW w:w="0" w:type="auto"/>
            <w:tcBorders>
              <w:top w:val="outset" w:sz="6" w:space="0" w:color="auto"/>
              <w:left w:val="outset" w:sz="6" w:space="0" w:color="auto"/>
              <w:bottom w:val="outset" w:sz="6" w:space="0" w:color="auto"/>
              <w:right w:val="outset" w:sz="6" w:space="0" w:color="auto"/>
            </w:tcBorders>
            <w:vAlign w:val="center"/>
            <w:hideMark/>
          </w:tcPr>
          <w:p w14:paraId="2E11222A" w14:textId="77777777" w:rsidR="00A03121" w:rsidRPr="00A03121" w:rsidRDefault="00A03121" w:rsidP="00A03121">
            <w:r w:rsidRPr="00A03121">
              <w:t>Similarity of foreign room practice to local host market mean.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2586B50" w14:textId="77777777" w:rsidR="00A03121" w:rsidRPr="00A03121" w:rsidRDefault="00A03121" w:rsidP="00A03121">
            <w:r w:rsidRPr="00A03121">
              <w:t>Absolute and signed distance between foreign room practice score and local market mean score.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519D5E5" w14:textId="77777777" w:rsidR="00A03121" w:rsidRPr="00A03121" w:rsidRDefault="00A03121" w:rsidP="00A03121">
            <w:r w:rsidRPr="00A03121">
              <w:t xml:space="preserve">Construct difference score reliability: \alpha_{\text{diff}} = \alpha^2; yielding .69 (0.83^2 for market controls) and .85 (0.92^2 for </w:t>
            </w:r>
            <w:proofErr w:type="spellStart"/>
            <w:r w:rsidRPr="00A03121">
              <w:t>microcontrols</w:t>
            </w:r>
            <w:proofErr w:type="spellEnd"/>
            <w:r w:rsidRPr="00A03121">
              <w:t>).</w:t>
            </w:r>
          </w:p>
        </w:tc>
      </w:tr>
      <w:tr w:rsidR="00A03121" w:rsidRPr="00A03121" w14:paraId="57F76F1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1B89A1" w14:textId="77777777" w:rsidR="00A03121" w:rsidRPr="00A03121" w:rsidRDefault="00A03121" w:rsidP="00A03121">
            <w:r w:rsidRPr="00A03121">
              <w:rPr>
                <w:b/>
                <w:bCs/>
              </w:rPr>
              <w:t>Firm-Specific Advantage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777BE7A3" w14:textId="77777777" w:rsidR="00A03121" w:rsidRPr="00A03121" w:rsidRDefault="00A03121" w:rsidP="00A03121">
            <w:r w:rsidRPr="00A03121">
              <w:t>Similarity of foreign room practice to home parent room practice.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77245AF" w14:textId="77777777" w:rsidR="00A03121" w:rsidRPr="00A03121" w:rsidRDefault="00A03121" w:rsidP="00A03121">
            <w:r w:rsidRPr="00A03121">
              <w:t>Absolute and signed distance between foreign subunit practice score and paired home parent room score.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5E832F4" w14:textId="77777777" w:rsidR="00A03121" w:rsidRPr="00A03121" w:rsidRDefault="00A03121" w:rsidP="00A03121">
            <w:r w:rsidRPr="00A03121">
              <w:t>Captures magnitude and directional departure from parent administrative heritage.</w:t>
            </w:r>
          </w:p>
        </w:tc>
      </w:tr>
      <w:tr w:rsidR="00A03121" w:rsidRPr="00A03121" w14:paraId="25E3346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6DA4E4" w14:textId="77777777" w:rsidR="00A03121" w:rsidRPr="00A03121" w:rsidRDefault="00A03121" w:rsidP="00A03121">
            <w:r w:rsidRPr="00A03121">
              <w:rPr>
                <w:b/>
                <w:bCs/>
              </w:rPr>
              <w:t xml:space="preserve">Bureaucratic </w:t>
            </w:r>
            <w:proofErr w:type="spellStart"/>
            <w:r w:rsidRPr="00A03121">
              <w:rPr>
                <w:b/>
                <w:bCs/>
              </w:rPr>
              <w:t>Microcontrols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B5B8901" w14:textId="77777777" w:rsidR="00A03121" w:rsidRPr="00A03121" w:rsidRDefault="00A03121" w:rsidP="00A03121">
            <w:r w:rsidRPr="00A03121">
              <w:t>Prevalence of explicit limits on trading positions.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31A3E4D3" w14:textId="77777777" w:rsidR="00A03121" w:rsidRPr="00A03121" w:rsidRDefault="00A03121" w:rsidP="00A03121">
            <w:r w:rsidRPr="00A03121">
              <w:t>4-item scale assessing overnight/intraday position limits by currency and trader.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78E370F" w14:textId="77777777" w:rsidR="00A03121" w:rsidRPr="00A03121" w:rsidRDefault="00A03121" w:rsidP="00A03121">
            <w:r w:rsidRPr="00A03121">
              <w:t>\alpha = .92 (full sample).</w:t>
            </w:r>
          </w:p>
        </w:tc>
      </w:tr>
      <w:tr w:rsidR="00A03121" w:rsidRPr="00A03121" w14:paraId="1B2634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5F5514" w14:textId="77777777" w:rsidR="00A03121" w:rsidRPr="00A03121" w:rsidRDefault="00A03121" w:rsidP="00A03121">
            <w:r w:rsidRPr="00A03121">
              <w:rPr>
                <w:b/>
                <w:bCs/>
              </w:rPr>
              <w:t>Market Control</w:t>
            </w:r>
          </w:p>
        </w:tc>
        <w:tc>
          <w:tcPr>
            <w:tcW w:w="0" w:type="auto"/>
            <w:tcBorders>
              <w:top w:val="outset" w:sz="6" w:space="0" w:color="auto"/>
              <w:left w:val="outset" w:sz="6" w:space="0" w:color="auto"/>
              <w:bottom w:val="outset" w:sz="6" w:space="0" w:color="auto"/>
              <w:right w:val="outset" w:sz="6" w:space="0" w:color="auto"/>
            </w:tcBorders>
            <w:vAlign w:val="center"/>
            <w:hideMark/>
          </w:tcPr>
          <w:p w14:paraId="1C4F9013" w14:textId="77777777" w:rsidR="00A03121" w:rsidRPr="00A03121" w:rsidRDefault="00A03121" w:rsidP="00A03121">
            <w:r w:rsidRPr="00A03121">
              <w:t>Use of market mechanisms for employee control.</w:t>
            </w:r>
          </w:p>
        </w:tc>
        <w:tc>
          <w:tcPr>
            <w:tcW w:w="0" w:type="auto"/>
            <w:tcBorders>
              <w:top w:val="outset" w:sz="6" w:space="0" w:color="auto"/>
              <w:left w:val="outset" w:sz="6" w:space="0" w:color="auto"/>
              <w:bottom w:val="outset" w:sz="6" w:space="0" w:color="auto"/>
              <w:right w:val="outset" w:sz="6" w:space="0" w:color="auto"/>
            </w:tcBorders>
            <w:vAlign w:val="center"/>
            <w:hideMark/>
          </w:tcPr>
          <w:p w14:paraId="3356D809" w14:textId="77777777" w:rsidR="00A03121" w:rsidRPr="00A03121" w:rsidRDefault="00A03121" w:rsidP="00A03121">
            <w:r w:rsidRPr="00A03121">
              <w:t>3-item, 7-point Likert scale assessing pay-for-performance, external hiring, and turnover.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5AA8E6A" w14:textId="77777777" w:rsidR="00A03121" w:rsidRPr="00A03121" w:rsidRDefault="00A03121" w:rsidP="00A03121">
            <w:r w:rsidRPr="00A03121">
              <w:t>\alpha = .83 (full sample).</w:t>
            </w:r>
          </w:p>
        </w:tc>
      </w:tr>
      <w:tr w:rsidR="00A03121" w:rsidRPr="00A03121" w14:paraId="160502D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B425BC" w14:textId="77777777" w:rsidR="00A03121" w:rsidRPr="00A03121" w:rsidRDefault="00A03121" w:rsidP="00A03121">
            <w:r w:rsidRPr="00A03121">
              <w:rPr>
                <w:b/>
                <w:bCs/>
              </w:rPr>
              <w:t>Actual Risk Taking (Control)</w:t>
            </w:r>
          </w:p>
        </w:tc>
        <w:tc>
          <w:tcPr>
            <w:tcW w:w="0" w:type="auto"/>
            <w:tcBorders>
              <w:top w:val="outset" w:sz="6" w:space="0" w:color="auto"/>
              <w:left w:val="outset" w:sz="6" w:space="0" w:color="auto"/>
              <w:bottom w:val="outset" w:sz="6" w:space="0" w:color="auto"/>
              <w:right w:val="outset" w:sz="6" w:space="0" w:color="auto"/>
            </w:tcBorders>
            <w:vAlign w:val="center"/>
            <w:hideMark/>
          </w:tcPr>
          <w:p w14:paraId="5118757D" w14:textId="77777777" w:rsidR="00A03121" w:rsidRPr="00A03121" w:rsidRDefault="00A03121" w:rsidP="00A03121">
            <w:r w:rsidRPr="00A03121">
              <w:t>Index of open position sizes and loss realization levels.</w:t>
            </w:r>
          </w:p>
        </w:tc>
        <w:tc>
          <w:tcPr>
            <w:tcW w:w="0" w:type="auto"/>
            <w:tcBorders>
              <w:top w:val="outset" w:sz="6" w:space="0" w:color="auto"/>
              <w:left w:val="outset" w:sz="6" w:space="0" w:color="auto"/>
              <w:bottom w:val="outset" w:sz="6" w:space="0" w:color="auto"/>
              <w:right w:val="outset" w:sz="6" w:space="0" w:color="auto"/>
            </w:tcBorders>
            <w:vAlign w:val="center"/>
            <w:hideMark/>
          </w:tcPr>
          <w:p w14:paraId="32600E3C" w14:textId="77777777" w:rsidR="00A03121" w:rsidRPr="00A03121" w:rsidRDefault="00A03121" w:rsidP="00A03121">
            <w:r w:rsidRPr="00A03121">
              <w:t>Aggregate index combining net open position size and trader loss realization levels.</w:t>
            </w:r>
          </w:p>
        </w:tc>
        <w:tc>
          <w:tcPr>
            <w:tcW w:w="0" w:type="auto"/>
            <w:tcBorders>
              <w:top w:val="outset" w:sz="6" w:space="0" w:color="auto"/>
              <w:left w:val="outset" w:sz="6" w:space="0" w:color="auto"/>
              <w:bottom w:val="outset" w:sz="6" w:space="0" w:color="auto"/>
              <w:right w:val="outset" w:sz="6" w:space="0" w:color="auto"/>
            </w:tcBorders>
            <w:vAlign w:val="center"/>
            <w:hideMark/>
          </w:tcPr>
          <w:p w14:paraId="2A0ED4C3" w14:textId="77777777" w:rsidR="00A03121" w:rsidRPr="00A03121" w:rsidRDefault="00A03121" w:rsidP="00A03121">
            <w:r w:rsidRPr="00A03121">
              <w:t>\alpha = .83 - .93. Correlated with head ratings (r = .63, p &lt; .01).</w:t>
            </w:r>
          </w:p>
        </w:tc>
      </w:tr>
      <w:tr w:rsidR="00A03121" w:rsidRPr="00A03121" w14:paraId="232279E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4A2527" w14:textId="77777777" w:rsidR="00A03121" w:rsidRPr="00A03121" w:rsidRDefault="00A03121" w:rsidP="00A03121">
            <w:r w:rsidRPr="00A03121">
              <w:rPr>
                <w:b/>
                <w:bCs/>
              </w:rPr>
              <w:t>Age &amp; Size (Controls)</w:t>
            </w:r>
          </w:p>
        </w:tc>
        <w:tc>
          <w:tcPr>
            <w:tcW w:w="0" w:type="auto"/>
            <w:tcBorders>
              <w:top w:val="outset" w:sz="6" w:space="0" w:color="auto"/>
              <w:left w:val="outset" w:sz="6" w:space="0" w:color="auto"/>
              <w:bottom w:val="outset" w:sz="6" w:space="0" w:color="auto"/>
              <w:right w:val="outset" w:sz="6" w:space="0" w:color="auto"/>
            </w:tcBorders>
            <w:vAlign w:val="center"/>
            <w:hideMark/>
          </w:tcPr>
          <w:p w14:paraId="0C803478" w14:textId="77777777" w:rsidR="00A03121" w:rsidRPr="00A03121" w:rsidRDefault="00A03121" w:rsidP="00A03121">
            <w:r w:rsidRPr="00A03121">
              <w:t>Operating history and organizational scale.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D699744" w14:textId="77777777" w:rsidR="00A03121" w:rsidRPr="00A03121" w:rsidRDefault="00A03121" w:rsidP="00A03121">
            <w:r w:rsidRPr="00A03121">
              <w:t>Room age in years (</w:t>
            </w:r>
            <w:r w:rsidRPr="00A03121">
              <w:rPr>
                <w:i/>
                <w:iCs/>
              </w:rPr>
              <w:t>Hambros Directories</w:t>
            </w:r>
            <w:r w:rsidRPr="00A03121">
              <w:t>); Room size in total trader 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6DCE3F8" w14:textId="77777777" w:rsidR="00A03121" w:rsidRPr="00A03121" w:rsidRDefault="00A03121" w:rsidP="00A03121">
            <w:r w:rsidRPr="00A03121">
              <w:t>Objective institutional data.</w:t>
            </w:r>
          </w:p>
        </w:tc>
      </w:tr>
    </w:tbl>
    <w:p w14:paraId="7CAAB64E" w14:textId="77777777" w:rsidR="00A03121" w:rsidRPr="00A03121" w:rsidRDefault="00A03121" w:rsidP="00A03121">
      <w:r w:rsidRPr="00A03121">
        <w:t>With operational variables established and common method bias controlled, statistical analysis of the subsample data provides direct empirical tests of foreignness liabilities and organizational practice transfer.</w:t>
      </w:r>
    </w:p>
    <w:p w14:paraId="3C20BB0F" w14:textId="77777777" w:rsidR="00A03121" w:rsidRPr="00A03121" w:rsidRDefault="00A03121" w:rsidP="00A03121">
      <w:pPr>
        <w:rPr>
          <w:b/>
          <w:bCs/>
        </w:rPr>
      </w:pPr>
      <w:r w:rsidRPr="00A03121">
        <w:rPr>
          <w:b/>
          <w:bCs/>
        </w:rPr>
        <w:t>4. RESULTS</w:t>
      </w:r>
    </w:p>
    <w:p w14:paraId="4EB4F781" w14:textId="77777777" w:rsidR="00A03121" w:rsidRPr="00A03121" w:rsidRDefault="00A03121" w:rsidP="00A03121">
      <w:r w:rsidRPr="00A03121">
        <w:t>The statistical analysis evaluates the empirical existence of the liability of foreignness and assesses whether capability importation or institutional imitation mitigates foreignness costs.</w:t>
      </w:r>
    </w:p>
    <w:p w14:paraId="0F87ED87" w14:textId="77777777" w:rsidR="00A03121" w:rsidRPr="00A03121" w:rsidRDefault="00A03121" w:rsidP="00A03121">
      <w:pPr>
        <w:rPr>
          <w:b/>
          <w:bCs/>
        </w:rPr>
      </w:pPr>
      <w:r w:rsidRPr="00A03121">
        <w:rPr>
          <w:b/>
          <w:bCs/>
        </w:rPr>
        <w:t>4.1 Caveats</w:t>
      </w:r>
    </w:p>
    <w:p w14:paraId="6CB00977" w14:textId="77777777" w:rsidR="00A03121" w:rsidRPr="00A03121" w:rsidRDefault="00A03121" w:rsidP="00A03121">
      <w:pPr>
        <w:numPr>
          <w:ilvl w:val="0"/>
          <w:numId w:val="10"/>
        </w:numPr>
      </w:pPr>
      <w:r w:rsidRPr="00A03121">
        <w:rPr>
          <w:b/>
          <w:bCs/>
        </w:rPr>
        <w:t>Sample Size &amp; Ecological Correlation:</w:t>
      </w:r>
      <w:r w:rsidRPr="00A03121">
        <w:t> The empirical sample is compact (28 total rooms / 24 paired rooms). Independent variables represent ecological correlations derived from aggregating 174 trader responses. Performance reflects a single cross-</w:t>
      </w:r>
      <w:r w:rsidRPr="00A03121">
        <w:lastRenderedPageBreak/>
        <w:t>sectional period, though trading room heads confirmed the sampling period was non-atypical.</w:t>
      </w:r>
    </w:p>
    <w:p w14:paraId="386807A0" w14:textId="77777777" w:rsidR="00A03121" w:rsidRPr="00A03121" w:rsidRDefault="00A03121" w:rsidP="00A03121">
      <w:pPr>
        <w:rPr>
          <w:b/>
          <w:bCs/>
        </w:rPr>
      </w:pPr>
      <w:r w:rsidRPr="00A03121">
        <w:rPr>
          <w:b/>
          <w:bCs/>
        </w:rPr>
        <w:t>4.2 Subsample Descriptive Statistics</w:t>
      </w:r>
    </w:p>
    <w:p w14:paraId="09F96676" w14:textId="77777777" w:rsidR="00A03121" w:rsidRPr="00A03121" w:rsidRDefault="00A03121" w:rsidP="00A03121">
      <w:r w:rsidRPr="00A03121">
        <w:t>Descriptive statistics across the four bank subsamples (Table 1) are summarized below:</w:t>
      </w:r>
    </w:p>
    <w:tbl>
      <w:tblPr>
        <w:tblW w:w="117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63"/>
        <w:gridCol w:w="1675"/>
        <w:gridCol w:w="1812"/>
        <w:gridCol w:w="1778"/>
        <w:gridCol w:w="1916"/>
        <w:gridCol w:w="2316"/>
      </w:tblGrid>
      <w:tr w:rsidR="00A03121" w:rsidRPr="00A03121" w14:paraId="6A9926D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DC6E78" w14:textId="77777777" w:rsidR="00A03121" w:rsidRPr="00A03121" w:rsidRDefault="00A03121" w:rsidP="00A03121">
            <w:r w:rsidRPr="00A03121">
              <w:t>Variable Subsample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6D4E1" w14:textId="77777777" w:rsidR="00A03121" w:rsidRPr="00A03121" w:rsidRDefault="00A03121" w:rsidP="00A03121">
            <w:r w:rsidRPr="00A03121">
              <w:t>1. Western Rooms in NY</w:t>
            </w:r>
          </w:p>
        </w:tc>
        <w:tc>
          <w:tcPr>
            <w:tcW w:w="0" w:type="auto"/>
            <w:tcBorders>
              <w:top w:val="outset" w:sz="6" w:space="0" w:color="auto"/>
              <w:left w:val="outset" w:sz="6" w:space="0" w:color="auto"/>
              <w:bottom w:val="outset" w:sz="6" w:space="0" w:color="auto"/>
              <w:right w:val="outset" w:sz="6" w:space="0" w:color="auto"/>
            </w:tcBorders>
            <w:vAlign w:val="center"/>
            <w:hideMark/>
          </w:tcPr>
          <w:p w14:paraId="7DA162B3" w14:textId="77777777" w:rsidR="00A03121" w:rsidRPr="00A03121" w:rsidRDefault="00A03121" w:rsidP="00A03121">
            <w:r w:rsidRPr="00A03121">
              <w:t>2. Western Rooms in Tokyo</w:t>
            </w:r>
          </w:p>
        </w:tc>
        <w:tc>
          <w:tcPr>
            <w:tcW w:w="0" w:type="auto"/>
            <w:tcBorders>
              <w:top w:val="outset" w:sz="6" w:space="0" w:color="auto"/>
              <w:left w:val="outset" w:sz="6" w:space="0" w:color="auto"/>
              <w:bottom w:val="outset" w:sz="6" w:space="0" w:color="auto"/>
              <w:right w:val="outset" w:sz="6" w:space="0" w:color="auto"/>
            </w:tcBorders>
            <w:vAlign w:val="center"/>
            <w:hideMark/>
          </w:tcPr>
          <w:p w14:paraId="33545840" w14:textId="77777777" w:rsidR="00A03121" w:rsidRPr="00A03121" w:rsidRDefault="00A03121" w:rsidP="00A03121">
            <w:r w:rsidRPr="00A03121">
              <w:t>3. Japanese Rooms in NY</w:t>
            </w:r>
          </w:p>
        </w:tc>
        <w:tc>
          <w:tcPr>
            <w:tcW w:w="0" w:type="auto"/>
            <w:tcBorders>
              <w:top w:val="outset" w:sz="6" w:space="0" w:color="auto"/>
              <w:left w:val="outset" w:sz="6" w:space="0" w:color="auto"/>
              <w:bottom w:val="outset" w:sz="6" w:space="0" w:color="auto"/>
              <w:right w:val="outset" w:sz="6" w:space="0" w:color="auto"/>
            </w:tcBorders>
            <w:vAlign w:val="center"/>
            <w:hideMark/>
          </w:tcPr>
          <w:p w14:paraId="45CA6664" w14:textId="77777777" w:rsidR="00A03121" w:rsidRPr="00A03121" w:rsidRDefault="00A03121" w:rsidP="00A03121">
            <w:r w:rsidRPr="00A03121">
              <w:t>4. Japanese Rooms in Tokyo</w:t>
            </w:r>
          </w:p>
        </w:tc>
        <w:tc>
          <w:tcPr>
            <w:tcW w:w="0" w:type="auto"/>
            <w:tcBorders>
              <w:top w:val="outset" w:sz="6" w:space="0" w:color="auto"/>
              <w:left w:val="outset" w:sz="6" w:space="0" w:color="auto"/>
              <w:bottom w:val="outset" w:sz="6" w:space="0" w:color="auto"/>
              <w:right w:val="outset" w:sz="6" w:space="0" w:color="auto"/>
            </w:tcBorders>
            <w:vAlign w:val="center"/>
            <w:hideMark/>
          </w:tcPr>
          <w:p w14:paraId="00C6EDB0" w14:textId="77777777" w:rsidR="00A03121" w:rsidRPr="00A03121" w:rsidRDefault="00A03121" w:rsidP="00A03121">
            <w:r w:rsidRPr="00A03121">
              <w:t>Statistical Significance (F-test)</w:t>
            </w:r>
          </w:p>
        </w:tc>
      </w:tr>
      <w:tr w:rsidR="00A03121" w:rsidRPr="00A03121" w14:paraId="2217D8A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74F9C1" w14:textId="77777777" w:rsidR="00A03121" w:rsidRPr="00A03121" w:rsidRDefault="00A03121" w:rsidP="00A03121">
            <w:r w:rsidRPr="00A03121">
              <w:rPr>
                <w:b/>
                <w:bCs/>
              </w:rPr>
              <w:t>Profit per Trader (USD)</w:t>
            </w:r>
          </w:p>
        </w:tc>
        <w:tc>
          <w:tcPr>
            <w:tcW w:w="0" w:type="auto"/>
            <w:tcBorders>
              <w:top w:val="outset" w:sz="6" w:space="0" w:color="auto"/>
              <w:left w:val="outset" w:sz="6" w:space="0" w:color="auto"/>
              <w:bottom w:val="outset" w:sz="6" w:space="0" w:color="auto"/>
              <w:right w:val="outset" w:sz="6" w:space="0" w:color="auto"/>
            </w:tcBorders>
            <w:vAlign w:val="center"/>
            <w:hideMark/>
          </w:tcPr>
          <w:p w14:paraId="729E1DA7" w14:textId="77777777" w:rsidR="00A03121" w:rsidRPr="00A03121" w:rsidRDefault="00A03121" w:rsidP="00A03121">
            <w:r w:rsidRPr="00A03121">
              <w:t>$1.76 Million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6E486E1" w14:textId="77777777" w:rsidR="00A03121" w:rsidRPr="00A03121" w:rsidRDefault="00A03121" w:rsidP="00A03121">
            <w:r w:rsidRPr="00A03121">
              <w:t>$1.23 Million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8173F46" w14:textId="77777777" w:rsidR="00A03121" w:rsidRPr="00A03121" w:rsidRDefault="00A03121" w:rsidP="00A03121">
            <w:r w:rsidRPr="00A03121">
              <w:t>$0.95 Million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EE362F5" w14:textId="77777777" w:rsidR="00A03121" w:rsidRPr="00A03121" w:rsidRDefault="00A03121" w:rsidP="00A03121">
            <w:r w:rsidRPr="00A03121">
              <w:t>$1.88 Million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81483" w14:textId="77777777" w:rsidR="00A03121" w:rsidRPr="00A03121" w:rsidRDefault="00A03121" w:rsidP="00A03121">
            <w:r w:rsidRPr="00A03121">
              <w:t>Non-significant (F = 2.13)</w:t>
            </w:r>
          </w:p>
        </w:tc>
      </w:tr>
      <w:tr w:rsidR="00A03121" w:rsidRPr="00A03121" w14:paraId="1E98768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E0650E" w14:textId="77777777" w:rsidR="00A03121" w:rsidRPr="00A03121" w:rsidRDefault="00A03121" w:rsidP="00A03121">
            <w:r w:rsidRPr="00A03121">
              <w:rPr>
                <w:b/>
                <w:bCs/>
              </w:rPr>
              <w:t>Log Profit per Trader (Mean)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6917565" w14:textId="77777777" w:rsidR="00A03121" w:rsidRPr="00A03121" w:rsidRDefault="00A03121" w:rsidP="00A03121">
            <w:r w:rsidRPr="00A03121">
              <w:t>14.38 (</w:t>
            </w:r>
            <w:proofErr w:type="spellStart"/>
            <w:r w:rsidRPr="00A03121">
              <w:t>s.d.</w:t>
            </w:r>
            <w:proofErr w:type="spellEnd"/>
            <w:r w:rsidRPr="00A03121">
              <w:t xml:space="preserve"> 0.70)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517D14" w14:textId="77777777" w:rsidR="00A03121" w:rsidRPr="00A03121" w:rsidRDefault="00A03121" w:rsidP="00A03121">
            <w:r w:rsidRPr="00A03121">
              <w:t>14.03 (</w:t>
            </w:r>
            <w:proofErr w:type="spellStart"/>
            <w:r w:rsidRPr="00A03121">
              <w:t>s.d.</w:t>
            </w:r>
            <w:proofErr w:type="spellEnd"/>
            <w:r w:rsidRPr="00A03121">
              <w:t xml:space="preserve"> 0.75)</w:t>
            </w:r>
          </w:p>
        </w:tc>
        <w:tc>
          <w:tcPr>
            <w:tcW w:w="0" w:type="auto"/>
            <w:tcBorders>
              <w:top w:val="outset" w:sz="6" w:space="0" w:color="auto"/>
              <w:left w:val="outset" w:sz="6" w:space="0" w:color="auto"/>
              <w:bottom w:val="outset" w:sz="6" w:space="0" w:color="auto"/>
              <w:right w:val="outset" w:sz="6" w:space="0" w:color="auto"/>
            </w:tcBorders>
            <w:vAlign w:val="center"/>
            <w:hideMark/>
          </w:tcPr>
          <w:p w14:paraId="32385CDB" w14:textId="77777777" w:rsidR="00A03121" w:rsidRPr="00A03121" w:rsidRDefault="00A03121" w:rsidP="00A03121">
            <w:r w:rsidRPr="00A03121">
              <w:t>13.76 (</w:t>
            </w:r>
            <w:proofErr w:type="spellStart"/>
            <w:r w:rsidRPr="00A03121">
              <w:t>s.d.</w:t>
            </w:r>
            <w:proofErr w:type="spellEnd"/>
            <w:r w:rsidRPr="00A03121">
              <w:t xml:space="preserve"> 0.32)</w:t>
            </w:r>
          </w:p>
        </w:tc>
        <w:tc>
          <w:tcPr>
            <w:tcW w:w="0" w:type="auto"/>
            <w:tcBorders>
              <w:top w:val="outset" w:sz="6" w:space="0" w:color="auto"/>
              <w:left w:val="outset" w:sz="6" w:space="0" w:color="auto"/>
              <w:bottom w:val="outset" w:sz="6" w:space="0" w:color="auto"/>
              <w:right w:val="outset" w:sz="6" w:space="0" w:color="auto"/>
            </w:tcBorders>
            <w:vAlign w:val="center"/>
            <w:hideMark/>
          </w:tcPr>
          <w:p w14:paraId="374F0950" w14:textId="77777777" w:rsidR="00A03121" w:rsidRPr="00A03121" w:rsidRDefault="00A03121" w:rsidP="00A03121">
            <w:r w:rsidRPr="00A03121">
              <w:t>14.45 (</w:t>
            </w:r>
            <w:proofErr w:type="spellStart"/>
            <w:r w:rsidRPr="00A03121">
              <w:t>s.d.</w:t>
            </w:r>
            <w:proofErr w:type="spellEnd"/>
            <w:r w:rsidRPr="00A03121">
              <w:t xml:space="preserve"> 0.38)</w:t>
            </w:r>
          </w:p>
        </w:tc>
        <w:tc>
          <w:tcPr>
            <w:tcW w:w="0" w:type="auto"/>
            <w:tcBorders>
              <w:top w:val="outset" w:sz="6" w:space="0" w:color="auto"/>
              <w:left w:val="outset" w:sz="6" w:space="0" w:color="auto"/>
              <w:bottom w:val="outset" w:sz="6" w:space="0" w:color="auto"/>
              <w:right w:val="outset" w:sz="6" w:space="0" w:color="auto"/>
            </w:tcBorders>
            <w:vAlign w:val="center"/>
            <w:hideMark/>
          </w:tcPr>
          <w:p w14:paraId="6E250E0A" w14:textId="77777777" w:rsidR="00A03121" w:rsidRPr="00A03121" w:rsidRDefault="00A03121" w:rsidP="00A03121">
            <w:r w:rsidRPr="00A03121">
              <w:t>F = 2.13</w:t>
            </w:r>
          </w:p>
        </w:tc>
      </w:tr>
      <w:tr w:rsidR="00A03121" w:rsidRPr="00A03121" w14:paraId="127A387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077A8C" w14:textId="77777777" w:rsidR="00A03121" w:rsidRPr="00A03121" w:rsidRDefault="00A03121" w:rsidP="00A03121">
            <w:r w:rsidRPr="00A03121">
              <w:rPr>
                <w:b/>
                <w:bCs/>
              </w:rPr>
              <w:t>Risk Taking (Mean)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BF52978" w14:textId="77777777" w:rsidR="00A03121" w:rsidRPr="00A03121" w:rsidRDefault="00A03121" w:rsidP="00A03121">
            <w:r w:rsidRPr="00A03121">
              <w:t>1.32 (</w:t>
            </w:r>
            <w:proofErr w:type="spellStart"/>
            <w:r w:rsidRPr="00A03121">
              <w:t>s.d.</w:t>
            </w:r>
            <w:proofErr w:type="spellEnd"/>
            <w:r w:rsidRPr="00A03121">
              <w:t xml:space="preserve"> 0.48)</w:t>
            </w:r>
          </w:p>
        </w:tc>
        <w:tc>
          <w:tcPr>
            <w:tcW w:w="0" w:type="auto"/>
            <w:tcBorders>
              <w:top w:val="outset" w:sz="6" w:space="0" w:color="auto"/>
              <w:left w:val="outset" w:sz="6" w:space="0" w:color="auto"/>
              <w:bottom w:val="outset" w:sz="6" w:space="0" w:color="auto"/>
              <w:right w:val="outset" w:sz="6" w:space="0" w:color="auto"/>
            </w:tcBorders>
            <w:vAlign w:val="center"/>
            <w:hideMark/>
          </w:tcPr>
          <w:p w14:paraId="3744CDEA" w14:textId="77777777" w:rsidR="00A03121" w:rsidRPr="00A03121" w:rsidRDefault="00A03121" w:rsidP="00A03121">
            <w:r w:rsidRPr="00A03121">
              <w:t>1.23 (</w:t>
            </w:r>
            <w:proofErr w:type="spellStart"/>
            <w:r w:rsidRPr="00A03121">
              <w:t>s.d.</w:t>
            </w:r>
            <w:proofErr w:type="spellEnd"/>
            <w:r w:rsidRPr="00A03121">
              <w:t xml:space="preserve"> 0.43)</w:t>
            </w:r>
          </w:p>
        </w:tc>
        <w:tc>
          <w:tcPr>
            <w:tcW w:w="0" w:type="auto"/>
            <w:tcBorders>
              <w:top w:val="outset" w:sz="6" w:space="0" w:color="auto"/>
              <w:left w:val="outset" w:sz="6" w:space="0" w:color="auto"/>
              <w:bottom w:val="outset" w:sz="6" w:space="0" w:color="auto"/>
              <w:right w:val="outset" w:sz="6" w:space="0" w:color="auto"/>
            </w:tcBorders>
            <w:vAlign w:val="center"/>
            <w:hideMark/>
          </w:tcPr>
          <w:p w14:paraId="659C6472" w14:textId="77777777" w:rsidR="00A03121" w:rsidRPr="00A03121" w:rsidRDefault="00A03121" w:rsidP="00A03121">
            <w:r w:rsidRPr="00A03121">
              <w:t>1.37 (</w:t>
            </w:r>
            <w:proofErr w:type="spellStart"/>
            <w:r w:rsidRPr="00A03121">
              <w:t>s.d.</w:t>
            </w:r>
            <w:proofErr w:type="spellEnd"/>
            <w:r w:rsidRPr="00A03121">
              <w:t xml:space="preserve"> 0.36)</w:t>
            </w:r>
          </w:p>
        </w:tc>
        <w:tc>
          <w:tcPr>
            <w:tcW w:w="0" w:type="auto"/>
            <w:tcBorders>
              <w:top w:val="outset" w:sz="6" w:space="0" w:color="auto"/>
              <w:left w:val="outset" w:sz="6" w:space="0" w:color="auto"/>
              <w:bottom w:val="outset" w:sz="6" w:space="0" w:color="auto"/>
              <w:right w:val="outset" w:sz="6" w:space="0" w:color="auto"/>
            </w:tcBorders>
            <w:vAlign w:val="center"/>
            <w:hideMark/>
          </w:tcPr>
          <w:p w14:paraId="3BC64C78" w14:textId="77777777" w:rsidR="00A03121" w:rsidRPr="00A03121" w:rsidRDefault="00A03121" w:rsidP="00A03121">
            <w:r w:rsidRPr="00A03121">
              <w:t>1.69 (</w:t>
            </w:r>
            <w:proofErr w:type="spellStart"/>
            <w:r w:rsidRPr="00A03121">
              <w:t>s.d.</w:t>
            </w:r>
            <w:proofErr w:type="spellEnd"/>
            <w:r w:rsidRPr="00A03121">
              <w:t xml:space="preserve"> 0.09)</w:t>
            </w:r>
          </w:p>
        </w:tc>
        <w:tc>
          <w:tcPr>
            <w:tcW w:w="0" w:type="auto"/>
            <w:tcBorders>
              <w:top w:val="outset" w:sz="6" w:space="0" w:color="auto"/>
              <w:left w:val="outset" w:sz="6" w:space="0" w:color="auto"/>
              <w:bottom w:val="outset" w:sz="6" w:space="0" w:color="auto"/>
              <w:right w:val="outset" w:sz="6" w:space="0" w:color="auto"/>
            </w:tcBorders>
            <w:vAlign w:val="center"/>
            <w:hideMark/>
          </w:tcPr>
          <w:p w14:paraId="41707661" w14:textId="77777777" w:rsidR="00A03121" w:rsidRPr="00A03121" w:rsidRDefault="00A03121" w:rsidP="00A03121">
            <w:r w:rsidRPr="00A03121">
              <w:t>F = 1.81</w:t>
            </w:r>
          </w:p>
        </w:tc>
      </w:tr>
      <w:tr w:rsidR="00A03121" w:rsidRPr="00A03121" w14:paraId="5C72FE5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D4DCCF" w14:textId="77777777" w:rsidR="00A03121" w:rsidRPr="00A03121" w:rsidRDefault="00A03121" w:rsidP="00A03121">
            <w:r w:rsidRPr="00A03121">
              <w:rPr>
                <w:b/>
                <w:bCs/>
              </w:rPr>
              <w:t>Market Controls (1–7 Scale)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227D828" w14:textId="77777777" w:rsidR="00A03121" w:rsidRPr="00A03121" w:rsidRDefault="00A03121" w:rsidP="00A03121">
            <w:r w:rsidRPr="00A03121">
              <w:t>1.87 (</w:t>
            </w:r>
            <w:proofErr w:type="spellStart"/>
            <w:r w:rsidRPr="00A03121">
              <w:t>s.d.</w:t>
            </w:r>
            <w:proofErr w:type="spellEnd"/>
            <w:r w:rsidRPr="00A03121">
              <w:t xml:space="preserve"> 0.45)</w:t>
            </w:r>
          </w:p>
        </w:tc>
        <w:tc>
          <w:tcPr>
            <w:tcW w:w="0" w:type="auto"/>
            <w:tcBorders>
              <w:top w:val="outset" w:sz="6" w:space="0" w:color="auto"/>
              <w:left w:val="outset" w:sz="6" w:space="0" w:color="auto"/>
              <w:bottom w:val="outset" w:sz="6" w:space="0" w:color="auto"/>
              <w:right w:val="outset" w:sz="6" w:space="0" w:color="auto"/>
            </w:tcBorders>
            <w:vAlign w:val="center"/>
            <w:hideMark/>
          </w:tcPr>
          <w:p w14:paraId="4D9C19AC" w14:textId="77777777" w:rsidR="00A03121" w:rsidRPr="00A03121" w:rsidRDefault="00A03121" w:rsidP="00A03121">
            <w:r w:rsidRPr="00A03121">
              <w:t>1.99 (</w:t>
            </w:r>
            <w:proofErr w:type="spellStart"/>
            <w:r w:rsidRPr="00A03121">
              <w:t>s.d.</w:t>
            </w:r>
            <w:proofErr w:type="spellEnd"/>
            <w:r w:rsidRPr="00A03121">
              <w:t xml:space="preserve"> 0.22)</w:t>
            </w:r>
          </w:p>
        </w:tc>
        <w:tc>
          <w:tcPr>
            <w:tcW w:w="0" w:type="auto"/>
            <w:tcBorders>
              <w:top w:val="outset" w:sz="6" w:space="0" w:color="auto"/>
              <w:left w:val="outset" w:sz="6" w:space="0" w:color="auto"/>
              <w:bottom w:val="outset" w:sz="6" w:space="0" w:color="auto"/>
              <w:right w:val="outset" w:sz="6" w:space="0" w:color="auto"/>
            </w:tcBorders>
            <w:vAlign w:val="center"/>
            <w:hideMark/>
          </w:tcPr>
          <w:p w14:paraId="7891BC97" w14:textId="77777777" w:rsidR="00A03121" w:rsidRPr="00A03121" w:rsidRDefault="00A03121" w:rsidP="00A03121">
            <w:r w:rsidRPr="00A03121">
              <w:t>1.66 (</w:t>
            </w:r>
            <w:proofErr w:type="spellStart"/>
            <w:r w:rsidRPr="00A03121">
              <w:t>s.d.</w:t>
            </w:r>
            <w:proofErr w:type="spellEnd"/>
            <w:r w:rsidRPr="00A03121">
              <w:t xml:space="preserve"> 0.48)</w:t>
            </w:r>
          </w:p>
        </w:tc>
        <w:tc>
          <w:tcPr>
            <w:tcW w:w="0" w:type="auto"/>
            <w:tcBorders>
              <w:top w:val="outset" w:sz="6" w:space="0" w:color="auto"/>
              <w:left w:val="outset" w:sz="6" w:space="0" w:color="auto"/>
              <w:bottom w:val="outset" w:sz="6" w:space="0" w:color="auto"/>
              <w:right w:val="outset" w:sz="6" w:space="0" w:color="auto"/>
            </w:tcBorders>
            <w:vAlign w:val="center"/>
            <w:hideMark/>
          </w:tcPr>
          <w:p w14:paraId="09FCED49" w14:textId="77777777" w:rsidR="00A03121" w:rsidRPr="00A03121" w:rsidRDefault="00A03121" w:rsidP="00A03121">
            <w:r w:rsidRPr="00A03121">
              <w:t>0.92 (</w:t>
            </w:r>
            <w:proofErr w:type="spellStart"/>
            <w:r w:rsidRPr="00A03121">
              <w:t>s.d.</w:t>
            </w:r>
            <w:proofErr w:type="spellEnd"/>
            <w:r w:rsidRPr="00A03121">
              <w:t xml:space="preserve"> 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4727C9BC" w14:textId="77777777" w:rsidR="00A03121" w:rsidRPr="00A03121" w:rsidRDefault="00A03121" w:rsidP="00A03121">
            <w:r w:rsidRPr="00A03121">
              <w:t>p &lt; .01 (</w:t>
            </w:r>
            <w:proofErr w:type="spellStart"/>
            <w:r w:rsidRPr="00A03121">
              <w:t>F^b</w:t>
            </w:r>
            <w:proofErr w:type="spellEnd"/>
            <w:r w:rsidRPr="00A03121">
              <w:t xml:space="preserve"> = 12.81, </w:t>
            </w:r>
            <w:proofErr w:type="spellStart"/>
            <w:r w:rsidRPr="00A03121">
              <w:t>F^c</w:t>
            </w:r>
            <w:proofErr w:type="spellEnd"/>
            <w:r w:rsidRPr="00A03121">
              <w:t xml:space="preserve"> = 26.87)</w:t>
            </w:r>
          </w:p>
        </w:tc>
      </w:tr>
      <w:tr w:rsidR="00A03121" w:rsidRPr="00A03121" w14:paraId="78D7626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938580" w14:textId="77777777" w:rsidR="00A03121" w:rsidRPr="00A03121" w:rsidRDefault="00A03121" w:rsidP="00A03121">
            <w:r w:rsidRPr="00A03121">
              <w:rPr>
                <w:b/>
                <w:bCs/>
              </w:rPr>
              <w:t xml:space="preserve">Bureaucratic </w:t>
            </w:r>
            <w:proofErr w:type="spellStart"/>
            <w:r w:rsidRPr="00A03121">
              <w:rPr>
                <w:b/>
                <w:bCs/>
              </w:rPr>
              <w:t>Microcontrols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075670D" w14:textId="77777777" w:rsidR="00A03121" w:rsidRPr="00A03121" w:rsidRDefault="00A03121" w:rsidP="00A03121">
            <w:r w:rsidRPr="00A03121">
              <w:t>2.51 (</w:t>
            </w:r>
            <w:proofErr w:type="spellStart"/>
            <w:r w:rsidRPr="00A03121">
              <w:t>s.d.</w:t>
            </w:r>
            <w:proofErr w:type="spellEnd"/>
            <w:r w:rsidRPr="00A03121">
              <w:t xml:space="preserve"> 1.21)</w:t>
            </w:r>
          </w:p>
        </w:tc>
        <w:tc>
          <w:tcPr>
            <w:tcW w:w="0" w:type="auto"/>
            <w:tcBorders>
              <w:top w:val="outset" w:sz="6" w:space="0" w:color="auto"/>
              <w:left w:val="outset" w:sz="6" w:space="0" w:color="auto"/>
              <w:bottom w:val="outset" w:sz="6" w:space="0" w:color="auto"/>
              <w:right w:val="outset" w:sz="6" w:space="0" w:color="auto"/>
            </w:tcBorders>
            <w:vAlign w:val="center"/>
            <w:hideMark/>
          </w:tcPr>
          <w:p w14:paraId="22FF389D" w14:textId="77777777" w:rsidR="00A03121" w:rsidRPr="00A03121" w:rsidRDefault="00A03121" w:rsidP="00A03121">
            <w:r w:rsidRPr="00A03121">
              <w:t>2.87 (</w:t>
            </w:r>
            <w:proofErr w:type="spellStart"/>
            <w:r w:rsidRPr="00A03121">
              <w:t>s.d.</w:t>
            </w:r>
            <w:proofErr w:type="spellEnd"/>
            <w:r w:rsidRPr="00A03121">
              <w:t xml:space="preserve"> 1.21)</w:t>
            </w:r>
          </w:p>
        </w:tc>
        <w:tc>
          <w:tcPr>
            <w:tcW w:w="0" w:type="auto"/>
            <w:tcBorders>
              <w:top w:val="outset" w:sz="6" w:space="0" w:color="auto"/>
              <w:left w:val="outset" w:sz="6" w:space="0" w:color="auto"/>
              <w:bottom w:val="outset" w:sz="6" w:space="0" w:color="auto"/>
              <w:right w:val="outset" w:sz="6" w:space="0" w:color="auto"/>
            </w:tcBorders>
            <w:vAlign w:val="center"/>
            <w:hideMark/>
          </w:tcPr>
          <w:p w14:paraId="342B9F2D" w14:textId="77777777" w:rsidR="00A03121" w:rsidRPr="00A03121" w:rsidRDefault="00A03121" w:rsidP="00A03121">
            <w:r w:rsidRPr="00A03121">
              <w:t>3.79 (</w:t>
            </w:r>
            <w:proofErr w:type="spellStart"/>
            <w:r w:rsidRPr="00A03121">
              <w:t>s.d.</w:t>
            </w:r>
            <w:proofErr w:type="spellEnd"/>
            <w:r w:rsidRPr="00A03121">
              <w:t xml:space="preserve"> 0.33)</w:t>
            </w:r>
          </w:p>
        </w:tc>
        <w:tc>
          <w:tcPr>
            <w:tcW w:w="0" w:type="auto"/>
            <w:tcBorders>
              <w:top w:val="outset" w:sz="6" w:space="0" w:color="auto"/>
              <w:left w:val="outset" w:sz="6" w:space="0" w:color="auto"/>
              <w:bottom w:val="outset" w:sz="6" w:space="0" w:color="auto"/>
              <w:right w:val="outset" w:sz="6" w:space="0" w:color="auto"/>
            </w:tcBorders>
            <w:vAlign w:val="center"/>
            <w:hideMark/>
          </w:tcPr>
          <w:p w14:paraId="08864769" w14:textId="77777777" w:rsidR="00A03121" w:rsidRPr="00A03121" w:rsidRDefault="00A03121" w:rsidP="00A03121">
            <w:r w:rsidRPr="00A03121">
              <w:t>3.51 (</w:t>
            </w:r>
            <w:proofErr w:type="spellStart"/>
            <w:r w:rsidRPr="00A03121">
              <w:t>s.d.</w:t>
            </w:r>
            <w:proofErr w:type="spellEnd"/>
            <w:r w:rsidRPr="00A03121">
              <w:t xml:space="preserve"> 0.51)</w:t>
            </w:r>
          </w:p>
        </w:tc>
        <w:tc>
          <w:tcPr>
            <w:tcW w:w="0" w:type="auto"/>
            <w:tcBorders>
              <w:top w:val="outset" w:sz="6" w:space="0" w:color="auto"/>
              <w:left w:val="outset" w:sz="6" w:space="0" w:color="auto"/>
              <w:bottom w:val="outset" w:sz="6" w:space="0" w:color="auto"/>
              <w:right w:val="outset" w:sz="6" w:space="0" w:color="auto"/>
            </w:tcBorders>
            <w:vAlign w:val="center"/>
            <w:hideMark/>
          </w:tcPr>
          <w:p w14:paraId="226E3441" w14:textId="77777777" w:rsidR="00A03121" w:rsidRPr="00A03121" w:rsidRDefault="00A03121" w:rsidP="00A03121">
            <w:r w:rsidRPr="00A03121">
              <w:t>p &lt; .10 (</w:t>
            </w:r>
            <w:proofErr w:type="spellStart"/>
            <w:r w:rsidRPr="00A03121">
              <w:t>F^b</w:t>
            </w:r>
            <w:proofErr w:type="spellEnd"/>
            <w:r w:rsidRPr="00A03121">
              <w:t xml:space="preserve"> = 2.63, </w:t>
            </w:r>
            <w:proofErr w:type="spellStart"/>
            <w:r w:rsidRPr="00A03121">
              <w:t>F^c</w:t>
            </w:r>
            <w:proofErr w:type="spellEnd"/>
            <w:r w:rsidRPr="00A03121">
              <w:t xml:space="preserve"> = 4.05)</w:t>
            </w:r>
          </w:p>
        </w:tc>
      </w:tr>
      <w:tr w:rsidR="00A03121" w:rsidRPr="00A03121" w14:paraId="28E354F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E7CE01" w14:textId="77777777" w:rsidR="00A03121" w:rsidRPr="00A03121" w:rsidRDefault="00A03121" w:rsidP="00A03121">
            <w:r w:rsidRPr="00A03121">
              <w:rPr>
                <w:b/>
                <w:bCs/>
              </w:rPr>
              <w:t>Trading Room Age (Years)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6F778" w14:textId="77777777" w:rsidR="00A03121" w:rsidRPr="00A03121" w:rsidRDefault="00A03121" w:rsidP="00A03121">
            <w:r w:rsidRPr="00A03121">
              <w:t>24.14 (</w:t>
            </w:r>
            <w:proofErr w:type="spellStart"/>
            <w:r w:rsidRPr="00A03121">
              <w:t>s.d.</w:t>
            </w:r>
            <w:proofErr w:type="spellEnd"/>
            <w:r w:rsidRPr="00A03121">
              <w:t xml:space="preserve"> 9.77)</w:t>
            </w:r>
          </w:p>
        </w:tc>
        <w:tc>
          <w:tcPr>
            <w:tcW w:w="0" w:type="auto"/>
            <w:tcBorders>
              <w:top w:val="outset" w:sz="6" w:space="0" w:color="auto"/>
              <w:left w:val="outset" w:sz="6" w:space="0" w:color="auto"/>
              <w:bottom w:val="outset" w:sz="6" w:space="0" w:color="auto"/>
              <w:right w:val="outset" w:sz="6" w:space="0" w:color="auto"/>
            </w:tcBorders>
            <w:vAlign w:val="center"/>
            <w:hideMark/>
          </w:tcPr>
          <w:p w14:paraId="6DE0A137" w14:textId="77777777" w:rsidR="00A03121" w:rsidRPr="00A03121" w:rsidRDefault="00A03121" w:rsidP="00A03121">
            <w:r w:rsidRPr="00A03121">
              <w:t>7.86 (</w:t>
            </w:r>
            <w:proofErr w:type="spellStart"/>
            <w:r w:rsidRPr="00A03121">
              <w:t>s.d.</w:t>
            </w:r>
            <w:proofErr w:type="spellEnd"/>
            <w:r w:rsidRPr="00A03121">
              <w:t xml:space="preserve"> 3.53)</w:t>
            </w:r>
          </w:p>
        </w:tc>
        <w:tc>
          <w:tcPr>
            <w:tcW w:w="0" w:type="auto"/>
            <w:tcBorders>
              <w:top w:val="outset" w:sz="6" w:space="0" w:color="auto"/>
              <w:left w:val="outset" w:sz="6" w:space="0" w:color="auto"/>
              <w:bottom w:val="outset" w:sz="6" w:space="0" w:color="auto"/>
              <w:right w:val="outset" w:sz="6" w:space="0" w:color="auto"/>
            </w:tcBorders>
            <w:vAlign w:val="center"/>
            <w:hideMark/>
          </w:tcPr>
          <w:p w14:paraId="5D95A707" w14:textId="77777777" w:rsidR="00A03121" w:rsidRPr="00A03121" w:rsidRDefault="00A03121" w:rsidP="00A03121">
            <w:r w:rsidRPr="00A03121">
              <w:t>7.67 (</w:t>
            </w:r>
            <w:proofErr w:type="spellStart"/>
            <w:r w:rsidRPr="00A03121">
              <w:t>s.d.</w:t>
            </w:r>
            <w:proofErr w:type="spellEnd"/>
            <w:r w:rsidRPr="00A03121">
              <w:t xml:space="preserve"> 5.09)</w:t>
            </w:r>
          </w:p>
        </w:tc>
        <w:tc>
          <w:tcPr>
            <w:tcW w:w="0" w:type="auto"/>
            <w:tcBorders>
              <w:top w:val="outset" w:sz="6" w:space="0" w:color="auto"/>
              <w:left w:val="outset" w:sz="6" w:space="0" w:color="auto"/>
              <w:bottom w:val="outset" w:sz="6" w:space="0" w:color="auto"/>
              <w:right w:val="outset" w:sz="6" w:space="0" w:color="auto"/>
            </w:tcBorders>
            <w:vAlign w:val="center"/>
            <w:hideMark/>
          </w:tcPr>
          <w:p w14:paraId="51358E89" w14:textId="77777777" w:rsidR="00A03121" w:rsidRPr="00A03121" w:rsidRDefault="00A03121" w:rsidP="00A03121">
            <w:r w:rsidRPr="00A03121">
              <w:t>11.75 (</w:t>
            </w:r>
            <w:proofErr w:type="spellStart"/>
            <w:r w:rsidRPr="00A03121">
              <w:t>s.d.</w:t>
            </w:r>
            <w:proofErr w:type="spellEnd"/>
            <w:r w:rsidRPr="00A03121">
              <w:t xml:space="preserve"> 5.73)</w:t>
            </w:r>
          </w:p>
        </w:tc>
        <w:tc>
          <w:tcPr>
            <w:tcW w:w="0" w:type="auto"/>
            <w:tcBorders>
              <w:top w:val="outset" w:sz="6" w:space="0" w:color="auto"/>
              <w:left w:val="outset" w:sz="6" w:space="0" w:color="auto"/>
              <w:bottom w:val="outset" w:sz="6" w:space="0" w:color="auto"/>
              <w:right w:val="outset" w:sz="6" w:space="0" w:color="auto"/>
            </w:tcBorders>
            <w:vAlign w:val="center"/>
            <w:hideMark/>
          </w:tcPr>
          <w:p w14:paraId="0EA9F331" w14:textId="77777777" w:rsidR="00A03121" w:rsidRPr="00A03121" w:rsidRDefault="00A03121" w:rsidP="00A03121">
            <w:r w:rsidRPr="00A03121">
              <w:t>p &lt; .01 (</w:t>
            </w:r>
            <w:proofErr w:type="spellStart"/>
            <w:r w:rsidRPr="00A03121">
              <w:t>F^b</w:t>
            </w:r>
            <w:proofErr w:type="spellEnd"/>
            <w:r w:rsidRPr="00A03121">
              <w:t xml:space="preserve"> = 9.84)</w:t>
            </w:r>
          </w:p>
        </w:tc>
      </w:tr>
      <w:tr w:rsidR="00A03121" w:rsidRPr="00A03121" w14:paraId="6BAE277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3FBACF" w14:textId="77777777" w:rsidR="00A03121" w:rsidRPr="00A03121" w:rsidRDefault="00A03121" w:rsidP="00A03121">
            <w:r w:rsidRPr="00A03121">
              <w:rPr>
                <w:b/>
                <w:bCs/>
              </w:rPr>
              <w:t>Trading Room Size (Traders)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BEE75B0" w14:textId="77777777" w:rsidR="00A03121" w:rsidRPr="00A03121" w:rsidRDefault="00A03121" w:rsidP="00A03121">
            <w:r w:rsidRPr="00A03121">
              <w:t>43.14 (</w:t>
            </w:r>
            <w:proofErr w:type="spellStart"/>
            <w:r w:rsidRPr="00A03121">
              <w:t>s.d.</w:t>
            </w:r>
            <w:proofErr w:type="spellEnd"/>
            <w:r w:rsidRPr="00A03121">
              <w:t xml:space="preserve"> 28.16)</w:t>
            </w:r>
          </w:p>
        </w:tc>
        <w:tc>
          <w:tcPr>
            <w:tcW w:w="0" w:type="auto"/>
            <w:tcBorders>
              <w:top w:val="outset" w:sz="6" w:space="0" w:color="auto"/>
              <w:left w:val="outset" w:sz="6" w:space="0" w:color="auto"/>
              <w:bottom w:val="outset" w:sz="6" w:space="0" w:color="auto"/>
              <w:right w:val="outset" w:sz="6" w:space="0" w:color="auto"/>
            </w:tcBorders>
            <w:vAlign w:val="center"/>
            <w:hideMark/>
          </w:tcPr>
          <w:p w14:paraId="56259649" w14:textId="77777777" w:rsidR="00A03121" w:rsidRPr="00A03121" w:rsidRDefault="00A03121" w:rsidP="00A03121">
            <w:r w:rsidRPr="00A03121">
              <w:t>31.43 (</w:t>
            </w:r>
            <w:proofErr w:type="spellStart"/>
            <w:r w:rsidRPr="00A03121">
              <w:t>s.d.</w:t>
            </w:r>
            <w:proofErr w:type="spellEnd"/>
            <w:r w:rsidRPr="00A03121">
              <w:t xml:space="preserve"> 25.09)</w:t>
            </w:r>
          </w:p>
        </w:tc>
        <w:tc>
          <w:tcPr>
            <w:tcW w:w="0" w:type="auto"/>
            <w:tcBorders>
              <w:top w:val="outset" w:sz="6" w:space="0" w:color="auto"/>
              <w:left w:val="outset" w:sz="6" w:space="0" w:color="auto"/>
              <w:bottom w:val="outset" w:sz="6" w:space="0" w:color="auto"/>
              <w:right w:val="outset" w:sz="6" w:space="0" w:color="auto"/>
            </w:tcBorders>
            <w:vAlign w:val="center"/>
            <w:hideMark/>
          </w:tcPr>
          <w:p w14:paraId="7B0354F1" w14:textId="77777777" w:rsidR="00A03121" w:rsidRPr="00A03121" w:rsidRDefault="00A03121" w:rsidP="00A03121">
            <w:r w:rsidRPr="00A03121">
              <w:t>42.00 (</w:t>
            </w:r>
            <w:proofErr w:type="spellStart"/>
            <w:r w:rsidRPr="00A03121">
              <w:t>s.d.</w:t>
            </w:r>
            <w:proofErr w:type="spellEnd"/>
            <w:r w:rsidRPr="00A03121">
              <w:t xml:space="preserve"> 21.08)</w:t>
            </w:r>
          </w:p>
        </w:tc>
        <w:tc>
          <w:tcPr>
            <w:tcW w:w="0" w:type="auto"/>
            <w:tcBorders>
              <w:top w:val="outset" w:sz="6" w:space="0" w:color="auto"/>
              <w:left w:val="outset" w:sz="6" w:space="0" w:color="auto"/>
              <w:bottom w:val="outset" w:sz="6" w:space="0" w:color="auto"/>
              <w:right w:val="outset" w:sz="6" w:space="0" w:color="auto"/>
            </w:tcBorders>
            <w:vAlign w:val="center"/>
            <w:hideMark/>
          </w:tcPr>
          <w:p w14:paraId="49DEAD5E" w14:textId="77777777" w:rsidR="00A03121" w:rsidRPr="00A03121" w:rsidRDefault="00A03121" w:rsidP="00A03121">
            <w:r w:rsidRPr="00A03121">
              <w:t>82.13 (</w:t>
            </w:r>
            <w:proofErr w:type="spellStart"/>
            <w:r w:rsidRPr="00A03121">
              <w:t>s.d.</w:t>
            </w:r>
            <w:proofErr w:type="spellEnd"/>
            <w:r w:rsidRPr="00A03121">
              <w:t xml:space="preserve"> 19.45)</w:t>
            </w:r>
          </w:p>
        </w:tc>
        <w:tc>
          <w:tcPr>
            <w:tcW w:w="0" w:type="auto"/>
            <w:tcBorders>
              <w:top w:val="outset" w:sz="6" w:space="0" w:color="auto"/>
              <w:left w:val="outset" w:sz="6" w:space="0" w:color="auto"/>
              <w:bottom w:val="outset" w:sz="6" w:space="0" w:color="auto"/>
              <w:right w:val="outset" w:sz="6" w:space="0" w:color="auto"/>
            </w:tcBorders>
            <w:vAlign w:val="center"/>
            <w:hideMark/>
          </w:tcPr>
          <w:p w14:paraId="7EADC6BC" w14:textId="77777777" w:rsidR="00A03121" w:rsidRPr="00A03121" w:rsidRDefault="00A03121" w:rsidP="00A03121">
            <w:r w:rsidRPr="00A03121">
              <w:t>p &lt; .01 (</w:t>
            </w:r>
            <w:proofErr w:type="spellStart"/>
            <w:r w:rsidRPr="00A03121">
              <w:t>F^b</w:t>
            </w:r>
            <w:proofErr w:type="spellEnd"/>
            <w:r w:rsidRPr="00A03121">
              <w:t xml:space="preserve"> = 6.77)</w:t>
            </w:r>
          </w:p>
        </w:tc>
      </w:tr>
      <w:tr w:rsidR="00A03121" w:rsidRPr="00A03121" w14:paraId="2B63F88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2CBBCD" w14:textId="77777777" w:rsidR="00A03121" w:rsidRPr="00A03121" w:rsidRDefault="00A03121" w:rsidP="00A03121">
            <w:r w:rsidRPr="00A03121">
              <w:rPr>
                <w:b/>
                <w:bCs/>
              </w:rPr>
              <w:t>Subsample N</w:t>
            </w:r>
          </w:p>
        </w:tc>
        <w:tc>
          <w:tcPr>
            <w:tcW w:w="0" w:type="auto"/>
            <w:tcBorders>
              <w:top w:val="outset" w:sz="6" w:space="0" w:color="auto"/>
              <w:left w:val="outset" w:sz="6" w:space="0" w:color="auto"/>
              <w:bottom w:val="outset" w:sz="6" w:space="0" w:color="auto"/>
              <w:right w:val="outset" w:sz="6" w:space="0" w:color="auto"/>
            </w:tcBorders>
            <w:vAlign w:val="center"/>
            <w:hideMark/>
          </w:tcPr>
          <w:p w14:paraId="362D6A89" w14:textId="77777777" w:rsidR="00A03121" w:rsidRPr="00A03121" w:rsidRDefault="00A03121" w:rsidP="00A03121">
            <w:r w:rsidRPr="00A03121">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075CD30E" w14:textId="77777777" w:rsidR="00A03121" w:rsidRPr="00A03121" w:rsidRDefault="00A03121" w:rsidP="00A03121">
            <w:r w:rsidRPr="00A03121">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0F1965EE" w14:textId="77777777" w:rsidR="00A03121" w:rsidRPr="00A03121" w:rsidRDefault="00A03121" w:rsidP="00A03121">
            <w:r w:rsidRPr="00A03121">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5C680485" w14:textId="77777777" w:rsidR="00A03121" w:rsidRPr="00A03121" w:rsidRDefault="00A03121" w:rsidP="00A03121">
            <w:r w:rsidRPr="00A03121">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1D8250D7" w14:textId="77777777" w:rsidR="00A03121" w:rsidRPr="00A03121" w:rsidRDefault="00A03121" w:rsidP="00A03121">
            <w:r w:rsidRPr="00A03121">
              <w:t>Total N = 28</w:t>
            </w:r>
          </w:p>
        </w:tc>
      </w:tr>
    </w:tbl>
    <w:p w14:paraId="35417A1B" w14:textId="77777777" w:rsidR="00A03121" w:rsidRPr="00A03121" w:rsidRDefault="00A03121" w:rsidP="00A03121">
      <w:r w:rsidRPr="00A03121">
        <w:rPr>
          <w:i/>
          <w:iCs/>
        </w:rPr>
        <w:t>Key Subsample Patterns:</w:t>
      </w:r>
    </w:p>
    <w:p w14:paraId="2BF62059" w14:textId="77777777" w:rsidR="00A03121" w:rsidRPr="00A03121" w:rsidRDefault="00A03121" w:rsidP="00A03121">
      <w:pPr>
        <w:numPr>
          <w:ilvl w:val="0"/>
          <w:numId w:val="11"/>
        </w:numPr>
      </w:pPr>
      <w:r w:rsidRPr="00A03121">
        <w:rPr>
          <w:b/>
          <w:bCs/>
        </w:rPr>
        <w:t>Profitability:</w:t>
      </w:r>
      <w:r w:rsidRPr="00A03121">
        <w:t> Local trading rooms in both financial centers (Tokyo Japanese at $1.88M; NY Western at $1.76M) achieved higher mean profit per trader than foreign rooms operating in those same cities (NY Japanese at $0.95M; Tokyo Western at $1.23M).</w:t>
      </w:r>
    </w:p>
    <w:p w14:paraId="1C43B533" w14:textId="77777777" w:rsidR="00A03121" w:rsidRPr="00A03121" w:rsidRDefault="00A03121" w:rsidP="00A03121">
      <w:pPr>
        <w:numPr>
          <w:ilvl w:val="0"/>
          <w:numId w:val="11"/>
        </w:numPr>
      </w:pPr>
      <w:r w:rsidRPr="00A03121">
        <w:rPr>
          <w:b/>
          <w:bCs/>
        </w:rPr>
        <w:t>Room Scale:</w:t>
      </w:r>
      <w:r w:rsidRPr="00A03121">
        <w:t> Japanese trading rooms in Tokyo were twice as large (mean = 82.13 traders) as foreign or domestic rooms in New York and Tokyo (means ranging from 31.43 to 43.14 traders).</w:t>
      </w:r>
    </w:p>
    <w:p w14:paraId="6C8B2836" w14:textId="77777777" w:rsidR="00A03121" w:rsidRPr="00A03121" w:rsidRDefault="00A03121" w:rsidP="00A03121">
      <w:pPr>
        <w:numPr>
          <w:ilvl w:val="0"/>
          <w:numId w:val="11"/>
        </w:numPr>
      </w:pPr>
      <w:r w:rsidRPr="00A03121">
        <w:rPr>
          <w:b/>
          <w:bCs/>
        </w:rPr>
        <w:lastRenderedPageBreak/>
        <w:t>Room Operating History:</w:t>
      </w:r>
      <w:r w:rsidRPr="00A03121">
        <w:t> Domestic Western rooms in New York possessed significantly longer operating histories (mean = 24.14 years) than foreign rooms in New York (7.67 years) or Tokyo rooms (7.86 to 11.75 years).</w:t>
      </w:r>
    </w:p>
    <w:p w14:paraId="319292C8" w14:textId="77777777" w:rsidR="00A03121" w:rsidRPr="00A03121" w:rsidRDefault="00A03121" w:rsidP="00A03121">
      <w:pPr>
        <w:rPr>
          <w:b/>
          <w:bCs/>
        </w:rPr>
      </w:pPr>
      <w:r w:rsidRPr="00A03121">
        <w:rPr>
          <w:b/>
          <w:bCs/>
        </w:rPr>
        <w:t>4.3 The Liability of Foreignness</w:t>
      </w:r>
    </w:p>
    <w:p w14:paraId="5F15E389" w14:textId="77777777" w:rsidR="00A03121" w:rsidRPr="00A03121" w:rsidRDefault="00A03121" w:rsidP="00A03121">
      <w:pPr>
        <w:numPr>
          <w:ilvl w:val="0"/>
          <w:numId w:val="12"/>
        </w:numPr>
      </w:pPr>
      <w:r w:rsidRPr="00A03121">
        <w:rPr>
          <w:b/>
          <w:bCs/>
        </w:rPr>
        <w:t>ANOVA Test of Hypothesis 1:</w:t>
      </w:r>
      <w:r w:rsidRPr="00A03121">
        <w:t> A one-way analysis of variance (ANOVA) comparing log profit per trader between local and foreign trading rooms yielded F = 7.5, p &lt; .05. Local trading rooms achieved a log profit cell mean of 14.42, compared to 13.90 for foreign trading rooms.</w:t>
      </w:r>
    </w:p>
    <w:p w14:paraId="65C6F9A6" w14:textId="77777777" w:rsidR="00A03121" w:rsidRPr="00A03121" w:rsidRDefault="00A03121" w:rsidP="00A03121">
      <w:pPr>
        <w:numPr>
          <w:ilvl w:val="0"/>
          <w:numId w:val="12"/>
        </w:numPr>
      </w:pPr>
      <w:r w:rsidRPr="00A03121">
        <w:rPr>
          <w:b/>
          <w:bCs/>
        </w:rPr>
        <w:t>Empirical Conclusion for H1:</w:t>
      </w:r>
      <w:r w:rsidRPr="00A03121">
        <w:t> </w:t>
      </w:r>
      <w:r w:rsidRPr="00A03121">
        <w:rPr>
          <w:b/>
          <w:bCs/>
        </w:rPr>
        <w:t>Hypothesis 1 is SUPPORTED.</w:t>
      </w:r>
      <w:r w:rsidRPr="00A03121">
        <w:t> Foreign trading rooms are significantly less profitable than local trading rooms in the same location, demonstrating that the liability of foreignness exists even in globally integrated commodity markets.</w:t>
      </w:r>
    </w:p>
    <w:p w14:paraId="1D645150" w14:textId="77777777" w:rsidR="00A03121" w:rsidRPr="00A03121" w:rsidRDefault="00A03121" w:rsidP="00A03121">
      <w:pPr>
        <w:numPr>
          <w:ilvl w:val="0"/>
          <w:numId w:val="12"/>
        </w:numPr>
      </w:pPr>
      <w:r w:rsidRPr="00A03121">
        <w:rPr>
          <w:b/>
          <w:bCs/>
        </w:rPr>
        <w:t>Control Variable Effects &amp; Post-1976 Historical Context:</w:t>
      </w:r>
      <w:r w:rsidRPr="00A03121">
        <w:t> Neither room age nor room size was significantly related to profit per trader. Zaheer explains that trading room age did not explain performance because, following the </w:t>
      </w:r>
      <w:r w:rsidRPr="00A03121">
        <w:rPr>
          <w:b/>
          <w:bCs/>
        </w:rPr>
        <w:t>1976 Jamaica Agreement</w:t>
      </w:r>
      <w:r w:rsidRPr="00A03121">
        <w:t> (which formalized floating exchange rates), foreign exchange markets underwent a fundamental structural regime shift. Consequently, pre-1976 institutional history and operating tenure became irrelevant to modern speculative profitability. Controlling for age confirms that lower foreign subunit performance stems genuinely from foreignness rather than a "liability of newness."</w:t>
      </w:r>
    </w:p>
    <w:p w14:paraId="2C903524" w14:textId="77777777" w:rsidR="00A03121" w:rsidRPr="00A03121" w:rsidRDefault="00A03121" w:rsidP="00A03121">
      <w:pPr>
        <w:rPr>
          <w:b/>
          <w:bCs/>
        </w:rPr>
      </w:pPr>
      <w:r w:rsidRPr="00A03121">
        <w:rPr>
          <w:b/>
          <w:bCs/>
        </w:rPr>
        <w:t>4.4 Local Isomorphism Versus Firm-Specific Advantage</w:t>
      </w:r>
    </w:p>
    <w:p w14:paraId="33538011" w14:textId="77777777" w:rsidR="00A03121" w:rsidRPr="00A03121" w:rsidRDefault="00A03121" w:rsidP="00A03121">
      <w:r w:rsidRPr="00A03121">
        <w:t>To interpret the regression analyses in Table 4, the distinction between absolute and signed distance measures must be explicitly understood:</w:t>
      </w:r>
    </w:p>
    <w:p w14:paraId="2564EBC9" w14:textId="77777777" w:rsidR="00A03121" w:rsidRPr="00A03121" w:rsidRDefault="00A03121" w:rsidP="00A03121">
      <w:pPr>
        <w:numPr>
          <w:ilvl w:val="0"/>
          <w:numId w:val="13"/>
        </w:numPr>
      </w:pPr>
      <w:r w:rsidRPr="00A03121">
        <w:rPr>
          <w:b/>
          <w:bCs/>
        </w:rPr>
        <w:t>Absolute Distance Measures:</w:t>
      </w:r>
      <w:r w:rsidRPr="00A03121">
        <w:t> Capture the overall magnitude of divergence from a benchmark (local or home practice), regardless of direction.</w:t>
      </w:r>
    </w:p>
    <w:p w14:paraId="2BB64F2B" w14:textId="77777777" w:rsidR="00A03121" w:rsidRPr="00A03121" w:rsidRDefault="00A03121" w:rsidP="00A03121">
      <w:pPr>
        <w:numPr>
          <w:ilvl w:val="0"/>
          <w:numId w:val="13"/>
        </w:numPr>
      </w:pPr>
      <w:r w:rsidRPr="00A03121">
        <w:rPr>
          <w:b/>
          <w:bCs/>
        </w:rPr>
        <w:t>Signed Distance Measures:</w:t>
      </w:r>
      <w:r w:rsidRPr="00A03121">
        <w:t> Capture both the magnitude and the </w:t>
      </w:r>
      <w:r w:rsidRPr="00A03121">
        <w:rPr>
          <w:i/>
          <w:iCs/>
        </w:rPr>
        <w:t>directional orientation</w:t>
      </w:r>
      <w:r w:rsidRPr="00A03121">
        <w:t> of practice departure. A </w:t>
      </w:r>
      <w:r w:rsidRPr="00A03121">
        <w:rPr>
          <w:b/>
          <w:bCs/>
        </w:rPr>
        <w:t>positive signed score</w:t>
      </w:r>
      <w:r w:rsidRPr="00A03121">
        <w:t> indicates that the foreign subunit's practice level exceeds the benchmark, whereas a </w:t>
      </w:r>
      <w:r w:rsidRPr="00A03121">
        <w:rPr>
          <w:b/>
          <w:bCs/>
        </w:rPr>
        <w:t>negative signed score</w:t>
      </w:r>
      <w:r w:rsidRPr="00A03121">
        <w:t> indicates that the subunit's practice level falls below the benchmark.</w:t>
      </w:r>
    </w:p>
    <w:p w14:paraId="0C07F399" w14:textId="77777777" w:rsidR="00A03121" w:rsidRPr="00A03121" w:rsidRDefault="00A03121" w:rsidP="00A03121">
      <w:r w:rsidRPr="00A03121">
        <w:t xml:space="preserve">       TABLE 4: Regression Analyses for Liability of Foreignness</w:t>
      </w:r>
    </w:p>
    <w:p w14:paraId="2818F94B" w14:textId="77777777" w:rsidR="00A03121" w:rsidRPr="00A03121" w:rsidRDefault="00A03121" w:rsidP="00A03121">
      <w:r w:rsidRPr="00A03121">
        <w:t>─────────────────────────────────────────────────────────────────────────</w:t>
      </w:r>
    </w:p>
    <w:p w14:paraId="61207B60" w14:textId="77777777" w:rsidR="00A03121" w:rsidRPr="00A03121" w:rsidRDefault="00A03121" w:rsidP="00A03121">
      <w:r w:rsidRPr="00A03121">
        <w:t xml:space="preserve">                                Absolute Distances      Signed Distances</w:t>
      </w:r>
    </w:p>
    <w:p w14:paraId="3629F681" w14:textId="77777777" w:rsidR="00A03121" w:rsidRPr="00A03121" w:rsidRDefault="00A03121" w:rsidP="00A03121">
      <w:r w:rsidRPr="00A03121">
        <w:lastRenderedPageBreak/>
        <w:t xml:space="preserve">Variables                     </w:t>
      </w:r>
      <w:proofErr w:type="spellStart"/>
      <w:proofErr w:type="gramStart"/>
      <w:r w:rsidRPr="00A03121">
        <w:t>Microcontrols</w:t>
      </w:r>
      <w:proofErr w:type="spellEnd"/>
      <w:r w:rsidRPr="00A03121">
        <w:t xml:space="preserve">  Market</w:t>
      </w:r>
      <w:proofErr w:type="gramEnd"/>
      <w:r w:rsidRPr="00A03121">
        <w:t xml:space="preserve">   </w:t>
      </w:r>
      <w:proofErr w:type="spellStart"/>
      <w:r w:rsidRPr="00A03121">
        <w:t>Microcontrols</w:t>
      </w:r>
      <w:proofErr w:type="spellEnd"/>
      <w:r w:rsidRPr="00A03121">
        <w:t xml:space="preserve"> Market</w:t>
      </w:r>
    </w:p>
    <w:p w14:paraId="02E28A89" w14:textId="77777777" w:rsidR="00A03121" w:rsidRPr="00A03121" w:rsidRDefault="00A03121" w:rsidP="00A03121">
      <w:r w:rsidRPr="00A03121">
        <w:t>─────────────────────────────────────────────────────────────────────────</w:t>
      </w:r>
    </w:p>
    <w:p w14:paraId="47E94AD0" w14:textId="77777777" w:rsidR="00A03121" w:rsidRPr="00A03121" w:rsidRDefault="00A03121" w:rsidP="00A03121">
      <w:r w:rsidRPr="00A03121">
        <w:t>Distance from local practice     -0.471†      1.01       0.791†    -2.241†</w:t>
      </w:r>
    </w:p>
    <w:p w14:paraId="5BE7EB60" w14:textId="77777777" w:rsidR="00A03121" w:rsidRPr="00A03121" w:rsidRDefault="00A03121" w:rsidP="00A03121">
      <w:r w:rsidRPr="00A03121">
        <w:t>Distance from home practice      -0.08        0.03      -0.19       2.06*</w:t>
      </w:r>
    </w:p>
    <w:p w14:paraId="6B3D9C3C" w14:textId="77777777" w:rsidR="00A03121" w:rsidRPr="00A03121" w:rsidRDefault="00A03121" w:rsidP="00A03121">
      <w:r w:rsidRPr="00A03121">
        <w:t>Distance from local risk         -0.67*      -1.08*     -0.71*     -0.59*</w:t>
      </w:r>
    </w:p>
    <w:p w14:paraId="359FAC3F" w14:textId="77777777" w:rsidR="00A03121" w:rsidRPr="00A03121" w:rsidRDefault="00A03121" w:rsidP="00A03121">
      <w:r w:rsidRPr="00A03121">
        <w:t>Location (NY=1, Tokyo=2)         -0.71*      -1.68*     -0.03       2.90†</w:t>
      </w:r>
    </w:p>
    <w:p w14:paraId="499FCFDE" w14:textId="77777777" w:rsidR="00A03121" w:rsidRPr="00A03121" w:rsidRDefault="00A03121" w:rsidP="00A03121">
      <w:r w:rsidRPr="00A03121">
        <w:t>─────────────────────────────────────────────────────────────────────────</w:t>
      </w:r>
    </w:p>
    <w:p w14:paraId="12F64F78" w14:textId="77777777" w:rsidR="00A03121" w:rsidRPr="00A03121" w:rsidRDefault="00A03121" w:rsidP="00A03121">
      <w:r w:rsidRPr="00A03121">
        <w:t>R²                                0.61        0.64       0.60       0.72</w:t>
      </w:r>
    </w:p>
    <w:p w14:paraId="0E535D94" w14:textId="77777777" w:rsidR="00A03121" w:rsidRPr="00A03121" w:rsidRDefault="00A03121" w:rsidP="00A03121">
      <w:r w:rsidRPr="00A03121">
        <w:t>Adjusted R²                       0.39        0.44       0.37       0.56</w:t>
      </w:r>
    </w:p>
    <w:p w14:paraId="2F39A5F9" w14:textId="77777777" w:rsidR="00A03121" w:rsidRPr="00A03121" w:rsidRDefault="00A03121" w:rsidP="00A03121">
      <w:r w:rsidRPr="00A03121">
        <w:t>F                                 2.78        3.15       2.63       4.49</w:t>
      </w:r>
    </w:p>
    <w:p w14:paraId="51A10591" w14:textId="77777777" w:rsidR="00A03121" w:rsidRPr="00A03121" w:rsidRDefault="00A03121" w:rsidP="00A03121">
      <w:r w:rsidRPr="00A03121">
        <w:t>p                                 0.11        0.09       0.13       0.04</w:t>
      </w:r>
    </w:p>
    <w:p w14:paraId="295F69CA" w14:textId="77777777" w:rsidR="00A03121" w:rsidRPr="00A03121" w:rsidRDefault="00A03121" w:rsidP="00A03121">
      <w:r w:rsidRPr="00A03121">
        <w:t>─────────────────────────────────────────────────────────────────────────</w:t>
      </w:r>
    </w:p>
    <w:p w14:paraId="4C6A2341" w14:textId="77777777" w:rsidR="00A03121" w:rsidRPr="00A03121" w:rsidRDefault="00A03121" w:rsidP="00A03121">
      <w:r w:rsidRPr="00A03121">
        <w:t>† p &lt; .10; * p &lt; .05</w:t>
      </w:r>
    </w:p>
    <w:p w14:paraId="1ED74949" w14:textId="77777777" w:rsidR="00A03121" w:rsidRPr="00A03121" w:rsidRDefault="00A03121" w:rsidP="00A03121">
      <w:pPr>
        <w:numPr>
          <w:ilvl w:val="0"/>
          <w:numId w:val="14"/>
        </w:numPr>
      </w:pPr>
      <w:r w:rsidRPr="00A03121">
        <w:rPr>
          <w:b/>
          <w:bCs/>
        </w:rPr>
        <w:t>Correlation Matrix Insights (Tables 2 &amp; 3):</w:t>
      </w:r>
      <w:r w:rsidRPr="00A03121">
        <w:t> A strong negative correlation exists between local isomorphism and firm-specific advantage measures for market controls (r = -.87, p &lt; .01), indicating that foreign units importing home market controls diverged substantially from local market norms.</w:t>
      </w:r>
    </w:p>
    <w:p w14:paraId="442332BC" w14:textId="77777777" w:rsidR="00A03121" w:rsidRPr="00A03121" w:rsidRDefault="00A03121" w:rsidP="00A03121">
      <w:pPr>
        <w:numPr>
          <w:ilvl w:val="0"/>
          <w:numId w:val="14"/>
        </w:numPr>
      </w:pPr>
      <w:r w:rsidRPr="00A03121">
        <w:rPr>
          <w:b/>
          <w:bCs/>
        </w:rPr>
        <w:t>Regression Analysis — Market Controls:</w:t>
      </w:r>
    </w:p>
    <w:p w14:paraId="155E3F80" w14:textId="77777777" w:rsidR="00A03121" w:rsidRPr="00A03121" w:rsidRDefault="00A03121" w:rsidP="00A03121">
      <w:pPr>
        <w:numPr>
          <w:ilvl w:val="1"/>
          <w:numId w:val="14"/>
        </w:numPr>
      </w:pPr>
      <w:r w:rsidRPr="00A03121">
        <w:t>Signed distance from local practice is negative (\beta = -2.241, p &lt; .10). Foreign rooms utilizing </w:t>
      </w:r>
      <w:proofErr w:type="spellStart"/>
      <w:r w:rsidRPr="00A03121">
        <w:rPr>
          <w:i/>
          <w:iCs/>
        </w:rPr>
        <w:t>higher</w:t>
      </w:r>
      <w:r w:rsidRPr="00A03121">
        <w:t>market</w:t>
      </w:r>
      <w:proofErr w:type="spellEnd"/>
      <w:r w:rsidRPr="00A03121">
        <w:t xml:space="preserve"> controls than the host market average show lower LOF (higher relative performance).</w:t>
      </w:r>
    </w:p>
    <w:p w14:paraId="5BB6C5E0" w14:textId="77777777" w:rsidR="00A03121" w:rsidRPr="00A03121" w:rsidRDefault="00A03121" w:rsidP="00A03121">
      <w:pPr>
        <w:numPr>
          <w:ilvl w:val="1"/>
          <w:numId w:val="14"/>
        </w:numPr>
      </w:pPr>
      <w:r w:rsidRPr="00A03121">
        <w:t>Signed distance from home parent practice is positive (\beta = 2.06, p &lt; .05). Foreign units that depart from parent home practice toward higher market controls experience </w:t>
      </w:r>
      <w:r w:rsidRPr="00A03121">
        <w:rPr>
          <w:i/>
          <w:iCs/>
        </w:rPr>
        <w:t>increased</w:t>
      </w:r>
      <w:r w:rsidRPr="00A03121">
        <w:t> LOF if the parent firm lacks internal expertise in managing market controls.</w:t>
      </w:r>
    </w:p>
    <w:p w14:paraId="0DD1FAF2" w14:textId="77777777" w:rsidR="00A03121" w:rsidRPr="00A03121" w:rsidRDefault="00A03121" w:rsidP="00A03121">
      <w:pPr>
        <w:numPr>
          <w:ilvl w:val="0"/>
          <w:numId w:val="14"/>
        </w:numPr>
      </w:pPr>
      <w:r w:rsidRPr="00A03121">
        <w:rPr>
          <w:b/>
          <w:bCs/>
        </w:rPr>
        <w:t xml:space="preserve">Regression Analysis — Bureaucratic </w:t>
      </w:r>
      <w:proofErr w:type="spellStart"/>
      <w:r w:rsidRPr="00A03121">
        <w:rPr>
          <w:b/>
          <w:bCs/>
        </w:rPr>
        <w:t>Microcontrols</w:t>
      </w:r>
      <w:proofErr w:type="spellEnd"/>
      <w:r w:rsidRPr="00A03121">
        <w:rPr>
          <w:b/>
          <w:bCs/>
        </w:rPr>
        <w:t>:</w:t>
      </w:r>
    </w:p>
    <w:p w14:paraId="4B94BDDA" w14:textId="77777777" w:rsidR="00A03121" w:rsidRPr="00A03121" w:rsidRDefault="00A03121" w:rsidP="00A03121">
      <w:pPr>
        <w:numPr>
          <w:ilvl w:val="1"/>
          <w:numId w:val="14"/>
        </w:numPr>
      </w:pPr>
      <w:r w:rsidRPr="00A03121">
        <w:t>Absolute distance from local practice is negative (\beta = -0.471, p &lt; .10) and signed distance is positive (\beta = 0.791, p &lt; .10). Foreign rooms that are </w:t>
      </w:r>
      <w:r w:rsidRPr="00A03121">
        <w:rPr>
          <w:i/>
          <w:iCs/>
        </w:rPr>
        <w:t>more distant</w:t>
      </w:r>
      <w:r w:rsidRPr="00A03121">
        <w:t xml:space="preserve"> from local </w:t>
      </w:r>
      <w:proofErr w:type="spellStart"/>
      <w:r w:rsidRPr="00A03121">
        <w:t>microcontrol</w:t>
      </w:r>
      <w:proofErr w:type="spellEnd"/>
      <w:r w:rsidRPr="00A03121">
        <w:t xml:space="preserve"> practice (less isomorphic) </w:t>
      </w:r>
      <w:r w:rsidRPr="00A03121">
        <w:lastRenderedPageBreak/>
        <w:t>experience </w:t>
      </w:r>
      <w:r w:rsidRPr="00A03121">
        <w:rPr>
          <w:i/>
          <w:iCs/>
        </w:rPr>
        <w:t>less</w:t>
      </w:r>
      <w:r w:rsidRPr="00A03121">
        <w:t xml:space="preserve"> LOF. Replicating rigid local </w:t>
      </w:r>
      <w:proofErr w:type="spellStart"/>
      <w:r w:rsidRPr="00A03121">
        <w:t>microcontrols</w:t>
      </w:r>
      <w:proofErr w:type="spellEnd"/>
      <w:r w:rsidRPr="00A03121">
        <w:t xml:space="preserve"> depresses trading performance.</w:t>
      </w:r>
    </w:p>
    <w:p w14:paraId="244426EB" w14:textId="77777777" w:rsidR="00A03121" w:rsidRPr="00A03121" w:rsidRDefault="00A03121" w:rsidP="00A03121">
      <w:pPr>
        <w:numPr>
          <w:ilvl w:val="0"/>
          <w:numId w:val="14"/>
        </w:numPr>
      </w:pPr>
      <w:r w:rsidRPr="00A03121">
        <w:rPr>
          <w:b/>
          <w:bCs/>
        </w:rPr>
        <w:t>Qualitative Case Illustrations (p. 358):</w:t>
      </w:r>
    </w:p>
    <w:p w14:paraId="6595CD3A" w14:textId="77777777" w:rsidR="00A03121" w:rsidRPr="00A03121" w:rsidRDefault="00A03121" w:rsidP="00A03121">
      <w:pPr>
        <w:numPr>
          <w:ilvl w:val="1"/>
          <w:numId w:val="15"/>
        </w:numPr>
      </w:pPr>
      <w:r w:rsidRPr="00A03121">
        <w:rPr>
          <w:i/>
          <w:iCs/>
        </w:rPr>
        <w:t>The Worst-Performing Japanese Room in New York:</w:t>
      </w:r>
      <w:r w:rsidRPr="00A03121">
        <w:t> Tried to mimic local New York market controls without parent-level expertise while remaining more bureaucratic than local Western banks. By trying to outdo local firms in practices where the parent firm lacked competence, it suffered from "imperfect copying," losing its administrative heritage advantage without mastering local market controls.</w:t>
      </w:r>
    </w:p>
    <w:p w14:paraId="3EEF0B54" w14:textId="77777777" w:rsidR="00A03121" w:rsidRPr="00A03121" w:rsidRDefault="00A03121" w:rsidP="00A03121">
      <w:pPr>
        <w:numPr>
          <w:ilvl w:val="1"/>
          <w:numId w:val="15"/>
        </w:numPr>
      </w:pPr>
      <w:r w:rsidRPr="00A03121">
        <w:rPr>
          <w:i/>
          <w:iCs/>
        </w:rPr>
        <w:t>The Two Best-Performing Western Rooms in Tokyo:</w:t>
      </w:r>
      <w:r w:rsidRPr="00A03121">
        <w:t> Differentiated themselves radically from Tokyo local norms by implementing </w:t>
      </w:r>
      <w:r w:rsidRPr="00A03121">
        <w:rPr>
          <w:i/>
          <w:iCs/>
        </w:rPr>
        <w:t>higher</w:t>
      </w:r>
      <w:r w:rsidRPr="00A03121">
        <w:t xml:space="preserve"> market controls than even their home siblings in New York, while keeping bureaucratic </w:t>
      </w:r>
      <w:proofErr w:type="spellStart"/>
      <w:r w:rsidRPr="00A03121">
        <w:t>microcontrols</w:t>
      </w:r>
      <w:proofErr w:type="spellEnd"/>
      <w:r w:rsidRPr="00A03121">
        <w:t xml:space="preserve"> far below Tokyo local averages (one room operated with zero position limits).</w:t>
      </w:r>
    </w:p>
    <w:p w14:paraId="73926683" w14:textId="77777777" w:rsidR="00A03121" w:rsidRPr="00A03121" w:rsidRDefault="00A03121" w:rsidP="00A03121">
      <w:pPr>
        <w:numPr>
          <w:ilvl w:val="0"/>
          <w:numId w:val="14"/>
        </w:numPr>
      </w:pPr>
      <w:r w:rsidRPr="00A03121">
        <w:rPr>
          <w:b/>
          <w:bCs/>
        </w:rPr>
        <w:t>Hypothesis Testing Evaluation:</w:t>
      </w:r>
    </w:p>
    <w:p w14:paraId="527396FD" w14:textId="77777777" w:rsidR="00A03121" w:rsidRPr="00A03121" w:rsidRDefault="00A03121" w:rsidP="00A03121">
      <w:pPr>
        <w:numPr>
          <w:ilvl w:val="1"/>
          <w:numId w:val="14"/>
        </w:numPr>
      </w:pPr>
      <w:r w:rsidRPr="00A03121">
        <w:rPr>
          <w:b/>
          <w:bCs/>
        </w:rPr>
        <w:t>Hypothesis 2a (Firm-Specific Advantage): SUPPORTED for Market Controls</w:t>
      </w:r>
      <w:r w:rsidRPr="00A03121">
        <w:t>, provided the parent enterprise possesses genuine administrative capability in managing that practice.</w:t>
      </w:r>
    </w:p>
    <w:p w14:paraId="37745B3A" w14:textId="77777777" w:rsidR="00A03121" w:rsidRPr="00A03121" w:rsidRDefault="00A03121" w:rsidP="00A03121">
      <w:pPr>
        <w:numPr>
          <w:ilvl w:val="1"/>
          <w:numId w:val="14"/>
        </w:numPr>
      </w:pPr>
      <w:r w:rsidRPr="00A03121">
        <w:rPr>
          <w:b/>
          <w:bCs/>
        </w:rPr>
        <w:t>Hypothesis 2b (Local Isomorphism): REJECTED.</w:t>
      </w:r>
      <w:r w:rsidRPr="00A03121">
        <w:t xml:space="preserve"> Blindly imitating host-market practices (especially bureaucratic </w:t>
      </w:r>
      <w:proofErr w:type="spellStart"/>
      <w:r w:rsidRPr="00A03121">
        <w:t>microcontrols</w:t>
      </w:r>
      <w:proofErr w:type="spellEnd"/>
      <w:r w:rsidRPr="00A03121">
        <w:t>) does NOT reduce LOF and can depress subunit performance.</w:t>
      </w:r>
    </w:p>
    <w:p w14:paraId="05DC8874" w14:textId="77777777" w:rsidR="00A03121" w:rsidRPr="00A03121" w:rsidRDefault="00A03121" w:rsidP="00A03121">
      <w:r w:rsidRPr="00A03121">
        <w:t>These empirical findings yield theoretical implications for reconciling economic models of the multinational enterprise with sociological models of institutional pressure.</w:t>
      </w:r>
    </w:p>
    <w:p w14:paraId="786B8F72" w14:textId="77777777" w:rsidR="00A03121" w:rsidRPr="00A03121" w:rsidRDefault="00A03121" w:rsidP="00A03121">
      <w:pPr>
        <w:rPr>
          <w:b/>
          <w:bCs/>
        </w:rPr>
      </w:pPr>
      <w:r w:rsidRPr="00A03121">
        <w:rPr>
          <w:b/>
          <w:bCs/>
        </w:rPr>
        <w:t>5. IMPLICATIONS</w:t>
      </w:r>
    </w:p>
    <w:p w14:paraId="516B094A" w14:textId="77777777" w:rsidR="00A03121" w:rsidRPr="00A03121" w:rsidRDefault="00A03121" w:rsidP="00A03121">
      <w:r w:rsidRPr="00A03121">
        <w:t>Zaheer's findings reconcile Strategic Management (Resource-Based View) and Institutional Theory by defining the boundary conditions under which practice transfer outperforms institutional imitation.</w:t>
      </w:r>
    </w:p>
    <w:p w14:paraId="125045E9" w14:textId="77777777" w:rsidR="00A03121" w:rsidRPr="00A03121" w:rsidRDefault="00A03121" w:rsidP="00A03121">
      <w:pPr>
        <w:numPr>
          <w:ilvl w:val="0"/>
          <w:numId w:val="16"/>
        </w:numPr>
      </w:pPr>
      <w:r w:rsidRPr="00A03121">
        <w:rPr>
          <w:b/>
          <w:bCs/>
        </w:rPr>
        <w:t>Reconciliation of Strategy and Institutional Theories:</w:t>
      </w:r>
    </w:p>
    <w:p w14:paraId="2C96AFF2" w14:textId="77777777" w:rsidR="00A03121" w:rsidRPr="00A03121" w:rsidRDefault="00A03121" w:rsidP="00A03121">
      <w:pPr>
        <w:numPr>
          <w:ilvl w:val="1"/>
          <w:numId w:val="16"/>
        </w:numPr>
      </w:pPr>
      <w:r w:rsidRPr="00A03121">
        <w:t>When an MNE's competitive advantage resides in organizational capabilities, foreign subunits perform better by maintaining routines imported from the home parent rather than attempting to mimic host-country practices with which the parent enterprise has little experience.</w:t>
      </w:r>
    </w:p>
    <w:p w14:paraId="2BE8A883" w14:textId="77777777" w:rsidR="00A03121" w:rsidRPr="00A03121" w:rsidRDefault="00A03121" w:rsidP="00A03121">
      <w:pPr>
        <w:numPr>
          <w:ilvl w:val="1"/>
          <w:numId w:val="16"/>
        </w:numPr>
      </w:pPr>
      <w:r w:rsidRPr="00A03121">
        <w:t xml:space="preserve">Attempting to copy local organizational practices without parent-level competency creates "imperfect copying" (Nelson &amp; Winter, 1982). Foreign </w:t>
      </w:r>
      <w:r w:rsidRPr="00A03121">
        <w:lastRenderedPageBreak/>
        <w:t>units attempting to copy local practices lose the advantages of their administrative heritage without successfully replicating host-firm competencies.</w:t>
      </w:r>
    </w:p>
    <w:p w14:paraId="17957C04" w14:textId="77777777" w:rsidR="00A03121" w:rsidRPr="00A03121" w:rsidRDefault="00A03121" w:rsidP="00A03121">
      <w:pPr>
        <w:numPr>
          <w:ilvl w:val="0"/>
          <w:numId w:val="16"/>
        </w:numPr>
      </w:pPr>
      <w:r w:rsidRPr="00A03121">
        <w:rPr>
          <w:b/>
          <w:bCs/>
        </w:rPr>
        <w:t>Practice-Dependent Isomorphism:</w:t>
      </w:r>
    </w:p>
    <w:p w14:paraId="5CC3516F" w14:textId="77777777" w:rsidR="00A03121" w:rsidRPr="00A03121" w:rsidRDefault="00A03121" w:rsidP="00A03121">
      <w:pPr>
        <w:numPr>
          <w:ilvl w:val="1"/>
          <w:numId w:val="16"/>
        </w:numPr>
      </w:pPr>
      <w:r w:rsidRPr="00A03121">
        <w:rPr>
          <w:i/>
          <w:iCs/>
        </w:rPr>
        <w:t>Global Isomorphism:</w:t>
      </w:r>
      <w:r w:rsidRPr="00A03121">
        <w:t> Certain structural practices are globally standardized due to operational efficiency (e.g., currency desk structures in trading rooms).</w:t>
      </w:r>
    </w:p>
    <w:p w14:paraId="4C180111" w14:textId="77777777" w:rsidR="00A03121" w:rsidRPr="00A03121" w:rsidRDefault="00A03121" w:rsidP="00A03121">
      <w:pPr>
        <w:numPr>
          <w:ilvl w:val="1"/>
          <w:numId w:val="16"/>
        </w:numPr>
      </w:pPr>
      <w:r w:rsidRPr="00A03121">
        <w:rPr>
          <w:i/>
          <w:iCs/>
        </w:rPr>
        <w:t>Economic Isomorphism:</w:t>
      </w:r>
      <w:r w:rsidRPr="00A03121">
        <w:t xml:space="preserve"> Certain operational configurations are dictated by local factor costs (e.g., straight-line office layouts in downtown Tokyo driven by commercial real estate prices in </w:t>
      </w:r>
      <w:proofErr w:type="spellStart"/>
      <w:r w:rsidRPr="00A03121">
        <w:t>Ohtemachi</w:t>
      </w:r>
      <w:proofErr w:type="spellEnd"/>
      <w:r w:rsidRPr="00A03121">
        <w:t>).</w:t>
      </w:r>
    </w:p>
    <w:p w14:paraId="4FEDB8AD" w14:textId="77777777" w:rsidR="00A03121" w:rsidRPr="00A03121" w:rsidRDefault="00A03121" w:rsidP="00A03121">
      <w:pPr>
        <w:numPr>
          <w:ilvl w:val="1"/>
          <w:numId w:val="16"/>
        </w:numPr>
      </w:pPr>
      <w:r w:rsidRPr="00A03121">
        <w:rPr>
          <w:i/>
          <w:iCs/>
        </w:rPr>
        <w:t>Strategic/Organizational Practices:</w:t>
      </w:r>
      <w:r w:rsidRPr="00A03121">
        <w:t xml:space="preserve"> Incentive systems and control mechanisms (market controls and bureaucratic </w:t>
      </w:r>
      <w:proofErr w:type="spellStart"/>
      <w:r w:rsidRPr="00A03121">
        <w:t>microcontrols</w:t>
      </w:r>
      <w:proofErr w:type="spellEnd"/>
      <w:r w:rsidRPr="00A03121">
        <w:t>) represent areas where administrative heritage provides a distinct competitive advantage, making local imitation detrimental.</w:t>
      </w:r>
    </w:p>
    <w:p w14:paraId="6DD293F8" w14:textId="77777777" w:rsidR="00A03121" w:rsidRPr="00A03121" w:rsidRDefault="00A03121" w:rsidP="00A03121">
      <w:pPr>
        <w:rPr>
          <w:b/>
          <w:bCs/>
        </w:rPr>
      </w:pPr>
      <w:r w:rsidRPr="00A03121">
        <w:rPr>
          <w:b/>
          <w:bCs/>
        </w:rPr>
        <w:t>Strategy Matrix: Practice Transfer vs. Institutional Imitation</w:t>
      </w:r>
    </w:p>
    <w:p w14:paraId="42838A1A" w14:textId="77777777" w:rsidR="00A03121" w:rsidRPr="00A03121" w:rsidRDefault="00A03121" w:rsidP="00A03121">
      <w:r w:rsidRPr="00A03121">
        <w:t>The following matrix synthesizes the strategic contingency choices across organizational control mechanisms: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63"/>
        <w:gridCol w:w="1849"/>
        <w:gridCol w:w="2835"/>
        <w:gridCol w:w="2197"/>
      </w:tblGrid>
      <w:tr w:rsidR="00A03121" w:rsidRPr="00A03121" w14:paraId="7DCD08B6" w14:textId="77777777" w:rsidTr="006D0BD1">
        <w:tc>
          <w:tcPr>
            <w:tcW w:w="1233" w:type="pct"/>
            <w:tcBorders>
              <w:top w:val="outset" w:sz="6" w:space="0" w:color="auto"/>
              <w:left w:val="outset" w:sz="6" w:space="0" w:color="auto"/>
              <w:bottom w:val="outset" w:sz="6" w:space="0" w:color="auto"/>
              <w:right w:val="outset" w:sz="6" w:space="0" w:color="auto"/>
            </w:tcBorders>
            <w:vAlign w:val="center"/>
            <w:hideMark/>
          </w:tcPr>
          <w:p w14:paraId="4B55EEC5" w14:textId="77777777" w:rsidR="00A03121" w:rsidRPr="00A03121" w:rsidRDefault="00A03121" w:rsidP="00A03121">
            <w:r w:rsidRPr="00A03121">
              <w:t>Control Mechanism</w:t>
            </w:r>
          </w:p>
        </w:tc>
        <w:tc>
          <w:tcPr>
            <w:tcW w:w="1018" w:type="pct"/>
            <w:tcBorders>
              <w:top w:val="outset" w:sz="6" w:space="0" w:color="auto"/>
              <w:left w:val="outset" w:sz="6" w:space="0" w:color="auto"/>
              <w:bottom w:val="outset" w:sz="6" w:space="0" w:color="auto"/>
              <w:right w:val="outset" w:sz="6" w:space="0" w:color="auto"/>
            </w:tcBorders>
            <w:vAlign w:val="center"/>
            <w:hideMark/>
          </w:tcPr>
          <w:p w14:paraId="3AB5E7EA" w14:textId="77777777" w:rsidR="00A03121" w:rsidRPr="00A03121" w:rsidRDefault="00A03121" w:rsidP="00A03121">
            <w:r w:rsidRPr="00A03121">
              <w:t>Local Isomorphism (Host Imitation)</w:t>
            </w:r>
          </w:p>
        </w:tc>
        <w:tc>
          <w:tcPr>
            <w:tcW w:w="1544" w:type="pct"/>
            <w:tcBorders>
              <w:top w:val="outset" w:sz="6" w:space="0" w:color="auto"/>
              <w:left w:val="outset" w:sz="6" w:space="0" w:color="auto"/>
              <w:bottom w:val="outset" w:sz="6" w:space="0" w:color="auto"/>
              <w:right w:val="outset" w:sz="6" w:space="0" w:color="auto"/>
            </w:tcBorders>
            <w:vAlign w:val="center"/>
            <w:hideMark/>
          </w:tcPr>
          <w:p w14:paraId="6F8EC882" w14:textId="77777777" w:rsidR="00A03121" w:rsidRPr="00A03121" w:rsidRDefault="00A03121" w:rsidP="00A03121">
            <w:r w:rsidRPr="00A03121">
              <w:t>Administrative Heritage (Parent Importation)</w:t>
            </w:r>
          </w:p>
        </w:tc>
        <w:tc>
          <w:tcPr>
            <w:tcW w:w="1205" w:type="pct"/>
            <w:tcBorders>
              <w:top w:val="outset" w:sz="6" w:space="0" w:color="auto"/>
              <w:left w:val="outset" w:sz="6" w:space="0" w:color="auto"/>
              <w:bottom w:val="outset" w:sz="6" w:space="0" w:color="auto"/>
              <w:right w:val="outset" w:sz="6" w:space="0" w:color="auto"/>
            </w:tcBorders>
            <w:vAlign w:val="center"/>
            <w:hideMark/>
          </w:tcPr>
          <w:p w14:paraId="53AF0E86" w14:textId="77777777" w:rsidR="00A03121" w:rsidRPr="00A03121" w:rsidRDefault="00A03121" w:rsidP="00A03121">
            <w:r w:rsidRPr="00A03121">
              <w:t>Empirical Performance Outcome</w:t>
            </w:r>
          </w:p>
        </w:tc>
      </w:tr>
      <w:tr w:rsidR="00A03121" w:rsidRPr="00A03121" w14:paraId="113F72E6" w14:textId="77777777" w:rsidTr="006D0BD1">
        <w:tc>
          <w:tcPr>
            <w:tcW w:w="1233" w:type="pct"/>
            <w:tcBorders>
              <w:top w:val="outset" w:sz="6" w:space="0" w:color="auto"/>
              <w:left w:val="outset" w:sz="6" w:space="0" w:color="auto"/>
              <w:bottom w:val="outset" w:sz="6" w:space="0" w:color="auto"/>
              <w:right w:val="outset" w:sz="6" w:space="0" w:color="auto"/>
            </w:tcBorders>
            <w:vAlign w:val="center"/>
            <w:hideMark/>
          </w:tcPr>
          <w:p w14:paraId="3DD42CBF" w14:textId="77777777" w:rsidR="00A03121" w:rsidRPr="00A03121" w:rsidRDefault="00A03121" w:rsidP="00A03121">
            <w:r w:rsidRPr="00A03121">
              <w:rPr>
                <w:b/>
                <w:bCs/>
              </w:rPr>
              <w:t xml:space="preserve">Market </w:t>
            </w:r>
            <w:proofErr w:type="gramStart"/>
            <w:r w:rsidRPr="00A03121">
              <w:rPr>
                <w:b/>
                <w:bCs/>
              </w:rPr>
              <w:t>Controls</w:t>
            </w:r>
            <w:r w:rsidRPr="00A03121">
              <w:t>(</w:t>
            </w:r>
            <w:proofErr w:type="gramEnd"/>
            <w:r w:rsidRPr="00A03121">
              <w:t>Pay-for-performance, external hiring)</w:t>
            </w:r>
          </w:p>
        </w:tc>
        <w:tc>
          <w:tcPr>
            <w:tcW w:w="1018" w:type="pct"/>
            <w:tcBorders>
              <w:top w:val="outset" w:sz="6" w:space="0" w:color="auto"/>
              <w:left w:val="outset" w:sz="6" w:space="0" w:color="auto"/>
              <w:bottom w:val="outset" w:sz="6" w:space="0" w:color="auto"/>
              <w:right w:val="outset" w:sz="6" w:space="0" w:color="auto"/>
            </w:tcBorders>
            <w:vAlign w:val="center"/>
            <w:hideMark/>
          </w:tcPr>
          <w:p w14:paraId="0FC5742E" w14:textId="77777777" w:rsidR="00A03121" w:rsidRPr="00A03121" w:rsidRDefault="00A03121" w:rsidP="00A03121">
            <w:r w:rsidRPr="00A03121">
              <w:t>Low effectiveness if host market lacks market controls (e.g., Tokyo).</w:t>
            </w:r>
          </w:p>
        </w:tc>
        <w:tc>
          <w:tcPr>
            <w:tcW w:w="1544" w:type="pct"/>
            <w:tcBorders>
              <w:top w:val="outset" w:sz="6" w:space="0" w:color="auto"/>
              <w:left w:val="outset" w:sz="6" w:space="0" w:color="auto"/>
              <w:bottom w:val="outset" w:sz="6" w:space="0" w:color="auto"/>
              <w:right w:val="outset" w:sz="6" w:space="0" w:color="auto"/>
            </w:tcBorders>
            <w:vAlign w:val="center"/>
            <w:hideMark/>
          </w:tcPr>
          <w:p w14:paraId="2506C58E" w14:textId="77777777" w:rsidR="00A03121" w:rsidRPr="00A03121" w:rsidRDefault="00A03121" w:rsidP="00A03121">
            <w:r w:rsidRPr="00A03121">
              <w:rPr>
                <w:b/>
                <w:bCs/>
              </w:rPr>
              <w:t>High Effectiveness:</w:t>
            </w:r>
            <w:r w:rsidRPr="00A03121">
              <w:t> If parent firm possesses expertise in market controls.</w:t>
            </w:r>
          </w:p>
        </w:tc>
        <w:tc>
          <w:tcPr>
            <w:tcW w:w="1205" w:type="pct"/>
            <w:tcBorders>
              <w:top w:val="outset" w:sz="6" w:space="0" w:color="auto"/>
              <w:left w:val="outset" w:sz="6" w:space="0" w:color="auto"/>
              <w:bottom w:val="outset" w:sz="6" w:space="0" w:color="auto"/>
              <w:right w:val="outset" w:sz="6" w:space="0" w:color="auto"/>
            </w:tcBorders>
            <w:vAlign w:val="center"/>
            <w:hideMark/>
          </w:tcPr>
          <w:p w14:paraId="0FD59EF2" w14:textId="77777777" w:rsidR="00A03121" w:rsidRPr="00A03121" w:rsidRDefault="00A03121" w:rsidP="00A03121">
            <w:r w:rsidRPr="00A03121">
              <w:rPr>
                <w:b/>
                <w:bCs/>
              </w:rPr>
              <w:t>Superior:</w:t>
            </w:r>
            <w:r w:rsidRPr="00A03121">
              <w:t> Higher market controls reduce LOF, provided parent has internal competency.</w:t>
            </w:r>
          </w:p>
        </w:tc>
      </w:tr>
      <w:tr w:rsidR="00A03121" w:rsidRPr="00A03121" w14:paraId="663ABC9A" w14:textId="77777777" w:rsidTr="006D0BD1">
        <w:tc>
          <w:tcPr>
            <w:tcW w:w="1233" w:type="pct"/>
            <w:tcBorders>
              <w:top w:val="outset" w:sz="6" w:space="0" w:color="auto"/>
              <w:left w:val="outset" w:sz="6" w:space="0" w:color="auto"/>
              <w:bottom w:val="outset" w:sz="6" w:space="0" w:color="auto"/>
              <w:right w:val="outset" w:sz="6" w:space="0" w:color="auto"/>
            </w:tcBorders>
            <w:vAlign w:val="center"/>
            <w:hideMark/>
          </w:tcPr>
          <w:p w14:paraId="4A2791E2" w14:textId="77777777" w:rsidR="00A03121" w:rsidRPr="00A03121" w:rsidRDefault="00A03121" w:rsidP="00A03121">
            <w:r w:rsidRPr="00A03121">
              <w:rPr>
                <w:b/>
                <w:bCs/>
              </w:rPr>
              <w:t xml:space="preserve">Bureaucratic </w:t>
            </w:r>
            <w:proofErr w:type="spellStart"/>
            <w:proofErr w:type="gramStart"/>
            <w:r w:rsidRPr="00A03121">
              <w:rPr>
                <w:b/>
                <w:bCs/>
              </w:rPr>
              <w:t>Microcontrols</w:t>
            </w:r>
            <w:proofErr w:type="spellEnd"/>
            <w:r w:rsidRPr="00A03121">
              <w:t>(</w:t>
            </w:r>
            <w:proofErr w:type="gramEnd"/>
            <w:r w:rsidRPr="00A03121">
              <w:t>Position limits, rigid rules)</w:t>
            </w:r>
          </w:p>
        </w:tc>
        <w:tc>
          <w:tcPr>
            <w:tcW w:w="1018" w:type="pct"/>
            <w:tcBorders>
              <w:top w:val="outset" w:sz="6" w:space="0" w:color="auto"/>
              <w:left w:val="outset" w:sz="6" w:space="0" w:color="auto"/>
              <w:bottom w:val="outset" w:sz="6" w:space="0" w:color="auto"/>
              <w:right w:val="outset" w:sz="6" w:space="0" w:color="auto"/>
            </w:tcBorders>
            <w:vAlign w:val="center"/>
            <w:hideMark/>
          </w:tcPr>
          <w:p w14:paraId="6B146B02" w14:textId="77777777" w:rsidR="00A03121" w:rsidRPr="00A03121" w:rsidRDefault="00A03121" w:rsidP="00A03121">
            <w:r w:rsidRPr="00A03121">
              <w:rPr>
                <w:b/>
                <w:bCs/>
              </w:rPr>
              <w:t xml:space="preserve">High Depressive </w:t>
            </w:r>
            <w:proofErr w:type="spellStart"/>
            <w:proofErr w:type="gramStart"/>
            <w:r w:rsidRPr="00A03121">
              <w:rPr>
                <w:b/>
                <w:bCs/>
              </w:rPr>
              <w:t>Effect:</w:t>
            </w:r>
            <w:r w:rsidRPr="00A03121">
              <w:t>Copying</w:t>
            </w:r>
            <w:proofErr w:type="spellEnd"/>
            <w:proofErr w:type="gramEnd"/>
            <w:r w:rsidRPr="00A03121">
              <w:t xml:space="preserve"> rigid host </w:t>
            </w:r>
            <w:proofErr w:type="spellStart"/>
            <w:r w:rsidRPr="00A03121">
              <w:t>microcontrols</w:t>
            </w:r>
            <w:proofErr w:type="spellEnd"/>
            <w:r w:rsidRPr="00A03121">
              <w:t xml:space="preserve"> destroys agility.</w:t>
            </w:r>
          </w:p>
        </w:tc>
        <w:tc>
          <w:tcPr>
            <w:tcW w:w="1544" w:type="pct"/>
            <w:tcBorders>
              <w:top w:val="outset" w:sz="6" w:space="0" w:color="auto"/>
              <w:left w:val="outset" w:sz="6" w:space="0" w:color="auto"/>
              <w:bottom w:val="outset" w:sz="6" w:space="0" w:color="auto"/>
              <w:right w:val="outset" w:sz="6" w:space="0" w:color="auto"/>
            </w:tcBorders>
            <w:vAlign w:val="center"/>
            <w:hideMark/>
          </w:tcPr>
          <w:p w14:paraId="095A18C0" w14:textId="77777777" w:rsidR="00A03121" w:rsidRPr="00A03121" w:rsidRDefault="00A03121" w:rsidP="00A03121">
            <w:r w:rsidRPr="00A03121">
              <w:rPr>
                <w:b/>
                <w:bCs/>
              </w:rPr>
              <w:t>High Effectiveness:</w:t>
            </w:r>
            <w:r w:rsidRPr="00A03121">
              <w:t> Maintaining flexible parent controls avoids operational paralysis.</w:t>
            </w:r>
          </w:p>
        </w:tc>
        <w:tc>
          <w:tcPr>
            <w:tcW w:w="1205" w:type="pct"/>
            <w:tcBorders>
              <w:top w:val="outset" w:sz="6" w:space="0" w:color="auto"/>
              <w:left w:val="outset" w:sz="6" w:space="0" w:color="auto"/>
              <w:bottom w:val="outset" w:sz="6" w:space="0" w:color="auto"/>
              <w:right w:val="outset" w:sz="6" w:space="0" w:color="auto"/>
            </w:tcBorders>
            <w:vAlign w:val="center"/>
            <w:hideMark/>
          </w:tcPr>
          <w:p w14:paraId="60743C50" w14:textId="77777777" w:rsidR="00A03121" w:rsidRPr="00A03121" w:rsidRDefault="00A03121" w:rsidP="00A03121">
            <w:r w:rsidRPr="00A03121">
              <w:rPr>
                <w:b/>
                <w:bCs/>
              </w:rPr>
              <w:t>Superior:</w:t>
            </w:r>
            <w:r w:rsidRPr="00A03121">
              <w:t xml:space="preserve"> Greater distance from rigid local </w:t>
            </w:r>
            <w:proofErr w:type="spellStart"/>
            <w:r w:rsidRPr="00A03121">
              <w:t>microcontrols</w:t>
            </w:r>
            <w:proofErr w:type="spellEnd"/>
            <w:r w:rsidRPr="00A03121">
              <w:t xml:space="preserve"> reduces LOF.</w:t>
            </w:r>
          </w:p>
        </w:tc>
      </w:tr>
    </w:tbl>
    <w:p w14:paraId="76623D3A" w14:textId="77777777" w:rsidR="00A03121" w:rsidRPr="00A03121" w:rsidRDefault="00A03121" w:rsidP="00A03121">
      <w:pPr>
        <w:numPr>
          <w:ilvl w:val="0"/>
          <w:numId w:val="17"/>
        </w:numPr>
      </w:pPr>
      <w:r w:rsidRPr="00A03121">
        <w:rPr>
          <w:b/>
          <w:bCs/>
        </w:rPr>
        <w:t xml:space="preserve">Refining the Integration vs. Responsiveness Framework (Prahalad &amp; </w:t>
      </w:r>
      <w:proofErr w:type="spellStart"/>
      <w:r w:rsidRPr="00A03121">
        <w:rPr>
          <w:b/>
          <w:bCs/>
        </w:rPr>
        <w:t>Doz</w:t>
      </w:r>
      <w:proofErr w:type="spellEnd"/>
      <w:r w:rsidRPr="00A03121">
        <w:rPr>
          <w:b/>
          <w:bCs/>
        </w:rPr>
        <w:t>, 1987):</w:t>
      </w:r>
    </w:p>
    <w:p w14:paraId="31D3DFBE" w14:textId="77777777" w:rsidR="00A03121" w:rsidRPr="00A03121" w:rsidRDefault="00A03121" w:rsidP="00A03121">
      <w:pPr>
        <w:numPr>
          <w:ilvl w:val="1"/>
          <w:numId w:val="17"/>
        </w:numPr>
      </w:pPr>
      <w:r w:rsidRPr="00A03121">
        <w:lastRenderedPageBreak/>
        <w:t>The findings refine international strategy theory by demonstrating that global integration versus local responsiveness choices should be made at the granular level of specific organizational practices and capabilities, rather than applied uniformly across entire business units.</w:t>
      </w:r>
    </w:p>
    <w:p w14:paraId="283B57AA" w14:textId="77777777" w:rsidR="00A03121" w:rsidRPr="00A03121" w:rsidRDefault="00A03121" w:rsidP="00A03121">
      <w:r w:rsidRPr="00A03121">
        <w:t>Synthesizing these theoretical contributions highlights the core empirical conclusions and outlines the trajectory for future international management research.</w:t>
      </w:r>
    </w:p>
    <w:p w14:paraId="079ECDDB" w14:textId="77777777" w:rsidR="00A03121" w:rsidRPr="00A03121" w:rsidRDefault="00A03121" w:rsidP="00A03121">
      <w:pPr>
        <w:rPr>
          <w:b/>
          <w:bCs/>
        </w:rPr>
      </w:pPr>
      <w:r w:rsidRPr="00A03121">
        <w:rPr>
          <w:b/>
          <w:bCs/>
        </w:rPr>
        <w:t>6. CONCLUSIONS</w:t>
      </w:r>
    </w:p>
    <w:p w14:paraId="724C0DC4" w14:textId="77777777" w:rsidR="00A03121" w:rsidRPr="00A03121" w:rsidRDefault="00A03121" w:rsidP="00A03121">
      <w:r w:rsidRPr="00A03121">
        <w:t>This study provides definitive empirical evidence on the nature of foreignness liabilities and the efficacy of internal capability transfer in international markets.</w:t>
      </w:r>
    </w:p>
    <w:p w14:paraId="6AB915C8" w14:textId="77777777" w:rsidR="00A03121" w:rsidRPr="00A03121" w:rsidRDefault="00A03121" w:rsidP="00A03121">
      <w:pPr>
        <w:numPr>
          <w:ilvl w:val="0"/>
          <w:numId w:val="18"/>
        </w:numPr>
      </w:pPr>
      <w:r w:rsidRPr="00A03121">
        <w:rPr>
          <w:b/>
          <w:bCs/>
        </w:rPr>
        <w:t>Summary of Core Empirical Findings:</w:t>
      </w:r>
    </w:p>
    <w:p w14:paraId="598583FA" w14:textId="77777777" w:rsidR="00A03121" w:rsidRPr="00A03121" w:rsidRDefault="00A03121" w:rsidP="00A03121">
      <w:pPr>
        <w:numPr>
          <w:ilvl w:val="1"/>
          <w:numId w:val="18"/>
        </w:numPr>
      </w:pPr>
      <w:r w:rsidRPr="00A03121">
        <w:t>The Liability of Foreignness is real and statistically significant (F = 7.5, p &lt; .05), even in globally integrated, highly competitive commodity markets with standard technology.</w:t>
      </w:r>
    </w:p>
    <w:p w14:paraId="7225045B" w14:textId="77777777" w:rsidR="00A03121" w:rsidRPr="00A03121" w:rsidRDefault="00A03121" w:rsidP="00A03121">
      <w:pPr>
        <w:numPr>
          <w:ilvl w:val="1"/>
          <w:numId w:val="18"/>
        </w:numPr>
      </w:pPr>
      <w:r w:rsidRPr="00A03121">
        <w:t>Importing firm-specific organizational capabilities rooted in parent administrative heritage is superior to mimicking local host practices for overcoming LOF.</w:t>
      </w:r>
    </w:p>
    <w:p w14:paraId="1124FE8A" w14:textId="77777777" w:rsidR="00A03121" w:rsidRPr="00A03121" w:rsidRDefault="00A03121" w:rsidP="00A03121">
      <w:pPr>
        <w:numPr>
          <w:ilvl w:val="1"/>
          <w:numId w:val="18"/>
        </w:numPr>
      </w:pPr>
      <w:r w:rsidRPr="00A03121">
        <w:t>Mimicking local practices without parent-level operational expertise creates "imperfect copying," resulting in operational inefficiencies and worsening competitive disadvantage.</w:t>
      </w:r>
    </w:p>
    <w:p w14:paraId="5345A1C3" w14:textId="77777777" w:rsidR="00A03121" w:rsidRPr="00A03121" w:rsidRDefault="00A03121" w:rsidP="00A03121">
      <w:pPr>
        <w:numPr>
          <w:ilvl w:val="0"/>
          <w:numId w:val="18"/>
        </w:numPr>
      </w:pPr>
      <w:r w:rsidRPr="00A03121">
        <w:rPr>
          <w:b/>
          <w:bCs/>
        </w:rPr>
        <w:t>Future Research Agenda:</w:t>
      </w:r>
    </w:p>
    <w:p w14:paraId="315BA76F" w14:textId="77777777" w:rsidR="00A03121" w:rsidRPr="00A03121" w:rsidRDefault="00A03121" w:rsidP="00A03121">
      <w:pPr>
        <w:numPr>
          <w:ilvl w:val="1"/>
          <w:numId w:val="19"/>
        </w:numPr>
      </w:pPr>
      <w:r w:rsidRPr="00A03121">
        <w:t xml:space="preserve">Longitudinal tracking of LOF decay as foreign subunits </w:t>
      </w:r>
      <w:proofErr w:type="gramStart"/>
      <w:r w:rsidRPr="00A03121">
        <w:t>gain</w:t>
      </w:r>
      <w:proofErr w:type="gramEnd"/>
      <w:r w:rsidRPr="00A03121">
        <w:t xml:space="preserve"> host-market experience over time.</w:t>
      </w:r>
    </w:p>
    <w:p w14:paraId="24330EE3" w14:textId="77777777" w:rsidR="00A03121" w:rsidRPr="00A03121" w:rsidRDefault="00A03121" w:rsidP="00A03121">
      <w:pPr>
        <w:numPr>
          <w:ilvl w:val="1"/>
          <w:numId w:val="19"/>
        </w:numPr>
      </w:pPr>
      <w:r w:rsidRPr="00A03121">
        <w:t>Industry-level comparative studies examining foreignness costs across varied structural contexts.</w:t>
      </w:r>
    </w:p>
    <w:p w14:paraId="55CEF1D5" w14:textId="77777777" w:rsidR="00A03121" w:rsidRPr="00A03121" w:rsidRDefault="00A03121" w:rsidP="00A03121">
      <w:pPr>
        <w:numPr>
          <w:ilvl w:val="1"/>
          <w:numId w:val="19"/>
        </w:numPr>
      </w:pPr>
      <w:r w:rsidRPr="00A03121">
        <w:t>Legitimacy variations across host environments and their impact on subunit survival.</w:t>
      </w:r>
    </w:p>
    <w:p w14:paraId="7F204A46" w14:textId="77777777" w:rsidR="00A03121" w:rsidRPr="00A03121" w:rsidRDefault="00A03121" w:rsidP="00A03121">
      <w:pPr>
        <w:numPr>
          <w:ilvl w:val="1"/>
          <w:numId w:val="19"/>
        </w:numPr>
      </w:pPr>
      <w:r w:rsidRPr="00A03121">
        <w:t>Analysis of intra-firm and inter-firm replication mechanisms for transferring complex organizational routines.</w:t>
      </w:r>
    </w:p>
    <w:p w14:paraId="2E3D364F" w14:textId="77777777" w:rsidR="00A03121" w:rsidRDefault="00A03121"/>
    <w:sectPr w:rsidR="00A03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456BA"/>
    <w:multiLevelType w:val="multilevel"/>
    <w:tmpl w:val="AB7E6C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E1AE9"/>
    <w:multiLevelType w:val="multilevel"/>
    <w:tmpl w:val="1578F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43936"/>
    <w:multiLevelType w:val="multilevel"/>
    <w:tmpl w:val="3022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553CA"/>
    <w:multiLevelType w:val="multilevel"/>
    <w:tmpl w:val="7F4CF0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42315"/>
    <w:multiLevelType w:val="multilevel"/>
    <w:tmpl w:val="379EF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C2EE1"/>
    <w:multiLevelType w:val="multilevel"/>
    <w:tmpl w:val="3C223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40931"/>
    <w:multiLevelType w:val="multilevel"/>
    <w:tmpl w:val="9E4A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5624D"/>
    <w:multiLevelType w:val="multilevel"/>
    <w:tmpl w:val="EE26B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425EB"/>
    <w:multiLevelType w:val="multilevel"/>
    <w:tmpl w:val="B21E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C649D"/>
    <w:multiLevelType w:val="multilevel"/>
    <w:tmpl w:val="393E85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F238D1"/>
    <w:multiLevelType w:val="multilevel"/>
    <w:tmpl w:val="AC0AA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C375C"/>
    <w:multiLevelType w:val="multilevel"/>
    <w:tmpl w:val="EDF67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A509F"/>
    <w:multiLevelType w:val="multilevel"/>
    <w:tmpl w:val="383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B83331"/>
    <w:multiLevelType w:val="multilevel"/>
    <w:tmpl w:val="47FE4F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032802">
    <w:abstractNumId w:val="1"/>
  </w:num>
  <w:num w:numId="2" w16cid:durableId="837354751">
    <w:abstractNumId w:val="13"/>
  </w:num>
  <w:num w:numId="3" w16cid:durableId="1156262245">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2054425049">
    <w:abstractNumId w:val="10"/>
  </w:num>
  <w:num w:numId="5" w16cid:durableId="1573352082">
    <w:abstractNumId w:val="0"/>
  </w:num>
  <w:num w:numId="6" w16cid:durableId="1440180831">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216554686">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57633125">
    <w:abstractNumId w:val="7"/>
  </w:num>
  <w:num w:numId="9" w16cid:durableId="1630160407">
    <w:abstractNumId w:val="3"/>
  </w:num>
  <w:num w:numId="10" w16cid:durableId="162358636">
    <w:abstractNumId w:val="8"/>
  </w:num>
  <w:num w:numId="11" w16cid:durableId="823542494">
    <w:abstractNumId w:val="6"/>
  </w:num>
  <w:num w:numId="12" w16cid:durableId="552011091">
    <w:abstractNumId w:val="2"/>
  </w:num>
  <w:num w:numId="13" w16cid:durableId="1860269971">
    <w:abstractNumId w:val="12"/>
  </w:num>
  <w:num w:numId="14" w16cid:durableId="1615945552">
    <w:abstractNumId w:val="4"/>
  </w:num>
  <w:num w:numId="15" w16cid:durableId="1291208167">
    <w:abstractNumId w:val="4"/>
    <w:lvlOverride w:ilvl="1">
      <w:lvl w:ilvl="1">
        <w:numFmt w:val="decimal"/>
        <w:lvlText w:val="%2."/>
        <w:lvlJc w:val="left"/>
      </w:lvl>
    </w:lvlOverride>
  </w:num>
  <w:num w:numId="16" w16cid:durableId="1617714285">
    <w:abstractNumId w:val="11"/>
  </w:num>
  <w:num w:numId="17" w16cid:durableId="2117214114">
    <w:abstractNumId w:val="5"/>
  </w:num>
  <w:num w:numId="18" w16cid:durableId="112674889">
    <w:abstractNumId w:val="9"/>
  </w:num>
  <w:num w:numId="19" w16cid:durableId="958487230">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121"/>
    <w:rsid w:val="006D0BD1"/>
    <w:rsid w:val="0089238A"/>
    <w:rsid w:val="00A03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618EBD"/>
  <w15:chartTrackingRefBased/>
  <w15:docId w15:val="{197A4204-BE54-D940-8B9E-4BC193AE5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1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1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1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1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1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1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1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1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121"/>
    <w:rPr>
      <w:rFonts w:eastAsiaTheme="majorEastAsia" w:cstheme="majorBidi"/>
      <w:color w:val="272727" w:themeColor="text1" w:themeTint="D8"/>
    </w:rPr>
  </w:style>
  <w:style w:type="paragraph" w:styleId="Title">
    <w:name w:val="Title"/>
    <w:basedOn w:val="Normal"/>
    <w:next w:val="Normal"/>
    <w:link w:val="TitleChar"/>
    <w:uiPriority w:val="10"/>
    <w:qFormat/>
    <w:rsid w:val="00A03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121"/>
    <w:pPr>
      <w:spacing w:before="160"/>
      <w:jc w:val="center"/>
    </w:pPr>
    <w:rPr>
      <w:i/>
      <w:iCs/>
      <w:color w:val="404040" w:themeColor="text1" w:themeTint="BF"/>
    </w:rPr>
  </w:style>
  <w:style w:type="character" w:customStyle="1" w:styleId="QuoteChar">
    <w:name w:val="Quote Char"/>
    <w:basedOn w:val="DefaultParagraphFont"/>
    <w:link w:val="Quote"/>
    <w:uiPriority w:val="29"/>
    <w:rsid w:val="00A03121"/>
    <w:rPr>
      <w:i/>
      <w:iCs/>
      <w:color w:val="404040" w:themeColor="text1" w:themeTint="BF"/>
    </w:rPr>
  </w:style>
  <w:style w:type="paragraph" w:styleId="ListParagraph">
    <w:name w:val="List Paragraph"/>
    <w:basedOn w:val="Normal"/>
    <w:uiPriority w:val="34"/>
    <w:qFormat/>
    <w:rsid w:val="00A03121"/>
    <w:pPr>
      <w:ind w:left="720"/>
      <w:contextualSpacing/>
    </w:pPr>
  </w:style>
  <w:style w:type="character" w:styleId="IntenseEmphasis">
    <w:name w:val="Intense Emphasis"/>
    <w:basedOn w:val="DefaultParagraphFont"/>
    <w:uiPriority w:val="21"/>
    <w:qFormat/>
    <w:rsid w:val="00A03121"/>
    <w:rPr>
      <w:i/>
      <w:iCs/>
      <w:color w:val="0F4761" w:themeColor="accent1" w:themeShade="BF"/>
    </w:rPr>
  </w:style>
  <w:style w:type="paragraph" w:styleId="IntenseQuote">
    <w:name w:val="Intense Quote"/>
    <w:basedOn w:val="Normal"/>
    <w:next w:val="Normal"/>
    <w:link w:val="IntenseQuoteChar"/>
    <w:uiPriority w:val="30"/>
    <w:qFormat/>
    <w:rsid w:val="00A03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121"/>
    <w:rPr>
      <w:i/>
      <w:iCs/>
      <w:color w:val="0F4761" w:themeColor="accent1" w:themeShade="BF"/>
    </w:rPr>
  </w:style>
  <w:style w:type="character" w:styleId="IntenseReference">
    <w:name w:val="Intense Reference"/>
    <w:basedOn w:val="DefaultParagraphFont"/>
    <w:uiPriority w:val="32"/>
    <w:qFormat/>
    <w:rsid w:val="00A031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13</Pages>
  <Words>3906</Words>
  <Characters>22269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1</cp:revision>
  <dcterms:created xsi:type="dcterms:W3CDTF">2026-09-26T13:12:00Z</dcterms:created>
  <dcterms:modified xsi:type="dcterms:W3CDTF">2026-09-26T14:35:00Z</dcterms:modified>
</cp:coreProperties>
</file>