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449A7F" w14:textId="77777777" w:rsidR="00C8451C" w:rsidRPr="00C8451C" w:rsidRDefault="00C8451C" w:rsidP="00C8451C">
      <w:pPr>
        <w:rPr>
          <w:b/>
          <w:bCs/>
        </w:rPr>
      </w:pPr>
      <w:r w:rsidRPr="00C8451C">
        <w:rPr>
          <w:b/>
          <w:bCs/>
        </w:rPr>
        <w:t>Exam-Ready Study Report: Syndicate Formation in Venture Capitalists’ Cross-Border Investments</w:t>
      </w:r>
    </w:p>
    <w:p w14:paraId="49E7C896" w14:textId="77777777" w:rsidR="00C8451C" w:rsidRPr="00C8451C" w:rsidRDefault="00C8451C" w:rsidP="00C8451C">
      <w:r w:rsidRPr="00C8451C">
        <w:rPr>
          <w:lang w:val="de-DE"/>
        </w:rPr>
        <w:t xml:space="preserve">Kollmann, H., Müllner, J., &amp; Puck, J. (2025). </w:t>
      </w:r>
      <w:r w:rsidRPr="00C8451C">
        <w:t>The company you keep: Syndicate formation in venture capitalists’ cross-border investments. </w:t>
      </w:r>
      <w:r w:rsidRPr="00C8451C">
        <w:rPr>
          <w:i/>
          <w:iCs/>
        </w:rPr>
        <w:t>International Business Review</w:t>
      </w:r>
      <w:r w:rsidRPr="00C8451C">
        <w:t>, 34(102424), 1–14. https://doi.org/10.1016/j.ibusrev.2025.102424</w:t>
      </w:r>
    </w:p>
    <w:p w14:paraId="5C070326" w14:textId="77777777" w:rsidR="00C8451C" w:rsidRPr="00C8451C" w:rsidRDefault="00C8451C" w:rsidP="00C8451C">
      <w:pPr>
        <w:rPr>
          <w:b/>
          <w:bCs/>
        </w:rPr>
      </w:pPr>
      <w:r w:rsidRPr="00C8451C">
        <w:rPr>
          <w:b/>
          <w:bCs/>
        </w:rPr>
        <w:t>1. Introduction</w:t>
      </w:r>
    </w:p>
    <w:p w14:paraId="1410AEC9" w14:textId="77777777" w:rsidR="00C8451C" w:rsidRPr="00C8451C" w:rsidRDefault="00C8451C" w:rsidP="00C8451C">
      <w:r w:rsidRPr="00C8451C">
        <w:t>Deconstructing the structural mechanics of cross-border venture capital (VC) internationalization and syndicate architecture is essential for rigorous academic examination in international business, strategy, and corporate finance. As venture capital general partners (GPs) expand beyond their domestic ecosystems, structuring investment syndicates represents a foundational governance choice that directly dictates post-investment monitoring efficiency, risk distribution, agency cost mitigation, and portfolio value creation. Analyzing these structural dynamics illuminates how private equity institutions balance cross-border expansion risks against the imperative of securing complementary resource endowments in opaque capital markets.</w:t>
      </w:r>
    </w:p>
    <w:p w14:paraId="5F0E10A9" w14:textId="77777777" w:rsidR="00C8451C" w:rsidRPr="00C8451C" w:rsidRDefault="00C8451C" w:rsidP="00C8451C">
      <w:pPr>
        <w:rPr>
          <w:b/>
          <w:bCs/>
        </w:rPr>
      </w:pPr>
      <w:r w:rsidRPr="00C8451C">
        <w:rPr>
          <w:b/>
          <w:bCs/>
        </w:rPr>
        <w:t>Core Phenomenon &amp; Macro Trends</w:t>
      </w:r>
    </w:p>
    <w:p w14:paraId="39A213B6" w14:textId="77777777" w:rsidR="00C8451C" w:rsidRPr="00C8451C" w:rsidRDefault="00C8451C" w:rsidP="00C8451C">
      <w:r w:rsidRPr="00C8451C">
        <w:t>Venture capital serves as a distinct private equity mechanism designed to fuel high-growth entrepreneurial ventures by supplying both risk capital and professionalized corporate governance (Young, 2003; Chahine et al., 2019; Park &amp; LiPuma, 2020). Beyond liquidity provision, VCs act as catalysts for the global proliferation of governance standards, bridging international finance, strategic management, and innovation economics (Lerner &amp; Nanda, 2020; Amit et al., 1998). Historically, because the hands-on VC investment model—dependent on frequent, direct contact and close board oversight—is difficult to execute across physical distances, VC firms maintained localized investment horizons (Guler &amp; Guillén, 2010; Sorenson &amp; Stuart, 2001). Over the past two decades, however, macro-level investment patterns have shifted dramatically: global cross-border VC investments expanded from 20\% of total deal volume in 2000 to 30\% in 2020 (</w:t>
      </w:r>
      <w:proofErr w:type="spellStart"/>
      <w:r w:rsidRPr="00C8451C">
        <w:t>Preqin</w:t>
      </w:r>
      <w:proofErr w:type="spellEnd"/>
      <w:r w:rsidRPr="00C8451C">
        <w:t>, 2021).</w:t>
      </w:r>
    </w:p>
    <w:p w14:paraId="19DB11AC" w14:textId="77777777" w:rsidR="00C8451C" w:rsidRPr="00C8451C" w:rsidRDefault="00C8451C" w:rsidP="00C8451C">
      <w:r w:rsidRPr="00C8451C">
        <w:t xml:space="preserve">Despite this international expansion, cross-border VC deals encounter severe Capital Market Liabilities of Foreignness (CMLOF) and general Liabilities of Foreignness (LOF) (Zaheer, 1995; Bell et al., 2012; Gu et al., 2019). CMLOF is particularly acute in venture capital because deal sourcing, preliminary screening, target valuation, and hands-on portfolio development rely heavily on localized social capital, tacit institutional knowledge, and embedded networks (Lu &amp; Hwang, 2010; Buchner et al., 2018). Paradoxically, empirical evidence demonstrates that cross-border VC investments frequently outperform purely </w:t>
      </w:r>
      <w:r w:rsidRPr="00C8451C">
        <w:lastRenderedPageBreak/>
        <w:t>domestic deals, driven primarily by the complementary strategic, technical, and relational resources that foreign investors introduce (</w:t>
      </w:r>
      <w:proofErr w:type="spellStart"/>
      <w:r w:rsidRPr="00C8451C">
        <w:t>Chemmanur</w:t>
      </w:r>
      <w:proofErr w:type="spellEnd"/>
      <w:r w:rsidRPr="00C8451C">
        <w:t xml:space="preserve"> et al., 2016; Cumming et al., 2016).</w:t>
      </w:r>
    </w:p>
    <w:p w14:paraId="0441C430" w14:textId="77777777" w:rsidR="00C8451C" w:rsidRPr="00C8451C" w:rsidRDefault="00C8451C" w:rsidP="00C8451C">
      <w:pPr>
        <w:rPr>
          <w:b/>
          <w:bCs/>
        </w:rPr>
      </w:pPr>
      <w:r w:rsidRPr="00C8451C">
        <w:rPr>
          <w:b/>
          <w:bCs/>
        </w:rPr>
        <w:t>Central Theoretical Problem</w:t>
      </w:r>
    </w:p>
    <w:p w14:paraId="6A100A9A" w14:textId="77777777" w:rsidR="00C8451C" w:rsidRPr="00C8451C" w:rsidRDefault="00C8451C" w:rsidP="00C8451C">
      <w:r w:rsidRPr="00C8451C">
        <w:t>Syndication serves as the primary organizational strategy for navigating cross-border investments, adhering to the structural axiom that "form follows function" (Pichler &amp; Wilhelm, 2001). The central theoretical problem governing cross-border syndicate architecture resolves into a fundamental </w:t>
      </w:r>
      <w:r w:rsidRPr="00C8451C">
        <w:rPr>
          <w:b/>
          <w:bCs/>
        </w:rPr>
        <w:t>Agency-Resource Trade-off</w:t>
      </w:r>
      <w:r w:rsidRPr="00C8451C">
        <w:t> (Filatotchev et al., 2006):</w:t>
      </w:r>
    </w:p>
    <w:p w14:paraId="04739363" w14:textId="77777777" w:rsidR="00C8451C" w:rsidRPr="00C8451C" w:rsidRDefault="00C8451C" w:rsidP="00C8451C">
      <w:pPr>
        <w:numPr>
          <w:ilvl w:val="0"/>
          <w:numId w:val="1"/>
        </w:numPr>
      </w:pPr>
      <w:r w:rsidRPr="00C8451C">
        <w:rPr>
          <w:b/>
          <w:bCs/>
        </w:rPr>
        <w:t>Resource-Based View (RBV):</w:t>
      </w:r>
      <w:r w:rsidRPr="00C8451C">
        <w:t> Co-investing enables foreign VCs to pool general capital with host-country-specific capabilities, network ties, and strategic assets, thereby mitigating local information asymmetries (</w:t>
      </w:r>
      <w:proofErr w:type="spellStart"/>
      <w:r w:rsidRPr="00C8451C">
        <w:t>Chemmanur</w:t>
      </w:r>
      <w:proofErr w:type="spellEnd"/>
      <w:r w:rsidRPr="00C8451C">
        <w:t xml:space="preserve"> et al., 2016; Dorobantu et al., 2020).</w:t>
      </w:r>
    </w:p>
    <w:p w14:paraId="60E9DD7B" w14:textId="77777777" w:rsidR="00C8451C" w:rsidRPr="00C8451C" w:rsidRDefault="00C8451C" w:rsidP="00C8451C">
      <w:pPr>
        <w:numPr>
          <w:ilvl w:val="0"/>
          <w:numId w:val="1"/>
        </w:numPr>
      </w:pPr>
      <w:r w:rsidRPr="00C8451C">
        <w:rPr>
          <w:b/>
          <w:bCs/>
        </w:rPr>
        <w:t>Agency Perspective:</w:t>
      </w:r>
      <w:r w:rsidRPr="00C8451C">
        <w:t xml:space="preserve"> Introducing co-investors exponentially increases within-syndicate coordination complexity, horizontal agency conflicts, free-riding incentives, moral hazard, and communication friction among syndicate partners (Dai &amp; </w:t>
      </w:r>
      <w:proofErr w:type="spellStart"/>
      <w:r w:rsidRPr="00C8451C">
        <w:t>Nahata</w:t>
      </w:r>
      <w:proofErr w:type="spellEnd"/>
      <w:r w:rsidRPr="00C8451C">
        <w:t>, 2016; Jääskeläinen, 2012).</w:t>
      </w:r>
    </w:p>
    <w:p w14:paraId="06E2B172" w14:textId="77777777" w:rsidR="00C8451C" w:rsidRPr="00C8451C" w:rsidRDefault="00C8451C" w:rsidP="00C8451C">
      <w:pPr>
        <w:rPr>
          <w:b/>
          <w:bCs/>
        </w:rPr>
      </w:pPr>
      <w:r w:rsidRPr="00C8451C">
        <w:rPr>
          <w:b/>
          <w:bCs/>
        </w:rPr>
        <w:t>Critical Literature Gaps</w:t>
      </w:r>
    </w:p>
    <w:p w14:paraId="41BE1C42" w14:textId="77777777" w:rsidR="00C8451C" w:rsidRPr="00C8451C" w:rsidRDefault="00C8451C" w:rsidP="00C8451C">
      <w:r w:rsidRPr="00C8451C">
        <w:t>Prior literature on cross-border venture capital syndication exhibits three core theoretical and empirical limitations that Kollmann et al. (2025) systematically resolve:</w:t>
      </w:r>
    </w:p>
    <w:p w14:paraId="354EF282" w14:textId="77777777" w:rsidR="00C8451C" w:rsidRPr="00C8451C" w:rsidRDefault="00C8451C" w:rsidP="00C8451C">
      <w:pPr>
        <w:numPr>
          <w:ilvl w:val="0"/>
          <w:numId w:val="2"/>
        </w:numPr>
      </w:pPr>
      <w:r w:rsidRPr="00C8451C">
        <w:rPr>
          <w:b/>
          <w:bCs/>
        </w:rPr>
        <w:t>Crude Investor Categorizations:</w:t>
      </w:r>
      <w:r w:rsidRPr="00C8451C">
        <w:t> Traditional studies relied on simplistic foreign versus domestic binary dichotomies, ignoring structural, relational, and status variation among co-investors.</w:t>
      </w:r>
    </w:p>
    <w:p w14:paraId="30BA3999" w14:textId="77777777" w:rsidR="00C8451C" w:rsidRPr="00C8451C" w:rsidRDefault="00C8451C" w:rsidP="00C8451C">
      <w:pPr>
        <w:numPr>
          <w:ilvl w:val="0"/>
          <w:numId w:val="2"/>
        </w:numPr>
      </w:pPr>
      <w:r w:rsidRPr="00C8451C">
        <w:rPr>
          <w:b/>
          <w:bCs/>
        </w:rPr>
        <w:t>Neglect of Status and Recognition:</w:t>
      </w:r>
      <w:r w:rsidRPr="00C8451C">
        <w:t> Prior research treated experiential knowledge as internal to the firm while failing to evaluate external recognition and public status as distinct, transferable relationship resources in network partner selection.</w:t>
      </w:r>
    </w:p>
    <w:p w14:paraId="73406A49" w14:textId="77777777" w:rsidR="00C8451C" w:rsidRPr="00C8451C" w:rsidRDefault="00C8451C" w:rsidP="00C8451C">
      <w:pPr>
        <w:numPr>
          <w:ilvl w:val="0"/>
          <w:numId w:val="2"/>
        </w:numPr>
      </w:pPr>
      <w:r w:rsidRPr="00C8451C">
        <w:rPr>
          <w:b/>
          <w:bCs/>
        </w:rPr>
        <w:t>Misalignment of Distance Constructs:</w:t>
      </w:r>
      <w:r w:rsidRPr="00C8451C">
        <w:t> Existing literature focused predominantly on broad, country-level cultural distance rather than inter-partner </w:t>
      </w:r>
      <w:r w:rsidRPr="00C8451C">
        <w:rPr>
          <w:b/>
          <w:bCs/>
        </w:rPr>
        <w:t>Psychic Distance</w:t>
      </w:r>
      <w:r w:rsidRPr="00C8451C">
        <w:t xml:space="preserve">, which directly captures the </w:t>
      </w:r>
      <w:proofErr w:type="gramStart"/>
      <w:r w:rsidRPr="00C8451C">
        <w:t>decision-makers</w:t>
      </w:r>
      <w:proofErr w:type="gramEnd"/>
      <w:r w:rsidRPr="00C8451C">
        <w:t>' cognitive perceptions when selecting foreign co-investment partners.</w:t>
      </w:r>
    </w:p>
    <w:p w14:paraId="093A6C35" w14:textId="77777777" w:rsidR="00C8451C" w:rsidRPr="00C8451C" w:rsidRDefault="00C8451C" w:rsidP="00C8451C">
      <w:r w:rsidRPr="00C8451C">
        <w:t xml:space="preserve">This study specifically differentiates its theoretical contribution from Dai &amp; </w:t>
      </w:r>
      <w:proofErr w:type="spellStart"/>
      <w:r w:rsidRPr="00C8451C">
        <w:t>Nahata</w:t>
      </w:r>
      <w:proofErr w:type="spellEnd"/>
      <w:r w:rsidRPr="00C8451C">
        <w:t xml:space="preserve"> (2016). While Dai &amp; </w:t>
      </w:r>
      <w:proofErr w:type="spellStart"/>
      <w:r w:rsidRPr="00C8451C">
        <w:t>Nahata</w:t>
      </w:r>
      <w:proofErr w:type="spellEnd"/>
      <w:r w:rsidRPr="00C8451C">
        <w:t xml:space="preserve"> examined distance between foreign investors and the host target country conditioned on investor experience, Kollmann et al. focus on dyadic </w:t>
      </w:r>
      <w:r w:rsidRPr="00C8451C">
        <w:lastRenderedPageBreak/>
        <w:t>distance </w:t>
      </w:r>
      <w:r w:rsidRPr="00C8451C">
        <w:rPr>
          <w:i/>
          <w:iCs/>
        </w:rPr>
        <w:t>between collaborating syndicate members</w:t>
      </w:r>
      <w:r w:rsidRPr="00C8451C">
        <w:t xml:space="preserve"> (within-syndicate distance). </w:t>
      </w:r>
      <w:proofErr w:type="gramStart"/>
      <w:r w:rsidRPr="00C8451C">
        <w:t>This re-centers</w:t>
      </w:r>
      <w:proofErr w:type="gramEnd"/>
      <w:r w:rsidRPr="00C8451C">
        <w:t xml:space="preserve"> the inquiry on how inter-partner friction reshapes horizontal agency costs and capability pooling within the investment coalition (Giannetti &amp; Yafeh, 2012; Dorobantu et al., 2020).</w:t>
      </w:r>
    </w:p>
    <w:p w14:paraId="2155E022" w14:textId="77777777" w:rsidR="00C8451C" w:rsidRPr="00C8451C" w:rsidRDefault="00C8451C" w:rsidP="00C8451C">
      <w:pPr>
        <w:rPr>
          <w:b/>
          <w:bCs/>
        </w:rPr>
      </w:pPr>
      <w:r w:rsidRPr="00C8451C">
        <w:rPr>
          <w:b/>
          <w:bCs/>
        </w:rPr>
        <w:t>Empirical Context &amp; Core Findings</w:t>
      </w:r>
    </w:p>
    <w:p w14:paraId="768438A3" w14:textId="77777777" w:rsidR="00C8451C" w:rsidRPr="00C8451C" w:rsidRDefault="00C8451C" w:rsidP="00C8451C">
      <w:r w:rsidRPr="00C8451C">
        <w:t xml:space="preserve">Utilizing a dataset from </w:t>
      </w:r>
      <w:proofErr w:type="spellStart"/>
      <w:r w:rsidRPr="00C8451C">
        <w:t>Preqin</w:t>
      </w:r>
      <w:proofErr w:type="spellEnd"/>
      <w:r w:rsidRPr="00C8451C">
        <w:t xml:space="preserve"> Pro encompassing N = 15,725 syndicated cross-border VC investment observations across 67 home markets and 55 host markets between 2010 and 2020, the study yields definitive findings:</w:t>
      </w:r>
    </w:p>
    <w:p w14:paraId="497DBF93" w14:textId="77777777" w:rsidR="00C8451C" w:rsidRPr="00C8451C" w:rsidRDefault="00C8451C" w:rsidP="00C8451C">
      <w:pPr>
        <w:numPr>
          <w:ilvl w:val="0"/>
          <w:numId w:val="3"/>
        </w:numPr>
      </w:pPr>
      <w:r w:rsidRPr="00C8451C">
        <w:rPr>
          <w:b/>
          <w:bCs/>
        </w:rPr>
        <w:t>Distance Effects:</w:t>
      </w:r>
      <w:r w:rsidRPr="00C8451C">
        <w:t> Geographic and psychic distances between syndicate members elevate horizontal agency costs, prompting foreign VCs to form smaller syndicates while increasing the likelihood of including local host-country VCs.</w:t>
      </w:r>
    </w:p>
    <w:p w14:paraId="782B35B4" w14:textId="77777777" w:rsidR="00C8451C" w:rsidRPr="00C8451C" w:rsidRDefault="00C8451C" w:rsidP="00C8451C">
      <w:pPr>
        <w:numPr>
          <w:ilvl w:val="0"/>
          <w:numId w:val="3"/>
        </w:numPr>
      </w:pPr>
      <w:r w:rsidRPr="00C8451C">
        <w:rPr>
          <w:b/>
          <w:bCs/>
        </w:rPr>
        <w:t>Recognition Effects:</w:t>
      </w:r>
      <w:r w:rsidRPr="00C8451C">
        <w:t> Global (general) VC recognition serves as a transferable relationship resource that decreases syndicate size by mitigating dependency on co-investor capital. Conversely, host-market (local) recognition increases local partner inclusion due to two-sided matching dynamics and reduced local search friction.</w:t>
      </w:r>
    </w:p>
    <w:p w14:paraId="2CB82949" w14:textId="77777777" w:rsidR="00C8451C" w:rsidRPr="00C8451C" w:rsidRDefault="00C8451C" w:rsidP="00C8451C">
      <w:r w:rsidRPr="00C8451C">
        <w:rPr>
          <w:b/>
          <w:bCs/>
        </w:rPr>
        <w:t>Takeaway:</w:t>
      </w:r>
      <w:r w:rsidRPr="00C8451C">
        <w:t> Cross-border VC syndication is a structural trade-off where inter-partner distance drives agency-minimizing smaller syndicates and local partnering, while VC recognition alters resource dependency.</w:t>
      </w:r>
    </w:p>
    <w:p w14:paraId="3014A8C4" w14:textId="77777777" w:rsidR="00C8451C" w:rsidRPr="00C8451C" w:rsidRDefault="00C8451C" w:rsidP="00C8451C">
      <w:r w:rsidRPr="00C8451C">
        <w:t>Having established the core phenomenon, literature gaps, and macro-level findings, the analysis turns next to the theoretical synthesis and formal hypothesis development.</w:t>
      </w:r>
    </w:p>
    <w:p w14:paraId="239B397A" w14:textId="77777777" w:rsidR="00C8451C" w:rsidRPr="00C8451C" w:rsidRDefault="00C8451C" w:rsidP="00C8451C">
      <w:pPr>
        <w:rPr>
          <w:b/>
          <w:bCs/>
        </w:rPr>
      </w:pPr>
      <w:r w:rsidRPr="00C8451C">
        <w:rPr>
          <w:b/>
          <w:bCs/>
        </w:rPr>
        <w:t>2. Theory and Hypotheses</w:t>
      </w:r>
    </w:p>
    <w:p w14:paraId="14F8C1BC" w14:textId="77777777" w:rsidR="00C8451C" w:rsidRPr="00C8451C" w:rsidRDefault="00C8451C" w:rsidP="00C8451C">
      <w:r w:rsidRPr="00C8451C">
        <w:t>Integrating Agency Theory and the Resource-Based View (RBV) yields a comprehensive analytical framework for evaluating cross-border syndication choices. Agency Theory accounts for the governance hazards, monitoring costs, and coordination frictions inherent in multi-partner coalitions across institutional space. Simultaneously, the Resource-Based View explains the strategic drivers for pooling complementary assets, local market access, and external network status.</w:t>
      </w:r>
    </w:p>
    <w:p w14:paraId="262CF68E" w14:textId="77777777" w:rsidR="00C8451C" w:rsidRPr="00C8451C" w:rsidRDefault="00C8451C" w:rsidP="00C8451C">
      <w:pPr>
        <w:rPr>
          <w:b/>
          <w:bCs/>
        </w:rPr>
      </w:pPr>
      <w:r w:rsidRPr="00C8451C">
        <w:rPr>
          <w:b/>
          <w:bCs/>
        </w:rPr>
        <w:t>2.1. Cross-Border Venture Capital Investment and Research</w:t>
      </w:r>
    </w:p>
    <w:p w14:paraId="25FB7456" w14:textId="77777777" w:rsidR="00C8451C" w:rsidRPr="00C8451C" w:rsidRDefault="00C8451C" w:rsidP="00C8451C">
      <w:r w:rsidRPr="00C8451C">
        <w:t xml:space="preserve">Cross-border venture capital has evolved into a prominent interdisciplinary field intersecting finance, strategy, economics, and international business (Wright et al., 2005; </w:t>
      </w:r>
      <w:proofErr w:type="spellStart"/>
      <w:r w:rsidRPr="00C8451C">
        <w:t>Devigne</w:t>
      </w:r>
      <w:proofErr w:type="spellEnd"/>
      <w:r w:rsidRPr="00C8451C">
        <w:t xml:space="preserve"> et al., 2018). Because the hands-on VC model requires active post-investment involvement, cross-border operations encounter heightened information asymmetries, </w:t>
      </w:r>
      <w:r w:rsidRPr="00C8451C">
        <w:lastRenderedPageBreak/>
        <w:t>institutional distance, and spatial monitoring handicaps, escalating liabilities of foreignness (LOF). Despite these barriers, cross-border VC syndicates frequently deliver superior venture performance relative to domestic-only coalitions (Cumming et al., 2016). This performance premium stems from resource complementarity, wherein foreign general partners contribute specialized sector domain expertise, global syndication access, and international exit channels (</w:t>
      </w:r>
      <w:proofErr w:type="spellStart"/>
      <w:r w:rsidRPr="00C8451C">
        <w:t>Chemmanur</w:t>
      </w:r>
      <w:proofErr w:type="spellEnd"/>
      <w:r w:rsidRPr="00C8451C">
        <w:t xml:space="preserve"> et al., 2016). While institutional, geographic, and cultural barriers exacerbate monitoring costs (Moore et al., 2015; Hain et al., 2016), evaluating dyadic inter-partner distance within the syndicate offers a precise theoretical lens for understanding structural coalition assembly.</w:t>
      </w:r>
    </w:p>
    <w:p w14:paraId="3AAADD69" w14:textId="77777777" w:rsidR="00C8451C" w:rsidRPr="00C8451C" w:rsidRDefault="00C8451C" w:rsidP="00C8451C">
      <w:pPr>
        <w:rPr>
          <w:b/>
          <w:bCs/>
        </w:rPr>
      </w:pPr>
      <w:r w:rsidRPr="00C8451C">
        <w:rPr>
          <w:b/>
          <w:bCs/>
        </w:rPr>
        <w:t>2.2. Syndication in Cross-Border VC</w:t>
      </w:r>
    </w:p>
    <w:p w14:paraId="47FCDAA3" w14:textId="77777777" w:rsidR="00C8451C" w:rsidRPr="00C8451C" w:rsidRDefault="00C8451C" w:rsidP="00C8451C">
      <w:r w:rsidRPr="00C8451C">
        <w:t>A venture capital syndicate is structurally organized around a </w:t>
      </w:r>
      <w:r w:rsidRPr="00C8451C">
        <w:rPr>
          <w:b/>
          <w:bCs/>
        </w:rPr>
        <w:t>Lead Investor</w:t>
      </w:r>
      <w:r w:rsidRPr="00C8451C">
        <w:t>—who conducts preliminary due diligence, structures investment terms, and coordinates ongoing governance—and one or more </w:t>
      </w:r>
      <w:proofErr w:type="gramStart"/>
      <w:r w:rsidRPr="00C8451C">
        <w:rPr>
          <w:b/>
          <w:bCs/>
        </w:rPr>
        <w:t>Non-Lead</w:t>
      </w:r>
      <w:proofErr w:type="gramEnd"/>
      <w:r w:rsidRPr="00C8451C">
        <w:rPr>
          <w:b/>
          <w:bCs/>
        </w:rPr>
        <w:t xml:space="preserve"> VCs</w:t>
      </w:r>
      <w:r w:rsidRPr="00C8451C">
        <w:t> (Wright &amp; Lockett, 2003). Syndicate assembly is governed by a </w:t>
      </w:r>
      <w:r w:rsidRPr="00C8451C">
        <w:rPr>
          <w:b/>
          <w:bCs/>
        </w:rPr>
        <w:t>Two-Sided Matching Process</w:t>
      </w:r>
      <w:r w:rsidRPr="00C8451C">
        <w:t> (</w:t>
      </w:r>
      <w:proofErr w:type="spellStart"/>
      <w:r w:rsidRPr="00C8451C">
        <w:t>Mindruta</w:t>
      </w:r>
      <w:proofErr w:type="spellEnd"/>
      <w:r w:rsidRPr="00C8451C">
        <w:t xml:space="preserve"> et al., 2016; Fu et al., 2019). Syndication is not a unilateral, unconstrained decision by a lead investor; rather, it unfolds within closed network architectures characterized by reciprocal ties, status signaling, structural embeddedness, and mutual choice (Sorenson &amp; Stuart, 2001; Bottazzi et al., 2016).</w:t>
      </w:r>
    </w:p>
    <w:p w14:paraId="4A5C82B8" w14:textId="77777777" w:rsidR="00C8451C" w:rsidRPr="00C8451C" w:rsidRDefault="00C8451C" w:rsidP="00C8451C">
      <w:pPr>
        <w:rPr>
          <w:b/>
          <w:bCs/>
        </w:rPr>
      </w:pPr>
      <w:r w:rsidRPr="00C8451C">
        <w:rPr>
          <w:b/>
          <w:bCs/>
        </w:rPr>
        <w:t>Foundational Literature &amp; Theoretical Motives</w:t>
      </w:r>
    </w:p>
    <w:p w14:paraId="5A0FAF13" w14:textId="77777777" w:rsidR="00C8451C" w:rsidRPr="00C8451C" w:rsidRDefault="00C8451C" w:rsidP="00C8451C">
      <w:r w:rsidRPr="00C8451C">
        <w:t>The theoretical foundations of VC syndication encompass multi-faceted drivers spanning risk management, resource access, and deal governance:</w:t>
      </w:r>
    </w:p>
    <w:p w14:paraId="26BC4AC3" w14:textId="77777777" w:rsidR="00C8451C" w:rsidRPr="00C8451C" w:rsidRDefault="00C8451C" w:rsidP="00C8451C">
      <w:pPr>
        <w:numPr>
          <w:ilvl w:val="0"/>
          <w:numId w:val="4"/>
        </w:numPr>
      </w:pPr>
      <w:r w:rsidRPr="00C8451C">
        <w:rPr>
          <w:b/>
          <w:bCs/>
        </w:rPr>
        <w:t>Timing &amp; Entry Dynamics:</w:t>
      </w:r>
      <w:r w:rsidRPr="00C8451C">
        <w:t> Established, highly reputed VCs strategically timing their round entry, participating heavily in early financing rounds to secure favorable equity valuations or joining late-stage rounds immediately preceding initial public offerings (Lerner, 1994).</w:t>
      </w:r>
    </w:p>
    <w:p w14:paraId="208CF308" w14:textId="77777777" w:rsidR="00C8451C" w:rsidRPr="00C8451C" w:rsidRDefault="00C8451C" w:rsidP="00C8451C">
      <w:pPr>
        <w:numPr>
          <w:ilvl w:val="0"/>
          <w:numId w:val="4"/>
        </w:numPr>
      </w:pPr>
      <w:r w:rsidRPr="00C8451C">
        <w:rPr>
          <w:b/>
          <w:bCs/>
        </w:rPr>
        <w:t>Capital Pooling &amp; Strategic Motives:</w:t>
      </w:r>
      <w:r w:rsidRPr="00C8451C">
        <w:t xml:space="preserve"> Syndication motives vary systematically by investor type; while financial capital pooling remains universal, early-stage VCs syndicate primarily to aggregate managerial value-add capabilities and strategic deal flow (Lockett &amp; Wright, 2001; Brander et al., 2002; </w:t>
      </w:r>
      <w:proofErr w:type="spellStart"/>
      <w:r w:rsidRPr="00C8451C">
        <w:t>Manigart</w:t>
      </w:r>
      <w:proofErr w:type="spellEnd"/>
      <w:r w:rsidRPr="00C8451C">
        <w:t xml:space="preserve"> et al., 2006).</w:t>
      </w:r>
    </w:p>
    <w:p w14:paraId="5A544BBA" w14:textId="77777777" w:rsidR="00C8451C" w:rsidRPr="00C8451C" w:rsidRDefault="00C8451C" w:rsidP="00C8451C">
      <w:pPr>
        <w:numPr>
          <w:ilvl w:val="0"/>
          <w:numId w:val="4"/>
        </w:numPr>
      </w:pPr>
      <w:r w:rsidRPr="00C8451C">
        <w:rPr>
          <w:b/>
          <w:bCs/>
        </w:rPr>
        <w:t>Adverse Selection &amp; Industry Specialization:</w:t>
      </w:r>
      <w:r w:rsidRPr="00C8451C">
        <w:t> Syndication serves as a rigorous screening and peer-monitoring mechanism that mitigates adverse selection risks in informationally opaque sectors, with industry complexity driving specialized VCs to co-invest to distribute risk (Cumming, 2006; Hopp &amp; Rieder, 2011; Bayar et al., 2020).</w:t>
      </w:r>
    </w:p>
    <w:p w14:paraId="6EEA05E5" w14:textId="77777777" w:rsidR="00C8451C" w:rsidRPr="00C8451C" w:rsidRDefault="00C8451C" w:rsidP="00C8451C">
      <w:pPr>
        <w:numPr>
          <w:ilvl w:val="0"/>
          <w:numId w:val="4"/>
        </w:numPr>
      </w:pPr>
      <w:r w:rsidRPr="00C8451C">
        <w:rPr>
          <w:b/>
          <w:bCs/>
        </w:rPr>
        <w:lastRenderedPageBreak/>
        <w:t>Network Topology &amp; Relational Governance:</w:t>
      </w:r>
      <w:r w:rsidRPr="00C8451C">
        <w:t xml:space="preserve"> Network centrality directly enhances deal access and fund performance (Hochberg et al., 2007). VCs form ties based on resource aggregation (accumulating capital) and resource distribution (exchanging capital for value-add expertise) rather than simple </w:t>
      </w:r>
      <w:proofErr w:type="spellStart"/>
      <w:r w:rsidRPr="00C8451C">
        <w:t>homophilous</w:t>
      </w:r>
      <w:proofErr w:type="spellEnd"/>
      <w:r w:rsidRPr="00C8451C">
        <w:t xml:space="preserve"> similarity (Hochberg et al., 2015). Relational trust and non-legal reputation mechanisms enforce partner compliance within repeated interaction networks (Sorenson &amp; Stuart, 2001; Bottazzi et al., 2016).</w:t>
      </w:r>
    </w:p>
    <w:p w14:paraId="22F10E8A" w14:textId="77777777" w:rsidR="00C8451C" w:rsidRPr="00C8451C" w:rsidRDefault="00C8451C" w:rsidP="00C8451C">
      <w:pPr>
        <w:rPr>
          <w:b/>
          <w:bCs/>
        </w:rPr>
      </w:pPr>
      <w:r w:rsidRPr="00C8451C">
        <w:rPr>
          <w:b/>
          <w:bCs/>
        </w:rPr>
        <w:t>Structural Dimensions of Syndicates</w:t>
      </w:r>
    </w:p>
    <w:p w14:paraId="14C790A3" w14:textId="77777777" w:rsidR="00C8451C" w:rsidRPr="00C8451C" w:rsidRDefault="00C8451C" w:rsidP="00C8451C">
      <w:r w:rsidRPr="00C8451C">
        <w:t>Two primary structural dimensions define syndicate configuration:</w:t>
      </w:r>
    </w:p>
    <w:p w14:paraId="47048226" w14:textId="77777777" w:rsidR="00C8451C" w:rsidRPr="00C8451C" w:rsidRDefault="00C8451C" w:rsidP="00C8451C">
      <w:pPr>
        <w:numPr>
          <w:ilvl w:val="0"/>
          <w:numId w:val="5"/>
        </w:numPr>
      </w:pPr>
      <w:r w:rsidRPr="00C8451C">
        <w:rPr>
          <w:b/>
          <w:bCs/>
        </w:rPr>
        <w:t>Syndicate Size:</w:t>
      </w:r>
      <w:r w:rsidRPr="00C8451C">
        <w:t> Larger syndicates pool diverse capital reserves and non-overlapping capabilities, but trigger exponential increases in dyadic coordination complexity (n(n-1)/2 communication channels). Consequently, empirical venture performance exhibits an </w:t>
      </w:r>
      <w:r w:rsidRPr="00C8451C">
        <w:rPr>
          <w:b/>
          <w:bCs/>
        </w:rPr>
        <w:t>inverted U-shaped relationship</w:t>
      </w:r>
      <w:r w:rsidRPr="00C8451C">
        <w:t> with syndicate size, beyond which coordination friction outweighs resource benefits (Kim &amp; Park, 2021; Falconieri et al., 2019).</w:t>
      </w:r>
    </w:p>
    <w:p w14:paraId="1301C9D8" w14:textId="77777777" w:rsidR="00C8451C" w:rsidRPr="00C8451C" w:rsidRDefault="00C8451C" w:rsidP="00C8451C">
      <w:pPr>
        <w:numPr>
          <w:ilvl w:val="0"/>
          <w:numId w:val="5"/>
        </w:numPr>
      </w:pPr>
      <w:r w:rsidRPr="00C8451C">
        <w:rPr>
          <w:b/>
          <w:bCs/>
        </w:rPr>
        <w:t>Local Partner Integration:</w:t>
      </w:r>
      <w:r w:rsidRPr="00C8451C">
        <w:t> Co-investing with host-country VCs mitigates spatial proximity disadvantages, LOF, and local deal screening costs (</w:t>
      </w:r>
      <w:proofErr w:type="spellStart"/>
      <w:r w:rsidRPr="00C8451C">
        <w:t>Tykvova</w:t>
      </w:r>
      <w:proofErr w:type="spellEnd"/>
      <w:r w:rsidRPr="00C8451C">
        <w:t xml:space="preserve"> &amp; Schertler, 2014; Hain et al., 2016). However, cross-cultural operational differences between foreign and local general partners can induce strategic misalignment and communication friction (Dai et al., 2012).</w:t>
      </w:r>
    </w:p>
    <w:p w14:paraId="46A9155F" w14:textId="77777777" w:rsidR="00C8451C" w:rsidRPr="00C8451C" w:rsidRDefault="00C8451C" w:rsidP="00C8451C">
      <w:pPr>
        <w:rPr>
          <w:b/>
          <w:bCs/>
        </w:rPr>
      </w:pPr>
      <w:r w:rsidRPr="00C8451C">
        <w:rPr>
          <w:b/>
          <w:bCs/>
        </w:rPr>
        <w:t>2.3. Determinants of Syndicate Characteristics in Cross-Border Investments</w:t>
      </w:r>
    </w:p>
    <w:p w14:paraId="5FA5B64D" w14:textId="77777777" w:rsidR="00C8451C" w:rsidRPr="00C8451C" w:rsidRDefault="00C8451C" w:rsidP="00C8451C">
      <w:r w:rsidRPr="00C8451C">
        <w:t xml:space="preserve">               [ WITHIN-SYNDICATE </w:t>
      </w:r>
      <w:proofErr w:type="gramStart"/>
      <w:r w:rsidRPr="00C8451C">
        <w:t>DISTANCE ]</w:t>
      </w:r>
      <w:proofErr w:type="gramEnd"/>
    </w:p>
    <w:p w14:paraId="734F8B2D" w14:textId="77777777" w:rsidR="00C8451C" w:rsidRPr="00C8451C" w:rsidRDefault="00C8451C" w:rsidP="00C8451C">
      <w:r w:rsidRPr="00C8451C">
        <w:t xml:space="preserve">          +----------------------------------+</w:t>
      </w:r>
    </w:p>
    <w:p w14:paraId="4D9B2A11" w14:textId="77777777" w:rsidR="00C8451C" w:rsidRPr="00C8451C" w:rsidRDefault="00C8451C" w:rsidP="00C8451C">
      <w:r w:rsidRPr="00C8451C">
        <w:t xml:space="preserve">          </w:t>
      </w:r>
      <w:proofErr w:type="gramStart"/>
      <w:r w:rsidRPr="00C8451C">
        <w:t>|  •</w:t>
      </w:r>
      <w:proofErr w:type="gramEnd"/>
      <w:r w:rsidRPr="00C8451C">
        <w:t xml:space="preserve"> Geographic Distance           |</w:t>
      </w:r>
    </w:p>
    <w:p w14:paraId="54A9BD98" w14:textId="77777777" w:rsidR="00C8451C" w:rsidRPr="00C8451C" w:rsidRDefault="00C8451C" w:rsidP="00C8451C">
      <w:r w:rsidRPr="00C8451C">
        <w:t xml:space="preserve">          </w:t>
      </w:r>
      <w:proofErr w:type="gramStart"/>
      <w:r w:rsidRPr="00C8451C">
        <w:t>|  •</w:t>
      </w:r>
      <w:proofErr w:type="gramEnd"/>
      <w:r w:rsidRPr="00C8451C">
        <w:t xml:space="preserve"> Psychic Distance (Dow, 2021</w:t>
      </w:r>
      <w:proofErr w:type="gramStart"/>
      <w:r w:rsidRPr="00C8451C">
        <w:t>)  |</w:t>
      </w:r>
      <w:proofErr w:type="gramEnd"/>
    </w:p>
    <w:p w14:paraId="0EDB4DE2" w14:textId="77777777" w:rsidR="00C8451C" w:rsidRPr="00C8451C" w:rsidRDefault="00C8451C" w:rsidP="00C8451C">
      <w:r w:rsidRPr="00C8451C">
        <w:t xml:space="preserve">          +----------------------------------+</w:t>
      </w:r>
    </w:p>
    <w:p w14:paraId="0E478C87" w14:textId="77777777" w:rsidR="00C8451C" w:rsidRPr="00C8451C" w:rsidRDefault="00C8451C" w:rsidP="00C8451C">
      <w:r w:rsidRPr="00C8451C">
        <w:t xml:space="preserve">            /                              \</w:t>
      </w:r>
    </w:p>
    <w:p w14:paraId="69E6DE13" w14:textId="77777777" w:rsidR="00C8451C" w:rsidRPr="00C8451C" w:rsidRDefault="00C8451C" w:rsidP="00C8451C">
      <w:r w:rsidRPr="00C8451C">
        <w:t xml:space="preserve">   (-) H1a /                                \ (+) H1b</w:t>
      </w:r>
    </w:p>
    <w:p w14:paraId="58E2603C" w14:textId="77777777" w:rsidR="00C8451C" w:rsidRPr="00C8451C" w:rsidRDefault="00C8451C" w:rsidP="00C8451C">
      <w:r w:rsidRPr="00C8451C">
        <w:t xml:space="preserve">   (-) H2a/                                  \ (+) H2b</w:t>
      </w:r>
    </w:p>
    <w:p w14:paraId="7F92B5C2" w14:textId="77777777" w:rsidR="00C8451C" w:rsidRPr="00C8451C" w:rsidRDefault="00C8451C" w:rsidP="00C8451C">
      <w:r w:rsidRPr="00C8451C">
        <w:t xml:space="preserve">         v                                    </w:t>
      </w:r>
      <w:proofErr w:type="spellStart"/>
      <w:r w:rsidRPr="00C8451C">
        <w:t>v</w:t>
      </w:r>
      <w:proofErr w:type="spellEnd"/>
    </w:p>
    <w:p w14:paraId="3A53DD1F" w14:textId="77777777" w:rsidR="00C8451C" w:rsidRPr="00C8451C" w:rsidRDefault="00C8451C" w:rsidP="00C8451C">
      <w:r w:rsidRPr="00C8451C">
        <w:t xml:space="preserve">[ SYNDICATE </w:t>
      </w:r>
      <w:proofErr w:type="gramStart"/>
      <w:r w:rsidRPr="00C8451C">
        <w:t>SIZE ]</w:t>
      </w:r>
      <w:proofErr w:type="gramEnd"/>
      <w:r w:rsidRPr="00C8451C">
        <w:t xml:space="preserve">                </w:t>
      </w:r>
      <w:proofErr w:type="gramStart"/>
      <w:r w:rsidRPr="00C8451C">
        <w:t xml:space="preserve">   [</w:t>
      </w:r>
      <w:proofErr w:type="gramEnd"/>
      <w:r w:rsidRPr="00C8451C">
        <w:t xml:space="preserve"> LOCAL </w:t>
      </w:r>
      <w:proofErr w:type="gramStart"/>
      <w:r w:rsidRPr="00C8451C">
        <w:t>PARTNERING ]</w:t>
      </w:r>
      <w:proofErr w:type="gramEnd"/>
    </w:p>
    <w:p w14:paraId="3E56BBAA" w14:textId="77777777" w:rsidR="00C8451C" w:rsidRPr="00C8451C" w:rsidRDefault="00C8451C" w:rsidP="00C8451C">
      <w:r w:rsidRPr="00C8451C">
        <w:lastRenderedPageBreak/>
        <w:t xml:space="preserve">(Minimizes Horizontal             </w:t>
      </w:r>
      <w:proofErr w:type="gramStart"/>
      <w:r w:rsidRPr="00C8451C">
        <w:t xml:space="preserve">   (</w:t>
      </w:r>
      <w:proofErr w:type="gramEnd"/>
      <w:r w:rsidRPr="00C8451C">
        <w:t>Compensates for</w:t>
      </w:r>
    </w:p>
    <w:p w14:paraId="206A3496" w14:textId="77777777" w:rsidR="00C8451C" w:rsidRPr="00C8451C" w:rsidRDefault="00C8451C" w:rsidP="00C8451C">
      <w:r w:rsidRPr="00C8451C">
        <w:t xml:space="preserve"> Agency/Coordination </w:t>
      </w:r>
      <w:proofErr w:type="gramStart"/>
      <w:r w:rsidRPr="00C8451C">
        <w:t xml:space="preserve">Costs)   </w:t>
      </w:r>
      <w:proofErr w:type="gramEnd"/>
      <w:r w:rsidRPr="00C8451C">
        <w:t xml:space="preserve">        Inflexible Monitoring)</w:t>
      </w:r>
    </w:p>
    <w:p w14:paraId="25703171" w14:textId="77777777" w:rsidR="00C8451C" w:rsidRPr="00C8451C" w:rsidRDefault="00C8451C" w:rsidP="00C8451C">
      <w:r w:rsidRPr="00C8451C">
        <w:t xml:space="preserve">         ^                                    ^</w:t>
      </w:r>
    </w:p>
    <w:p w14:paraId="5C257273" w14:textId="77777777" w:rsidR="00C8451C" w:rsidRPr="00C8451C" w:rsidRDefault="00C8451C" w:rsidP="00C8451C">
      <w:r w:rsidRPr="00C8451C">
        <w:t xml:space="preserve">   (-) H3a\                                  / (-) H3b [Empirical: +]</w:t>
      </w:r>
    </w:p>
    <w:p w14:paraId="23A47AAC" w14:textId="77777777" w:rsidR="00C8451C" w:rsidRPr="00C8451C" w:rsidRDefault="00C8451C" w:rsidP="00C8451C">
      <w:r w:rsidRPr="00C8451C">
        <w:t xml:space="preserve">   (-) H4a \                                / (-) H4b</w:t>
      </w:r>
    </w:p>
    <w:p w14:paraId="7802EA9A" w14:textId="77777777" w:rsidR="00C8451C" w:rsidRPr="00C8451C" w:rsidRDefault="00C8451C" w:rsidP="00C8451C">
      <w:r w:rsidRPr="00C8451C">
        <w:t xml:space="preserve">            \                              /</w:t>
      </w:r>
    </w:p>
    <w:p w14:paraId="22EF1926" w14:textId="77777777" w:rsidR="00C8451C" w:rsidRPr="00C8451C" w:rsidRDefault="00C8451C" w:rsidP="00C8451C">
      <w:r w:rsidRPr="00C8451C">
        <w:t xml:space="preserve">          +----------------------------------+</w:t>
      </w:r>
    </w:p>
    <w:p w14:paraId="49A47C61" w14:textId="77777777" w:rsidR="00C8451C" w:rsidRPr="00C8451C" w:rsidRDefault="00C8451C" w:rsidP="00C8451C">
      <w:r w:rsidRPr="00C8451C">
        <w:t xml:space="preserve">          </w:t>
      </w:r>
      <w:proofErr w:type="gramStart"/>
      <w:r w:rsidRPr="00C8451C">
        <w:t>|  •</w:t>
      </w:r>
      <w:proofErr w:type="gramEnd"/>
      <w:r w:rsidRPr="00C8451C">
        <w:t xml:space="preserve"> Global Recognition            |</w:t>
      </w:r>
    </w:p>
    <w:p w14:paraId="46446A35" w14:textId="77777777" w:rsidR="00C8451C" w:rsidRPr="00C8451C" w:rsidRDefault="00C8451C" w:rsidP="00C8451C">
      <w:r w:rsidRPr="00C8451C">
        <w:t xml:space="preserve">          </w:t>
      </w:r>
      <w:proofErr w:type="gramStart"/>
      <w:r w:rsidRPr="00C8451C">
        <w:t>|  •</w:t>
      </w:r>
      <w:proofErr w:type="gramEnd"/>
      <w:r w:rsidRPr="00C8451C">
        <w:t xml:space="preserve"> Host Market Recognition       |</w:t>
      </w:r>
    </w:p>
    <w:p w14:paraId="49AB4C58" w14:textId="77777777" w:rsidR="00C8451C" w:rsidRPr="00C8451C" w:rsidRDefault="00C8451C" w:rsidP="00C8451C">
      <w:r w:rsidRPr="00C8451C">
        <w:t xml:space="preserve">          +----------------------------------+</w:t>
      </w:r>
    </w:p>
    <w:p w14:paraId="4B9CA4AF" w14:textId="77777777" w:rsidR="00C8451C" w:rsidRPr="00C8451C" w:rsidRDefault="00C8451C" w:rsidP="00C8451C">
      <w:r w:rsidRPr="00C8451C">
        <w:t xml:space="preserve">                 [ VC RECOGNITION (RBV</w:t>
      </w:r>
      <w:proofErr w:type="gramStart"/>
      <w:r w:rsidRPr="00C8451C">
        <w:t>) ]</w:t>
      </w:r>
      <w:proofErr w:type="gramEnd"/>
    </w:p>
    <w:p w14:paraId="5366A9CF" w14:textId="77777777" w:rsidR="00C8451C" w:rsidRPr="00C8451C" w:rsidRDefault="00C8451C" w:rsidP="00C8451C">
      <w:pPr>
        <w:rPr>
          <w:b/>
          <w:bCs/>
        </w:rPr>
      </w:pPr>
      <w:r w:rsidRPr="00C8451C">
        <w:rPr>
          <w:b/>
          <w:bCs/>
        </w:rPr>
        <w:t>Within-Syndicate Distance Dynamics</w:t>
      </w:r>
    </w:p>
    <w:p w14:paraId="248D5B0B" w14:textId="77777777" w:rsidR="00C8451C" w:rsidRPr="00C8451C" w:rsidRDefault="00C8451C" w:rsidP="00C8451C">
      <w:r w:rsidRPr="00C8451C">
        <w:t>Traditional international business literature measures distance between the investor and the host country to capture Liabilities of Foreignness. In contrast, this conceptual framework isolates </w:t>
      </w:r>
      <w:r w:rsidRPr="00C8451C">
        <w:rPr>
          <w:i/>
          <w:iCs/>
        </w:rPr>
        <w:t>inter-partner dyadic distance within the syndicate coalition</w:t>
      </w:r>
      <w:r w:rsidRPr="00C8451C">
        <w:t>.</w:t>
      </w:r>
    </w:p>
    <w:p w14:paraId="5DEA7D9A" w14:textId="77777777" w:rsidR="00C8451C" w:rsidRPr="00C8451C" w:rsidRDefault="00C8451C" w:rsidP="00C8451C">
      <w:pPr>
        <w:numPr>
          <w:ilvl w:val="0"/>
          <w:numId w:val="6"/>
        </w:numPr>
      </w:pPr>
      <w:r w:rsidRPr="00C8451C">
        <w:rPr>
          <w:b/>
          <w:bCs/>
        </w:rPr>
        <w:t>Geographic Distance:</w:t>
      </w:r>
      <w:r w:rsidRPr="00C8451C">
        <w:t> Physical separation between co-investing general partners impairs the scheduling of recurring, in-person board meetings and limits spontaneous, informal alignment, thereby elevating horizontal agency costs.</w:t>
      </w:r>
    </w:p>
    <w:p w14:paraId="07E1572A" w14:textId="77777777" w:rsidR="00C8451C" w:rsidRPr="00C8451C" w:rsidRDefault="00C8451C" w:rsidP="00C8451C">
      <w:pPr>
        <w:numPr>
          <w:ilvl w:val="0"/>
          <w:numId w:val="6"/>
        </w:numPr>
      </w:pPr>
      <w:r w:rsidRPr="00C8451C">
        <w:rPr>
          <w:b/>
          <w:bCs/>
        </w:rPr>
        <w:t>Psychic Distance:</w:t>
      </w:r>
      <w:r w:rsidRPr="00C8451C">
        <w:t xml:space="preserve"> Conceptualized by Johanson &amp; Vahlne (1977) as the sum of factors preventing information </w:t>
      </w:r>
      <w:proofErr w:type="gramStart"/>
      <w:r w:rsidRPr="00C8451C">
        <w:t>flow, and</w:t>
      </w:r>
      <w:proofErr w:type="gramEnd"/>
      <w:r w:rsidRPr="00C8451C">
        <w:t xml:space="preserve"> operationalized by Dow (2021) via macro-level stimuli (industrial development, education, democracy, language, and religion). Unlike cultural distance—which captures post-formation friction—psychic distance reflects the baseline cognitive perceptions of </w:t>
      </w:r>
      <w:proofErr w:type="gramStart"/>
      <w:r w:rsidRPr="00C8451C">
        <w:t>decision-makers</w:t>
      </w:r>
      <w:proofErr w:type="gramEnd"/>
      <w:r w:rsidRPr="00C8451C">
        <w:t xml:space="preserve"> selecting international co-investors.</w:t>
      </w:r>
    </w:p>
    <w:p w14:paraId="6AD98E0B" w14:textId="77777777" w:rsidR="00C8451C" w:rsidRPr="00C8451C" w:rsidRDefault="00C8451C" w:rsidP="00C8451C">
      <w:r w:rsidRPr="00C8451C">
        <w:t>High within-syndicate psychic distance introduces severe behavioral uncertainty, opportunism risks, and communication friction between general partners. To constrain these horizontal agency costs, foreign VCs restrict overall syndicate size (reducing horizontal coordination nodes) while simultaneously integrating a local host-country VC to execute flexible, on-site portfolio monitoring (Makela &amp; Maula, 2008).</w:t>
      </w:r>
    </w:p>
    <w:p w14:paraId="372B2725" w14:textId="77777777" w:rsidR="00C8451C" w:rsidRPr="00C8451C" w:rsidRDefault="00C8451C" w:rsidP="00C8451C">
      <w:r w:rsidRPr="00C8451C">
        <w:rPr>
          <w:b/>
          <w:bCs/>
        </w:rPr>
        <w:lastRenderedPageBreak/>
        <w:t>Hypothesis 1.</w:t>
      </w:r>
      <w:r w:rsidRPr="00C8451C">
        <w:t> High geographic distance between syndicate members is associated with (a) smaller syndicates and (b) a higher likelihood of local partners in cross-border VC deals.</w:t>
      </w:r>
    </w:p>
    <w:p w14:paraId="0D89868B" w14:textId="77777777" w:rsidR="00C8451C" w:rsidRPr="00C8451C" w:rsidRDefault="00C8451C" w:rsidP="00C8451C">
      <w:r w:rsidRPr="00C8451C">
        <w:rPr>
          <w:b/>
          <w:bCs/>
        </w:rPr>
        <w:t>Hypothesis 2.</w:t>
      </w:r>
      <w:r w:rsidRPr="00C8451C">
        <w:t> High psychic distance between syndicate members is associated with (a) smaller syndicates and (b) a higher likelihood of local partners in cross-border VC deals.</w:t>
      </w:r>
    </w:p>
    <w:p w14:paraId="6FFB3CA3" w14:textId="77777777" w:rsidR="00C8451C" w:rsidRPr="00C8451C" w:rsidRDefault="00C8451C" w:rsidP="00C8451C">
      <w:pPr>
        <w:rPr>
          <w:b/>
          <w:bCs/>
        </w:rPr>
      </w:pPr>
      <w:r w:rsidRPr="00C8451C">
        <w:rPr>
          <w:b/>
          <w:bCs/>
        </w:rPr>
        <w:t>VC Recognition as a Distinct Relationship Resource</w:t>
      </w:r>
    </w:p>
    <w:p w14:paraId="1452379F" w14:textId="77777777" w:rsidR="00C8451C" w:rsidRPr="00C8451C" w:rsidRDefault="00C8451C" w:rsidP="00C8451C">
      <w:r w:rsidRPr="00C8451C">
        <w:t>A critical theoretical boundary exists between internal firm resources and external status: </w:t>
      </w:r>
      <w:r w:rsidRPr="00C8451C">
        <w:rPr>
          <w:i/>
          <w:iCs/>
        </w:rPr>
        <w:t xml:space="preserve">experiential </w:t>
      </w:r>
      <w:proofErr w:type="spellStart"/>
      <w:r w:rsidRPr="00C8451C">
        <w:rPr>
          <w:i/>
          <w:iCs/>
        </w:rPr>
        <w:t>knowledge</w:t>
      </w:r>
      <w:r w:rsidRPr="00C8451C">
        <w:t>represents</w:t>
      </w:r>
      <w:proofErr w:type="spellEnd"/>
      <w:r w:rsidRPr="00C8451C">
        <w:t xml:space="preserve"> internal, tacit, context-bound learning accumulated inside the general partnership, whereas </w:t>
      </w:r>
      <w:r w:rsidRPr="00C8451C">
        <w:rPr>
          <w:i/>
          <w:iCs/>
        </w:rPr>
        <w:t>recognition/</w:t>
      </w:r>
      <w:proofErr w:type="spellStart"/>
      <w:r w:rsidRPr="00C8451C">
        <w:rPr>
          <w:i/>
          <w:iCs/>
        </w:rPr>
        <w:t>status</w:t>
      </w:r>
      <w:r w:rsidRPr="00C8451C">
        <w:t>represents</w:t>
      </w:r>
      <w:proofErr w:type="spellEnd"/>
      <w:r w:rsidRPr="00C8451C">
        <w:t xml:space="preserve"> external, relational capital that functions as a public signaling mechanism in closed networks (Guler &amp; Guillén, 2010).</w:t>
      </w:r>
    </w:p>
    <w:p w14:paraId="312C92B9" w14:textId="77777777" w:rsidR="00C8451C" w:rsidRPr="00C8451C" w:rsidRDefault="00C8451C" w:rsidP="00C8451C">
      <w:pPr>
        <w:numPr>
          <w:ilvl w:val="0"/>
          <w:numId w:val="7"/>
        </w:numPr>
      </w:pPr>
      <w:r w:rsidRPr="00C8451C">
        <w:rPr>
          <w:b/>
          <w:bCs/>
        </w:rPr>
        <w:t>Global (General) Recognition:</w:t>
      </w:r>
      <w:r w:rsidRPr="00C8451C">
        <w:t> A general partner's global visibility and status dispersion across international markets. It confers broad relationship capital, signaling quality to entrepreneurs and co-investors, and providing ad-hoc access to global networks without requiring equity dilution through large syndicates (Casillas &amp; Moreno-Menéndez, 2014).</w:t>
      </w:r>
    </w:p>
    <w:p w14:paraId="16059362" w14:textId="77777777" w:rsidR="00C8451C" w:rsidRPr="00C8451C" w:rsidRDefault="00C8451C" w:rsidP="00C8451C">
      <w:pPr>
        <w:numPr>
          <w:ilvl w:val="0"/>
          <w:numId w:val="7"/>
        </w:numPr>
      </w:pPr>
      <w:r w:rsidRPr="00C8451C">
        <w:rPr>
          <w:b/>
          <w:bCs/>
        </w:rPr>
        <w:t>Host-Country (Local) Recognition:</w:t>
      </w:r>
      <w:r w:rsidRPr="00C8451C">
        <w:t> Brand visibility embedded within a specific destination market. It reduces localized CMLOF, target search friction, and information asymmetry (</w:t>
      </w:r>
      <w:proofErr w:type="spellStart"/>
      <w:r w:rsidRPr="00C8451C">
        <w:t>Delios</w:t>
      </w:r>
      <w:proofErr w:type="spellEnd"/>
      <w:r w:rsidRPr="00C8451C">
        <w:t xml:space="preserve"> &amp; Beamish, 2001).</w:t>
      </w:r>
    </w:p>
    <w:p w14:paraId="6EF3D7B6" w14:textId="77777777" w:rsidR="00C8451C" w:rsidRPr="00C8451C" w:rsidRDefault="00C8451C" w:rsidP="00C8451C">
      <w:r w:rsidRPr="00C8451C">
        <w:t>While standard RBV logic predicts that local recognition enables foreign VCs to operate independently without local general partners, two-sided matching dynamics alter this outcome: highly recognized foreign VCs face lower local search costs and are actively recruited by domestic VCs seeking prestigious co-investors (</w:t>
      </w:r>
      <w:proofErr w:type="spellStart"/>
      <w:r w:rsidRPr="00C8451C">
        <w:t>Mindruta</w:t>
      </w:r>
      <w:proofErr w:type="spellEnd"/>
      <w:r w:rsidRPr="00C8451C">
        <w:t xml:space="preserve"> et al., 2016; Fu et al., 2019).</w:t>
      </w:r>
    </w:p>
    <w:p w14:paraId="1BA75B67" w14:textId="77777777" w:rsidR="00C8451C" w:rsidRPr="00C8451C" w:rsidRDefault="00C8451C" w:rsidP="00C8451C">
      <w:r w:rsidRPr="00C8451C">
        <w:rPr>
          <w:b/>
          <w:bCs/>
        </w:rPr>
        <w:t>Hypothesis 3.</w:t>
      </w:r>
      <w:r w:rsidRPr="00C8451C">
        <w:t> Intensive host market recognition of the VC is associated with (a) smaller syndicates and (b) a lower likelihood of local partners in cross-border VC deals.</w:t>
      </w:r>
    </w:p>
    <w:p w14:paraId="7E6A42AD" w14:textId="77777777" w:rsidR="00C8451C" w:rsidRPr="00C8451C" w:rsidRDefault="00C8451C" w:rsidP="00C8451C">
      <w:r w:rsidRPr="00C8451C">
        <w:rPr>
          <w:b/>
          <w:bCs/>
        </w:rPr>
        <w:t>Hypothesis 4.</w:t>
      </w:r>
      <w:r w:rsidRPr="00C8451C">
        <w:t> A high degree of general recognition of the VC is associated with (a) smaller syndicates and (b) a lower likelihood of local partners in cross-border VC deals.</w:t>
      </w:r>
    </w:p>
    <w:p w14:paraId="4D8CD2E5" w14:textId="77777777" w:rsidR="00C8451C" w:rsidRPr="00C8451C" w:rsidRDefault="00C8451C" w:rsidP="00C8451C">
      <w:r w:rsidRPr="00C8451C">
        <w:rPr>
          <w:b/>
          <w:bCs/>
        </w:rPr>
        <w:t>Takeaway:</w:t>
      </w:r>
      <w:r w:rsidRPr="00C8451C">
        <w:t> Inter-partner psychic and geographic distances increase horizontal agency costs favoring smaller, locally supported syndicates, whereas VC recognition acts as an external resource reducing syndication dependency.</w:t>
      </w:r>
    </w:p>
    <w:p w14:paraId="2E83722F" w14:textId="77777777" w:rsidR="00C8451C" w:rsidRPr="00C8451C" w:rsidRDefault="00C8451C" w:rsidP="00C8451C">
      <w:r w:rsidRPr="00C8451C">
        <w:t>The analytical methods, data parameters, and measurement models deployed to test these hypotheses are delineated in the subsequent section.</w:t>
      </w:r>
    </w:p>
    <w:p w14:paraId="03C04A7F" w14:textId="77777777" w:rsidR="00C8451C" w:rsidRPr="00C8451C" w:rsidRDefault="00C8451C" w:rsidP="00C8451C">
      <w:pPr>
        <w:rPr>
          <w:b/>
          <w:bCs/>
        </w:rPr>
      </w:pPr>
      <w:r w:rsidRPr="00C8451C">
        <w:rPr>
          <w:b/>
          <w:bCs/>
        </w:rPr>
        <w:t>3. Data and Methodology</w:t>
      </w:r>
    </w:p>
    <w:p w14:paraId="02F6A050" w14:textId="77777777" w:rsidR="00C8451C" w:rsidRPr="00C8451C" w:rsidRDefault="00C8451C" w:rsidP="00C8451C">
      <w:r w:rsidRPr="00C8451C">
        <w:lastRenderedPageBreak/>
        <w:t>The empirical strategy utilizes Generalized Linear Models (GLM) applied to a global cross-border venture capital dataset, combining search-engine analytics to proxy external status with validated cross-national distance metrics.</w:t>
      </w:r>
    </w:p>
    <w:p w14:paraId="4A70DD0D" w14:textId="77777777" w:rsidR="00C8451C" w:rsidRPr="00C8451C" w:rsidRDefault="00C8451C" w:rsidP="00C8451C">
      <w:pPr>
        <w:rPr>
          <w:b/>
          <w:bCs/>
        </w:rPr>
      </w:pPr>
      <w:r w:rsidRPr="00C8451C">
        <w:rPr>
          <w:b/>
          <w:bCs/>
        </w:rPr>
        <w:t>3.1. Data Sources and Sample</w:t>
      </w:r>
    </w:p>
    <w:p w14:paraId="66DD1A35" w14:textId="77777777" w:rsidR="00C8451C" w:rsidRPr="00C8451C" w:rsidRDefault="00C8451C" w:rsidP="00C8451C">
      <w:r w:rsidRPr="00C8451C">
        <w:t>The empirical sample is constructed from the </w:t>
      </w:r>
      <w:proofErr w:type="spellStart"/>
      <w:r w:rsidRPr="00C8451C">
        <w:rPr>
          <w:b/>
          <w:bCs/>
        </w:rPr>
        <w:t>Preqin</w:t>
      </w:r>
      <w:proofErr w:type="spellEnd"/>
      <w:r w:rsidRPr="00C8451C">
        <w:rPr>
          <w:b/>
          <w:bCs/>
        </w:rPr>
        <w:t xml:space="preserve"> Pro Database (2010–2020)</w:t>
      </w:r>
      <w:r w:rsidRPr="00C8451C">
        <w:t>, a leading standard for private capital performance and transaction data (Lerner et al., 2007; Harris et al., 2014).</w:t>
      </w:r>
    </w:p>
    <w:p w14:paraId="4B4355F8" w14:textId="77777777" w:rsidR="00C8451C" w:rsidRPr="00C8451C" w:rsidRDefault="00C8451C" w:rsidP="00C8451C">
      <w:pPr>
        <w:rPr>
          <w:b/>
          <w:bCs/>
        </w:rPr>
      </w:pPr>
      <w:r w:rsidRPr="00C8451C">
        <w:rPr>
          <w:b/>
          <w:bCs/>
        </w:rPr>
        <w:t>Sample Construction &amp; Boundary Parameters</w:t>
      </w:r>
    </w:p>
    <w:p w14:paraId="7145E874" w14:textId="77777777" w:rsidR="00C8451C" w:rsidRPr="00C8451C" w:rsidRDefault="00C8451C" w:rsidP="00C8451C">
      <w:pPr>
        <w:numPr>
          <w:ilvl w:val="0"/>
          <w:numId w:val="8"/>
        </w:numPr>
      </w:pPr>
      <w:r w:rsidRPr="00C8451C">
        <w:rPr>
          <w:b/>
          <w:bCs/>
        </w:rPr>
        <w:t>Observation Period:</w:t>
      </w:r>
      <w:r w:rsidRPr="00C8451C">
        <w:t> 2010–2020 (capturing the decade of highest growth in cross-border venture capital volume).</w:t>
      </w:r>
    </w:p>
    <w:p w14:paraId="21F3906B" w14:textId="77777777" w:rsidR="00C8451C" w:rsidRPr="00C8451C" w:rsidRDefault="00C8451C" w:rsidP="00C8451C">
      <w:pPr>
        <w:numPr>
          <w:ilvl w:val="0"/>
          <w:numId w:val="8"/>
        </w:numPr>
      </w:pPr>
      <w:r w:rsidRPr="00C8451C">
        <w:rPr>
          <w:b/>
          <w:bCs/>
        </w:rPr>
        <w:t>Initial Cross-Border Filter:</w:t>
      </w:r>
      <w:r w:rsidRPr="00C8451C">
        <w:t> 18,964 syndicated deal observations with complete transactional data.</w:t>
      </w:r>
    </w:p>
    <w:p w14:paraId="17F83077" w14:textId="77777777" w:rsidR="00C8451C" w:rsidRPr="00C8451C" w:rsidRDefault="00C8451C" w:rsidP="00C8451C">
      <w:pPr>
        <w:numPr>
          <w:ilvl w:val="0"/>
          <w:numId w:val="8"/>
        </w:numPr>
      </w:pPr>
      <w:r w:rsidRPr="00C8451C">
        <w:rPr>
          <w:b/>
          <w:bCs/>
        </w:rPr>
        <w:t>Final Analysis Sample Size (N):</w:t>
      </w:r>
      <w:r w:rsidRPr="00C8451C">
        <w:t> </w:t>
      </w:r>
      <w:r w:rsidRPr="00C8451C">
        <w:rPr>
          <w:b/>
          <w:bCs/>
        </w:rPr>
        <w:t>15,725 focal-VC investment observations</w:t>
      </w:r>
      <w:r w:rsidRPr="00C8451C">
        <w:t> (structured at the foreign focal VC-deal unit of analysis; e.g., a single transaction involving 3 foreign VCs yields 3 distinct observations).</w:t>
      </w:r>
    </w:p>
    <w:p w14:paraId="276805AC" w14:textId="77777777" w:rsidR="00C8451C" w:rsidRPr="00C8451C" w:rsidRDefault="00C8451C" w:rsidP="00C8451C">
      <w:pPr>
        <w:numPr>
          <w:ilvl w:val="0"/>
          <w:numId w:val="8"/>
        </w:numPr>
      </w:pPr>
      <w:r w:rsidRPr="00C8451C">
        <w:rPr>
          <w:b/>
          <w:bCs/>
        </w:rPr>
        <w:t>Unique VC General Partners:</w:t>
      </w:r>
      <w:r w:rsidRPr="00C8451C">
        <w:t> </w:t>
      </w:r>
      <w:r w:rsidRPr="00C8451C">
        <w:rPr>
          <w:b/>
          <w:bCs/>
        </w:rPr>
        <w:t>1,556</w:t>
      </w:r>
      <w:r w:rsidRPr="00C8451C">
        <w:t>.</w:t>
      </w:r>
    </w:p>
    <w:p w14:paraId="5CAE530D" w14:textId="77777777" w:rsidR="00C8451C" w:rsidRPr="00C8451C" w:rsidRDefault="00C8451C" w:rsidP="00C8451C">
      <w:pPr>
        <w:numPr>
          <w:ilvl w:val="0"/>
          <w:numId w:val="8"/>
        </w:numPr>
      </w:pPr>
      <w:r w:rsidRPr="00C8451C">
        <w:rPr>
          <w:b/>
          <w:bCs/>
        </w:rPr>
        <w:t>Unique Portfolio Enterprises:</w:t>
      </w:r>
      <w:r w:rsidRPr="00C8451C">
        <w:t> </w:t>
      </w:r>
      <w:r w:rsidRPr="00C8451C">
        <w:rPr>
          <w:b/>
          <w:bCs/>
        </w:rPr>
        <w:t>7,606</w:t>
      </w:r>
      <w:r w:rsidRPr="00C8451C">
        <w:t> located across </w:t>
      </w:r>
      <w:r w:rsidRPr="00C8451C">
        <w:rPr>
          <w:b/>
          <w:bCs/>
        </w:rPr>
        <w:t>55 host destination countries</w:t>
      </w:r>
      <w:r w:rsidRPr="00C8451C">
        <w:t> (originating from 67 home source countries).</w:t>
      </w:r>
    </w:p>
    <w:p w14:paraId="26B50313" w14:textId="77777777" w:rsidR="00C8451C" w:rsidRPr="00C8451C" w:rsidRDefault="00C8451C" w:rsidP="00C8451C">
      <w:pPr>
        <w:numPr>
          <w:ilvl w:val="0"/>
          <w:numId w:val="8"/>
        </w:numPr>
      </w:pPr>
      <w:r w:rsidRPr="00C8451C">
        <w:rPr>
          <w:b/>
          <w:bCs/>
        </w:rPr>
        <w:t>Syndicate Member Range:</w:t>
      </w:r>
      <w:r w:rsidRPr="00C8451C">
        <w:t> 2 to 35 VC firms (sample mean = 4.524 VCs).</w:t>
      </w:r>
    </w:p>
    <w:p w14:paraId="0943B238" w14:textId="77777777" w:rsidR="00C8451C" w:rsidRPr="00C8451C" w:rsidRDefault="00C8451C" w:rsidP="00C8451C">
      <w:pPr>
        <w:numPr>
          <w:ilvl w:val="0"/>
          <w:numId w:val="8"/>
        </w:numPr>
      </w:pPr>
      <w:r w:rsidRPr="00C8451C">
        <w:rPr>
          <w:b/>
          <w:bCs/>
        </w:rPr>
        <w:t>Top 5 Host Destination Markets:</w:t>
      </w:r>
      <w:r w:rsidRPr="00C8451C">
        <w:t> United States (24.3\%), China (11.1\%), India (10.5\%), United Kingdom (8.7\%), Canada (5.8\%).</w:t>
      </w:r>
    </w:p>
    <w:p w14:paraId="0518B84F" w14:textId="77777777" w:rsidR="00C8451C" w:rsidRPr="00C8451C" w:rsidRDefault="00C8451C" w:rsidP="00C8451C">
      <w:pPr>
        <w:numPr>
          <w:ilvl w:val="0"/>
          <w:numId w:val="8"/>
        </w:numPr>
      </w:pPr>
      <w:r w:rsidRPr="00C8451C">
        <w:rPr>
          <w:b/>
          <w:bCs/>
        </w:rPr>
        <w:t>Top 5 Home Source Markets:</w:t>
      </w:r>
      <w:r w:rsidRPr="00C8451C">
        <w:t> United States (40.9\%), United Kingdom (11.5\%), France (6.0\%), Hong Kong (4.4\%), Germany (3.4\%).</w:t>
      </w:r>
    </w:p>
    <w:p w14:paraId="20635763" w14:textId="77777777" w:rsidR="00C8451C" w:rsidRPr="00C8451C" w:rsidRDefault="00C8451C" w:rsidP="00C8451C">
      <w:pPr>
        <w:rPr>
          <w:b/>
          <w:bCs/>
        </w:rPr>
      </w:pPr>
      <w:r w:rsidRPr="00C8451C">
        <w:rPr>
          <w:b/>
          <w:bCs/>
        </w:rPr>
        <w:t>Supplementary Data Sources</w:t>
      </w:r>
    </w:p>
    <w:p w14:paraId="1E1C3CA5" w14:textId="77777777" w:rsidR="00C8451C" w:rsidRPr="00C8451C" w:rsidRDefault="00C8451C" w:rsidP="00C8451C">
      <w:pPr>
        <w:numPr>
          <w:ilvl w:val="0"/>
          <w:numId w:val="9"/>
        </w:numPr>
      </w:pPr>
      <w:r w:rsidRPr="00C8451C">
        <w:rPr>
          <w:b/>
          <w:bCs/>
        </w:rPr>
        <w:t>Geographic Distance Metrics:</w:t>
      </w:r>
      <w:r w:rsidRPr="00C8451C">
        <w:t> Dyadic great-circle distance tables from Berry (2020).</w:t>
      </w:r>
    </w:p>
    <w:p w14:paraId="3C4F4AF3" w14:textId="77777777" w:rsidR="00C8451C" w:rsidRPr="00C8451C" w:rsidRDefault="00C8451C" w:rsidP="00C8451C">
      <w:pPr>
        <w:numPr>
          <w:ilvl w:val="0"/>
          <w:numId w:val="9"/>
        </w:numPr>
      </w:pPr>
      <w:r w:rsidRPr="00C8451C">
        <w:rPr>
          <w:b/>
          <w:bCs/>
        </w:rPr>
        <w:t>Psychic Distance Metrics:</w:t>
      </w:r>
      <w:r w:rsidRPr="00C8451C">
        <w:t> Formative multidimensional index of psychic distance stimuli from Dow (2021).</w:t>
      </w:r>
    </w:p>
    <w:p w14:paraId="48FB3148" w14:textId="77777777" w:rsidR="00C8451C" w:rsidRPr="00C8451C" w:rsidRDefault="00C8451C" w:rsidP="00C8451C">
      <w:pPr>
        <w:numPr>
          <w:ilvl w:val="0"/>
          <w:numId w:val="9"/>
        </w:numPr>
      </w:pPr>
      <w:r w:rsidRPr="00C8451C">
        <w:rPr>
          <w:b/>
          <w:bCs/>
        </w:rPr>
        <w:t>Status Analytics:</w:t>
      </w:r>
      <w:r w:rsidRPr="00C8451C">
        <w:t> Google Trends search volume metrics extracted via the </w:t>
      </w:r>
      <w:proofErr w:type="spellStart"/>
      <w:r w:rsidRPr="00C8451C">
        <w:t>globaltrends</w:t>
      </w:r>
      <w:proofErr w:type="spellEnd"/>
      <w:r w:rsidRPr="00C8451C">
        <w:t> R package (Müllner &amp; Puhr, 2021).</w:t>
      </w:r>
    </w:p>
    <w:p w14:paraId="679E6B4C" w14:textId="77777777" w:rsidR="00C8451C" w:rsidRPr="00C8451C" w:rsidRDefault="00C8451C" w:rsidP="00C8451C">
      <w:pPr>
        <w:numPr>
          <w:ilvl w:val="0"/>
          <w:numId w:val="9"/>
        </w:numPr>
      </w:pPr>
      <w:r w:rsidRPr="00C8451C">
        <w:rPr>
          <w:b/>
          <w:bCs/>
        </w:rPr>
        <w:lastRenderedPageBreak/>
        <w:t>Institutional Governance Data:</w:t>
      </w:r>
      <w:r w:rsidRPr="00C8451C">
        <w:t> Worldwide Governance Indicators (WGI) compiled by Kaufmann &amp; Kraay (2021).</w:t>
      </w:r>
    </w:p>
    <w:p w14:paraId="43874223" w14:textId="77777777" w:rsidR="00C8451C" w:rsidRPr="00C8451C" w:rsidRDefault="00C8451C" w:rsidP="00C8451C">
      <w:pPr>
        <w:rPr>
          <w:b/>
          <w:bCs/>
        </w:rPr>
      </w:pPr>
      <w:r w:rsidRPr="00C8451C">
        <w:rPr>
          <w:b/>
          <w:bCs/>
        </w:rPr>
        <w:t>3.2. Methodology</w:t>
      </w:r>
    </w:p>
    <w:p w14:paraId="37011866" w14:textId="77777777" w:rsidR="00C8451C" w:rsidRPr="00C8451C" w:rsidRDefault="00C8451C" w:rsidP="00C8451C">
      <w:r w:rsidRPr="00C8451C">
        <w:t>Because the dependent variables represent distinct distributional formats, two Generalized Linear Model (GLM) frameworks are estimated:</w:t>
      </w:r>
    </w:p>
    <w:p w14:paraId="4011D92C" w14:textId="77777777" w:rsidR="00C8451C" w:rsidRPr="00C8451C" w:rsidRDefault="00C8451C" w:rsidP="00C8451C">
      <w:pPr>
        <w:numPr>
          <w:ilvl w:val="0"/>
          <w:numId w:val="10"/>
        </w:numPr>
      </w:pPr>
      <w:r w:rsidRPr="00C8451C">
        <w:rPr>
          <w:b/>
          <w:bCs/>
        </w:rPr>
        <w:t>Poisson GLM (log link):</w:t>
      </w:r>
      <w:r w:rsidRPr="00C8451C">
        <w:t> Applied to discrete count data to test hypotheses specifying </w:t>
      </w:r>
      <w:r w:rsidRPr="00C8451C">
        <w:rPr>
          <w:b/>
          <w:bCs/>
        </w:rPr>
        <w:t>Syndicate Size</w:t>
      </w:r>
      <w:r w:rsidRPr="00C8451C">
        <w:t>.</w:t>
      </w:r>
    </w:p>
    <w:p w14:paraId="07C537D7" w14:textId="77777777" w:rsidR="00C8451C" w:rsidRPr="00C8451C" w:rsidRDefault="00C8451C" w:rsidP="00C8451C">
      <w:pPr>
        <w:numPr>
          <w:ilvl w:val="0"/>
          <w:numId w:val="10"/>
        </w:numPr>
      </w:pPr>
      <w:r w:rsidRPr="00C8451C">
        <w:rPr>
          <w:b/>
          <w:bCs/>
        </w:rPr>
        <w:t>Logit GLM (binomial link):</w:t>
      </w:r>
      <w:r w:rsidRPr="00C8451C">
        <w:t> Applied to dichotomous outcomes to test hypotheses predicting the </w:t>
      </w:r>
      <w:r w:rsidRPr="00C8451C">
        <w:rPr>
          <w:b/>
          <w:bCs/>
        </w:rPr>
        <w:t>Likelihood of Local Partnering</w:t>
      </w:r>
      <w:r w:rsidRPr="00C8451C">
        <w:t>.</w:t>
      </w:r>
    </w:p>
    <w:p w14:paraId="33FBF831" w14:textId="77777777" w:rsidR="00C8451C" w:rsidRPr="00C8451C" w:rsidRDefault="00C8451C" w:rsidP="00C8451C">
      <w:pPr>
        <w:rPr>
          <w:b/>
          <w:bCs/>
        </w:rPr>
      </w:pPr>
      <w:r w:rsidRPr="00C8451C">
        <w:rPr>
          <w:b/>
          <w:bCs/>
        </w:rPr>
        <w:t>3.3. Measures</w:t>
      </w:r>
    </w:p>
    <w:p w14:paraId="646D3568" w14:textId="77777777" w:rsidR="00C8451C" w:rsidRPr="00C8451C" w:rsidRDefault="00C8451C" w:rsidP="00C8451C">
      <w:r w:rsidRPr="00C8451C">
        <w:t>Variable operationalization, metrics, and data sources are summarized below (mirroring Table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26"/>
        <w:gridCol w:w="1671"/>
        <w:gridCol w:w="6247"/>
      </w:tblGrid>
      <w:tr w:rsidR="00C8451C" w:rsidRPr="00C8451C" w14:paraId="7F0B43F5"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4CA6CD2B" w14:textId="77777777" w:rsidR="00C8451C" w:rsidRPr="00C8451C" w:rsidRDefault="00C8451C" w:rsidP="00C8451C">
            <w:r w:rsidRPr="00C8451C">
              <w:t>Variable Category</w:t>
            </w:r>
          </w:p>
        </w:tc>
        <w:tc>
          <w:tcPr>
            <w:tcW w:w="856" w:type="pct"/>
            <w:tcBorders>
              <w:top w:val="outset" w:sz="6" w:space="0" w:color="auto"/>
              <w:left w:val="outset" w:sz="6" w:space="0" w:color="auto"/>
              <w:bottom w:val="outset" w:sz="6" w:space="0" w:color="auto"/>
              <w:right w:val="outset" w:sz="6" w:space="0" w:color="auto"/>
            </w:tcBorders>
            <w:vAlign w:val="center"/>
            <w:hideMark/>
          </w:tcPr>
          <w:p w14:paraId="3619C429" w14:textId="77777777" w:rsidR="00C8451C" w:rsidRPr="00C8451C" w:rsidRDefault="00C8451C" w:rsidP="00C8451C">
            <w:r w:rsidRPr="00C8451C">
              <w:t>Variable Name</w:t>
            </w:r>
          </w:p>
        </w:tc>
        <w:tc>
          <w:tcPr>
            <w:tcW w:w="3494" w:type="pct"/>
            <w:tcBorders>
              <w:top w:val="outset" w:sz="6" w:space="0" w:color="auto"/>
              <w:left w:val="outset" w:sz="6" w:space="0" w:color="auto"/>
              <w:bottom w:val="outset" w:sz="6" w:space="0" w:color="auto"/>
              <w:right w:val="outset" w:sz="6" w:space="0" w:color="auto"/>
            </w:tcBorders>
            <w:vAlign w:val="center"/>
            <w:hideMark/>
          </w:tcPr>
          <w:p w14:paraId="1587350F" w14:textId="77777777" w:rsidR="00C8451C" w:rsidRPr="00C8451C" w:rsidRDefault="00C8451C" w:rsidP="00C8451C">
            <w:r w:rsidRPr="00C8451C">
              <w:t>Operationalization &amp; Econometric Construction Source</w:t>
            </w:r>
          </w:p>
        </w:tc>
      </w:tr>
      <w:tr w:rsidR="00C8451C" w:rsidRPr="00C8451C" w14:paraId="10F4F706"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6E3B0117" w14:textId="77777777" w:rsidR="00C8451C" w:rsidRPr="00C8451C" w:rsidRDefault="00C8451C" w:rsidP="00C8451C">
            <w:r w:rsidRPr="00C8451C">
              <w:rPr>
                <w:b/>
                <w:bCs/>
              </w:rPr>
              <w:t>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68A5CF8E" w14:textId="77777777" w:rsidR="00C8451C" w:rsidRPr="00C8451C" w:rsidRDefault="00C8451C" w:rsidP="00C8451C">
            <w:r w:rsidRPr="00C8451C">
              <w:t>Syndicate Size</w:t>
            </w:r>
          </w:p>
        </w:tc>
        <w:tc>
          <w:tcPr>
            <w:tcW w:w="3494" w:type="pct"/>
            <w:tcBorders>
              <w:top w:val="outset" w:sz="6" w:space="0" w:color="auto"/>
              <w:left w:val="outset" w:sz="6" w:space="0" w:color="auto"/>
              <w:bottom w:val="outset" w:sz="6" w:space="0" w:color="auto"/>
              <w:right w:val="outset" w:sz="6" w:space="0" w:color="auto"/>
            </w:tcBorders>
            <w:vAlign w:val="center"/>
            <w:hideMark/>
          </w:tcPr>
          <w:p w14:paraId="3C1872B2" w14:textId="77777777" w:rsidR="00C8451C" w:rsidRPr="00C8451C" w:rsidRDefault="00C8451C" w:rsidP="00C8451C">
            <w:r w:rsidRPr="00C8451C">
              <w:t>Discrete integer count of total VC firms participating in the focal investment round (</w:t>
            </w:r>
            <w:proofErr w:type="spellStart"/>
            <w:r w:rsidRPr="00C8451C">
              <w:t>Preqin</w:t>
            </w:r>
            <w:proofErr w:type="spellEnd"/>
            <w:r w:rsidRPr="00C8451C">
              <w:t>).</w:t>
            </w:r>
          </w:p>
        </w:tc>
      </w:tr>
      <w:tr w:rsidR="00C8451C" w:rsidRPr="00C8451C" w14:paraId="2E59C031"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20B56B49" w14:textId="77777777" w:rsidR="00C8451C" w:rsidRPr="00C8451C" w:rsidRDefault="00C8451C" w:rsidP="00C8451C">
            <w:r w:rsidRPr="00C8451C">
              <w:rPr>
                <w:b/>
                <w:bCs/>
              </w:rPr>
              <w:t>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6AE19BA5" w14:textId="77777777" w:rsidR="00C8451C" w:rsidRPr="00C8451C" w:rsidRDefault="00C8451C" w:rsidP="00C8451C">
            <w:r w:rsidRPr="00C8451C">
              <w:t>Likelihood of Local Partnering</w:t>
            </w:r>
          </w:p>
        </w:tc>
        <w:tc>
          <w:tcPr>
            <w:tcW w:w="3494" w:type="pct"/>
            <w:tcBorders>
              <w:top w:val="outset" w:sz="6" w:space="0" w:color="auto"/>
              <w:left w:val="outset" w:sz="6" w:space="0" w:color="auto"/>
              <w:bottom w:val="outset" w:sz="6" w:space="0" w:color="auto"/>
              <w:right w:val="outset" w:sz="6" w:space="0" w:color="auto"/>
            </w:tcBorders>
            <w:vAlign w:val="center"/>
            <w:hideMark/>
          </w:tcPr>
          <w:p w14:paraId="6C1CF7C2" w14:textId="77777777" w:rsidR="00C8451C" w:rsidRPr="00C8451C" w:rsidRDefault="00C8451C" w:rsidP="00C8451C">
            <w:r w:rsidRPr="00C8451C">
              <w:t>Binary indicator: 1 if the syndicate contains at least one host-country domestic VC; 0otherwise (</w:t>
            </w:r>
            <w:proofErr w:type="spellStart"/>
            <w:r w:rsidRPr="00C8451C">
              <w:t>Preqin</w:t>
            </w:r>
            <w:proofErr w:type="spellEnd"/>
            <w:r w:rsidRPr="00C8451C">
              <w:t>).</w:t>
            </w:r>
          </w:p>
        </w:tc>
      </w:tr>
      <w:tr w:rsidR="00C8451C" w:rsidRPr="00C8451C" w14:paraId="505B1D89"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442EF53D" w14:textId="77777777" w:rsidR="00C8451C" w:rsidRPr="00C8451C" w:rsidRDefault="00C8451C" w:rsidP="00C8451C">
            <w:r w:rsidRPr="00C8451C">
              <w:rPr>
                <w:b/>
                <w:bCs/>
              </w:rPr>
              <w:t>Independent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5882EC0B" w14:textId="77777777" w:rsidR="00C8451C" w:rsidRPr="00C8451C" w:rsidRDefault="00C8451C" w:rsidP="00C8451C">
            <w:r w:rsidRPr="00C8451C">
              <w:t>Geographic Distance</w:t>
            </w:r>
          </w:p>
        </w:tc>
        <w:tc>
          <w:tcPr>
            <w:tcW w:w="3494" w:type="pct"/>
            <w:tcBorders>
              <w:top w:val="outset" w:sz="6" w:space="0" w:color="auto"/>
              <w:left w:val="outset" w:sz="6" w:space="0" w:color="auto"/>
              <w:bottom w:val="outset" w:sz="6" w:space="0" w:color="auto"/>
              <w:right w:val="outset" w:sz="6" w:space="0" w:color="auto"/>
            </w:tcBorders>
            <w:vAlign w:val="center"/>
            <w:hideMark/>
          </w:tcPr>
          <w:p w14:paraId="31A63564" w14:textId="77777777" w:rsidR="00C8451C" w:rsidRPr="00C8451C" w:rsidRDefault="00C8451C" w:rsidP="00C8451C">
            <w:r w:rsidRPr="00C8451C">
              <w:t>Average dyadic great-circle distance between syndicate members in kilometers, normalized by syndicate permutations (Berry, 2020).</w:t>
            </w:r>
          </w:p>
        </w:tc>
      </w:tr>
      <w:tr w:rsidR="00C8451C" w:rsidRPr="00C8451C" w14:paraId="174C083F"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5288F34D" w14:textId="77777777" w:rsidR="00C8451C" w:rsidRPr="00C8451C" w:rsidRDefault="00C8451C" w:rsidP="00C8451C">
            <w:r w:rsidRPr="00C8451C">
              <w:rPr>
                <w:b/>
                <w:bCs/>
              </w:rPr>
              <w:t>Independent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6AEAA557" w14:textId="77777777" w:rsidR="00C8451C" w:rsidRPr="00C8451C" w:rsidRDefault="00C8451C" w:rsidP="00C8451C">
            <w:r w:rsidRPr="00C8451C">
              <w:t>Psychic Distance</w:t>
            </w:r>
          </w:p>
        </w:tc>
        <w:tc>
          <w:tcPr>
            <w:tcW w:w="3494" w:type="pct"/>
            <w:tcBorders>
              <w:top w:val="outset" w:sz="6" w:space="0" w:color="auto"/>
              <w:left w:val="outset" w:sz="6" w:space="0" w:color="auto"/>
              <w:bottom w:val="outset" w:sz="6" w:space="0" w:color="auto"/>
              <w:right w:val="outset" w:sz="6" w:space="0" w:color="auto"/>
            </w:tcBorders>
            <w:vAlign w:val="center"/>
            <w:hideMark/>
          </w:tcPr>
          <w:p w14:paraId="46D5E8AD" w14:textId="77777777" w:rsidR="00C8451C" w:rsidRPr="00C8451C" w:rsidRDefault="00C8451C" w:rsidP="00C8451C">
            <w:r w:rsidRPr="00C8451C">
              <w:t>Average dyadic formative index score normalized by permutations, covering 5 macro stimuli: industrial development, education, democracy, language, and religion (Dow, 2021).</w:t>
            </w:r>
          </w:p>
        </w:tc>
      </w:tr>
      <w:tr w:rsidR="00C8451C" w:rsidRPr="00C8451C" w14:paraId="334CC2A7"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5AE512BB" w14:textId="77777777" w:rsidR="00C8451C" w:rsidRPr="00C8451C" w:rsidRDefault="00C8451C" w:rsidP="00C8451C">
            <w:r w:rsidRPr="00C8451C">
              <w:rPr>
                <w:b/>
                <w:bCs/>
              </w:rPr>
              <w:t>Independent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210C7277" w14:textId="77777777" w:rsidR="00C8451C" w:rsidRPr="00C8451C" w:rsidRDefault="00C8451C" w:rsidP="00C8451C">
            <w:r w:rsidRPr="00C8451C">
              <w:t>Global Recognition</w:t>
            </w:r>
          </w:p>
        </w:tc>
        <w:tc>
          <w:tcPr>
            <w:tcW w:w="3494" w:type="pct"/>
            <w:tcBorders>
              <w:top w:val="outset" w:sz="6" w:space="0" w:color="auto"/>
              <w:left w:val="outset" w:sz="6" w:space="0" w:color="auto"/>
              <w:bottom w:val="outset" w:sz="6" w:space="0" w:color="auto"/>
              <w:right w:val="outset" w:sz="6" w:space="0" w:color="auto"/>
            </w:tcBorders>
            <w:vAlign w:val="center"/>
            <w:hideMark/>
          </w:tcPr>
          <w:p w14:paraId="75901399" w14:textId="77777777" w:rsidR="00C8451C" w:rsidRPr="00C8451C" w:rsidRDefault="00C8451C" w:rsidP="00C8451C">
            <w:r w:rsidRPr="00C8451C">
              <w:t>Inverted Gini coefficient of global Google Trends search volume for a VC firm name across all countries per year, normalized against baseline terms: </w:t>
            </w:r>
            <w:r w:rsidRPr="00C8451C">
              <w:rPr>
                <w:i/>
                <w:iCs/>
              </w:rPr>
              <w:t>Gmail, Maps, Translate, Wikipedia, YouTube</w:t>
            </w:r>
            <w:r w:rsidRPr="00C8451C">
              <w:t> (</w:t>
            </w:r>
            <w:proofErr w:type="spellStart"/>
            <w:r w:rsidRPr="00C8451C">
              <w:t>globaltrends</w:t>
            </w:r>
            <w:proofErr w:type="spellEnd"/>
            <w:r w:rsidRPr="00C8451C">
              <w:t> R package).</w:t>
            </w:r>
          </w:p>
        </w:tc>
      </w:tr>
      <w:tr w:rsidR="00C8451C" w:rsidRPr="00C8451C" w14:paraId="008B9EB5"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22D45411" w14:textId="77777777" w:rsidR="00C8451C" w:rsidRPr="00C8451C" w:rsidRDefault="00C8451C" w:rsidP="00C8451C">
            <w:r w:rsidRPr="00C8451C">
              <w:rPr>
                <w:b/>
                <w:bCs/>
              </w:rPr>
              <w:lastRenderedPageBreak/>
              <w:t>Independent</w:t>
            </w:r>
          </w:p>
        </w:tc>
        <w:tc>
          <w:tcPr>
            <w:tcW w:w="856" w:type="pct"/>
            <w:tcBorders>
              <w:top w:val="outset" w:sz="6" w:space="0" w:color="auto"/>
              <w:left w:val="outset" w:sz="6" w:space="0" w:color="auto"/>
              <w:bottom w:val="outset" w:sz="6" w:space="0" w:color="auto"/>
              <w:right w:val="outset" w:sz="6" w:space="0" w:color="auto"/>
            </w:tcBorders>
            <w:vAlign w:val="center"/>
            <w:hideMark/>
          </w:tcPr>
          <w:p w14:paraId="46A9CA05" w14:textId="77777777" w:rsidR="00C8451C" w:rsidRPr="00C8451C" w:rsidRDefault="00C8451C" w:rsidP="00C8451C">
            <w:r w:rsidRPr="00C8451C">
              <w:t>Host Market Recognition</w:t>
            </w:r>
          </w:p>
        </w:tc>
        <w:tc>
          <w:tcPr>
            <w:tcW w:w="3494" w:type="pct"/>
            <w:tcBorders>
              <w:top w:val="outset" w:sz="6" w:space="0" w:color="auto"/>
              <w:left w:val="outset" w:sz="6" w:space="0" w:color="auto"/>
              <w:bottom w:val="outset" w:sz="6" w:space="0" w:color="auto"/>
              <w:right w:val="outset" w:sz="6" w:space="0" w:color="auto"/>
            </w:tcBorders>
            <w:vAlign w:val="center"/>
            <w:hideMark/>
          </w:tcPr>
          <w:p w14:paraId="7AB80458" w14:textId="77777777" w:rsidR="00C8451C" w:rsidRPr="00C8451C" w:rsidRDefault="00C8451C" w:rsidP="00C8451C">
            <w:r w:rsidRPr="00C8451C">
              <w:t>Country-specific Google Trends search volume for a VC firm name relative to baseline terms in the investee's host country per year (</w:t>
            </w:r>
            <w:proofErr w:type="spellStart"/>
            <w:r w:rsidRPr="00C8451C">
              <w:t>globaltrends</w:t>
            </w:r>
            <w:proofErr w:type="spellEnd"/>
            <w:r w:rsidRPr="00C8451C">
              <w:t> R package).</w:t>
            </w:r>
          </w:p>
        </w:tc>
      </w:tr>
      <w:tr w:rsidR="00C8451C" w:rsidRPr="00C8451C" w14:paraId="1ABEDCDF"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0754271A" w14:textId="77777777" w:rsidR="00C8451C" w:rsidRPr="00C8451C" w:rsidRDefault="00C8451C" w:rsidP="00C8451C">
            <w:r w:rsidRPr="00C8451C">
              <w:rPr>
                <w:b/>
                <w:bCs/>
              </w:rPr>
              <w:t>Control</w:t>
            </w:r>
          </w:p>
        </w:tc>
        <w:tc>
          <w:tcPr>
            <w:tcW w:w="856" w:type="pct"/>
            <w:tcBorders>
              <w:top w:val="outset" w:sz="6" w:space="0" w:color="auto"/>
              <w:left w:val="outset" w:sz="6" w:space="0" w:color="auto"/>
              <w:bottom w:val="outset" w:sz="6" w:space="0" w:color="auto"/>
              <w:right w:val="outset" w:sz="6" w:space="0" w:color="auto"/>
            </w:tcBorders>
            <w:vAlign w:val="center"/>
            <w:hideMark/>
          </w:tcPr>
          <w:p w14:paraId="426CBD67" w14:textId="77777777" w:rsidR="00C8451C" w:rsidRPr="00C8451C" w:rsidRDefault="00C8451C" w:rsidP="00C8451C">
            <w:r w:rsidRPr="00C8451C">
              <w:rPr>
                <w:i/>
                <w:iCs/>
              </w:rPr>
              <w:t>Alternative DV</w:t>
            </w:r>
          </w:p>
        </w:tc>
        <w:tc>
          <w:tcPr>
            <w:tcW w:w="3494" w:type="pct"/>
            <w:tcBorders>
              <w:top w:val="outset" w:sz="6" w:space="0" w:color="auto"/>
              <w:left w:val="outset" w:sz="6" w:space="0" w:color="auto"/>
              <w:bottom w:val="outset" w:sz="6" w:space="0" w:color="auto"/>
              <w:right w:val="outset" w:sz="6" w:space="0" w:color="auto"/>
            </w:tcBorders>
            <w:vAlign w:val="center"/>
            <w:hideMark/>
          </w:tcPr>
          <w:p w14:paraId="60AAFD28" w14:textId="77777777" w:rsidR="00C8451C" w:rsidRPr="00C8451C" w:rsidRDefault="00C8451C" w:rsidP="00C8451C">
            <w:r w:rsidRPr="00C8451C">
              <w:t>The structural counterpart DV is included in each respective model to account for structural interdependence and endogeneity.</w:t>
            </w:r>
          </w:p>
        </w:tc>
      </w:tr>
      <w:tr w:rsidR="00C8451C" w:rsidRPr="00C8451C" w14:paraId="79D226AD"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272C1BB9" w14:textId="77777777" w:rsidR="00C8451C" w:rsidRPr="00C8451C" w:rsidRDefault="00C8451C" w:rsidP="00C8451C">
            <w:r w:rsidRPr="00C8451C">
              <w:rPr>
                <w:b/>
                <w:bCs/>
              </w:rPr>
              <w:t>Control</w:t>
            </w:r>
          </w:p>
        </w:tc>
        <w:tc>
          <w:tcPr>
            <w:tcW w:w="856" w:type="pct"/>
            <w:tcBorders>
              <w:top w:val="outset" w:sz="6" w:space="0" w:color="auto"/>
              <w:left w:val="outset" w:sz="6" w:space="0" w:color="auto"/>
              <w:bottom w:val="outset" w:sz="6" w:space="0" w:color="auto"/>
              <w:right w:val="outset" w:sz="6" w:space="0" w:color="auto"/>
            </w:tcBorders>
            <w:vAlign w:val="center"/>
            <w:hideMark/>
          </w:tcPr>
          <w:p w14:paraId="62305156" w14:textId="77777777" w:rsidR="00C8451C" w:rsidRPr="00C8451C" w:rsidRDefault="00C8451C" w:rsidP="00C8451C">
            <w:r w:rsidRPr="00C8451C">
              <w:rPr>
                <w:i/>
                <w:iCs/>
              </w:rPr>
              <w:t>Host Environment</w:t>
            </w:r>
          </w:p>
        </w:tc>
        <w:tc>
          <w:tcPr>
            <w:tcW w:w="3494" w:type="pct"/>
            <w:tcBorders>
              <w:top w:val="outset" w:sz="6" w:space="0" w:color="auto"/>
              <w:left w:val="outset" w:sz="6" w:space="0" w:color="auto"/>
              <w:bottom w:val="outset" w:sz="6" w:space="0" w:color="auto"/>
              <w:right w:val="outset" w:sz="6" w:space="0" w:color="auto"/>
            </w:tcBorders>
            <w:vAlign w:val="center"/>
            <w:hideMark/>
          </w:tcPr>
          <w:p w14:paraId="72AD34DE" w14:textId="77777777" w:rsidR="00C8451C" w:rsidRPr="00C8451C" w:rsidRDefault="00C8451C" w:rsidP="00C8451C">
            <w:r w:rsidRPr="00C8451C">
              <w:t>Annual host market VC deal volume, annual host market IPO exits, and composite </w:t>
            </w:r>
            <w:r w:rsidRPr="00C8451C">
              <w:rPr>
                <w:b/>
                <w:bCs/>
              </w:rPr>
              <w:t>WGI Governance Quality Index</w:t>
            </w:r>
            <w:r w:rsidRPr="00C8451C">
              <w:t> constructed via factor analysis (FACTANAL in R with Thomson scores, factor loadings &gt; 0.8, SS loading = 5.1, explaining 85\% of variance).</w:t>
            </w:r>
          </w:p>
        </w:tc>
      </w:tr>
      <w:tr w:rsidR="00C8451C" w:rsidRPr="00C8451C" w14:paraId="49A562DD" w14:textId="77777777" w:rsidTr="00C8451C">
        <w:tc>
          <w:tcPr>
            <w:tcW w:w="651" w:type="pct"/>
            <w:tcBorders>
              <w:top w:val="outset" w:sz="6" w:space="0" w:color="auto"/>
              <w:left w:val="outset" w:sz="6" w:space="0" w:color="auto"/>
              <w:bottom w:val="outset" w:sz="6" w:space="0" w:color="auto"/>
              <w:right w:val="outset" w:sz="6" w:space="0" w:color="auto"/>
            </w:tcBorders>
            <w:vAlign w:val="center"/>
            <w:hideMark/>
          </w:tcPr>
          <w:p w14:paraId="0E22A89F" w14:textId="77777777" w:rsidR="00C8451C" w:rsidRPr="00C8451C" w:rsidRDefault="00C8451C" w:rsidP="00C8451C">
            <w:r w:rsidRPr="00C8451C">
              <w:rPr>
                <w:b/>
                <w:bCs/>
              </w:rPr>
              <w:t>Control</w:t>
            </w:r>
          </w:p>
        </w:tc>
        <w:tc>
          <w:tcPr>
            <w:tcW w:w="856" w:type="pct"/>
            <w:tcBorders>
              <w:top w:val="outset" w:sz="6" w:space="0" w:color="auto"/>
              <w:left w:val="outset" w:sz="6" w:space="0" w:color="auto"/>
              <w:bottom w:val="outset" w:sz="6" w:space="0" w:color="auto"/>
              <w:right w:val="outset" w:sz="6" w:space="0" w:color="auto"/>
            </w:tcBorders>
            <w:vAlign w:val="center"/>
            <w:hideMark/>
          </w:tcPr>
          <w:p w14:paraId="62AB9348" w14:textId="77777777" w:rsidR="00C8451C" w:rsidRPr="00C8451C" w:rsidRDefault="00C8451C" w:rsidP="00C8451C">
            <w:r w:rsidRPr="00C8451C">
              <w:rPr>
                <w:i/>
                <w:iCs/>
              </w:rPr>
              <w:t>Firm/Fund/Deal</w:t>
            </w:r>
          </w:p>
        </w:tc>
        <w:tc>
          <w:tcPr>
            <w:tcW w:w="3494" w:type="pct"/>
            <w:tcBorders>
              <w:top w:val="outset" w:sz="6" w:space="0" w:color="auto"/>
              <w:left w:val="outset" w:sz="6" w:space="0" w:color="auto"/>
              <w:bottom w:val="outset" w:sz="6" w:space="0" w:color="auto"/>
              <w:right w:val="outset" w:sz="6" w:space="0" w:color="auto"/>
            </w:tcBorders>
            <w:vAlign w:val="center"/>
            <w:hideMark/>
          </w:tcPr>
          <w:p w14:paraId="6B3E21D9" w14:textId="77777777" w:rsidR="00C8451C" w:rsidRPr="00C8451C" w:rsidRDefault="00C8451C" w:rsidP="00C8451C">
            <w:r w:rsidRPr="00C8451C">
              <w:t>VC firm size (m accumulated capital), VC firm age (years), Fund size (m), Fund age (years), Deal size ($m), Investment Round FE, Industry FE, and Investment Year FE.</w:t>
            </w:r>
          </w:p>
        </w:tc>
      </w:tr>
    </w:tbl>
    <w:p w14:paraId="68CE9AD0" w14:textId="77777777" w:rsidR="00C8451C" w:rsidRPr="00C8451C" w:rsidRDefault="00C8451C" w:rsidP="00C8451C">
      <w:r w:rsidRPr="00C8451C">
        <w:rPr>
          <w:b/>
          <w:bCs/>
        </w:rPr>
        <w:t>Takeaway:</w:t>
      </w:r>
      <w:r w:rsidRPr="00C8451C">
        <w:t> The methodology employs GLM Poisson and Logit regressions on 15,725 focal-VC observations using Google Trends and Dow distance metrics to test syndication decisions.</w:t>
      </w:r>
    </w:p>
    <w:p w14:paraId="5916184B" w14:textId="77777777" w:rsidR="00C8451C" w:rsidRPr="00C8451C" w:rsidRDefault="00C8451C" w:rsidP="00C8451C">
      <w:r w:rsidRPr="00C8451C">
        <w:t>The empirical findings, regression outputs, and hypothesis testing evaluations are presented in the following section.</w:t>
      </w:r>
    </w:p>
    <w:p w14:paraId="3FAEE351" w14:textId="77777777" w:rsidR="00C8451C" w:rsidRPr="00C8451C" w:rsidRDefault="00C8451C" w:rsidP="00C8451C">
      <w:pPr>
        <w:rPr>
          <w:b/>
          <w:bCs/>
        </w:rPr>
      </w:pPr>
      <w:r w:rsidRPr="00C8451C">
        <w:rPr>
          <w:b/>
          <w:bCs/>
        </w:rPr>
        <w:t>4. Results</w:t>
      </w:r>
    </w:p>
    <w:p w14:paraId="33536DBF" w14:textId="77777777" w:rsidR="00C8451C" w:rsidRPr="00C8451C" w:rsidRDefault="00C8451C" w:rsidP="00C8451C">
      <w:r w:rsidRPr="00C8451C">
        <w:t>The empirical models provide robust support for distance-induced agency hypotheses and global recognition efficiency, while uncovering critical two-sided matching dynamics in local market recognition.</w:t>
      </w:r>
    </w:p>
    <w:p w14:paraId="22A611A1" w14:textId="77777777" w:rsidR="00C8451C" w:rsidRPr="00C8451C" w:rsidRDefault="00C8451C" w:rsidP="00C8451C">
      <w:pPr>
        <w:rPr>
          <w:b/>
          <w:bCs/>
        </w:rPr>
      </w:pPr>
      <w:r w:rsidRPr="00C8451C">
        <w:rPr>
          <w:b/>
          <w:bCs/>
        </w:rPr>
        <w:t>4.1. Descriptive Statistics</w:t>
      </w:r>
    </w:p>
    <w:p w14:paraId="57FF0DC7" w14:textId="77777777" w:rsidR="00C8451C" w:rsidRPr="00C8451C" w:rsidRDefault="00C8451C" w:rsidP="00C8451C">
      <w:r w:rsidRPr="00C8451C">
        <w:t>Baseline descriptive statistics across the sample (N = 15,725) from Table 3 include:</w:t>
      </w:r>
    </w:p>
    <w:p w14:paraId="6EC05F49" w14:textId="77777777" w:rsidR="00C8451C" w:rsidRPr="00C8451C" w:rsidRDefault="00C8451C" w:rsidP="00C8451C">
      <w:pPr>
        <w:numPr>
          <w:ilvl w:val="0"/>
          <w:numId w:val="11"/>
        </w:numPr>
      </w:pPr>
      <w:r w:rsidRPr="00C8451C">
        <w:t>Mean Syndicate Size: </w:t>
      </w:r>
      <w:r w:rsidRPr="00C8451C">
        <w:rPr>
          <w:b/>
          <w:bCs/>
        </w:rPr>
        <w:t>4.524 VCs</w:t>
      </w:r>
      <w:r w:rsidRPr="00C8451C">
        <w:t> (SD = 2.524).</w:t>
      </w:r>
    </w:p>
    <w:p w14:paraId="6514651C" w14:textId="77777777" w:rsidR="00C8451C" w:rsidRPr="00C8451C" w:rsidRDefault="00C8451C" w:rsidP="00C8451C">
      <w:pPr>
        <w:numPr>
          <w:ilvl w:val="0"/>
          <w:numId w:val="11"/>
        </w:numPr>
      </w:pPr>
      <w:r w:rsidRPr="00C8451C">
        <w:t>Mean Local Partner Participation: </w:t>
      </w:r>
      <w:r w:rsidRPr="00C8451C">
        <w:rPr>
          <w:b/>
          <w:bCs/>
        </w:rPr>
        <w:t>72.1%</w:t>
      </w:r>
      <w:r w:rsidRPr="00C8451C">
        <w:t> of cross-border investments include a host-country VC.</w:t>
      </w:r>
    </w:p>
    <w:p w14:paraId="5A77CB19" w14:textId="77777777" w:rsidR="00C8451C" w:rsidRPr="00C8451C" w:rsidRDefault="00C8451C" w:rsidP="00C8451C">
      <w:pPr>
        <w:numPr>
          <w:ilvl w:val="0"/>
          <w:numId w:val="11"/>
        </w:numPr>
      </w:pPr>
      <w:r w:rsidRPr="00C8451C">
        <w:t>Mean Geographic Distance: </w:t>
      </w:r>
      <w:r w:rsidRPr="00C8451C">
        <w:rPr>
          <w:b/>
          <w:bCs/>
        </w:rPr>
        <w:t>4,786 km</w:t>
      </w:r>
      <w:r w:rsidRPr="00C8451C">
        <w:t> </w:t>
      </w:r>
      <w:proofErr w:type="gramStart"/>
      <w:r w:rsidRPr="00C8451C">
        <w:t>( dyadic</w:t>
      </w:r>
      <w:proofErr w:type="gramEnd"/>
      <w:r w:rsidRPr="00C8451C">
        <w:t xml:space="preserve"> within-syndicate average).</w:t>
      </w:r>
    </w:p>
    <w:p w14:paraId="40B75573" w14:textId="77777777" w:rsidR="00C8451C" w:rsidRPr="00C8451C" w:rsidRDefault="00C8451C" w:rsidP="00C8451C">
      <w:pPr>
        <w:numPr>
          <w:ilvl w:val="0"/>
          <w:numId w:val="11"/>
        </w:numPr>
      </w:pPr>
      <w:r w:rsidRPr="00C8451C">
        <w:t>Mean Psychic Distance: </w:t>
      </w:r>
      <w:r w:rsidRPr="00C8451C">
        <w:rPr>
          <w:b/>
          <w:bCs/>
        </w:rPr>
        <w:t>3.178</w:t>
      </w:r>
      <w:r w:rsidRPr="00C8451C">
        <w:t> (dyadic within-syndicate average).</w:t>
      </w:r>
    </w:p>
    <w:p w14:paraId="5455EEAC" w14:textId="77777777" w:rsidR="00C8451C" w:rsidRPr="00C8451C" w:rsidRDefault="00C8451C" w:rsidP="00C8451C">
      <w:pPr>
        <w:numPr>
          <w:ilvl w:val="0"/>
          <w:numId w:val="11"/>
        </w:numPr>
      </w:pPr>
      <w:r w:rsidRPr="00C8451C">
        <w:rPr>
          <w:b/>
          <w:bCs/>
        </w:rPr>
        <w:lastRenderedPageBreak/>
        <w:t>Industry Distribution:</w:t>
      </w:r>
      <w:r w:rsidRPr="00C8451C">
        <w:t> 81\% concentrated in IT (n = 8,337), Healthcare (n = 2,626), and Consumer Discretionary (n = 1,718).</w:t>
      </w:r>
    </w:p>
    <w:p w14:paraId="7FB22AC6" w14:textId="77777777" w:rsidR="00C8451C" w:rsidRPr="00C8451C" w:rsidRDefault="00C8451C" w:rsidP="00C8451C">
      <w:pPr>
        <w:numPr>
          <w:ilvl w:val="0"/>
          <w:numId w:val="11"/>
        </w:numPr>
      </w:pPr>
      <w:r w:rsidRPr="00C8451C">
        <w:rPr>
          <w:b/>
          <w:bCs/>
        </w:rPr>
        <w:t>Investment Stage:</w:t>
      </w:r>
      <w:r w:rsidRPr="00C8451C">
        <w:t> 84\% clustered in early-stage (Seed, Series A/B) or late-stage growth rounds (Series C through J).</w:t>
      </w:r>
    </w:p>
    <w:p w14:paraId="711FFC84" w14:textId="77777777" w:rsidR="00C8451C" w:rsidRPr="00C8451C" w:rsidRDefault="00C8451C" w:rsidP="00C8451C">
      <w:pPr>
        <w:rPr>
          <w:b/>
          <w:bCs/>
        </w:rPr>
      </w:pPr>
      <w:r w:rsidRPr="00C8451C">
        <w:rPr>
          <w:b/>
          <w:bCs/>
        </w:rPr>
        <w:t>Bivariate &amp; Correlation Analysis</w:t>
      </w:r>
    </w:p>
    <w:p w14:paraId="73274744" w14:textId="77777777" w:rsidR="00C8451C" w:rsidRPr="00C8451C" w:rsidRDefault="00C8451C" w:rsidP="00C8451C">
      <w:pPr>
        <w:numPr>
          <w:ilvl w:val="0"/>
          <w:numId w:val="12"/>
        </w:numPr>
      </w:pPr>
      <w:r w:rsidRPr="00C8451C">
        <w:rPr>
          <w:b/>
          <w:bCs/>
        </w:rPr>
        <w:t>Experience vs. Recognition (Figure 1):</w:t>
      </w:r>
      <w:r w:rsidRPr="00C8451C">
        <w:t> International investment experience correlates significantly with global recognition (r = 0.31, p &lt; 0.001). Globally prominent funds (e.g., Sequoia Capital, Accel, 500 Startups, Index Ventures, Lightspeed Venture Partners) occupy the highest tier of global search visibility.</w:t>
      </w:r>
    </w:p>
    <w:p w14:paraId="44E5EA86" w14:textId="77777777" w:rsidR="00C8451C" w:rsidRPr="00C8451C" w:rsidRDefault="00C8451C" w:rsidP="00C8451C">
      <w:pPr>
        <w:numPr>
          <w:ilvl w:val="0"/>
          <w:numId w:val="12"/>
        </w:numPr>
      </w:pPr>
      <w:r w:rsidRPr="00C8451C">
        <w:rPr>
          <w:b/>
          <w:bCs/>
        </w:rPr>
        <w:t>Institutional Governance Dynamics (Figure 2 &amp; Table 4):</w:t>
      </w:r>
      <w:r w:rsidRPr="00C8451C">
        <w:t> Destination market governance quality exhibits a positive correlation with local partner participation (r = 0.09, p &lt; 0.01</w:t>
      </w:r>
      <w:proofErr w:type="gramStart"/>
      <w:r w:rsidRPr="00C8451C">
        <w:t>), but</w:t>
      </w:r>
      <w:proofErr w:type="gramEnd"/>
      <w:r w:rsidRPr="00C8451C">
        <w:t xml:space="preserve"> displays no statistically significant correlation with syndicate size. Generalized Variance Inflation Factors (GVIF) remain below 5, confirming the absence of multicollinearity.</w:t>
      </w:r>
    </w:p>
    <w:p w14:paraId="4362E308" w14:textId="77777777" w:rsidR="00C8451C" w:rsidRPr="00C8451C" w:rsidRDefault="00C8451C" w:rsidP="00C8451C">
      <w:pPr>
        <w:rPr>
          <w:b/>
          <w:bCs/>
        </w:rPr>
      </w:pPr>
      <w:r w:rsidRPr="00C8451C">
        <w:rPr>
          <w:b/>
          <w:bCs/>
        </w:rPr>
        <w:t>4.2. Regression Results</w:t>
      </w:r>
    </w:p>
    <w:p w14:paraId="43AC8744" w14:textId="77777777" w:rsidR="00C8451C" w:rsidRPr="00C8451C" w:rsidRDefault="00C8451C" w:rsidP="00C8451C">
      <w:r w:rsidRPr="00C8451C">
        <w:t>Hypothesis testing outputs from the Poisson models (Table 5: Syndicate Size) and Logit models (Table 6: Local Partner) are detailed below: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2"/>
        <w:gridCol w:w="1771"/>
        <w:gridCol w:w="1076"/>
        <w:gridCol w:w="1855"/>
        <w:gridCol w:w="1676"/>
        <w:gridCol w:w="1764"/>
      </w:tblGrid>
      <w:tr w:rsidR="00C8451C" w:rsidRPr="00C8451C" w14:paraId="621FAC75"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4CCE21FB" w14:textId="77777777" w:rsidR="00C8451C" w:rsidRPr="00C8451C" w:rsidRDefault="00C8451C" w:rsidP="00C8451C">
            <w:r w:rsidRPr="00C8451C">
              <w:t>Hypothesis</w:t>
            </w:r>
          </w:p>
        </w:tc>
        <w:tc>
          <w:tcPr>
            <w:tcW w:w="974" w:type="pct"/>
            <w:tcBorders>
              <w:top w:val="outset" w:sz="6" w:space="0" w:color="auto"/>
              <w:left w:val="outset" w:sz="6" w:space="0" w:color="auto"/>
              <w:bottom w:val="outset" w:sz="6" w:space="0" w:color="auto"/>
              <w:right w:val="outset" w:sz="6" w:space="0" w:color="auto"/>
            </w:tcBorders>
            <w:vAlign w:val="center"/>
            <w:hideMark/>
          </w:tcPr>
          <w:p w14:paraId="1AFA71B4" w14:textId="77777777" w:rsidR="00C8451C" w:rsidRPr="00C8451C" w:rsidRDefault="00C8451C" w:rsidP="00C8451C">
            <w:r w:rsidRPr="00C8451C">
              <w:t>Independent Variable</w:t>
            </w:r>
          </w:p>
        </w:tc>
        <w:tc>
          <w:tcPr>
            <w:tcW w:w="602" w:type="pct"/>
            <w:tcBorders>
              <w:top w:val="outset" w:sz="6" w:space="0" w:color="auto"/>
              <w:left w:val="outset" w:sz="6" w:space="0" w:color="auto"/>
              <w:bottom w:val="outset" w:sz="6" w:space="0" w:color="auto"/>
              <w:right w:val="outset" w:sz="6" w:space="0" w:color="auto"/>
            </w:tcBorders>
            <w:vAlign w:val="center"/>
            <w:hideMark/>
          </w:tcPr>
          <w:p w14:paraId="14E8BFDD" w14:textId="77777777" w:rsidR="00C8451C" w:rsidRPr="00C8451C" w:rsidRDefault="00C8451C" w:rsidP="00C8451C">
            <w:r w:rsidRPr="00C8451C">
              <w:t>Outcome / DV</w:t>
            </w:r>
          </w:p>
        </w:tc>
        <w:tc>
          <w:tcPr>
            <w:tcW w:w="1019" w:type="pct"/>
            <w:tcBorders>
              <w:top w:val="outset" w:sz="6" w:space="0" w:color="auto"/>
              <w:left w:val="outset" w:sz="6" w:space="0" w:color="auto"/>
              <w:bottom w:val="outset" w:sz="6" w:space="0" w:color="auto"/>
              <w:right w:val="outset" w:sz="6" w:space="0" w:color="auto"/>
            </w:tcBorders>
            <w:vAlign w:val="center"/>
            <w:hideMark/>
          </w:tcPr>
          <w:p w14:paraId="401540F9" w14:textId="77777777" w:rsidR="00C8451C" w:rsidRPr="00C8451C" w:rsidRDefault="00C8451C" w:rsidP="00C8451C">
            <w:r w:rsidRPr="00C8451C">
              <w:t>Effect Direction (\beta)</w:t>
            </w:r>
          </w:p>
        </w:tc>
        <w:tc>
          <w:tcPr>
            <w:tcW w:w="923" w:type="pct"/>
            <w:tcBorders>
              <w:top w:val="outset" w:sz="6" w:space="0" w:color="auto"/>
              <w:left w:val="outset" w:sz="6" w:space="0" w:color="auto"/>
              <w:bottom w:val="outset" w:sz="6" w:space="0" w:color="auto"/>
              <w:right w:val="outset" w:sz="6" w:space="0" w:color="auto"/>
            </w:tcBorders>
            <w:vAlign w:val="center"/>
            <w:hideMark/>
          </w:tcPr>
          <w:p w14:paraId="0A6A796F" w14:textId="77777777" w:rsidR="00C8451C" w:rsidRPr="00C8451C" w:rsidRDefault="00C8451C" w:rsidP="00C8451C">
            <w:r w:rsidRPr="00C8451C">
              <w:t>Statistical Significance</w:t>
            </w:r>
          </w:p>
        </w:tc>
        <w:tc>
          <w:tcPr>
            <w:tcW w:w="970" w:type="pct"/>
            <w:tcBorders>
              <w:top w:val="outset" w:sz="6" w:space="0" w:color="auto"/>
              <w:left w:val="outset" w:sz="6" w:space="0" w:color="auto"/>
              <w:bottom w:val="outset" w:sz="6" w:space="0" w:color="auto"/>
              <w:right w:val="outset" w:sz="6" w:space="0" w:color="auto"/>
            </w:tcBorders>
            <w:vAlign w:val="center"/>
            <w:hideMark/>
          </w:tcPr>
          <w:p w14:paraId="31C15D29" w14:textId="77777777" w:rsidR="00C8451C" w:rsidRPr="00C8451C" w:rsidRDefault="00C8451C" w:rsidP="00C8451C">
            <w:r w:rsidRPr="00C8451C">
              <w:t>Hypothesis Decision</w:t>
            </w:r>
          </w:p>
        </w:tc>
      </w:tr>
      <w:tr w:rsidR="00C8451C" w:rsidRPr="00C8451C" w14:paraId="7B858B2F"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7427F80A" w14:textId="77777777" w:rsidR="00C8451C" w:rsidRPr="00C8451C" w:rsidRDefault="00C8451C" w:rsidP="00C8451C">
            <w:r w:rsidRPr="00C8451C">
              <w:rPr>
                <w:b/>
                <w:bCs/>
              </w:rPr>
              <w:t>H1a</w:t>
            </w:r>
          </w:p>
        </w:tc>
        <w:tc>
          <w:tcPr>
            <w:tcW w:w="974" w:type="pct"/>
            <w:tcBorders>
              <w:top w:val="outset" w:sz="6" w:space="0" w:color="auto"/>
              <w:left w:val="outset" w:sz="6" w:space="0" w:color="auto"/>
              <w:bottom w:val="outset" w:sz="6" w:space="0" w:color="auto"/>
              <w:right w:val="outset" w:sz="6" w:space="0" w:color="auto"/>
            </w:tcBorders>
            <w:vAlign w:val="center"/>
            <w:hideMark/>
          </w:tcPr>
          <w:p w14:paraId="3C639B48" w14:textId="77777777" w:rsidR="00C8451C" w:rsidRPr="00C8451C" w:rsidRDefault="00C8451C" w:rsidP="00C8451C">
            <w:r w:rsidRPr="00C8451C">
              <w:t>Geographic Distance</w:t>
            </w:r>
          </w:p>
        </w:tc>
        <w:tc>
          <w:tcPr>
            <w:tcW w:w="602" w:type="pct"/>
            <w:tcBorders>
              <w:top w:val="outset" w:sz="6" w:space="0" w:color="auto"/>
              <w:left w:val="outset" w:sz="6" w:space="0" w:color="auto"/>
              <w:bottom w:val="outset" w:sz="6" w:space="0" w:color="auto"/>
              <w:right w:val="outset" w:sz="6" w:space="0" w:color="auto"/>
            </w:tcBorders>
            <w:vAlign w:val="center"/>
            <w:hideMark/>
          </w:tcPr>
          <w:p w14:paraId="5448F88A" w14:textId="77777777" w:rsidR="00C8451C" w:rsidRPr="00C8451C" w:rsidRDefault="00C8451C" w:rsidP="00C8451C">
            <w:r w:rsidRPr="00C8451C">
              <w:t>Syndicate Size</w:t>
            </w:r>
          </w:p>
        </w:tc>
        <w:tc>
          <w:tcPr>
            <w:tcW w:w="1019" w:type="pct"/>
            <w:tcBorders>
              <w:top w:val="outset" w:sz="6" w:space="0" w:color="auto"/>
              <w:left w:val="outset" w:sz="6" w:space="0" w:color="auto"/>
              <w:bottom w:val="outset" w:sz="6" w:space="0" w:color="auto"/>
              <w:right w:val="outset" w:sz="6" w:space="0" w:color="auto"/>
            </w:tcBorders>
            <w:vAlign w:val="center"/>
            <w:hideMark/>
          </w:tcPr>
          <w:p w14:paraId="0E73A8BE" w14:textId="77777777" w:rsidR="00C8451C" w:rsidRPr="00C8451C" w:rsidRDefault="00C8451C" w:rsidP="00C8451C">
            <w:r w:rsidRPr="00C8451C">
              <w:t>Negative (\beta = -0.00001)</w:t>
            </w:r>
          </w:p>
        </w:tc>
        <w:tc>
          <w:tcPr>
            <w:tcW w:w="923" w:type="pct"/>
            <w:tcBorders>
              <w:top w:val="outset" w:sz="6" w:space="0" w:color="auto"/>
              <w:left w:val="outset" w:sz="6" w:space="0" w:color="auto"/>
              <w:bottom w:val="outset" w:sz="6" w:space="0" w:color="auto"/>
              <w:right w:val="outset" w:sz="6" w:space="0" w:color="auto"/>
            </w:tcBorders>
            <w:vAlign w:val="center"/>
            <w:hideMark/>
          </w:tcPr>
          <w:p w14:paraId="061D3600" w14:textId="77777777" w:rsidR="00C8451C" w:rsidRPr="00C8451C" w:rsidRDefault="00C8451C" w:rsidP="00C8451C">
            <w:r w:rsidRPr="00C8451C">
              <w:t>p &lt; 0.01</w:t>
            </w:r>
          </w:p>
        </w:tc>
        <w:tc>
          <w:tcPr>
            <w:tcW w:w="970" w:type="pct"/>
            <w:tcBorders>
              <w:top w:val="outset" w:sz="6" w:space="0" w:color="auto"/>
              <w:left w:val="outset" w:sz="6" w:space="0" w:color="auto"/>
              <w:bottom w:val="outset" w:sz="6" w:space="0" w:color="auto"/>
              <w:right w:val="outset" w:sz="6" w:space="0" w:color="auto"/>
            </w:tcBorders>
            <w:vAlign w:val="center"/>
            <w:hideMark/>
          </w:tcPr>
          <w:p w14:paraId="29AD6196" w14:textId="77777777" w:rsidR="00C8451C" w:rsidRPr="00C8451C" w:rsidRDefault="00C8451C" w:rsidP="00C8451C">
            <w:r w:rsidRPr="00C8451C">
              <w:rPr>
                <w:b/>
                <w:bCs/>
              </w:rPr>
              <w:t>Supported</w:t>
            </w:r>
          </w:p>
        </w:tc>
      </w:tr>
      <w:tr w:rsidR="00C8451C" w:rsidRPr="00C8451C" w14:paraId="7038F0C2"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4D398628" w14:textId="77777777" w:rsidR="00C8451C" w:rsidRPr="00C8451C" w:rsidRDefault="00C8451C" w:rsidP="00C8451C">
            <w:r w:rsidRPr="00C8451C">
              <w:rPr>
                <w:b/>
                <w:bCs/>
              </w:rPr>
              <w:t>H1b</w:t>
            </w:r>
          </w:p>
        </w:tc>
        <w:tc>
          <w:tcPr>
            <w:tcW w:w="974" w:type="pct"/>
            <w:tcBorders>
              <w:top w:val="outset" w:sz="6" w:space="0" w:color="auto"/>
              <w:left w:val="outset" w:sz="6" w:space="0" w:color="auto"/>
              <w:bottom w:val="outset" w:sz="6" w:space="0" w:color="auto"/>
              <w:right w:val="outset" w:sz="6" w:space="0" w:color="auto"/>
            </w:tcBorders>
            <w:vAlign w:val="center"/>
            <w:hideMark/>
          </w:tcPr>
          <w:p w14:paraId="32DC7E94" w14:textId="77777777" w:rsidR="00C8451C" w:rsidRPr="00C8451C" w:rsidRDefault="00C8451C" w:rsidP="00C8451C">
            <w:r w:rsidRPr="00C8451C">
              <w:t>Geographic Distance</w:t>
            </w:r>
          </w:p>
        </w:tc>
        <w:tc>
          <w:tcPr>
            <w:tcW w:w="602" w:type="pct"/>
            <w:tcBorders>
              <w:top w:val="outset" w:sz="6" w:space="0" w:color="auto"/>
              <w:left w:val="outset" w:sz="6" w:space="0" w:color="auto"/>
              <w:bottom w:val="outset" w:sz="6" w:space="0" w:color="auto"/>
              <w:right w:val="outset" w:sz="6" w:space="0" w:color="auto"/>
            </w:tcBorders>
            <w:vAlign w:val="center"/>
            <w:hideMark/>
          </w:tcPr>
          <w:p w14:paraId="4FF0C9A2" w14:textId="77777777" w:rsidR="00C8451C" w:rsidRPr="00C8451C" w:rsidRDefault="00C8451C" w:rsidP="00C8451C">
            <w:r w:rsidRPr="00C8451C">
              <w:t>Local Partner</w:t>
            </w:r>
          </w:p>
        </w:tc>
        <w:tc>
          <w:tcPr>
            <w:tcW w:w="1019" w:type="pct"/>
            <w:tcBorders>
              <w:top w:val="outset" w:sz="6" w:space="0" w:color="auto"/>
              <w:left w:val="outset" w:sz="6" w:space="0" w:color="auto"/>
              <w:bottom w:val="outset" w:sz="6" w:space="0" w:color="auto"/>
              <w:right w:val="outset" w:sz="6" w:space="0" w:color="auto"/>
            </w:tcBorders>
            <w:vAlign w:val="center"/>
            <w:hideMark/>
          </w:tcPr>
          <w:p w14:paraId="63742BD5" w14:textId="77777777" w:rsidR="00C8451C" w:rsidRPr="00C8451C" w:rsidRDefault="00C8451C" w:rsidP="00C8451C">
            <w:r w:rsidRPr="00C8451C">
              <w:t>Positive (\beta = 0.0001)</w:t>
            </w:r>
          </w:p>
        </w:tc>
        <w:tc>
          <w:tcPr>
            <w:tcW w:w="923" w:type="pct"/>
            <w:tcBorders>
              <w:top w:val="outset" w:sz="6" w:space="0" w:color="auto"/>
              <w:left w:val="outset" w:sz="6" w:space="0" w:color="auto"/>
              <w:bottom w:val="outset" w:sz="6" w:space="0" w:color="auto"/>
              <w:right w:val="outset" w:sz="6" w:space="0" w:color="auto"/>
            </w:tcBorders>
            <w:vAlign w:val="center"/>
            <w:hideMark/>
          </w:tcPr>
          <w:p w14:paraId="7AC27E5D" w14:textId="77777777" w:rsidR="00C8451C" w:rsidRPr="00C8451C" w:rsidRDefault="00C8451C" w:rsidP="00C8451C">
            <w:r w:rsidRPr="00C8451C">
              <w:t>p &lt; 0.01</w:t>
            </w:r>
          </w:p>
        </w:tc>
        <w:tc>
          <w:tcPr>
            <w:tcW w:w="970" w:type="pct"/>
            <w:tcBorders>
              <w:top w:val="outset" w:sz="6" w:space="0" w:color="auto"/>
              <w:left w:val="outset" w:sz="6" w:space="0" w:color="auto"/>
              <w:bottom w:val="outset" w:sz="6" w:space="0" w:color="auto"/>
              <w:right w:val="outset" w:sz="6" w:space="0" w:color="auto"/>
            </w:tcBorders>
            <w:vAlign w:val="center"/>
            <w:hideMark/>
          </w:tcPr>
          <w:p w14:paraId="1276BCE2" w14:textId="77777777" w:rsidR="00C8451C" w:rsidRPr="00C8451C" w:rsidRDefault="00C8451C" w:rsidP="00C8451C">
            <w:r w:rsidRPr="00C8451C">
              <w:rPr>
                <w:b/>
                <w:bCs/>
              </w:rPr>
              <w:t>Supported</w:t>
            </w:r>
          </w:p>
        </w:tc>
      </w:tr>
      <w:tr w:rsidR="00C8451C" w:rsidRPr="00C8451C" w14:paraId="28A7F2DD"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53792754" w14:textId="77777777" w:rsidR="00C8451C" w:rsidRPr="00C8451C" w:rsidRDefault="00C8451C" w:rsidP="00C8451C">
            <w:r w:rsidRPr="00C8451C">
              <w:rPr>
                <w:b/>
                <w:bCs/>
              </w:rPr>
              <w:t>H2a</w:t>
            </w:r>
          </w:p>
        </w:tc>
        <w:tc>
          <w:tcPr>
            <w:tcW w:w="974" w:type="pct"/>
            <w:tcBorders>
              <w:top w:val="outset" w:sz="6" w:space="0" w:color="auto"/>
              <w:left w:val="outset" w:sz="6" w:space="0" w:color="auto"/>
              <w:bottom w:val="outset" w:sz="6" w:space="0" w:color="auto"/>
              <w:right w:val="outset" w:sz="6" w:space="0" w:color="auto"/>
            </w:tcBorders>
            <w:vAlign w:val="center"/>
            <w:hideMark/>
          </w:tcPr>
          <w:p w14:paraId="69E6AE16" w14:textId="77777777" w:rsidR="00C8451C" w:rsidRPr="00C8451C" w:rsidRDefault="00C8451C" w:rsidP="00C8451C">
            <w:r w:rsidRPr="00C8451C">
              <w:t>Psychic Distance</w:t>
            </w:r>
          </w:p>
        </w:tc>
        <w:tc>
          <w:tcPr>
            <w:tcW w:w="602" w:type="pct"/>
            <w:tcBorders>
              <w:top w:val="outset" w:sz="6" w:space="0" w:color="auto"/>
              <w:left w:val="outset" w:sz="6" w:space="0" w:color="auto"/>
              <w:bottom w:val="outset" w:sz="6" w:space="0" w:color="auto"/>
              <w:right w:val="outset" w:sz="6" w:space="0" w:color="auto"/>
            </w:tcBorders>
            <w:vAlign w:val="center"/>
            <w:hideMark/>
          </w:tcPr>
          <w:p w14:paraId="51B16366" w14:textId="77777777" w:rsidR="00C8451C" w:rsidRPr="00C8451C" w:rsidRDefault="00C8451C" w:rsidP="00C8451C">
            <w:r w:rsidRPr="00C8451C">
              <w:t>Syndicate Size</w:t>
            </w:r>
          </w:p>
        </w:tc>
        <w:tc>
          <w:tcPr>
            <w:tcW w:w="1019" w:type="pct"/>
            <w:tcBorders>
              <w:top w:val="outset" w:sz="6" w:space="0" w:color="auto"/>
              <w:left w:val="outset" w:sz="6" w:space="0" w:color="auto"/>
              <w:bottom w:val="outset" w:sz="6" w:space="0" w:color="auto"/>
              <w:right w:val="outset" w:sz="6" w:space="0" w:color="auto"/>
            </w:tcBorders>
            <w:vAlign w:val="center"/>
            <w:hideMark/>
          </w:tcPr>
          <w:p w14:paraId="1D3F1EFE" w14:textId="77777777" w:rsidR="00C8451C" w:rsidRPr="00C8451C" w:rsidRDefault="00C8451C" w:rsidP="00C8451C">
            <w:r w:rsidRPr="00C8451C">
              <w:t>Negative (\beta = -0.045)</w:t>
            </w:r>
          </w:p>
        </w:tc>
        <w:tc>
          <w:tcPr>
            <w:tcW w:w="923" w:type="pct"/>
            <w:tcBorders>
              <w:top w:val="outset" w:sz="6" w:space="0" w:color="auto"/>
              <w:left w:val="outset" w:sz="6" w:space="0" w:color="auto"/>
              <w:bottom w:val="outset" w:sz="6" w:space="0" w:color="auto"/>
              <w:right w:val="outset" w:sz="6" w:space="0" w:color="auto"/>
            </w:tcBorders>
            <w:vAlign w:val="center"/>
            <w:hideMark/>
          </w:tcPr>
          <w:p w14:paraId="1994AF12" w14:textId="77777777" w:rsidR="00C8451C" w:rsidRPr="00C8451C" w:rsidRDefault="00C8451C" w:rsidP="00C8451C">
            <w:r w:rsidRPr="00C8451C">
              <w:t>p &lt; 0.01</w:t>
            </w:r>
          </w:p>
        </w:tc>
        <w:tc>
          <w:tcPr>
            <w:tcW w:w="970" w:type="pct"/>
            <w:tcBorders>
              <w:top w:val="outset" w:sz="6" w:space="0" w:color="auto"/>
              <w:left w:val="outset" w:sz="6" w:space="0" w:color="auto"/>
              <w:bottom w:val="outset" w:sz="6" w:space="0" w:color="auto"/>
              <w:right w:val="outset" w:sz="6" w:space="0" w:color="auto"/>
            </w:tcBorders>
            <w:vAlign w:val="center"/>
            <w:hideMark/>
          </w:tcPr>
          <w:p w14:paraId="780D133D" w14:textId="77777777" w:rsidR="00C8451C" w:rsidRPr="00C8451C" w:rsidRDefault="00C8451C" w:rsidP="00C8451C">
            <w:r w:rsidRPr="00C8451C">
              <w:rPr>
                <w:b/>
                <w:bCs/>
              </w:rPr>
              <w:t>Supported</w:t>
            </w:r>
          </w:p>
        </w:tc>
      </w:tr>
      <w:tr w:rsidR="00C8451C" w:rsidRPr="00C8451C" w14:paraId="3DB4ED2E"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4E1CCABF" w14:textId="77777777" w:rsidR="00C8451C" w:rsidRPr="00C8451C" w:rsidRDefault="00C8451C" w:rsidP="00C8451C">
            <w:r w:rsidRPr="00C8451C">
              <w:rPr>
                <w:b/>
                <w:bCs/>
              </w:rPr>
              <w:t>H2b</w:t>
            </w:r>
          </w:p>
        </w:tc>
        <w:tc>
          <w:tcPr>
            <w:tcW w:w="974" w:type="pct"/>
            <w:tcBorders>
              <w:top w:val="outset" w:sz="6" w:space="0" w:color="auto"/>
              <w:left w:val="outset" w:sz="6" w:space="0" w:color="auto"/>
              <w:bottom w:val="outset" w:sz="6" w:space="0" w:color="auto"/>
              <w:right w:val="outset" w:sz="6" w:space="0" w:color="auto"/>
            </w:tcBorders>
            <w:vAlign w:val="center"/>
            <w:hideMark/>
          </w:tcPr>
          <w:p w14:paraId="419ADFA6" w14:textId="77777777" w:rsidR="00C8451C" w:rsidRPr="00C8451C" w:rsidRDefault="00C8451C" w:rsidP="00C8451C">
            <w:r w:rsidRPr="00C8451C">
              <w:t>Psychic Distance</w:t>
            </w:r>
          </w:p>
        </w:tc>
        <w:tc>
          <w:tcPr>
            <w:tcW w:w="602" w:type="pct"/>
            <w:tcBorders>
              <w:top w:val="outset" w:sz="6" w:space="0" w:color="auto"/>
              <w:left w:val="outset" w:sz="6" w:space="0" w:color="auto"/>
              <w:bottom w:val="outset" w:sz="6" w:space="0" w:color="auto"/>
              <w:right w:val="outset" w:sz="6" w:space="0" w:color="auto"/>
            </w:tcBorders>
            <w:vAlign w:val="center"/>
            <w:hideMark/>
          </w:tcPr>
          <w:p w14:paraId="6D82AA1C" w14:textId="77777777" w:rsidR="00C8451C" w:rsidRPr="00C8451C" w:rsidRDefault="00C8451C" w:rsidP="00C8451C">
            <w:r w:rsidRPr="00C8451C">
              <w:t>Local Partner</w:t>
            </w:r>
          </w:p>
        </w:tc>
        <w:tc>
          <w:tcPr>
            <w:tcW w:w="1019" w:type="pct"/>
            <w:tcBorders>
              <w:top w:val="outset" w:sz="6" w:space="0" w:color="auto"/>
              <w:left w:val="outset" w:sz="6" w:space="0" w:color="auto"/>
              <w:bottom w:val="outset" w:sz="6" w:space="0" w:color="auto"/>
              <w:right w:val="outset" w:sz="6" w:space="0" w:color="auto"/>
            </w:tcBorders>
            <w:vAlign w:val="center"/>
            <w:hideMark/>
          </w:tcPr>
          <w:p w14:paraId="48C4E6F6" w14:textId="77777777" w:rsidR="00C8451C" w:rsidRPr="00C8451C" w:rsidRDefault="00C8451C" w:rsidP="00C8451C">
            <w:r w:rsidRPr="00C8451C">
              <w:t>Positive (\beta = 0.296)</w:t>
            </w:r>
          </w:p>
        </w:tc>
        <w:tc>
          <w:tcPr>
            <w:tcW w:w="923" w:type="pct"/>
            <w:tcBorders>
              <w:top w:val="outset" w:sz="6" w:space="0" w:color="auto"/>
              <w:left w:val="outset" w:sz="6" w:space="0" w:color="auto"/>
              <w:bottom w:val="outset" w:sz="6" w:space="0" w:color="auto"/>
              <w:right w:val="outset" w:sz="6" w:space="0" w:color="auto"/>
            </w:tcBorders>
            <w:vAlign w:val="center"/>
            <w:hideMark/>
          </w:tcPr>
          <w:p w14:paraId="44DD4FB2" w14:textId="77777777" w:rsidR="00C8451C" w:rsidRPr="00C8451C" w:rsidRDefault="00C8451C" w:rsidP="00C8451C">
            <w:r w:rsidRPr="00C8451C">
              <w:t>p &lt; 0.01</w:t>
            </w:r>
          </w:p>
        </w:tc>
        <w:tc>
          <w:tcPr>
            <w:tcW w:w="970" w:type="pct"/>
            <w:tcBorders>
              <w:top w:val="outset" w:sz="6" w:space="0" w:color="auto"/>
              <w:left w:val="outset" w:sz="6" w:space="0" w:color="auto"/>
              <w:bottom w:val="outset" w:sz="6" w:space="0" w:color="auto"/>
              <w:right w:val="outset" w:sz="6" w:space="0" w:color="auto"/>
            </w:tcBorders>
            <w:vAlign w:val="center"/>
            <w:hideMark/>
          </w:tcPr>
          <w:p w14:paraId="794741D1" w14:textId="77777777" w:rsidR="00C8451C" w:rsidRPr="00C8451C" w:rsidRDefault="00C8451C" w:rsidP="00C8451C">
            <w:r w:rsidRPr="00C8451C">
              <w:rPr>
                <w:b/>
                <w:bCs/>
              </w:rPr>
              <w:t>Supported</w:t>
            </w:r>
          </w:p>
        </w:tc>
      </w:tr>
      <w:tr w:rsidR="00C8451C" w:rsidRPr="00C8451C" w14:paraId="74902A44"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60FBDA19" w14:textId="77777777" w:rsidR="00C8451C" w:rsidRPr="00C8451C" w:rsidRDefault="00C8451C" w:rsidP="00C8451C">
            <w:r w:rsidRPr="00C8451C">
              <w:rPr>
                <w:b/>
                <w:bCs/>
              </w:rPr>
              <w:t>H3a</w:t>
            </w:r>
          </w:p>
        </w:tc>
        <w:tc>
          <w:tcPr>
            <w:tcW w:w="974" w:type="pct"/>
            <w:tcBorders>
              <w:top w:val="outset" w:sz="6" w:space="0" w:color="auto"/>
              <w:left w:val="outset" w:sz="6" w:space="0" w:color="auto"/>
              <w:bottom w:val="outset" w:sz="6" w:space="0" w:color="auto"/>
              <w:right w:val="outset" w:sz="6" w:space="0" w:color="auto"/>
            </w:tcBorders>
            <w:vAlign w:val="center"/>
            <w:hideMark/>
          </w:tcPr>
          <w:p w14:paraId="38EAC980" w14:textId="77777777" w:rsidR="00C8451C" w:rsidRPr="00C8451C" w:rsidRDefault="00C8451C" w:rsidP="00C8451C">
            <w:r w:rsidRPr="00C8451C">
              <w:t>Host Market Recognition</w:t>
            </w:r>
          </w:p>
        </w:tc>
        <w:tc>
          <w:tcPr>
            <w:tcW w:w="602" w:type="pct"/>
            <w:tcBorders>
              <w:top w:val="outset" w:sz="6" w:space="0" w:color="auto"/>
              <w:left w:val="outset" w:sz="6" w:space="0" w:color="auto"/>
              <w:bottom w:val="outset" w:sz="6" w:space="0" w:color="auto"/>
              <w:right w:val="outset" w:sz="6" w:space="0" w:color="auto"/>
            </w:tcBorders>
            <w:vAlign w:val="center"/>
            <w:hideMark/>
          </w:tcPr>
          <w:p w14:paraId="2240F3DE" w14:textId="77777777" w:rsidR="00C8451C" w:rsidRPr="00C8451C" w:rsidRDefault="00C8451C" w:rsidP="00C8451C">
            <w:r w:rsidRPr="00C8451C">
              <w:t>Syndicate Size</w:t>
            </w:r>
          </w:p>
        </w:tc>
        <w:tc>
          <w:tcPr>
            <w:tcW w:w="1019" w:type="pct"/>
            <w:tcBorders>
              <w:top w:val="outset" w:sz="6" w:space="0" w:color="auto"/>
              <w:left w:val="outset" w:sz="6" w:space="0" w:color="auto"/>
              <w:bottom w:val="outset" w:sz="6" w:space="0" w:color="auto"/>
              <w:right w:val="outset" w:sz="6" w:space="0" w:color="auto"/>
            </w:tcBorders>
            <w:vAlign w:val="center"/>
            <w:hideMark/>
          </w:tcPr>
          <w:p w14:paraId="30D84040" w14:textId="77777777" w:rsidR="00C8451C" w:rsidRPr="00C8451C" w:rsidRDefault="00C8451C" w:rsidP="00C8451C">
            <w:r w:rsidRPr="00C8451C">
              <w:t>Negative (\beta = -24.810)</w:t>
            </w:r>
          </w:p>
        </w:tc>
        <w:tc>
          <w:tcPr>
            <w:tcW w:w="923" w:type="pct"/>
            <w:tcBorders>
              <w:top w:val="outset" w:sz="6" w:space="0" w:color="auto"/>
              <w:left w:val="outset" w:sz="6" w:space="0" w:color="auto"/>
              <w:bottom w:val="outset" w:sz="6" w:space="0" w:color="auto"/>
              <w:right w:val="outset" w:sz="6" w:space="0" w:color="auto"/>
            </w:tcBorders>
            <w:vAlign w:val="center"/>
            <w:hideMark/>
          </w:tcPr>
          <w:p w14:paraId="73259E5B" w14:textId="77777777" w:rsidR="00C8451C" w:rsidRPr="00C8451C" w:rsidRDefault="00C8451C" w:rsidP="00C8451C">
            <w:r w:rsidRPr="00C8451C">
              <w:t>Insignificant (p = 0.113)</w:t>
            </w:r>
          </w:p>
        </w:tc>
        <w:tc>
          <w:tcPr>
            <w:tcW w:w="970" w:type="pct"/>
            <w:tcBorders>
              <w:top w:val="outset" w:sz="6" w:space="0" w:color="auto"/>
              <w:left w:val="outset" w:sz="6" w:space="0" w:color="auto"/>
              <w:bottom w:val="outset" w:sz="6" w:space="0" w:color="auto"/>
              <w:right w:val="outset" w:sz="6" w:space="0" w:color="auto"/>
            </w:tcBorders>
            <w:vAlign w:val="center"/>
            <w:hideMark/>
          </w:tcPr>
          <w:p w14:paraId="0538F15D" w14:textId="77777777" w:rsidR="00C8451C" w:rsidRPr="00C8451C" w:rsidRDefault="00C8451C" w:rsidP="00C8451C">
            <w:r w:rsidRPr="00C8451C">
              <w:rPr>
                <w:b/>
                <w:bCs/>
              </w:rPr>
              <w:t>Not Supported</w:t>
            </w:r>
          </w:p>
        </w:tc>
      </w:tr>
      <w:tr w:rsidR="00C8451C" w:rsidRPr="00C8451C" w14:paraId="5042C60E"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59B2565B" w14:textId="77777777" w:rsidR="00C8451C" w:rsidRPr="00C8451C" w:rsidRDefault="00C8451C" w:rsidP="00C8451C">
            <w:r w:rsidRPr="00C8451C">
              <w:rPr>
                <w:b/>
                <w:bCs/>
              </w:rPr>
              <w:lastRenderedPageBreak/>
              <w:t>H3b</w:t>
            </w:r>
          </w:p>
        </w:tc>
        <w:tc>
          <w:tcPr>
            <w:tcW w:w="974" w:type="pct"/>
            <w:tcBorders>
              <w:top w:val="outset" w:sz="6" w:space="0" w:color="auto"/>
              <w:left w:val="outset" w:sz="6" w:space="0" w:color="auto"/>
              <w:bottom w:val="outset" w:sz="6" w:space="0" w:color="auto"/>
              <w:right w:val="outset" w:sz="6" w:space="0" w:color="auto"/>
            </w:tcBorders>
            <w:vAlign w:val="center"/>
            <w:hideMark/>
          </w:tcPr>
          <w:p w14:paraId="29A7D13A" w14:textId="77777777" w:rsidR="00C8451C" w:rsidRPr="00C8451C" w:rsidRDefault="00C8451C" w:rsidP="00C8451C">
            <w:r w:rsidRPr="00C8451C">
              <w:t>Host Market Recognition</w:t>
            </w:r>
          </w:p>
        </w:tc>
        <w:tc>
          <w:tcPr>
            <w:tcW w:w="602" w:type="pct"/>
            <w:tcBorders>
              <w:top w:val="outset" w:sz="6" w:space="0" w:color="auto"/>
              <w:left w:val="outset" w:sz="6" w:space="0" w:color="auto"/>
              <w:bottom w:val="outset" w:sz="6" w:space="0" w:color="auto"/>
              <w:right w:val="outset" w:sz="6" w:space="0" w:color="auto"/>
            </w:tcBorders>
            <w:vAlign w:val="center"/>
            <w:hideMark/>
          </w:tcPr>
          <w:p w14:paraId="261274B0" w14:textId="77777777" w:rsidR="00C8451C" w:rsidRPr="00C8451C" w:rsidRDefault="00C8451C" w:rsidP="00C8451C">
            <w:r w:rsidRPr="00C8451C">
              <w:t>Local Partner</w:t>
            </w:r>
          </w:p>
        </w:tc>
        <w:tc>
          <w:tcPr>
            <w:tcW w:w="1019" w:type="pct"/>
            <w:tcBorders>
              <w:top w:val="outset" w:sz="6" w:space="0" w:color="auto"/>
              <w:left w:val="outset" w:sz="6" w:space="0" w:color="auto"/>
              <w:bottom w:val="outset" w:sz="6" w:space="0" w:color="auto"/>
              <w:right w:val="outset" w:sz="6" w:space="0" w:color="auto"/>
            </w:tcBorders>
            <w:vAlign w:val="center"/>
            <w:hideMark/>
          </w:tcPr>
          <w:p w14:paraId="2D135CE1" w14:textId="77777777" w:rsidR="00C8451C" w:rsidRPr="00C8451C" w:rsidRDefault="00C8451C" w:rsidP="00C8451C">
            <w:r w:rsidRPr="00C8451C">
              <w:t>Positive (\beta = 356.023)</w:t>
            </w:r>
          </w:p>
        </w:tc>
        <w:tc>
          <w:tcPr>
            <w:tcW w:w="923" w:type="pct"/>
            <w:tcBorders>
              <w:top w:val="outset" w:sz="6" w:space="0" w:color="auto"/>
              <w:left w:val="outset" w:sz="6" w:space="0" w:color="auto"/>
              <w:bottom w:val="outset" w:sz="6" w:space="0" w:color="auto"/>
              <w:right w:val="outset" w:sz="6" w:space="0" w:color="auto"/>
            </w:tcBorders>
            <w:vAlign w:val="center"/>
            <w:hideMark/>
          </w:tcPr>
          <w:p w14:paraId="5ADEEE84" w14:textId="77777777" w:rsidR="00C8451C" w:rsidRPr="00C8451C" w:rsidRDefault="00C8451C" w:rsidP="00C8451C">
            <w:r w:rsidRPr="00C8451C">
              <w:t>Significant (p &lt; 0.05)</w:t>
            </w:r>
          </w:p>
        </w:tc>
        <w:tc>
          <w:tcPr>
            <w:tcW w:w="970" w:type="pct"/>
            <w:tcBorders>
              <w:top w:val="outset" w:sz="6" w:space="0" w:color="auto"/>
              <w:left w:val="outset" w:sz="6" w:space="0" w:color="auto"/>
              <w:bottom w:val="outset" w:sz="6" w:space="0" w:color="auto"/>
              <w:right w:val="outset" w:sz="6" w:space="0" w:color="auto"/>
            </w:tcBorders>
            <w:vAlign w:val="center"/>
            <w:hideMark/>
          </w:tcPr>
          <w:p w14:paraId="3571226F" w14:textId="77777777" w:rsidR="00C8451C" w:rsidRPr="00C8451C" w:rsidRDefault="00C8451C" w:rsidP="00C8451C">
            <w:r w:rsidRPr="00C8451C">
              <w:rPr>
                <w:b/>
                <w:bCs/>
              </w:rPr>
              <w:t>Contradicted (Positive)</w:t>
            </w:r>
          </w:p>
        </w:tc>
      </w:tr>
      <w:tr w:rsidR="00C8451C" w:rsidRPr="00C8451C" w14:paraId="54587A62"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2CB4D6BC" w14:textId="77777777" w:rsidR="00C8451C" w:rsidRPr="00C8451C" w:rsidRDefault="00C8451C" w:rsidP="00C8451C">
            <w:r w:rsidRPr="00C8451C">
              <w:rPr>
                <w:b/>
                <w:bCs/>
              </w:rPr>
              <w:t>H4a</w:t>
            </w:r>
          </w:p>
        </w:tc>
        <w:tc>
          <w:tcPr>
            <w:tcW w:w="974" w:type="pct"/>
            <w:tcBorders>
              <w:top w:val="outset" w:sz="6" w:space="0" w:color="auto"/>
              <w:left w:val="outset" w:sz="6" w:space="0" w:color="auto"/>
              <w:bottom w:val="outset" w:sz="6" w:space="0" w:color="auto"/>
              <w:right w:val="outset" w:sz="6" w:space="0" w:color="auto"/>
            </w:tcBorders>
            <w:vAlign w:val="center"/>
            <w:hideMark/>
          </w:tcPr>
          <w:p w14:paraId="309EC75C" w14:textId="77777777" w:rsidR="00C8451C" w:rsidRPr="00C8451C" w:rsidRDefault="00C8451C" w:rsidP="00C8451C">
            <w:r w:rsidRPr="00C8451C">
              <w:t>Global Recognition</w:t>
            </w:r>
          </w:p>
        </w:tc>
        <w:tc>
          <w:tcPr>
            <w:tcW w:w="602" w:type="pct"/>
            <w:tcBorders>
              <w:top w:val="outset" w:sz="6" w:space="0" w:color="auto"/>
              <w:left w:val="outset" w:sz="6" w:space="0" w:color="auto"/>
              <w:bottom w:val="outset" w:sz="6" w:space="0" w:color="auto"/>
              <w:right w:val="outset" w:sz="6" w:space="0" w:color="auto"/>
            </w:tcBorders>
            <w:vAlign w:val="center"/>
            <w:hideMark/>
          </w:tcPr>
          <w:p w14:paraId="5652DED3" w14:textId="77777777" w:rsidR="00C8451C" w:rsidRPr="00C8451C" w:rsidRDefault="00C8451C" w:rsidP="00C8451C">
            <w:r w:rsidRPr="00C8451C">
              <w:t>Syndicate Size</w:t>
            </w:r>
          </w:p>
        </w:tc>
        <w:tc>
          <w:tcPr>
            <w:tcW w:w="1019" w:type="pct"/>
            <w:tcBorders>
              <w:top w:val="outset" w:sz="6" w:space="0" w:color="auto"/>
              <w:left w:val="outset" w:sz="6" w:space="0" w:color="auto"/>
              <w:bottom w:val="outset" w:sz="6" w:space="0" w:color="auto"/>
              <w:right w:val="outset" w:sz="6" w:space="0" w:color="auto"/>
            </w:tcBorders>
            <w:vAlign w:val="center"/>
            <w:hideMark/>
          </w:tcPr>
          <w:p w14:paraId="443B2CA7" w14:textId="77777777" w:rsidR="00C8451C" w:rsidRPr="00C8451C" w:rsidRDefault="00C8451C" w:rsidP="00C8451C">
            <w:r w:rsidRPr="00C8451C">
              <w:t>Negative (\beta = -0.269)</w:t>
            </w:r>
          </w:p>
        </w:tc>
        <w:tc>
          <w:tcPr>
            <w:tcW w:w="923" w:type="pct"/>
            <w:tcBorders>
              <w:top w:val="outset" w:sz="6" w:space="0" w:color="auto"/>
              <w:left w:val="outset" w:sz="6" w:space="0" w:color="auto"/>
              <w:bottom w:val="outset" w:sz="6" w:space="0" w:color="auto"/>
              <w:right w:val="outset" w:sz="6" w:space="0" w:color="auto"/>
            </w:tcBorders>
            <w:vAlign w:val="center"/>
            <w:hideMark/>
          </w:tcPr>
          <w:p w14:paraId="2D2CE101" w14:textId="77777777" w:rsidR="00C8451C" w:rsidRPr="00C8451C" w:rsidRDefault="00C8451C" w:rsidP="00C8451C">
            <w:r w:rsidRPr="00C8451C">
              <w:t>p &lt; 0.01</w:t>
            </w:r>
          </w:p>
        </w:tc>
        <w:tc>
          <w:tcPr>
            <w:tcW w:w="970" w:type="pct"/>
            <w:tcBorders>
              <w:top w:val="outset" w:sz="6" w:space="0" w:color="auto"/>
              <w:left w:val="outset" w:sz="6" w:space="0" w:color="auto"/>
              <w:bottom w:val="outset" w:sz="6" w:space="0" w:color="auto"/>
              <w:right w:val="outset" w:sz="6" w:space="0" w:color="auto"/>
            </w:tcBorders>
            <w:vAlign w:val="center"/>
            <w:hideMark/>
          </w:tcPr>
          <w:p w14:paraId="2DC0B124" w14:textId="77777777" w:rsidR="00C8451C" w:rsidRPr="00C8451C" w:rsidRDefault="00C8451C" w:rsidP="00C8451C">
            <w:r w:rsidRPr="00C8451C">
              <w:rPr>
                <w:b/>
                <w:bCs/>
              </w:rPr>
              <w:t>Supported</w:t>
            </w:r>
          </w:p>
        </w:tc>
      </w:tr>
      <w:tr w:rsidR="00C8451C" w:rsidRPr="00C8451C" w14:paraId="02D38692" w14:textId="77777777" w:rsidTr="00C8451C">
        <w:tc>
          <w:tcPr>
            <w:tcW w:w="511" w:type="pct"/>
            <w:tcBorders>
              <w:top w:val="outset" w:sz="6" w:space="0" w:color="auto"/>
              <w:left w:val="outset" w:sz="6" w:space="0" w:color="auto"/>
              <w:bottom w:val="outset" w:sz="6" w:space="0" w:color="auto"/>
              <w:right w:val="outset" w:sz="6" w:space="0" w:color="auto"/>
            </w:tcBorders>
            <w:vAlign w:val="center"/>
            <w:hideMark/>
          </w:tcPr>
          <w:p w14:paraId="615BE64E" w14:textId="77777777" w:rsidR="00C8451C" w:rsidRPr="00C8451C" w:rsidRDefault="00C8451C" w:rsidP="00C8451C">
            <w:r w:rsidRPr="00C8451C">
              <w:rPr>
                <w:b/>
                <w:bCs/>
              </w:rPr>
              <w:t>H4b</w:t>
            </w:r>
          </w:p>
        </w:tc>
        <w:tc>
          <w:tcPr>
            <w:tcW w:w="974" w:type="pct"/>
            <w:tcBorders>
              <w:top w:val="outset" w:sz="6" w:space="0" w:color="auto"/>
              <w:left w:val="outset" w:sz="6" w:space="0" w:color="auto"/>
              <w:bottom w:val="outset" w:sz="6" w:space="0" w:color="auto"/>
              <w:right w:val="outset" w:sz="6" w:space="0" w:color="auto"/>
            </w:tcBorders>
            <w:vAlign w:val="center"/>
            <w:hideMark/>
          </w:tcPr>
          <w:p w14:paraId="1D9F1CF9" w14:textId="77777777" w:rsidR="00C8451C" w:rsidRPr="00C8451C" w:rsidRDefault="00C8451C" w:rsidP="00C8451C">
            <w:r w:rsidRPr="00C8451C">
              <w:t>Global Recognition</w:t>
            </w:r>
          </w:p>
        </w:tc>
        <w:tc>
          <w:tcPr>
            <w:tcW w:w="602" w:type="pct"/>
            <w:tcBorders>
              <w:top w:val="outset" w:sz="6" w:space="0" w:color="auto"/>
              <w:left w:val="outset" w:sz="6" w:space="0" w:color="auto"/>
              <w:bottom w:val="outset" w:sz="6" w:space="0" w:color="auto"/>
              <w:right w:val="outset" w:sz="6" w:space="0" w:color="auto"/>
            </w:tcBorders>
            <w:vAlign w:val="center"/>
            <w:hideMark/>
          </w:tcPr>
          <w:p w14:paraId="7C273FBD" w14:textId="77777777" w:rsidR="00C8451C" w:rsidRPr="00C8451C" w:rsidRDefault="00C8451C" w:rsidP="00C8451C">
            <w:r w:rsidRPr="00C8451C">
              <w:t>Local Partner</w:t>
            </w:r>
          </w:p>
        </w:tc>
        <w:tc>
          <w:tcPr>
            <w:tcW w:w="1019" w:type="pct"/>
            <w:tcBorders>
              <w:top w:val="outset" w:sz="6" w:space="0" w:color="auto"/>
              <w:left w:val="outset" w:sz="6" w:space="0" w:color="auto"/>
              <w:bottom w:val="outset" w:sz="6" w:space="0" w:color="auto"/>
              <w:right w:val="outset" w:sz="6" w:space="0" w:color="auto"/>
            </w:tcBorders>
            <w:vAlign w:val="center"/>
            <w:hideMark/>
          </w:tcPr>
          <w:p w14:paraId="08C53A36" w14:textId="77777777" w:rsidR="00C8451C" w:rsidRPr="00C8451C" w:rsidRDefault="00C8451C" w:rsidP="00C8451C">
            <w:r w:rsidRPr="00C8451C">
              <w:t>Positive (\beta = 0.312)</w:t>
            </w:r>
          </w:p>
        </w:tc>
        <w:tc>
          <w:tcPr>
            <w:tcW w:w="923" w:type="pct"/>
            <w:tcBorders>
              <w:top w:val="outset" w:sz="6" w:space="0" w:color="auto"/>
              <w:left w:val="outset" w:sz="6" w:space="0" w:color="auto"/>
              <w:bottom w:val="outset" w:sz="6" w:space="0" w:color="auto"/>
              <w:right w:val="outset" w:sz="6" w:space="0" w:color="auto"/>
            </w:tcBorders>
            <w:vAlign w:val="center"/>
            <w:hideMark/>
          </w:tcPr>
          <w:p w14:paraId="1156E989" w14:textId="77777777" w:rsidR="00C8451C" w:rsidRPr="00C8451C" w:rsidRDefault="00C8451C" w:rsidP="00C8451C">
            <w:r w:rsidRPr="00C8451C">
              <w:t>Insignificant (p &gt; 0.10)</w:t>
            </w:r>
          </w:p>
        </w:tc>
        <w:tc>
          <w:tcPr>
            <w:tcW w:w="970" w:type="pct"/>
            <w:tcBorders>
              <w:top w:val="outset" w:sz="6" w:space="0" w:color="auto"/>
              <w:left w:val="outset" w:sz="6" w:space="0" w:color="auto"/>
              <w:bottom w:val="outset" w:sz="6" w:space="0" w:color="auto"/>
              <w:right w:val="outset" w:sz="6" w:space="0" w:color="auto"/>
            </w:tcBorders>
            <w:vAlign w:val="center"/>
            <w:hideMark/>
          </w:tcPr>
          <w:p w14:paraId="4E49DDEC" w14:textId="77777777" w:rsidR="00C8451C" w:rsidRPr="00C8451C" w:rsidRDefault="00C8451C" w:rsidP="00C8451C">
            <w:r w:rsidRPr="00C8451C">
              <w:rPr>
                <w:b/>
                <w:bCs/>
              </w:rPr>
              <w:t>Not Supported</w:t>
            </w:r>
          </w:p>
        </w:tc>
      </w:tr>
    </w:tbl>
    <w:p w14:paraId="07DE4EBB" w14:textId="77777777" w:rsidR="00C8451C" w:rsidRPr="00C8451C" w:rsidRDefault="00C8451C" w:rsidP="00C8451C">
      <w:pPr>
        <w:rPr>
          <w:b/>
          <w:bCs/>
        </w:rPr>
      </w:pPr>
      <w:r w:rsidRPr="00C8451C">
        <w:rPr>
          <w:b/>
          <w:bCs/>
        </w:rPr>
        <w:t>Explanation of the Contradictory Result for H3b</w:t>
      </w:r>
    </w:p>
    <w:p w14:paraId="767F1E8B" w14:textId="77777777" w:rsidR="00C8451C" w:rsidRPr="00C8451C" w:rsidRDefault="00C8451C" w:rsidP="00C8451C">
      <w:r w:rsidRPr="00C8451C">
        <w:t>While </w:t>
      </w:r>
      <w:r w:rsidRPr="00C8451C">
        <w:rPr>
          <w:b/>
          <w:bCs/>
        </w:rPr>
        <w:t>H3b</w:t>
      </w:r>
      <w:r w:rsidRPr="00C8451C">
        <w:t> predicted that host market recognition would decrease local partner inclusion by providing standalone market legitimacy, the empirical estimate was strongly positive (\beta = 356.023, p &lt; 0.05 in single-variable Model 11 and restricted Model 14; with higher standard errors of 242.170 in multivariable Model 13 due to scaling). This contradiction is explained by the </w:t>
      </w:r>
      <w:r w:rsidRPr="00C8451C">
        <w:rPr>
          <w:b/>
          <w:bCs/>
        </w:rPr>
        <w:t>Two-Sided Matching Process</w:t>
      </w:r>
      <w:r w:rsidRPr="00C8451C">
        <w:t> governing syndication networks. Although a locally recognized foreign VC experiences less standalone dependency on local general partners, domestic VCs actively target and recruit prominent foreign general partners into local coalitions. High host-market recognition lowers partner search friction and functions as a powerful status signal, prompting local general partners to extend syndicate co-investment invitations (Liu &amp; Maula, 2016).</w:t>
      </w:r>
    </w:p>
    <w:p w14:paraId="05C3BDB1" w14:textId="77777777" w:rsidR="00C8451C" w:rsidRPr="00C8451C" w:rsidRDefault="00C8451C" w:rsidP="00C8451C">
      <w:pPr>
        <w:rPr>
          <w:b/>
          <w:bCs/>
        </w:rPr>
      </w:pPr>
      <w:r w:rsidRPr="00C8451C">
        <w:rPr>
          <w:b/>
          <w:bCs/>
        </w:rPr>
        <w:t>4.3. Robustness Checks</w:t>
      </w:r>
    </w:p>
    <w:p w14:paraId="4150D597" w14:textId="77777777" w:rsidR="00C8451C" w:rsidRPr="00C8451C" w:rsidRDefault="00C8451C" w:rsidP="00C8451C">
      <w:r w:rsidRPr="00C8451C">
        <w:t>To verify the stability of the baseline models, extensive post-hoc and counterfactual estimations were conducted (Tables 7–10):</w:t>
      </w:r>
    </w:p>
    <w:p w14:paraId="551ED4BA" w14:textId="77777777" w:rsidR="00C8451C" w:rsidRPr="00C8451C" w:rsidRDefault="00C8451C" w:rsidP="00C8451C">
      <w:pPr>
        <w:numPr>
          <w:ilvl w:val="0"/>
          <w:numId w:val="13"/>
        </w:numPr>
      </w:pPr>
      <w:r w:rsidRPr="00C8451C">
        <w:rPr>
          <w:b/>
          <w:bCs/>
        </w:rPr>
        <w:t>Fixed Effects &amp; Hierarchical Specifications (Tables 7 &amp; 8):</w:t>
      </w:r>
      <w:r w:rsidRPr="00C8451C">
        <w:t> Incorporating VC Home Country FE (Models 15 &amp; 19), Target Country FE (Models 16 &amp; 20), joint FE (Models 17 &amp; 21), and Hierarchical Binomial GLM (</w:t>
      </w:r>
      <w:proofErr w:type="spellStart"/>
      <w:r w:rsidRPr="00C8451C">
        <w:t>glmer</w:t>
      </w:r>
      <w:proofErr w:type="spellEnd"/>
      <w:r w:rsidRPr="00C8451C">
        <w:t>) with random intercepts and slopes (Models 18 &amp; 22) confirmed all baseline parameter estimates.</w:t>
      </w:r>
    </w:p>
    <w:p w14:paraId="1AD3B95E" w14:textId="77777777" w:rsidR="00C8451C" w:rsidRPr="00C8451C" w:rsidRDefault="00C8451C" w:rsidP="00C8451C">
      <w:pPr>
        <w:numPr>
          <w:ilvl w:val="0"/>
          <w:numId w:val="13"/>
        </w:numPr>
      </w:pPr>
      <w:r w:rsidRPr="00C8451C">
        <w:rPr>
          <w:b/>
          <w:bCs/>
        </w:rPr>
        <w:t>First-Time vs. Repeated Investors (Appendices E &amp; F):</w:t>
      </w:r>
      <w:r w:rsidRPr="00C8451C">
        <w:t> In restricted sub-samples of first-time cross-border deals (n = 4,901; prior experience = 0), global recognition loses significance for syndicate size, whereas host-country recognition maintains a powerful positive impact on local partner integration (Model 14: \beta = 1043.070, p &lt; 0.05).</w:t>
      </w:r>
    </w:p>
    <w:p w14:paraId="477AFDCD" w14:textId="77777777" w:rsidR="00C8451C" w:rsidRPr="00C8451C" w:rsidRDefault="00C8451C" w:rsidP="00C8451C">
      <w:pPr>
        <w:numPr>
          <w:ilvl w:val="0"/>
          <w:numId w:val="13"/>
        </w:numPr>
      </w:pPr>
      <w:r w:rsidRPr="00C8451C">
        <w:rPr>
          <w:b/>
          <w:bCs/>
        </w:rPr>
        <w:t>Experience vs. Recognition Comparison (Tables 9 &amp; 10):</w:t>
      </w:r>
      <w:r w:rsidRPr="00C8451C">
        <w:t xml:space="preserve"> Substituting Google-based recognition metrics with raw historical investment counts revealed key theoretical distinctions: global recognition transfers seamlessly across foreign markets to reduce syndicate size (whereas general experience does not), while </w:t>
      </w:r>
      <w:r w:rsidRPr="00C8451C">
        <w:lastRenderedPageBreak/>
        <w:t>localized host experience directly reduces local partner reliance (whereas host recognition increases local partnering via network invitations).</w:t>
      </w:r>
    </w:p>
    <w:p w14:paraId="54677338" w14:textId="77777777" w:rsidR="00C8451C" w:rsidRPr="00C8451C" w:rsidRDefault="00C8451C" w:rsidP="00C8451C">
      <w:pPr>
        <w:numPr>
          <w:ilvl w:val="0"/>
          <w:numId w:val="13"/>
        </w:numPr>
      </w:pPr>
      <w:r w:rsidRPr="00C8451C">
        <w:rPr>
          <w:b/>
          <w:bCs/>
        </w:rPr>
        <w:t>Endogeneity Mitigation (Appendix I):</w:t>
      </w:r>
      <w:r w:rsidRPr="00C8451C">
        <w:t> Control function regressions executed via Wooldridge's (2015) two-stage procedure inserted first-stage experience residuals into second-stage regressions, confirming that endogeneity bias does not invalidate the core findings.</w:t>
      </w:r>
    </w:p>
    <w:p w14:paraId="1FBC0BB4" w14:textId="77777777" w:rsidR="00C8451C" w:rsidRPr="00C8451C" w:rsidRDefault="00C8451C" w:rsidP="00C8451C">
      <w:r w:rsidRPr="00C8451C">
        <w:rPr>
          <w:b/>
          <w:bCs/>
        </w:rPr>
        <w:t>Takeaway:</w:t>
      </w:r>
      <w:r w:rsidRPr="00C8451C">
        <w:t> Empirical tests support distance-driven agency costs (H1a/b, H2a/b) and global recognition efficiency (H4a), while revealing that local recognition increases local partnering due to two-sided matching.</w:t>
      </w:r>
    </w:p>
    <w:p w14:paraId="0C19C280" w14:textId="77777777" w:rsidR="00C8451C" w:rsidRPr="00C8451C" w:rsidRDefault="00C8451C" w:rsidP="00C8451C">
      <w:r w:rsidRPr="00C8451C">
        <w:t>The theoretical, managerial, and policy implications derived from these empirical results are synthesized in the next section.</w:t>
      </w:r>
    </w:p>
    <w:p w14:paraId="53474E43" w14:textId="77777777" w:rsidR="00C8451C" w:rsidRPr="00C8451C" w:rsidRDefault="00C8451C" w:rsidP="00C8451C">
      <w:pPr>
        <w:rPr>
          <w:b/>
          <w:bCs/>
        </w:rPr>
      </w:pPr>
      <w:r w:rsidRPr="00C8451C">
        <w:rPr>
          <w:b/>
          <w:bCs/>
        </w:rPr>
        <w:t>5. Discussion and Conclusion</w:t>
      </w:r>
    </w:p>
    <w:p w14:paraId="71924F28" w14:textId="77777777" w:rsidR="00C8451C" w:rsidRPr="00C8451C" w:rsidRDefault="00C8451C" w:rsidP="00C8451C">
      <w:r w:rsidRPr="00C8451C">
        <w:t>The empirical findings establish an integrated framework detailing how internationalizing venture capital general partners structure cross-border co-investment coalitions under complex agency and resource constraints.</w:t>
      </w:r>
    </w:p>
    <w:p w14:paraId="14F3A42D" w14:textId="77777777" w:rsidR="00C8451C" w:rsidRPr="00C8451C" w:rsidRDefault="00C8451C" w:rsidP="00C8451C">
      <w:pPr>
        <w:rPr>
          <w:b/>
          <w:bCs/>
        </w:rPr>
      </w:pPr>
      <w:r w:rsidRPr="00C8451C">
        <w:rPr>
          <w:b/>
          <w:bCs/>
        </w:rPr>
        <w:t>Theoretical Contributions</w:t>
      </w:r>
    </w:p>
    <w:p w14:paraId="61EE0260" w14:textId="77777777" w:rsidR="00C8451C" w:rsidRPr="00C8451C" w:rsidRDefault="00C8451C" w:rsidP="00C8451C">
      <w:pPr>
        <w:numPr>
          <w:ilvl w:val="0"/>
          <w:numId w:val="14"/>
        </w:numPr>
      </w:pPr>
      <w:r w:rsidRPr="00C8451C">
        <w:rPr>
          <w:b/>
          <w:bCs/>
        </w:rPr>
        <w:t>Three-Dimensional Syndication Architecture:</w:t>
      </w:r>
      <w:r w:rsidRPr="00C8451C">
        <w:t> Synthesizes distance-induced agency costs, internal capital capabilities, and external network status signaling into a unified model of private equity internationalization.</w:t>
      </w:r>
    </w:p>
    <w:p w14:paraId="02DE0747" w14:textId="77777777" w:rsidR="00C8451C" w:rsidRPr="00C8451C" w:rsidRDefault="00C8451C" w:rsidP="00C8451C">
      <w:pPr>
        <w:numPr>
          <w:ilvl w:val="0"/>
          <w:numId w:val="14"/>
        </w:numPr>
      </w:pPr>
      <w:r w:rsidRPr="00C8451C">
        <w:rPr>
          <w:b/>
          <w:bCs/>
        </w:rPr>
        <w:t>Psychic Distance in Closed Networks:</w:t>
      </w:r>
      <w:r w:rsidRPr="00C8451C">
        <w:t> Demonstrates that within-syndicate psychic distance elevates behavioral uncertainty, driving general partners to construct smaller syndicates anchored by local host-country VCs.</w:t>
      </w:r>
    </w:p>
    <w:p w14:paraId="1AC9DF93" w14:textId="77777777" w:rsidR="00C8451C" w:rsidRPr="00C8451C" w:rsidRDefault="00C8451C" w:rsidP="00C8451C">
      <w:pPr>
        <w:numPr>
          <w:ilvl w:val="0"/>
          <w:numId w:val="14"/>
        </w:numPr>
      </w:pPr>
      <w:r w:rsidRPr="00C8451C">
        <w:rPr>
          <w:b/>
          <w:bCs/>
        </w:rPr>
        <w:t>Recognition vs. Experiential Knowledge:</w:t>
      </w:r>
      <w:r w:rsidRPr="00C8451C">
        <w:t> Conceptualizes external recognition as a transferable relationship resource that operates distinctly from internal experiential knowledge during two-sided network matching.</w:t>
      </w:r>
    </w:p>
    <w:p w14:paraId="4D92C765" w14:textId="77777777" w:rsidR="00C8451C" w:rsidRPr="00C8451C" w:rsidRDefault="00C8451C" w:rsidP="00C8451C">
      <w:pPr>
        <w:numPr>
          <w:ilvl w:val="0"/>
          <w:numId w:val="14"/>
        </w:numPr>
      </w:pPr>
      <w:r w:rsidRPr="00C8451C">
        <w:rPr>
          <w:b/>
          <w:bCs/>
        </w:rPr>
        <w:t>Methodological Innovation in Private Markets:</w:t>
      </w:r>
      <w:r w:rsidRPr="00C8451C">
        <w:t> Validates Google Trends search volume as a precise proxy for corporate status and brand recognition in private capital markets where traditional accounting data are absent.</w:t>
      </w:r>
    </w:p>
    <w:p w14:paraId="12F858FE" w14:textId="77777777" w:rsidR="00C8451C" w:rsidRPr="00C8451C" w:rsidRDefault="00C8451C" w:rsidP="00C8451C">
      <w:pPr>
        <w:rPr>
          <w:b/>
          <w:bCs/>
        </w:rPr>
      </w:pPr>
      <w:r w:rsidRPr="00C8451C">
        <w:rPr>
          <w:b/>
          <w:bCs/>
        </w:rPr>
        <w:t>Practical Implications</w:t>
      </w:r>
    </w:p>
    <w:p w14:paraId="5C7ABFF2" w14:textId="77777777" w:rsidR="00C8451C" w:rsidRPr="00C8451C" w:rsidRDefault="00C8451C" w:rsidP="00C8451C">
      <w:pPr>
        <w:numPr>
          <w:ilvl w:val="0"/>
          <w:numId w:val="15"/>
        </w:numPr>
      </w:pPr>
      <w:r w:rsidRPr="00C8451C">
        <w:rPr>
          <w:b/>
          <w:bCs/>
        </w:rPr>
        <w:t>For General Partners (GPs):</w:t>
      </w:r>
      <w:r w:rsidRPr="00C8451C">
        <w:t> Guides cross-border deal structuring by establishing realistic baseline metrics for syndicate sizing and demonstrating how global status can be leveraged to prevent unnecessary equity dilution.</w:t>
      </w:r>
    </w:p>
    <w:p w14:paraId="6C227F2D" w14:textId="77777777" w:rsidR="00C8451C" w:rsidRPr="00C8451C" w:rsidRDefault="00C8451C" w:rsidP="00C8451C">
      <w:pPr>
        <w:numPr>
          <w:ilvl w:val="0"/>
          <w:numId w:val="15"/>
        </w:numPr>
      </w:pPr>
      <w:r w:rsidRPr="00C8451C">
        <w:rPr>
          <w:b/>
          <w:bCs/>
        </w:rPr>
        <w:lastRenderedPageBreak/>
        <w:t>For Entrepreneurs &amp; Founders:</w:t>
      </w:r>
      <w:r w:rsidRPr="00C8451C">
        <w:t> Delineates how foreign VC syndicates form, highlighting that deals involving distant foreign VCs require local VC participation, whereas globally recognized VCs tend to invest in smaller, less diluted investor groups.</w:t>
      </w:r>
    </w:p>
    <w:p w14:paraId="0275E081" w14:textId="77777777" w:rsidR="00C8451C" w:rsidRPr="00C8451C" w:rsidRDefault="00C8451C" w:rsidP="00C8451C">
      <w:pPr>
        <w:numPr>
          <w:ilvl w:val="0"/>
          <w:numId w:val="15"/>
        </w:numPr>
      </w:pPr>
      <w:r w:rsidRPr="00C8451C">
        <w:rPr>
          <w:b/>
          <w:bCs/>
        </w:rPr>
        <w:t>For Institutional Policymakers:</w:t>
      </w:r>
      <w:r w:rsidRPr="00C8451C">
        <w:t> Highlights that destination market institutional governance, active deal flow, and deep public exit channels (IPOs) are vital for attracting cross-border venture capital inflows.</w:t>
      </w:r>
    </w:p>
    <w:p w14:paraId="7F3271C7" w14:textId="77777777" w:rsidR="00C8451C" w:rsidRPr="00C8451C" w:rsidRDefault="00C8451C" w:rsidP="00C8451C">
      <w:r w:rsidRPr="00C8451C">
        <w:rPr>
          <w:b/>
          <w:bCs/>
        </w:rPr>
        <w:t>Takeaway:</w:t>
      </w:r>
      <w:r w:rsidRPr="00C8451C">
        <w:t> The study establishes recognition and inter-partner psychic distance as primary drivers of cross-border VC syndicate architecture.</w:t>
      </w:r>
    </w:p>
    <w:p w14:paraId="4D43D2FC" w14:textId="77777777" w:rsidR="00C8451C" w:rsidRPr="00C8451C" w:rsidRDefault="00C8451C" w:rsidP="00C8451C">
      <w:r w:rsidRPr="00C8451C">
        <w:t>The empirical boundary conditions and future scholarly avenues are outlined in the final section.</w:t>
      </w:r>
    </w:p>
    <w:p w14:paraId="3E01E956" w14:textId="77777777" w:rsidR="00C8451C" w:rsidRPr="00C8451C" w:rsidRDefault="00C8451C" w:rsidP="00C8451C">
      <w:pPr>
        <w:rPr>
          <w:b/>
          <w:bCs/>
        </w:rPr>
      </w:pPr>
      <w:r w:rsidRPr="00C8451C">
        <w:rPr>
          <w:b/>
          <w:bCs/>
        </w:rPr>
        <w:t>6. Limitations and Future Research</w:t>
      </w:r>
    </w:p>
    <w:p w14:paraId="6A614F46" w14:textId="77777777" w:rsidR="00C8451C" w:rsidRPr="00C8451C" w:rsidRDefault="00C8451C" w:rsidP="00C8451C">
      <w:r w:rsidRPr="00C8451C">
        <w:t>Evaluating the empirical boundary conditions of this study highlights critical avenues for future private equity and international business research:</w:t>
      </w:r>
    </w:p>
    <w:p w14:paraId="322B11C3" w14:textId="77777777" w:rsidR="00C8451C" w:rsidRPr="00C8451C" w:rsidRDefault="00C8451C" w:rsidP="00C8451C">
      <w:pPr>
        <w:numPr>
          <w:ilvl w:val="0"/>
          <w:numId w:val="16"/>
        </w:numPr>
      </w:pPr>
      <w:r w:rsidRPr="00C8451C">
        <w:rPr>
          <w:b/>
          <w:bCs/>
        </w:rPr>
        <w:t>Private Market Network Evolution:</w:t>
      </w:r>
      <w:r w:rsidRPr="00C8451C">
        <w:t> Private market data constraints limit observation of full network evolution, lead investor selection, and sequential co-investment staging. Future research should examine path dependencies in lead investor choice.</w:t>
      </w:r>
    </w:p>
    <w:p w14:paraId="39553DCE" w14:textId="77777777" w:rsidR="00C8451C" w:rsidRPr="00C8451C" w:rsidRDefault="00C8451C" w:rsidP="00C8451C">
      <w:pPr>
        <w:numPr>
          <w:ilvl w:val="0"/>
          <w:numId w:val="16"/>
        </w:numPr>
      </w:pPr>
      <w:r w:rsidRPr="00C8451C">
        <w:rPr>
          <w:b/>
          <w:bCs/>
        </w:rPr>
        <w:t>Local VC Representative Offices:</w:t>
      </w:r>
      <w:r w:rsidRPr="00C8451C">
        <w:t> The dataset does not track local foreign representative offices. Hand-collected data on the top sample funds reveals foreign offices are rare (the top 5 funds hold only 6 foreign offices across 31 destination countries); future studies should formally evaluate whether local offices substitute for domestic co-investors.</w:t>
      </w:r>
    </w:p>
    <w:p w14:paraId="1630EB1E" w14:textId="77777777" w:rsidR="00C8451C" w:rsidRPr="00C8451C" w:rsidRDefault="00C8451C" w:rsidP="00C8451C">
      <w:pPr>
        <w:numPr>
          <w:ilvl w:val="0"/>
          <w:numId w:val="16"/>
        </w:numPr>
      </w:pPr>
      <w:r w:rsidRPr="00C8451C">
        <w:rPr>
          <w:b/>
          <w:bCs/>
        </w:rPr>
        <w:t>Firm-Level vs. Institutional Governance:</w:t>
      </w:r>
      <w:r w:rsidRPr="00C8451C">
        <w:t> While this study employs macro-level WGI metrics, future inquiry could explore whether firm-level governance (e.g., board seats and veto rights) acts as a substitute for national institutional quality.</w:t>
      </w:r>
    </w:p>
    <w:p w14:paraId="6DB8AB39" w14:textId="77777777" w:rsidR="00C8451C" w:rsidRPr="00C8451C" w:rsidRDefault="00C8451C" w:rsidP="00C8451C">
      <w:pPr>
        <w:numPr>
          <w:ilvl w:val="0"/>
          <w:numId w:val="16"/>
        </w:numPr>
      </w:pPr>
      <w:r w:rsidRPr="00C8451C">
        <w:rPr>
          <w:b/>
          <w:bCs/>
        </w:rPr>
        <w:t>Comparative Syndicate Status Topology:</w:t>
      </w:r>
      <w:r w:rsidRPr="00C8451C">
        <w:t> The empirical design focuses on focal VC status rather than comparative reputation distribution across all syndicate members.</w:t>
      </w:r>
    </w:p>
    <w:p w14:paraId="608D94EE" w14:textId="77777777" w:rsidR="00C8451C" w:rsidRPr="00C8451C" w:rsidRDefault="00C8451C" w:rsidP="00C8451C">
      <w:pPr>
        <w:numPr>
          <w:ilvl w:val="0"/>
          <w:numId w:val="16"/>
        </w:numPr>
      </w:pPr>
      <w:r w:rsidRPr="00C8451C">
        <w:rPr>
          <w:b/>
          <w:bCs/>
        </w:rPr>
        <w:t>Post-COVID Digital Monitoring Modalities:</w:t>
      </w:r>
      <w:r w:rsidRPr="00C8451C">
        <w:t> Future research should evaluate whether the adoption of digital communication and remote monitoring tools reduces physical proximity requirements in cross-border venture governance.</w:t>
      </w:r>
    </w:p>
    <w:p w14:paraId="3297459B" w14:textId="77777777" w:rsidR="00C8451C" w:rsidRPr="00C8451C" w:rsidRDefault="00C8451C" w:rsidP="00C8451C">
      <w:pPr>
        <w:numPr>
          <w:ilvl w:val="0"/>
          <w:numId w:val="16"/>
        </w:numPr>
      </w:pPr>
      <w:r w:rsidRPr="00C8451C">
        <w:rPr>
          <w:b/>
          <w:bCs/>
        </w:rPr>
        <w:lastRenderedPageBreak/>
        <w:t>Individual Deal Partner Human Capital:</w:t>
      </w:r>
      <w:r w:rsidRPr="00C8451C">
        <w:t> Scholar attention should be directed toward individual deal partner characteristics, evaluating how manager-level education, occupational background, and personal networks shape syndication decisions.</w:t>
      </w:r>
    </w:p>
    <w:p w14:paraId="4D433654" w14:textId="3BAE6426" w:rsidR="000B1323" w:rsidRDefault="00C8451C">
      <w:r w:rsidRPr="00C8451C">
        <w:rPr>
          <w:b/>
          <w:bCs/>
        </w:rPr>
        <w:t>Takeaway:</w:t>
      </w:r>
      <w:r w:rsidRPr="00C8451C">
        <w:t> Future research should build on these findings by exploring firm-level board governance, local VC offices, and post-COVID digital monitoring shifts.</w:t>
      </w:r>
    </w:p>
    <w:sectPr w:rsidR="000B1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F4298"/>
    <w:multiLevelType w:val="multilevel"/>
    <w:tmpl w:val="FC70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03F84"/>
    <w:multiLevelType w:val="multilevel"/>
    <w:tmpl w:val="F05E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B0011"/>
    <w:multiLevelType w:val="multilevel"/>
    <w:tmpl w:val="738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2CED"/>
    <w:multiLevelType w:val="multilevel"/>
    <w:tmpl w:val="839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A5E20"/>
    <w:multiLevelType w:val="multilevel"/>
    <w:tmpl w:val="8EB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C47EE"/>
    <w:multiLevelType w:val="multilevel"/>
    <w:tmpl w:val="732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8133B"/>
    <w:multiLevelType w:val="multilevel"/>
    <w:tmpl w:val="D80C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53CCF"/>
    <w:multiLevelType w:val="multilevel"/>
    <w:tmpl w:val="33F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D2FBF"/>
    <w:multiLevelType w:val="multilevel"/>
    <w:tmpl w:val="C62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37B86"/>
    <w:multiLevelType w:val="multilevel"/>
    <w:tmpl w:val="2FC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B0E39"/>
    <w:multiLevelType w:val="multilevel"/>
    <w:tmpl w:val="BEC8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44764"/>
    <w:multiLevelType w:val="multilevel"/>
    <w:tmpl w:val="192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A8E"/>
    <w:multiLevelType w:val="multilevel"/>
    <w:tmpl w:val="0D02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83A2A"/>
    <w:multiLevelType w:val="multilevel"/>
    <w:tmpl w:val="3CE2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310C90"/>
    <w:multiLevelType w:val="multilevel"/>
    <w:tmpl w:val="639E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56110"/>
    <w:multiLevelType w:val="multilevel"/>
    <w:tmpl w:val="FA6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87329">
    <w:abstractNumId w:val="10"/>
  </w:num>
  <w:num w:numId="2" w16cid:durableId="237325759">
    <w:abstractNumId w:val="13"/>
  </w:num>
  <w:num w:numId="3" w16cid:durableId="854735863">
    <w:abstractNumId w:val="11"/>
  </w:num>
  <w:num w:numId="4" w16cid:durableId="2030445306">
    <w:abstractNumId w:val="3"/>
  </w:num>
  <w:num w:numId="5" w16cid:durableId="1482887936">
    <w:abstractNumId w:val="1"/>
  </w:num>
  <w:num w:numId="6" w16cid:durableId="118643864">
    <w:abstractNumId w:val="2"/>
  </w:num>
  <w:num w:numId="7" w16cid:durableId="964703243">
    <w:abstractNumId w:val="15"/>
  </w:num>
  <w:num w:numId="8" w16cid:durableId="1051273409">
    <w:abstractNumId w:val="9"/>
  </w:num>
  <w:num w:numId="9" w16cid:durableId="2008819315">
    <w:abstractNumId w:val="5"/>
  </w:num>
  <w:num w:numId="10" w16cid:durableId="1213426700">
    <w:abstractNumId w:val="6"/>
  </w:num>
  <w:num w:numId="11" w16cid:durableId="456264449">
    <w:abstractNumId w:val="7"/>
  </w:num>
  <w:num w:numId="12" w16cid:durableId="1612128219">
    <w:abstractNumId w:val="12"/>
  </w:num>
  <w:num w:numId="13" w16cid:durableId="724794242">
    <w:abstractNumId w:val="8"/>
  </w:num>
  <w:num w:numId="14" w16cid:durableId="1230379333">
    <w:abstractNumId w:val="0"/>
  </w:num>
  <w:num w:numId="15" w16cid:durableId="1210264124">
    <w:abstractNumId w:val="4"/>
  </w:num>
  <w:num w:numId="16" w16cid:durableId="151973155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23"/>
    <w:rsid w:val="000B1323"/>
    <w:rsid w:val="000E279A"/>
    <w:rsid w:val="0089238A"/>
    <w:rsid w:val="00C8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7846E"/>
  <w15:chartTrackingRefBased/>
  <w15:docId w15:val="{22E0C683-69B6-7D4F-8DE4-794C4E5B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323"/>
    <w:rPr>
      <w:rFonts w:eastAsiaTheme="majorEastAsia" w:cstheme="majorBidi"/>
      <w:color w:val="272727" w:themeColor="text1" w:themeTint="D8"/>
    </w:rPr>
  </w:style>
  <w:style w:type="paragraph" w:styleId="Title">
    <w:name w:val="Title"/>
    <w:basedOn w:val="Normal"/>
    <w:next w:val="Normal"/>
    <w:link w:val="TitleChar"/>
    <w:uiPriority w:val="10"/>
    <w:qFormat/>
    <w:rsid w:val="000B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323"/>
    <w:pPr>
      <w:spacing w:before="160"/>
      <w:jc w:val="center"/>
    </w:pPr>
    <w:rPr>
      <w:i/>
      <w:iCs/>
      <w:color w:val="404040" w:themeColor="text1" w:themeTint="BF"/>
    </w:rPr>
  </w:style>
  <w:style w:type="character" w:customStyle="1" w:styleId="QuoteChar">
    <w:name w:val="Quote Char"/>
    <w:basedOn w:val="DefaultParagraphFont"/>
    <w:link w:val="Quote"/>
    <w:uiPriority w:val="29"/>
    <w:rsid w:val="000B1323"/>
    <w:rPr>
      <w:i/>
      <w:iCs/>
      <w:color w:val="404040" w:themeColor="text1" w:themeTint="BF"/>
    </w:rPr>
  </w:style>
  <w:style w:type="paragraph" w:styleId="ListParagraph">
    <w:name w:val="List Paragraph"/>
    <w:basedOn w:val="Normal"/>
    <w:uiPriority w:val="34"/>
    <w:qFormat/>
    <w:rsid w:val="000B1323"/>
    <w:pPr>
      <w:ind w:left="720"/>
      <w:contextualSpacing/>
    </w:pPr>
  </w:style>
  <w:style w:type="character" w:styleId="IntenseEmphasis">
    <w:name w:val="Intense Emphasis"/>
    <w:basedOn w:val="DefaultParagraphFont"/>
    <w:uiPriority w:val="21"/>
    <w:qFormat/>
    <w:rsid w:val="000B1323"/>
    <w:rPr>
      <w:i/>
      <w:iCs/>
      <w:color w:val="0F4761" w:themeColor="accent1" w:themeShade="BF"/>
    </w:rPr>
  </w:style>
  <w:style w:type="paragraph" w:styleId="IntenseQuote">
    <w:name w:val="Intense Quote"/>
    <w:basedOn w:val="Normal"/>
    <w:next w:val="Normal"/>
    <w:link w:val="IntenseQuoteChar"/>
    <w:uiPriority w:val="30"/>
    <w:qFormat/>
    <w:rsid w:val="000B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323"/>
    <w:rPr>
      <w:i/>
      <w:iCs/>
      <w:color w:val="0F4761" w:themeColor="accent1" w:themeShade="BF"/>
    </w:rPr>
  </w:style>
  <w:style w:type="character" w:styleId="IntenseReference">
    <w:name w:val="Intense Reference"/>
    <w:basedOn w:val="DefaultParagraphFont"/>
    <w:uiPriority w:val="32"/>
    <w:qFormat/>
    <w:rsid w:val="000B1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4441</Words>
  <Characters>25315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2026-09-26T15:12:00Z</dcterms:created>
  <dcterms:modified xsi:type="dcterms:W3CDTF">2026-09-26T15:39:00Z</dcterms:modified>
</cp:coreProperties>
</file>