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82AD8" w14:textId="77777777" w:rsidR="0066678C" w:rsidRPr="0066678C" w:rsidRDefault="0066678C" w:rsidP="0066678C">
      <w:pPr>
        <w:rPr>
          <w:b/>
          <w:bCs/>
        </w:rPr>
      </w:pPr>
      <w:r w:rsidRPr="0066678C">
        <w:rPr>
          <w:b/>
          <w:bCs/>
        </w:rPr>
        <w:t>Exam-Ready Study Report: Industry-Specific Specialization in Venture Capitalists’ Internationalization Decisions</w:t>
      </w:r>
    </w:p>
    <w:p w14:paraId="38F05F42" w14:textId="77777777" w:rsidR="0066678C" w:rsidRPr="0066678C" w:rsidRDefault="0066678C" w:rsidP="0066678C">
      <w:proofErr w:type="spellStart"/>
      <w:r w:rsidRPr="0066678C">
        <w:t>Nörthemann</w:t>
      </w:r>
      <w:proofErr w:type="spellEnd"/>
      <w:r w:rsidRPr="0066678C">
        <w:t>, A. (2023). Industry</w:t>
      </w:r>
      <w:r w:rsidRPr="0066678C">
        <w:noBreakHyphen/>
        <w:t>specific specialization in venture capitalists’ internationalization decisions. </w:t>
      </w:r>
      <w:r w:rsidRPr="0066678C">
        <w:rPr>
          <w:i/>
          <w:iCs/>
        </w:rPr>
        <w:t>Journal of Business Economics</w:t>
      </w:r>
      <w:r w:rsidRPr="0066678C">
        <w:t>, 93(6), 891–927. https://doi.org/10.1007/s11573-022-01129-1</w:t>
      </w:r>
    </w:p>
    <w:p w14:paraId="7883490E" w14:textId="77777777" w:rsidR="0066678C" w:rsidRPr="0066678C" w:rsidRDefault="0066678C" w:rsidP="0066678C">
      <w:pPr>
        <w:rPr>
          <w:b/>
          <w:bCs/>
        </w:rPr>
      </w:pPr>
      <w:r w:rsidRPr="0066678C">
        <w:rPr>
          <w:b/>
          <w:bCs/>
        </w:rPr>
        <w:t>1 Introduction</w:t>
      </w:r>
    </w:p>
    <w:p w14:paraId="5F96955F" w14:textId="77777777" w:rsidR="0066678C" w:rsidRPr="0066678C" w:rsidRDefault="0066678C" w:rsidP="0066678C">
      <w:r w:rsidRPr="0066678C">
        <w:t>Cross-border investments by venture capital (VC) firms represent a critical driver of global entrepreneurial development, yet they operate under severe market friction. Early-stage venture investments are intrinsically prone to intense information asymmetry and high operational uncertainty. When venture capitalists deploy capital across national borders, these baseline hazards are exacerbated by geographic distance, institutional heterogeneity, legal disparities, and cultural divides. Understanding the mechanisms that govern cross-border capital allocation is therefore strategically vital for mapping global capital flows and evaluating how investors navigate foreign market entry risks.</w:t>
      </w:r>
    </w:p>
    <w:p w14:paraId="2EED3DF2" w14:textId="77777777" w:rsidR="0066678C" w:rsidRPr="0066678C" w:rsidRDefault="0066678C" w:rsidP="0066678C">
      <w:pPr>
        <w:numPr>
          <w:ilvl w:val="0"/>
          <w:numId w:val="1"/>
        </w:numPr>
      </w:pPr>
      <w:r w:rsidRPr="0066678C">
        <w:rPr>
          <w:b/>
          <w:bCs/>
        </w:rPr>
        <w:t>Liability of Foreignness (LOF):</w:t>
      </w:r>
      <w:r w:rsidRPr="0066678C">
        <w:t> Cross-border venture investments incur additional friction costs that domestic deals do not face. The </w:t>
      </w:r>
      <w:r w:rsidRPr="0066678C">
        <w:rPr>
          <w:b/>
          <w:bCs/>
        </w:rPr>
        <w:t>liability of foreignness (LOF)</w:t>
      </w:r>
      <w:r w:rsidRPr="0066678C">
        <w:t> encompasses the aggregate legal, institutional, cultural, and operational costs stemming from geographic and institutional remoteness. High LOF elevates information asymmetry, inflates screening and deal-structuring costs, and imposes significant monitoring burdens on investors tasked with tracking target firms in foreign environments.</w:t>
      </w:r>
    </w:p>
    <w:p w14:paraId="5E6E3DFC" w14:textId="77777777" w:rsidR="0066678C" w:rsidRPr="0066678C" w:rsidRDefault="0066678C" w:rsidP="0066678C">
      <w:pPr>
        <w:numPr>
          <w:ilvl w:val="0"/>
          <w:numId w:val="1"/>
        </w:numPr>
      </w:pPr>
      <w:r w:rsidRPr="0066678C">
        <w:rPr>
          <w:b/>
          <w:bCs/>
        </w:rPr>
        <w:t>LOF Mitigation Strategies:</w:t>
      </w:r>
      <w:r w:rsidRPr="0066678C">
        <w:t> Prior research highlights several mechanisms to attenuate LOF:</w:t>
      </w:r>
    </w:p>
    <w:p w14:paraId="464CDAEB" w14:textId="77777777" w:rsidR="0066678C" w:rsidRPr="0066678C" w:rsidRDefault="0066678C" w:rsidP="0066678C">
      <w:pPr>
        <w:numPr>
          <w:ilvl w:val="1"/>
          <w:numId w:val="1"/>
        </w:numPr>
      </w:pPr>
      <w:r w:rsidRPr="0066678C">
        <w:rPr>
          <w:i/>
          <w:iCs/>
        </w:rPr>
        <w:t>Cooperative Structures:</w:t>
      </w:r>
      <w:r w:rsidRPr="0066678C">
        <w:t> Engaging in </w:t>
      </w:r>
      <w:r w:rsidRPr="0066678C">
        <w:rPr>
          <w:b/>
          <w:bCs/>
        </w:rPr>
        <w:t>syndication</w:t>
      </w:r>
      <w:r w:rsidRPr="0066678C">
        <w:t> alongside local syndicate partners who possess native market knowledge and established domestic networks.</w:t>
      </w:r>
    </w:p>
    <w:p w14:paraId="0D773234" w14:textId="77777777" w:rsidR="0066678C" w:rsidRPr="0066678C" w:rsidRDefault="0066678C" w:rsidP="0066678C">
      <w:pPr>
        <w:numPr>
          <w:ilvl w:val="1"/>
          <w:numId w:val="1"/>
        </w:numPr>
      </w:pPr>
      <w:r w:rsidRPr="0066678C">
        <w:rPr>
          <w:i/>
          <w:iCs/>
        </w:rPr>
        <w:t>Monitoring Mechanisms:</w:t>
      </w:r>
      <w:r w:rsidRPr="0066678C">
        <w:t> Implementing stringent monitoring, governance, and reporting systems tailored to foreign portfolio operations.</w:t>
      </w:r>
    </w:p>
    <w:p w14:paraId="30CDBDA6" w14:textId="77777777" w:rsidR="0066678C" w:rsidRPr="0066678C" w:rsidRDefault="0066678C" w:rsidP="0066678C">
      <w:pPr>
        <w:numPr>
          <w:ilvl w:val="1"/>
          <w:numId w:val="1"/>
        </w:numPr>
      </w:pPr>
      <w:r w:rsidRPr="0066678C">
        <w:rPr>
          <w:i/>
          <w:iCs/>
        </w:rPr>
        <w:t>Experiential Capital:</w:t>
      </w:r>
      <w:r w:rsidRPr="0066678C">
        <w:t> Deploying general investment experience accumulated through historical domestic investments (improving deal-screening routines) or international deal-making (fostering institutional sensitivity and cross-border adaptability).</w:t>
      </w:r>
    </w:p>
    <w:p w14:paraId="5FF14B17" w14:textId="77777777" w:rsidR="0066678C" w:rsidRPr="0066678C" w:rsidRDefault="0066678C" w:rsidP="0066678C">
      <w:pPr>
        <w:numPr>
          <w:ilvl w:val="0"/>
          <w:numId w:val="1"/>
        </w:numPr>
      </w:pPr>
      <w:r w:rsidRPr="0066678C">
        <w:rPr>
          <w:b/>
          <w:bCs/>
        </w:rPr>
        <w:t>The Primary Research Gap:</w:t>
      </w:r>
      <w:r w:rsidRPr="0066678C">
        <w:t> Existing literature focuses heavily on network ties, syndication partners, and general country-level experience, largely overlooking firm-</w:t>
      </w:r>
      <w:r w:rsidRPr="0066678C">
        <w:lastRenderedPageBreak/>
        <w:t>level sectoral capabilities. Specifically, there is a fundamental research gap regarding how the fit between a VC’s industry specialization—built on </w:t>
      </w:r>
      <w:r w:rsidRPr="0066678C">
        <w:rPr>
          <w:b/>
          <w:bCs/>
        </w:rPr>
        <w:t>tacit knowledge</w:t>
      </w:r>
      <w:r w:rsidRPr="0066678C">
        <w:t>—and the target portfolio company’s industry directly influences the probability of deploying capital internationally.</w:t>
      </w:r>
    </w:p>
    <w:p w14:paraId="46DA9DA0" w14:textId="77777777" w:rsidR="0066678C" w:rsidRPr="0066678C" w:rsidRDefault="0066678C" w:rsidP="0066678C">
      <w:pPr>
        <w:numPr>
          <w:ilvl w:val="0"/>
          <w:numId w:val="1"/>
        </w:numPr>
      </w:pPr>
      <w:r w:rsidRPr="0066678C">
        <w:rPr>
          <w:b/>
          <w:bCs/>
        </w:rPr>
        <w:t>Study Synthesis:</w:t>
      </w:r>
    </w:p>
    <w:p w14:paraId="4BDDEF05" w14:textId="77777777" w:rsidR="0066678C" w:rsidRPr="0066678C" w:rsidRDefault="0066678C" w:rsidP="0066678C">
      <w:pPr>
        <w:numPr>
          <w:ilvl w:val="1"/>
          <w:numId w:val="1"/>
        </w:numPr>
      </w:pPr>
      <w:r w:rsidRPr="0066678C">
        <w:rPr>
          <w:i/>
          <w:iCs/>
        </w:rPr>
        <w:t>Dataset:</w:t>
      </w:r>
      <w:r w:rsidRPr="0066678C">
        <w:t> A global micro-dataset of 46,525 initial venture capital investment decisions across 2,125 VC firms and 21,804 portfolio companies spanning 69 countries over a two-decade observation window (2001–2019).</w:t>
      </w:r>
    </w:p>
    <w:p w14:paraId="1C27823D" w14:textId="77777777" w:rsidR="0066678C" w:rsidRPr="0066678C" w:rsidRDefault="0066678C" w:rsidP="0066678C">
      <w:pPr>
        <w:numPr>
          <w:ilvl w:val="1"/>
          <w:numId w:val="1"/>
        </w:numPr>
      </w:pPr>
      <w:r w:rsidRPr="0066678C">
        <w:rPr>
          <w:i/>
          <w:iCs/>
        </w:rPr>
        <w:t>Methodology:</w:t>
      </w:r>
      <w:r w:rsidRPr="0066678C">
        <w:t> Binomial logistic regression modeling utilizing a 5-year rolling window to operationalize industry specialization, controlling for fixed effects, local demand, and firm-level experience while clustering standard errors at the VC firm level.</w:t>
      </w:r>
    </w:p>
    <w:p w14:paraId="32BC1575" w14:textId="77777777" w:rsidR="0066678C" w:rsidRPr="0066678C" w:rsidRDefault="0066678C" w:rsidP="0066678C">
      <w:pPr>
        <w:numPr>
          <w:ilvl w:val="1"/>
          <w:numId w:val="1"/>
        </w:numPr>
      </w:pPr>
      <w:r w:rsidRPr="0066678C">
        <w:rPr>
          <w:i/>
          <w:iCs/>
        </w:rPr>
        <w:t>Core Finding:</w:t>
      </w:r>
      <w:r w:rsidRPr="0066678C">
        <w:t> Firm-level </w:t>
      </w:r>
      <w:r w:rsidRPr="0066678C">
        <w:rPr>
          <w:b/>
          <w:bCs/>
        </w:rPr>
        <w:t>industry specialization</w:t>
      </w:r>
      <w:r w:rsidRPr="0066678C">
        <w:t> significantly increases the likelihood of cross-border capital deployment by mitigating LOF through specialized domain expertise and driving investors abroad as domestic industry options saturate.</w:t>
      </w:r>
    </w:p>
    <w:p w14:paraId="7490054A" w14:textId="77777777" w:rsidR="0066678C" w:rsidRPr="0066678C" w:rsidRDefault="0066678C" w:rsidP="0066678C">
      <w:r w:rsidRPr="0066678C">
        <w:rPr>
          <w:b/>
          <w:bCs/>
        </w:rPr>
        <w:t>Takeaway:</w:t>
      </w:r>
      <w:r w:rsidRPr="0066678C">
        <w:t> Venture capitalists’ industry specialization serves as a direct capability-based mechanism to overcome the liability of foreignness, significantly driving cross-border venture capital investments.</w:t>
      </w:r>
    </w:p>
    <w:p w14:paraId="5427D547" w14:textId="77777777" w:rsidR="0066678C" w:rsidRPr="0066678C" w:rsidRDefault="0066678C" w:rsidP="0066678C">
      <w:r w:rsidRPr="0066678C">
        <w:t>The following section establishes the theoretical framework and formalizes the hypotheses linking industry specialization, institutional dynamics, and deal-level characteristics.</w:t>
      </w:r>
    </w:p>
    <w:p w14:paraId="172DE621" w14:textId="77777777" w:rsidR="0066678C" w:rsidRPr="0066678C" w:rsidRDefault="0066678C" w:rsidP="0066678C">
      <w:pPr>
        <w:rPr>
          <w:b/>
          <w:bCs/>
        </w:rPr>
      </w:pPr>
      <w:r w:rsidRPr="0066678C">
        <w:rPr>
          <w:b/>
          <w:bCs/>
        </w:rPr>
        <w:t>2 Theoretical considerations and development of hypotheses</w:t>
      </w:r>
    </w:p>
    <w:p w14:paraId="56E23197" w14:textId="77777777" w:rsidR="0066678C" w:rsidRPr="0066678C" w:rsidRDefault="0066678C" w:rsidP="0066678C">
      <w:r w:rsidRPr="0066678C">
        <w:t>To explain international capital deployment, this study synthesizes the institution-based view with the </w:t>
      </w:r>
      <w:r w:rsidRPr="0066678C">
        <w:rPr>
          <w:b/>
          <w:bCs/>
        </w:rPr>
        <w:t>resource-based view (RBV)</w:t>
      </w:r>
      <w:r w:rsidRPr="0066678C">
        <w:t>. While the institution-based view emphasizes macro-level frameworks—such as legal transparency and cultural distance—the resource-based view centers on internal firm capabilities as sources of competitive advantage. Integrating these perspectives demonstrates that an investor's internal domain expertise interacts dynamically with external institutional and market conditions to dictate foreign capital deployment.</w:t>
      </w:r>
    </w:p>
    <w:p w14:paraId="3E955123" w14:textId="77777777" w:rsidR="0066678C" w:rsidRPr="0066678C" w:rsidRDefault="0066678C" w:rsidP="0066678C">
      <w:pPr>
        <w:rPr>
          <w:b/>
          <w:bCs/>
        </w:rPr>
      </w:pPr>
      <w:r w:rsidRPr="0066678C">
        <w:rPr>
          <w:b/>
          <w:bCs/>
        </w:rPr>
        <w:t>2.1 Institutional drivers of international venture capital investments</w:t>
      </w:r>
    </w:p>
    <w:p w14:paraId="0156790C" w14:textId="77777777" w:rsidR="0066678C" w:rsidRPr="0066678C" w:rsidRDefault="0066678C" w:rsidP="0066678C">
      <w:r w:rsidRPr="0066678C">
        <w:t>At the macro level, cross-border venture capital flows are heavily governed by institutional framework conditions:</w:t>
      </w:r>
    </w:p>
    <w:p w14:paraId="6D6E5FDA" w14:textId="77777777" w:rsidR="0066678C" w:rsidRPr="0066678C" w:rsidRDefault="0066678C" w:rsidP="0066678C">
      <w:pPr>
        <w:numPr>
          <w:ilvl w:val="0"/>
          <w:numId w:val="2"/>
        </w:numPr>
      </w:pPr>
      <w:r w:rsidRPr="0066678C">
        <w:rPr>
          <w:b/>
          <w:bCs/>
        </w:rPr>
        <w:lastRenderedPageBreak/>
        <w:t>Target Market Pull Factors:</w:t>
      </w:r>
      <w:r w:rsidRPr="0066678C">
        <w:t> Investors prefer target countries featuring highly transparent legal systems, regulatory stability, and strong institutional protections, which lower screening and governance costs. Furthermore, market selection is guided by cultural and linguistic proximity (e.g., shared official languages or common historical ties) and rapid economic growth. Economic dynamism often manifests through thriving </w:t>
      </w:r>
      <w:r w:rsidRPr="0066678C">
        <w:rPr>
          <w:b/>
          <w:bCs/>
        </w:rPr>
        <w:t>entrepreneurial ecosystems</w:t>
      </w:r>
      <w:r w:rsidRPr="0066678C">
        <w:t>—interconnected networks of financial intermediaries, research institutions, suppliers, and regulatory bodies that generate high-quality venture targets.</w:t>
      </w:r>
    </w:p>
    <w:p w14:paraId="3E602BA0" w14:textId="77777777" w:rsidR="0066678C" w:rsidRPr="0066678C" w:rsidRDefault="0066678C" w:rsidP="0066678C">
      <w:pPr>
        <w:numPr>
          <w:ilvl w:val="0"/>
          <w:numId w:val="2"/>
        </w:numPr>
      </w:pPr>
      <w:r w:rsidRPr="0066678C">
        <w:rPr>
          <w:b/>
          <w:bCs/>
        </w:rPr>
        <w:t>Home Market Push Factors:</w:t>
      </w:r>
      <w:r w:rsidRPr="0066678C">
        <w:t> International capital flows are also conditioned by structural drivers in VCs' home markets. Extended periods of low global interest rates have historically elevated venture capital's appeal as an asset class, increasing competition for domestic deals. This competitive pressure, combined with unprecedented accumulations of </w:t>
      </w:r>
      <w:r w:rsidRPr="0066678C">
        <w:rPr>
          <w:b/>
          <w:bCs/>
        </w:rPr>
        <w:t>dry powder</w:t>
      </w:r>
      <w:r w:rsidRPr="0066678C">
        <w:t> (committed, unallocated capital), compels VC firms to expand their deal-search radius across international borders.</w:t>
      </w:r>
    </w:p>
    <w:p w14:paraId="0A76810E" w14:textId="77777777" w:rsidR="0066678C" w:rsidRPr="0066678C" w:rsidRDefault="0066678C" w:rsidP="0066678C">
      <w:r w:rsidRPr="0066678C">
        <w:rPr>
          <w:b/>
          <w:bCs/>
        </w:rPr>
        <w:t>Takeaway:</w:t>
      </w:r>
      <w:r w:rsidRPr="0066678C">
        <w:t> Macro-level institutional stability and target market ecosystem vitality attract cross-border capital, while domestic target saturation and unallocated capital reserves push investors abroad.</w:t>
      </w:r>
    </w:p>
    <w:p w14:paraId="7F41A716" w14:textId="77777777" w:rsidR="0066678C" w:rsidRPr="0066678C" w:rsidRDefault="0066678C" w:rsidP="0066678C">
      <w:pPr>
        <w:rPr>
          <w:b/>
          <w:bCs/>
        </w:rPr>
      </w:pPr>
      <w:r w:rsidRPr="0066678C">
        <w:rPr>
          <w:b/>
          <w:bCs/>
        </w:rPr>
        <w:t>2.2 Firm-specific drivers and the importance of industry specialization</w:t>
      </w:r>
    </w:p>
    <w:p w14:paraId="14B3EF41" w14:textId="77777777" w:rsidR="0066678C" w:rsidRPr="0066678C" w:rsidRDefault="0066678C" w:rsidP="0066678C">
      <w:r w:rsidRPr="0066678C">
        <w:t>Applying the </w:t>
      </w:r>
      <w:r w:rsidRPr="0066678C">
        <w:rPr>
          <w:b/>
          <w:bCs/>
        </w:rPr>
        <w:t>resource-based view (RBV)</w:t>
      </w:r>
      <w:r w:rsidRPr="0066678C">
        <w:t>, a VC firm's internal capabilities represent proprietary assets that yield sustained competitive advantages in complex deal environments. While human capital (managerial experience) and social capital (syndicate networks) facilitate internationalization, sector-specific capital—termed </w:t>
      </w:r>
      <w:r w:rsidRPr="0066678C">
        <w:rPr>
          <w:b/>
          <w:bCs/>
        </w:rPr>
        <w:t>industry specialization</w:t>
      </w:r>
      <w:r w:rsidRPr="0066678C">
        <w:t>—operates through a distinct mechanism:</w:t>
      </w:r>
    </w:p>
    <w:p w14:paraId="55EE589E" w14:textId="77777777" w:rsidR="0066678C" w:rsidRPr="0066678C" w:rsidRDefault="0066678C" w:rsidP="0066678C">
      <w:pPr>
        <w:numPr>
          <w:ilvl w:val="0"/>
          <w:numId w:val="3"/>
        </w:numPr>
      </w:pPr>
      <w:r w:rsidRPr="0066678C">
        <w:rPr>
          <w:b/>
          <w:bCs/>
        </w:rPr>
        <w:t>Tacit Knowledge &amp; LOF Reduction:</w:t>
      </w:r>
      <w:r w:rsidRPr="0066678C">
        <w:t> Specialization is built over time through repeated deal-making within a specific sector, generating deep, non-codifiable </w:t>
      </w:r>
      <w:r w:rsidRPr="0066678C">
        <w:rPr>
          <w:b/>
          <w:bCs/>
        </w:rPr>
        <w:t>tacit knowledge</w:t>
      </w:r>
      <w:r w:rsidRPr="0066678C">
        <w:t>. This domain expertise enhances an investor's ability to evaluate complex technological products, interpret specialized business models, and assess market viability across borders. Post-investment, specialized VCs provide tailored value-added support—such as recruiting technical talent, securing specialized distribution channels, and facilitating key customer introductions—thereby lowering the operational hazards associated with LOF.</w:t>
      </w:r>
    </w:p>
    <w:p w14:paraId="33CA9498" w14:textId="77777777" w:rsidR="0066678C" w:rsidRPr="0066678C" w:rsidRDefault="0066678C" w:rsidP="0066678C">
      <w:pPr>
        <w:numPr>
          <w:ilvl w:val="0"/>
          <w:numId w:val="3"/>
        </w:numPr>
      </w:pPr>
      <w:r w:rsidRPr="0066678C">
        <w:rPr>
          <w:b/>
          <w:bCs/>
        </w:rPr>
        <w:t>Dual Mechanism (Capability Pull vs. Saturation Push):</w:t>
      </w:r>
      <w:r w:rsidRPr="0066678C">
        <w:t xml:space="preserve"> Industry specialization acts simultaneously as a learning-driven "capability pull" (lowering perceived cross-border investment risk) and a structural "domestic saturation push." As a VC's </w:t>
      </w:r>
      <w:r w:rsidRPr="0066678C">
        <w:lastRenderedPageBreak/>
        <w:t>specialization increases within a specific sector, the pool of viable domestic targets matching its refined investment scope contracts, forcing the firm to search internationally for suitable deal flow.</w:t>
      </w:r>
    </w:p>
    <w:p w14:paraId="7DB353F8" w14:textId="77777777" w:rsidR="0066678C" w:rsidRPr="0066678C" w:rsidRDefault="0066678C" w:rsidP="0066678C">
      <w:r w:rsidRPr="0066678C">
        <w:rPr>
          <w:b/>
          <w:bCs/>
        </w:rPr>
        <w:t>Hypothesis 1 (H1):</w:t>
      </w:r>
      <w:r w:rsidRPr="0066678C">
        <w:t> </w:t>
      </w:r>
      <w:r w:rsidRPr="0066678C">
        <w:rPr>
          <w:i/>
          <w:iCs/>
        </w:rPr>
        <w:t>Venture capitalists’ degree of specialization is positively related to the probability of internationalization.</w:t>
      </w:r>
    </w:p>
    <w:p w14:paraId="63A95F9B" w14:textId="77777777" w:rsidR="0066678C" w:rsidRPr="0066678C" w:rsidRDefault="0066678C" w:rsidP="0066678C">
      <w:r w:rsidRPr="0066678C">
        <w:rPr>
          <w:b/>
          <w:bCs/>
        </w:rPr>
        <w:t>Takeaway:</w:t>
      </w:r>
      <w:r w:rsidRPr="0066678C">
        <w:t> Industry specialization builds domain-specific tacit knowledge that mitigates the liability of foreignness and compels highly specialized VCs to seek deal flow beyond saturated domestic markets.</w:t>
      </w:r>
    </w:p>
    <w:p w14:paraId="73C5A994" w14:textId="77777777" w:rsidR="0066678C" w:rsidRPr="0066678C" w:rsidRDefault="0066678C" w:rsidP="0066678C">
      <w:pPr>
        <w:rPr>
          <w:b/>
          <w:bCs/>
        </w:rPr>
      </w:pPr>
      <w:r w:rsidRPr="0066678C">
        <w:rPr>
          <w:b/>
          <w:bCs/>
        </w:rPr>
        <w:t>2.3 Market-level and portfolio company-level determinants influencing venture capitalists’ decisions to invest abroad</w:t>
      </w:r>
    </w:p>
    <w:p w14:paraId="01077EAB" w14:textId="77777777" w:rsidR="0066678C" w:rsidRPr="0066678C" w:rsidRDefault="0066678C" w:rsidP="0066678C">
      <w:r w:rsidRPr="0066678C">
        <w:t>The relationship between VC industry specialization and foreign investment decisions is moderated by information asymmetries present at the target market and target company levels. When deal-specific or ecosystem-specific information asymmetries are lower, an investor's internal specialized domain expertise becomes less critical to bridging knowledge gaps.</w:t>
      </w:r>
    </w:p>
    <w:p w14:paraId="179308D1" w14:textId="77777777" w:rsidR="0066678C" w:rsidRPr="0066678C" w:rsidRDefault="0066678C" w:rsidP="0066678C">
      <w:r w:rsidRPr="0066678C">
        <w:t>+-------------------------------------------------------------------+</w:t>
      </w:r>
    </w:p>
    <w:p w14:paraId="7EC5F138" w14:textId="77777777" w:rsidR="0066678C" w:rsidRPr="0066678C" w:rsidRDefault="0066678C" w:rsidP="0066678C">
      <w:r w:rsidRPr="0066678C">
        <w:t>|                   Industry Specialization (H1)                    |</w:t>
      </w:r>
    </w:p>
    <w:p w14:paraId="0AC3FF00" w14:textId="77777777" w:rsidR="0066678C" w:rsidRPr="0066678C" w:rsidRDefault="0066678C" w:rsidP="0066678C">
      <w:r w:rsidRPr="0066678C">
        <w:t xml:space="preserve">|    </w:t>
      </w:r>
      <w:proofErr w:type="gramStart"/>
      <w:r w:rsidRPr="0066678C">
        <w:t xml:space="preserve">   (</w:t>
      </w:r>
      <w:proofErr w:type="gramEnd"/>
      <w:r w:rsidRPr="0066678C">
        <w:t xml:space="preserve">Proportional past sector investments, 5-yr </w:t>
      </w:r>
      <w:proofErr w:type="gramStart"/>
      <w:r w:rsidRPr="0066678C">
        <w:t xml:space="preserve">rolling)   </w:t>
      </w:r>
      <w:proofErr w:type="gramEnd"/>
      <w:r w:rsidRPr="0066678C">
        <w:t xml:space="preserve">     |</w:t>
      </w:r>
    </w:p>
    <w:p w14:paraId="1C1A5248" w14:textId="77777777" w:rsidR="0066678C" w:rsidRPr="0066678C" w:rsidRDefault="0066678C" w:rsidP="0066678C">
      <w:r w:rsidRPr="0066678C">
        <w:t>+-------------------------------------------------------------------+</w:t>
      </w:r>
    </w:p>
    <w:p w14:paraId="38D35F3C" w14:textId="77777777" w:rsidR="0066678C" w:rsidRPr="0066678C" w:rsidRDefault="0066678C" w:rsidP="0066678C">
      <w:r w:rsidRPr="0066678C">
        <w:t xml:space="preserve">                                  |</w:t>
      </w:r>
    </w:p>
    <w:p w14:paraId="1FF95ACA" w14:textId="77777777" w:rsidR="0066678C" w:rsidRPr="0066678C" w:rsidRDefault="0066678C" w:rsidP="0066678C">
      <w:r w:rsidRPr="0066678C">
        <w:t xml:space="preserve">                                  v</w:t>
      </w:r>
    </w:p>
    <w:p w14:paraId="3C1CB0A1" w14:textId="77777777" w:rsidR="0066678C" w:rsidRPr="0066678C" w:rsidRDefault="0066678C" w:rsidP="0066678C">
      <w:r w:rsidRPr="0066678C">
        <w:t>+-------------------------------------------------------------------+</w:t>
      </w:r>
    </w:p>
    <w:p w14:paraId="33B0E1A3" w14:textId="77777777" w:rsidR="0066678C" w:rsidRPr="0066678C" w:rsidRDefault="0066678C" w:rsidP="0066678C">
      <w:r w:rsidRPr="0066678C">
        <w:t>|               Probability of Cross-Border Investment              |</w:t>
      </w:r>
    </w:p>
    <w:p w14:paraId="23CCF931" w14:textId="77777777" w:rsidR="0066678C" w:rsidRPr="0066678C" w:rsidRDefault="0066678C" w:rsidP="0066678C">
      <w:r w:rsidRPr="0066678C">
        <w:t>+-------------------------------------------------------------------+</w:t>
      </w:r>
    </w:p>
    <w:p w14:paraId="09809184" w14:textId="77777777" w:rsidR="0066678C" w:rsidRPr="0066678C" w:rsidRDefault="0066678C" w:rsidP="0066678C">
      <w:r w:rsidRPr="0066678C">
        <w:t xml:space="preserve">                                  ^</w:t>
      </w:r>
    </w:p>
    <w:p w14:paraId="245B17B9" w14:textId="77777777" w:rsidR="0066678C" w:rsidRPr="0066678C" w:rsidRDefault="0066678C" w:rsidP="0066678C">
      <w:r w:rsidRPr="0066678C">
        <w:t xml:space="preserve">                                  |</w:t>
      </w:r>
    </w:p>
    <w:p w14:paraId="55A9D279" w14:textId="77777777" w:rsidR="0066678C" w:rsidRPr="0066678C" w:rsidRDefault="0066678C" w:rsidP="0066678C">
      <w:r w:rsidRPr="0066678C">
        <w:t xml:space="preserve">            +---------------------+---------------------+</w:t>
      </w:r>
    </w:p>
    <w:p w14:paraId="6EFC439F" w14:textId="77777777" w:rsidR="0066678C" w:rsidRPr="0066678C" w:rsidRDefault="0066678C" w:rsidP="0066678C">
      <w:r w:rsidRPr="0066678C">
        <w:t xml:space="preserve">            |                                           |</w:t>
      </w:r>
    </w:p>
    <w:p w14:paraId="5EBB1888" w14:textId="77777777" w:rsidR="0066678C" w:rsidRPr="0066678C" w:rsidRDefault="0066678C" w:rsidP="0066678C">
      <w:r w:rsidRPr="0066678C">
        <w:t xml:space="preserve">  [Market-Level </w:t>
      </w:r>
      <w:proofErr w:type="gramStart"/>
      <w:r w:rsidRPr="0066678C">
        <w:t xml:space="preserve">Moderator]   </w:t>
      </w:r>
      <w:proofErr w:type="gramEnd"/>
      <w:r w:rsidRPr="0066678C">
        <w:t xml:space="preserve">             </w:t>
      </w:r>
      <w:proofErr w:type="gramStart"/>
      <w:r w:rsidRPr="0066678C">
        <w:t xml:space="preserve">   [</w:t>
      </w:r>
      <w:proofErr w:type="gramEnd"/>
      <w:r w:rsidRPr="0066678C">
        <w:t>Company-Level Moderators]</w:t>
      </w:r>
    </w:p>
    <w:p w14:paraId="4AA8F74B" w14:textId="77777777" w:rsidR="0066678C" w:rsidRPr="0066678C" w:rsidRDefault="0066678C" w:rsidP="0066678C">
      <w:r w:rsidRPr="0066678C">
        <w:lastRenderedPageBreak/>
        <w:t xml:space="preserve">  • H2a: Start-up Hub (-)                     • H2b: Funding Round (-)</w:t>
      </w:r>
    </w:p>
    <w:p w14:paraId="4F23C293" w14:textId="77777777" w:rsidR="0066678C" w:rsidRPr="0066678C" w:rsidRDefault="0066678C" w:rsidP="0066678C">
      <w:r w:rsidRPr="0066678C">
        <w:t xml:space="preserve">                                              • H2c: Funding to Date (-)</w:t>
      </w:r>
    </w:p>
    <w:p w14:paraId="29EC6270" w14:textId="77777777" w:rsidR="0066678C" w:rsidRPr="0066678C" w:rsidRDefault="0066678C" w:rsidP="0066678C">
      <w:r w:rsidRPr="0066678C">
        <w:t xml:space="preserve">                                              • H2d: Company Age (-)</w:t>
      </w:r>
    </w:p>
    <w:p w14:paraId="6C891EC7" w14:textId="77777777" w:rsidR="0066678C" w:rsidRPr="0066678C" w:rsidRDefault="0066678C" w:rsidP="0066678C">
      <w:pPr>
        <w:numPr>
          <w:ilvl w:val="0"/>
          <w:numId w:val="4"/>
        </w:numPr>
      </w:pPr>
      <w:r w:rsidRPr="0066678C">
        <w:rPr>
          <w:b/>
          <w:bCs/>
        </w:rPr>
        <w:t>Evolved Entrepreneurial Ecosystems / Start-up Hubs:</w:t>
      </w:r>
      <w:r w:rsidRPr="0066678C">
        <w:t> Start-up hubs feature high densities of specialized service providers, technical networks, and alternative funding sources. These local support structures substitute for an investor's hands-on managerial guidance, lowering the reliance on the VC's individual tacit knowledge.</w:t>
      </w:r>
    </w:p>
    <w:p w14:paraId="636EAC0E" w14:textId="77777777" w:rsidR="0066678C" w:rsidRPr="0066678C" w:rsidRDefault="0066678C" w:rsidP="0066678C">
      <w:r w:rsidRPr="0066678C">
        <w:rPr>
          <w:b/>
          <w:bCs/>
        </w:rPr>
        <w:t>Hypothesis 2a (H2a):</w:t>
      </w:r>
      <w:r w:rsidRPr="0066678C">
        <w:t> </w:t>
      </w:r>
      <w:r w:rsidRPr="0066678C">
        <w:rPr>
          <w:i/>
          <w:iCs/>
        </w:rPr>
        <w:t xml:space="preserve">If the portfolio company </w:t>
      </w:r>
      <w:proofErr w:type="gramStart"/>
      <w:r w:rsidRPr="0066678C">
        <w:rPr>
          <w:i/>
          <w:iCs/>
        </w:rPr>
        <w:t>is located in</w:t>
      </w:r>
      <w:proofErr w:type="gramEnd"/>
      <w:r w:rsidRPr="0066678C">
        <w:rPr>
          <w:i/>
          <w:iCs/>
        </w:rPr>
        <w:t xml:space="preserve"> an evolved entrepreneurial ecosystem, this negatively moderates the relationship between specialization and internationalization.</w:t>
      </w:r>
    </w:p>
    <w:p w14:paraId="27CB875A" w14:textId="77777777" w:rsidR="0066678C" w:rsidRPr="0066678C" w:rsidRDefault="0066678C" w:rsidP="0066678C">
      <w:pPr>
        <w:numPr>
          <w:ilvl w:val="0"/>
          <w:numId w:val="5"/>
        </w:numPr>
      </w:pPr>
      <w:r w:rsidRPr="0066678C">
        <w:rPr>
          <w:b/>
          <w:bCs/>
        </w:rPr>
        <w:t>Funding Round / Staged Financing:</w:t>
      </w:r>
      <w:r w:rsidRPr="0066678C">
        <w:t> Staging investments across multiple rounds generates certification effects and reduces operational uncertainty. Later-stage initial investments feature longer operational track records and prior investor validation, mitigating information asymmetries for new cross-border entrants.</w:t>
      </w:r>
    </w:p>
    <w:p w14:paraId="4614619C" w14:textId="77777777" w:rsidR="0066678C" w:rsidRPr="0066678C" w:rsidRDefault="0066678C" w:rsidP="0066678C">
      <w:r w:rsidRPr="0066678C">
        <w:rPr>
          <w:b/>
          <w:bCs/>
        </w:rPr>
        <w:t>Hypothesis 2b (H2b):</w:t>
      </w:r>
      <w:r w:rsidRPr="0066678C">
        <w:t> </w:t>
      </w:r>
      <w:r w:rsidRPr="0066678C">
        <w:rPr>
          <w:i/>
          <w:iCs/>
        </w:rPr>
        <w:t>If the firm initially invests in a later round, this negatively moderates the relationship between specialization and internationalization.</w:t>
      </w:r>
    </w:p>
    <w:p w14:paraId="16F17651" w14:textId="77777777" w:rsidR="0066678C" w:rsidRPr="0066678C" w:rsidRDefault="0066678C" w:rsidP="0066678C">
      <w:pPr>
        <w:numPr>
          <w:ilvl w:val="0"/>
          <w:numId w:val="6"/>
        </w:numPr>
      </w:pPr>
      <w:r w:rsidRPr="0066678C">
        <w:rPr>
          <w:b/>
          <w:bCs/>
        </w:rPr>
        <w:t>Portfolio Company Funding to Date:</w:t>
      </w:r>
      <w:r w:rsidRPr="0066678C">
        <w:t> Cumulated equity capital raised signals company quality and organizational maturity. High funding to date indicates that early operational challenges have been addressed by incumbent backers, reducing the necessity for additional specialized investor guidance.</w:t>
      </w:r>
    </w:p>
    <w:p w14:paraId="4854B055" w14:textId="77777777" w:rsidR="0066678C" w:rsidRPr="0066678C" w:rsidRDefault="0066678C" w:rsidP="0066678C">
      <w:r w:rsidRPr="0066678C">
        <w:rPr>
          <w:b/>
          <w:bCs/>
        </w:rPr>
        <w:t>Hypothesis 2c (H2c):</w:t>
      </w:r>
      <w:r w:rsidRPr="0066678C">
        <w:t> </w:t>
      </w:r>
      <w:r w:rsidRPr="0066678C">
        <w:rPr>
          <w:i/>
          <w:iCs/>
        </w:rPr>
        <w:t>The higher the portfolio company’s funding, the lower the influence of industry specialization on the probability of a cross-border deal.</w:t>
      </w:r>
    </w:p>
    <w:p w14:paraId="73FD7B7A" w14:textId="77777777" w:rsidR="0066678C" w:rsidRPr="0066678C" w:rsidRDefault="0066678C" w:rsidP="0066678C">
      <w:pPr>
        <w:numPr>
          <w:ilvl w:val="0"/>
          <w:numId w:val="7"/>
        </w:numPr>
      </w:pPr>
      <w:r w:rsidRPr="0066678C">
        <w:rPr>
          <w:b/>
          <w:bCs/>
        </w:rPr>
        <w:t>Portfolio Company Age:</w:t>
      </w:r>
      <w:r w:rsidRPr="0066678C">
        <w:t> Mature portfolio companies possess established operational routines, clearer financial track records, and existing revenue streams. These attributes lower ex-ante evaluation uncertainty, reducing the necessity for investor industry specialization.</w:t>
      </w:r>
    </w:p>
    <w:p w14:paraId="5E76E5EA" w14:textId="77777777" w:rsidR="0066678C" w:rsidRPr="0066678C" w:rsidRDefault="0066678C" w:rsidP="0066678C">
      <w:r w:rsidRPr="0066678C">
        <w:rPr>
          <w:b/>
          <w:bCs/>
        </w:rPr>
        <w:t>Hypothesis 2d (H2d):</w:t>
      </w:r>
      <w:r w:rsidRPr="0066678C">
        <w:t> </w:t>
      </w:r>
      <w:r w:rsidRPr="0066678C">
        <w:rPr>
          <w:i/>
          <w:iCs/>
        </w:rPr>
        <w:t>The older the portfolio company, the lower the influence of industry specialization on the probability of a cross-border deal.</w:t>
      </w:r>
    </w:p>
    <w:p w14:paraId="125F1FBF" w14:textId="77777777" w:rsidR="0066678C" w:rsidRPr="0066678C" w:rsidRDefault="0066678C" w:rsidP="0066678C">
      <w:r w:rsidRPr="0066678C">
        <w:rPr>
          <w:b/>
          <w:bCs/>
        </w:rPr>
        <w:t>Takeaway:</w:t>
      </w:r>
      <w:r w:rsidRPr="0066678C">
        <w:t> External market signals and portfolio company indicators that lower baseline information asymmetries reduce the strategic necessity of VC industry specialization in foreign investment decisions.</w:t>
      </w:r>
    </w:p>
    <w:p w14:paraId="66519EC7" w14:textId="77777777" w:rsidR="0066678C" w:rsidRPr="0066678C" w:rsidRDefault="0066678C" w:rsidP="0066678C">
      <w:r w:rsidRPr="0066678C">
        <w:lastRenderedPageBreak/>
        <w:t>The empirical methodology and dataset constructed to test these hypotheses are outlined below.</w:t>
      </w:r>
    </w:p>
    <w:p w14:paraId="64452191" w14:textId="77777777" w:rsidR="0066678C" w:rsidRPr="0066678C" w:rsidRDefault="0066678C" w:rsidP="0066678C">
      <w:pPr>
        <w:rPr>
          <w:b/>
          <w:bCs/>
        </w:rPr>
      </w:pPr>
      <w:r w:rsidRPr="0066678C">
        <w:rPr>
          <w:b/>
          <w:bCs/>
        </w:rPr>
        <w:t>3 Data and methodology</w:t>
      </w:r>
    </w:p>
    <w:p w14:paraId="4B259962" w14:textId="77777777" w:rsidR="0066678C" w:rsidRPr="0066678C" w:rsidRDefault="0066678C" w:rsidP="0066678C">
      <w:r w:rsidRPr="0066678C">
        <w:t>To evaluate the proposed hypotheses, the study relies on deal-level micro-data tracking worldwide initial venture investments over a 19-year period (2001–2019). The econometric approach isolates initial internationalization choices from subsequent follow-on decisions using non-linear estimation techniques.</w:t>
      </w:r>
    </w:p>
    <w:p w14:paraId="7C7A190B" w14:textId="77777777" w:rsidR="0066678C" w:rsidRPr="0066678C" w:rsidRDefault="0066678C" w:rsidP="0066678C">
      <w:pPr>
        <w:rPr>
          <w:b/>
          <w:bCs/>
        </w:rPr>
      </w:pPr>
      <w:r w:rsidRPr="0066678C">
        <w:rPr>
          <w:b/>
          <w:bCs/>
        </w:rPr>
        <w:t>3.1 Data on venture capitalists’ investment decisions</w:t>
      </w:r>
    </w:p>
    <w:p w14:paraId="731FB008" w14:textId="77777777" w:rsidR="0066678C" w:rsidRPr="0066678C" w:rsidRDefault="0066678C" w:rsidP="0066678C">
      <w:r w:rsidRPr="0066678C">
        <w:t xml:space="preserve">The empirical dataset is drawn from Refinitiv Eikon (formerly Thomson Financial </w:t>
      </w:r>
      <w:proofErr w:type="spellStart"/>
      <w:r w:rsidRPr="0066678C">
        <w:t>VentureXpert</w:t>
      </w:r>
      <w:proofErr w:type="spellEnd"/>
      <w:r w:rsidRPr="0066678C">
        <w:t>). The primary sample consists of </w:t>
      </w:r>
      <w:r w:rsidRPr="0066678C">
        <w:rPr>
          <w:b/>
          <w:bCs/>
        </w:rPr>
        <w:t>46,525 initial investment decisions</w:t>
      </w:r>
      <w:r w:rsidRPr="0066678C">
        <w:t> made by </w:t>
      </w:r>
      <w:r w:rsidRPr="0066678C">
        <w:rPr>
          <w:b/>
          <w:bCs/>
        </w:rPr>
        <w:t>2,125 independent venture capital firms</w:t>
      </w:r>
      <w:r w:rsidRPr="0066678C">
        <w:t> into </w:t>
      </w:r>
      <w:r w:rsidRPr="0066678C">
        <w:rPr>
          <w:b/>
          <w:bCs/>
        </w:rPr>
        <w:t>21,804 portfolio companies</w:t>
      </w:r>
      <w:r w:rsidRPr="0066678C">
        <w:t> across </w:t>
      </w:r>
      <w:r w:rsidRPr="0066678C">
        <w:rPr>
          <w:b/>
          <w:bCs/>
        </w:rPr>
        <w:t>69 countries</w:t>
      </w:r>
      <w:r w:rsidRPr="0066678C">
        <w:t>.</w:t>
      </w:r>
    </w:p>
    <w:p w14:paraId="21B11879" w14:textId="77777777" w:rsidR="0066678C" w:rsidRPr="0066678C" w:rsidRDefault="0066678C" w:rsidP="0066678C">
      <w:r w:rsidRPr="0066678C">
        <w:t>The observation window spans major macroeconomic shifts, including the 2008 global financial crisis. The analysis strictly excludes follow-on investments in existing portfolio companies.</w:t>
      </w:r>
    </w:p>
    <w:p w14:paraId="22048D49" w14:textId="77777777" w:rsidR="0066678C" w:rsidRPr="0066678C" w:rsidRDefault="0066678C" w:rsidP="0066678C">
      <w:r w:rsidRPr="0066678C">
        <w:rPr>
          <w:b/>
          <w:bCs/>
        </w:rPr>
        <w:t>Exam Flashpoint — Sample Filtering Mechanics:</w:t>
      </w:r>
      <w:r w:rsidRPr="0066678C">
        <w:t> Why are follow-on investments strictly excluded? Follow-on deals occur after an investor has already acquired private internal knowledge about the target's operations, management, and local regulatory environment during Round 1. Consequently, follow-on investments reflect repeat-stage risk management, anti-dilution protection, or milestone fulfillment rather than initial foreign market entry decisions. Including follow-on deals would confound the empirical measurement of cross-border entry hazards.</w:t>
      </w:r>
    </w:p>
    <w:p w14:paraId="23ACED42" w14:textId="77777777" w:rsidR="0066678C" w:rsidRPr="0066678C" w:rsidRDefault="0066678C" w:rsidP="0066678C">
      <w:pPr>
        <w:rPr>
          <w:b/>
          <w:bCs/>
        </w:rPr>
      </w:pPr>
      <w:r w:rsidRPr="0066678C">
        <w:rPr>
          <w:b/>
          <w:bCs/>
        </w:rPr>
        <w:t>3.2 Dependent variable</w:t>
      </w:r>
    </w:p>
    <w:p w14:paraId="3C16B83F" w14:textId="77777777" w:rsidR="0066678C" w:rsidRPr="0066678C" w:rsidRDefault="0066678C" w:rsidP="0066678C">
      <w:r w:rsidRPr="0066678C">
        <w:t>The dependent variable, Cross-border deal, is operationalized as a binary indicator:</w:t>
      </w:r>
    </w:p>
    <w:p w14:paraId="4EA7165D" w14:textId="77777777" w:rsidR="0066678C" w:rsidRPr="0066678C" w:rsidRDefault="0066678C" w:rsidP="0066678C">
      <w:r w:rsidRPr="0066678C">
        <w:t>\</w:t>
      </w:r>
      <w:proofErr w:type="gramStart"/>
      <w:r w:rsidRPr="0066678C">
        <w:t>text{</w:t>
      </w:r>
      <w:proofErr w:type="gramEnd"/>
      <w:r w:rsidRPr="0066678C">
        <w:t>Cross-border deal} = \begin{cases} 1 &amp; \</w:t>
      </w:r>
      <w:proofErr w:type="gramStart"/>
      <w:r w:rsidRPr="0066678C">
        <w:t>text{</w:t>
      </w:r>
      <w:proofErr w:type="gramEnd"/>
      <w:r w:rsidRPr="0066678C">
        <w:t>if the VC firm and portfolio company are headquartered in different countries} \\ 0 &amp; \</w:t>
      </w:r>
      <w:proofErr w:type="gramStart"/>
      <w:r w:rsidRPr="0066678C">
        <w:t>text{</w:t>
      </w:r>
      <w:proofErr w:type="gramEnd"/>
      <w:r w:rsidRPr="0066678C">
        <w:t xml:space="preserve">if both entities </w:t>
      </w:r>
      <w:proofErr w:type="gramStart"/>
      <w:r w:rsidRPr="0066678C">
        <w:t>are located in</w:t>
      </w:r>
      <w:proofErr w:type="gramEnd"/>
      <w:r w:rsidRPr="0066678C">
        <w:t xml:space="preserve"> the same country (domestic deal)} \end{cases}</w:t>
      </w:r>
    </w:p>
    <w:p w14:paraId="7B11C094" w14:textId="77777777" w:rsidR="0066678C" w:rsidRPr="0066678C" w:rsidRDefault="0066678C" w:rsidP="0066678C">
      <w:pPr>
        <w:rPr>
          <w:b/>
          <w:bCs/>
        </w:rPr>
      </w:pPr>
      <w:r w:rsidRPr="0066678C">
        <w:rPr>
          <w:b/>
          <w:bCs/>
        </w:rPr>
        <w:t>3.3 Independent variables</w:t>
      </w:r>
    </w:p>
    <w:p w14:paraId="7315E2F3" w14:textId="77777777" w:rsidR="0066678C" w:rsidRPr="0066678C" w:rsidRDefault="0066678C" w:rsidP="0066678C">
      <w:pPr>
        <w:numPr>
          <w:ilvl w:val="0"/>
          <w:numId w:val="8"/>
        </w:numPr>
      </w:pPr>
      <w:r w:rsidRPr="0066678C">
        <w:t>Industry specialization: Measured as a ratio variable using a </w:t>
      </w:r>
      <w:r w:rsidRPr="0066678C">
        <w:rPr>
          <w:b/>
          <w:bCs/>
        </w:rPr>
        <w:t>5-year rolling window</w:t>
      </w:r>
      <w:r w:rsidRPr="0066678C">
        <w:t> prior to the deal year (t). It reflects the proportion of a VC firm's prior deals executed within the target company's specific industry relative to its total deal volume over that window:</w:t>
      </w:r>
    </w:p>
    <w:p w14:paraId="29B087C7" w14:textId="77777777" w:rsidR="0066678C" w:rsidRPr="0066678C" w:rsidRDefault="0066678C" w:rsidP="0066678C">
      <w:r w:rsidRPr="0066678C">
        <w:lastRenderedPageBreak/>
        <w:t>\text{Industry Specialization}_{</w:t>
      </w:r>
      <w:proofErr w:type="spellStart"/>
      <w:r w:rsidRPr="0066678C">
        <w:t>i,j,t</w:t>
      </w:r>
      <w:proofErr w:type="spellEnd"/>
      <w:r w:rsidRPr="0066678C">
        <w:t xml:space="preserve">} = \frac{\text{Deals by VC } </w:t>
      </w:r>
      <w:proofErr w:type="spellStart"/>
      <w:r w:rsidRPr="0066678C">
        <w:t>i</w:t>
      </w:r>
      <w:proofErr w:type="spellEnd"/>
      <w:r w:rsidRPr="0066678C">
        <w:t xml:space="preserve"> \text{ in Industry } j \text{ during } [t-5, t-1]}{\text{Total Deals by VC } </w:t>
      </w:r>
      <w:proofErr w:type="spellStart"/>
      <w:r w:rsidRPr="0066678C">
        <w:t>i</w:t>
      </w:r>
      <w:proofErr w:type="spellEnd"/>
      <w:r w:rsidRPr="0066678C">
        <w:t xml:space="preserve"> \text{ during } [t-5, t-1]}</w:t>
      </w:r>
    </w:p>
    <w:p w14:paraId="7455AEBD" w14:textId="77777777" w:rsidR="0066678C" w:rsidRPr="0066678C" w:rsidRDefault="0066678C" w:rsidP="0066678C">
      <w:r w:rsidRPr="0066678C">
        <w:t>Values range from 0 (no prior sector experience) to 1 (complete portfolio concentration).</w:t>
      </w:r>
    </w:p>
    <w:p w14:paraId="161D7383" w14:textId="77777777" w:rsidR="0066678C" w:rsidRPr="0066678C" w:rsidRDefault="0066678C" w:rsidP="0066678C">
      <w:r w:rsidRPr="0066678C">
        <w:rPr>
          <w:b/>
          <w:bCs/>
        </w:rPr>
        <w:t>Econometric Insight — Left-Censoring Bias:</w:t>
      </w:r>
      <w:r w:rsidRPr="0066678C">
        <w:t> In panel and rolling-window data, </w:t>
      </w:r>
      <w:r w:rsidRPr="0066678C">
        <w:rPr>
          <w:b/>
          <w:bCs/>
        </w:rPr>
        <w:t>left-censoring bias</w:t>
      </w:r>
      <w:r w:rsidRPr="0066678C">
        <w:t xml:space="preserve"> occurs when initial observation years falsely record mature firms as having zero prior experience simply because earlier historical transactions fall outside the dataset's tracking window. To eliminate left-censoring bias, </w:t>
      </w:r>
      <w:proofErr w:type="spellStart"/>
      <w:r w:rsidRPr="0066678C">
        <w:t>Nörthemann</w:t>
      </w:r>
      <w:proofErr w:type="spellEnd"/>
      <w:r w:rsidRPr="0066678C">
        <w:t xml:space="preserve"> drops the first 5 calendar years of the dataset (2001–2005 for rolling window construction) as well as the first 5 operating years of every newly observed VC firm.</w:t>
      </w:r>
    </w:p>
    <w:p w14:paraId="02E51CD2" w14:textId="77777777" w:rsidR="0066678C" w:rsidRPr="0066678C" w:rsidRDefault="0066678C" w:rsidP="0066678C">
      <w:r w:rsidRPr="0066678C">
        <w:t>Industries are categorized into 10 sectoral classes using the Refinitiv Minor Classification: </w:t>
      </w:r>
      <w:r w:rsidRPr="0066678C">
        <w:rPr>
          <w:i/>
          <w:iCs/>
        </w:rPr>
        <w:t>Biotechnology, Communication &amp; Media, Computer Hardware, Computer Software &amp; Services, Consumer Related, Industrial/Energy, Internet Specific, Medical/Health, Other Products,</w:t>
      </w:r>
      <w:r w:rsidRPr="0066678C">
        <w:t> and </w:t>
      </w:r>
      <w:r w:rsidRPr="0066678C">
        <w:rPr>
          <w:i/>
          <w:iCs/>
        </w:rPr>
        <w:t>Semiconductors</w:t>
      </w:r>
      <w:r w:rsidRPr="0066678C">
        <w:t>.</w:t>
      </w:r>
    </w:p>
    <w:p w14:paraId="2A8F488E" w14:textId="77777777" w:rsidR="0066678C" w:rsidRPr="0066678C" w:rsidRDefault="0066678C" w:rsidP="0066678C">
      <w:pPr>
        <w:numPr>
          <w:ilvl w:val="0"/>
          <w:numId w:val="9"/>
        </w:numPr>
      </w:pPr>
      <w:r w:rsidRPr="0066678C">
        <w:rPr>
          <w:i/>
          <w:iCs/>
        </w:rPr>
        <w:t>Moderator Variables:</w:t>
      </w:r>
    </w:p>
    <w:p w14:paraId="55DF4621" w14:textId="77777777" w:rsidR="0066678C" w:rsidRPr="0066678C" w:rsidRDefault="0066678C" w:rsidP="0066678C">
      <w:pPr>
        <w:numPr>
          <w:ilvl w:val="1"/>
          <w:numId w:val="9"/>
        </w:numPr>
      </w:pPr>
      <w:r w:rsidRPr="0066678C">
        <w:t>Start-up hub dummy: Binary indicator equal to 1 if the target company is headquartered in a city whose annual deal volume exceeds the 75th percentile of global deal density for that year.</w:t>
      </w:r>
    </w:p>
    <w:p w14:paraId="719248F6" w14:textId="77777777" w:rsidR="0066678C" w:rsidRPr="0066678C" w:rsidRDefault="0066678C" w:rsidP="0066678C">
      <w:pPr>
        <w:numPr>
          <w:ilvl w:val="1"/>
          <w:numId w:val="9"/>
        </w:numPr>
      </w:pPr>
      <w:r w:rsidRPr="0066678C">
        <w:t>Funding round: Discrete variable representing the specific financing round sequence number in which the initial investment occurs.</w:t>
      </w:r>
    </w:p>
    <w:p w14:paraId="1405F191" w14:textId="77777777" w:rsidR="0066678C" w:rsidRPr="0066678C" w:rsidRDefault="0066678C" w:rsidP="0066678C">
      <w:pPr>
        <w:numPr>
          <w:ilvl w:val="1"/>
          <w:numId w:val="9"/>
        </w:numPr>
      </w:pPr>
      <w:proofErr w:type="gramStart"/>
      <w:r w:rsidRPr="0066678C">
        <w:t>Log(</w:t>
      </w:r>
      <w:proofErr w:type="gramEnd"/>
      <w:r w:rsidRPr="0066678C">
        <w:t>Company funding to date): Natural logarithm of total equity capital (in USD) raised by the portfolio company across all investors prior to the current deal.</w:t>
      </w:r>
    </w:p>
    <w:p w14:paraId="4311063E" w14:textId="77777777" w:rsidR="0066678C" w:rsidRPr="0066678C" w:rsidRDefault="0066678C" w:rsidP="0066678C">
      <w:pPr>
        <w:numPr>
          <w:ilvl w:val="1"/>
          <w:numId w:val="9"/>
        </w:numPr>
      </w:pPr>
      <w:proofErr w:type="gramStart"/>
      <w:r w:rsidRPr="0066678C">
        <w:t>Log(</w:t>
      </w:r>
      <w:proofErr w:type="gramEnd"/>
      <w:r w:rsidRPr="0066678C">
        <w:t>Age of portfolio company): Natural logarithm of the company's age (in years) at the investment date, derived from its founding year.</w:t>
      </w:r>
    </w:p>
    <w:p w14:paraId="7F2945B2" w14:textId="77777777" w:rsidR="0066678C" w:rsidRPr="0066678C" w:rsidRDefault="0066678C" w:rsidP="0066678C">
      <w:pPr>
        <w:rPr>
          <w:b/>
          <w:bCs/>
        </w:rPr>
      </w:pPr>
      <w:r w:rsidRPr="0066678C">
        <w:rPr>
          <w:b/>
          <w:bCs/>
        </w:rPr>
        <w:t>3.4 Control variables</w:t>
      </w:r>
    </w:p>
    <w:p w14:paraId="6D63C150" w14:textId="77777777" w:rsidR="0066678C" w:rsidRPr="0066678C" w:rsidRDefault="0066678C" w:rsidP="0066678C">
      <w:r w:rsidRPr="0066678C">
        <w:t>The empirical specification incorporates multi-level controls across investor, home market, target market, and dyadic dimensions:</w:t>
      </w:r>
    </w:p>
    <w:p w14:paraId="26FBF973" w14:textId="77777777" w:rsidR="0066678C" w:rsidRPr="0066678C" w:rsidRDefault="0066678C" w:rsidP="0066678C">
      <w:pPr>
        <w:numPr>
          <w:ilvl w:val="0"/>
          <w:numId w:val="10"/>
        </w:numPr>
      </w:pPr>
      <w:r w:rsidRPr="0066678C">
        <w:rPr>
          <w:i/>
          <w:iCs/>
        </w:rPr>
        <w:t>Investor Level:</w:t>
      </w:r>
      <w:r w:rsidRPr="0066678C">
        <w:t> </w:t>
      </w:r>
      <w:proofErr w:type="gramStart"/>
      <w:r w:rsidRPr="0066678C">
        <w:t>Log(</w:t>
      </w:r>
      <w:proofErr w:type="gramEnd"/>
      <w:r w:rsidRPr="0066678C">
        <w:t>Domestic investment experience), </w:t>
      </w:r>
      <w:proofErr w:type="gramStart"/>
      <w:r w:rsidRPr="0066678C">
        <w:t>Log(</w:t>
      </w:r>
      <w:proofErr w:type="gramEnd"/>
      <w:r w:rsidRPr="0066678C">
        <w:t>International investment experience), </w:t>
      </w:r>
      <w:proofErr w:type="gramStart"/>
      <w:r w:rsidRPr="0066678C">
        <w:t>Log(</w:t>
      </w:r>
      <w:proofErr w:type="gramEnd"/>
      <w:r w:rsidRPr="0066678C">
        <w:t>Age of firm), </w:t>
      </w:r>
      <w:proofErr w:type="gramStart"/>
      <w:r w:rsidRPr="0066678C">
        <w:t>Log(</w:t>
      </w:r>
      <w:proofErr w:type="gramEnd"/>
      <w:r w:rsidRPr="0066678C">
        <w:t xml:space="preserve">Size of </w:t>
      </w:r>
      <w:proofErr w:type="gramStart"/>
      <w:r w:rsidRPr="0066678C">
        <w:t>firm)(</w:t>
      </w:r>
      <w:proofErr w:type="gramEnd"/>
      <w:r w:rsidRPr="0066678C">
        <w:t>assets under management).</w:t>
      </w:r>
    </w:p>
    <w:p w14:paraId="2B9D6D19" w14:textId="77777777" w:rsidR="0066678C" w:rsidRPr="0066678C" w:rsidRDefault="0066678C" w:rsidP="0066678C">
      <w:pPr>
        <w:numPr>
          <w:ilvl w:val="0"/>
          <w:numId w:val="10"/>
        </w:numPr>
      </w:pPr>
      <w:r w:rsidRPr="0066678C">
        <w:rPr>
          <w:i/>
          <w:iCs/>
        </w:rPr>
        <w:t>Home Market Level:</w:t>
      </w:r>
      <w:r w:rsidRPr="0066678C">
        <w:t> Local demand (proportion of domestic deals in target industry during year t-1).</w:t>
      </w:r>
    </w:p>
    <w:p w14:paraId="516F1406" w14:textId="77777777" w:rsidR="0066678C" w:rsidRPr="0066678C" w:rsidRDefault="0066678C" w:rsidP="0066678C">
      <w:pPr>
        <w:numPr>
          <w:ilvl w:val="0"/>
          <w:numId w:val="10"/>
        </w:numPr>
      </w:pPr>
      <w:r w:rsidRPr="0066678C">
        <w:rPr>
          <w:i/>
          <w:iCs/>
        </w:rPr>
        <w:lastRenderedPageBreak/>
        <w:t>Target Market / Dyadic Level:</w:t>
      </w:r>
      <w:r w:rsidRPr="0066678C">
        <w:t> Efficiency legal system (0–10 risk score), Financial openness (Chinn-Ito index), Global entrepreneurship score (GEDI index), Same religion dummy, Same language dummy.</w:t>
      </w:r>
    </w:p>
    <w:p w14:paraId="2D601002" w14:textId="77777777" w:rsidR="0066678C" w:rsidRPr="0066678C" w:rsidRDefault="0066678C" w:rsidP="0066678C">
      <w:pPr>
        <w:numPr>
          <w:ilvl w:val="0"/>
          <w:numId w:val="10"/>
        </w:numPr>
      </w:pPr>
      <w:r w:rsidRPr="0066678C">
        <w:rPr>
          <w:i/>
          <w:iCs/>
        </w:rPr>
        <w:t>Fixed Effects:</w:t>
      </w:r>
      <w:r w:rsidRPr="0066678C">
        <w:t> Target nation legal origin fixed effects (French, English, German, Scandinavian, Socialist) and investment year fixed effects.</w:t>
      </w:r>
    </w:p>
    <w:p w14:paraId="5952F0CB" w14:textId="77777777" w:rsidR="0066678C" w:rsidRPr="0066678C" w:rsidRDefault="0066678C" w:rsidP="0066678C">
      <w:pPr>
        <w:rPr>
          <w:b/>
          <w:bCs/>
        </w:rPr>
      </w:pPr>
      <w:r w:rsidRPr="0066678C">
        <w:rPr>
          <w:b/>
          <w:bCs/>
        </w:rPr>
        <w:t>3.5 Descriptive statistics</w:t>
      </w:r>
    </w:p>
    <w:p w14:paraId="5DEC944E" w14:textId="77777777" w:rsidR="0066678C" w:rsidRPr="0066678C" w:rsidRDefault="0066678C" w:rsidP="0066678C">
      <w:pPr>
        <w:numPr>
          <w:ilvl w:val="0"/>
          <w:numId w:val="11"/>
        </w:numPr>
      </w:pPr>
      <w:r w:rsidRPr="0066678C">
        <w:rPr>
          <w:i/>
          <w:iCs/>
        </w:rPr>
        <w:t>Cross-Border Volume:</w:t>
      </w:r>
      <w:r w:rsidRPr="0066678C">
        <w:t> Cross-border deals comprise </w:t>
      </w:r>
      <w:r w:rsidRPr="0066678C">
        <w:rPr>
          <w:b/>
          <w:bCs/>
        </w:rPr>
        <w:t>19.0%</w:t>
      </w:r>
      <w:r w:rsidRPr="0066678C">
        <w:t> of the sample (n = 8,855) versus </w:t>
      </w:r>
      <w:r w:rsidRPr="0066678C">
        <w:rPr>
          <w:b/>
          <w:bCs/>
        </w:rPr>
        <w:t>81.0%</w:t>
      </w:r>
      <w:r w:rsidRPr="0066678C">
        <w:t> domestic deals (n = 37,670).</w:t>
      </w:r>
    </w:p>
    <w:p w14:paraId="58025824" w14:textId="77777777" w:rsidR="0066678C" w:rsidRPr="0066678C" w:rsidRDefault="0066678C" w:rsidP="0066678C">
      <w:pPr>
        <w:numPr>
          <w:ilvl w:val="0"/>
          <w:numId w:val="11"/>
        </w:numPr>
      </w:pPr>
      <w:r w:rsidRPr="0066678C">
        <w:rPr>
          <w:i/>
          <w:iCs/>
        </w:rPr>
        <w:t>Specialization Index:</w:t>
      </w:r>
      <w:r w:rsidRPr="0066678C">
        <w:t> Mean industry specialization across all observed decisions is </w:t>
      </w:r>
      <w:r w:rsidRPr="0066678C">
        <w:rPr>
          <w:b/>
          <w:bCs/>
        </w:rPr>
        <w:t>0.286</w:t>
      </w:r>
      <w:r w:rsidRPr="0066678C">
        <w:t> (SD = 0.247), indicating that VCs execute nearly 29% of their historical rolling deal volume in the target sector.</w:t>
      </w:r>
    </w:p>
    <w:p w14:paraId="6CFC34D1" w14:textId="77777777" w:rsidR="0066678C" w:rsidRPr="0066678C" w:rsidRDefault="0066678C" w:rsidP="0066678C">
      <w:pPr>
        <w:numPr>
          <w:ilvl w:val="0"/>
          <w:numId w:val="11"/>
        </w:numPr>
      </w:pPr>
      <w:r w:rsidRPr="0066678C">
        <w:rPr>
          <w:i/>
          <w:iCs/>
        </w:rPr>
        <w:t>Sectoral Concentration:</w:t>
      </w:r>
      <w:r w:rsidRPr="0066678C">
        <w:t> Computer Software &amp; Services (33.99%) and Internet Specific (26.70%) dominate deal volume, followed by Biotechnology (8.91%) and Medical/Health (8.16%).</w:t>
      </w:r>
    </w:p>
    <w:p w14:paraId="22832AAB" w14:textId="77777777" w:rsidR="0066678C" w:rsidRPr="0066678C" w:rsidRDefault="0066678C" w:rsidP="0066678C">
      <w:pPr>
        <w:numPr>
          <w:ilvl w:val="0"/>
          <w:numId w:val="11"/>
        </w:numPr>
      </w:pPr>
      <w:r w:rsidRPr="0066678C">
        <w:rPr>
          <w:i/>
          <w:iCs/>
        </w:rPr>
        <w:t>Ecosystem &amp; Macro Distribution:</w:t>
      </w:r>
      <w:r w:rsidRPr="0066678C">
        <w:t> </w:t>
      </w:r>
      <w:r w:rsidRPr="0066678C">
        <w:rPr>
          <w:b/>
          <w:bCs/>
        </w:rPr>
        <w:t>29.3%</w:t>
      </w:r>
      <w:r w:rsidRPr="0066678C">
        <w:t xml:space="preserve"> of target portfolio companies </w:t>
      </w:r>
      <w:proofErr w:type="gramStart"/>
      <w:r w:rsidRPr="0066678C">
        <w:t>are located in</w:t>
      </w:r>
      <w:proofErr w:type="gramEnd"/>
      <w:r w:rsidRPr="0066678C">
        <w:t xml:space="preserve"> identified start-up hubs. North American target transactions dominate the spatial sample, accounting for </w:t>
      </w:r>
      <w:r w:rsidRPr="0066678C">
        <w:rPr>
          <w:b/>
          <w:bCs/>
        </w:rPr>
        <w:t>72.83%</w:t>
      </w:r>
      <w:r w:rsidRPr="0066678C">
        <w:t> of all analyzed deal decisions.</w:t>
      </w:r>
    </w:p>
    <w:p w14:paraId="1D089573" w14:textId="77777777" w:rsidR="0066678C" w:rsidRPr="0066678C" w:rsidRDefault="0066678C" w:rsidP="0066678C">
      <w:pPr>
        <w:rPr>
          <w:b/>
          <w:bCs/>
        </w:rPr>
      </w:pPr>
      <w:r w:rsidRPr="0066678C">
        <w:rPr>
          <w:b/>
          <w:bCs/>
        </w:rPr>
        <w:t>3.6 Model specification</w:t>
      </w:r>
    </w:p>
    <w:p w14:paraId="6D5A2083" w14:textId="77777777" w:rsidR="0066678C" w:rsidRPr="0066678C" w:rsidRDefault="0066678C" w:rsidP="0066678C">
      <w:r w:rsidRPr="0066678C">
        <w:t>Because the dependent variable is binary, hypotheses are tested using </w:t>
      </w:r>
      <w:r w:rsidRPr="0066678C">
        <w:rPr>
          <w:b/>
          <w:bCs/>
        </w:rPr>
        <w:t>binomial logistic regression models</w:t>
      </w:r>
      <w:r w:rsidRPr="0066678C">
        <w:t>. To address cross-correlation resulting from repeated investment decisions made by individual venture capital firms, all estimations employ heteroskedasticity-robust standard errors clustered at the VC firm level. Variance Inflation Factors (VIFs) yield a mean of 2.71 (max 6.11), confirming the absence of multicollinearity.</w:t>
      </w:r>
    </w:p>
    <w:p w14:paraId="359E2339" w14:textId="77777777" w:rsidR="0066678C" w:rsidRPr="0066678C" w:rsidRDefault="0066678C" w:rsidP="0066678C">
      <w:r w:rsidRPr="0066678C">
        <w:t>The base equation for Model 1 (main effect) is specified as:</w:t>
      </w:r>
    </w:p>
    <w:p w14:paraId="0EBA0F43" w14:textId="77777777" w:rsidR="0066678C" w:rsidRPr="0066678C" w:rsidRDefault="0066678C" w:rsidP="0066678C">
      <w:proofErr w:type="gramStart"/>
      <w:r w:rsidRPr="0066678C">
        <w:t>P(</w:t>
      </w:r>
      <w:proofErr w:type="gramEnd"/>
      <w:r w:rsidRPr="0066678C">
        <w:t>\</w:t>
      </w:r>
      <w:proofErr w:type="gramStart"/>
      <w:r w:rsidRPr="0066678C">
        <w:t>text{</w:t>
      </w:r>
      <w:proofErr w:type="gramEnd"/>
      <w:r w:rsidRPr="0066678C">
        <w:t xml:space="preserve">Cross-border deal} = </w:t>
      </w:r>
      <w:proofErr w:type="gramStart"/>
      <w:r w:rsidRPr="0066678C">
        <w:t>1)_</w:t>
      </w:r>
      <w:proofErr w:type="spellStart"/>
      <w:proofErr w:type="gramEnd"/>
      <w:r w:rsidRPr="0066678C">
        <w:t>i</w:t>
      </w:r>
      <w:proofErr w:type="spellEnd"/>
      <w:r w:rsidRPr="0066678C">
        <w:t xml:space="preserve"> = \Lambda \</w:t>
      </w:r>
      <w:proofErr w:type="gramStart"/>
      <w:r w:rsidRPr="0066678C">
        <w:t>left( \</w:t>
      </w:r>
      <w:proofErr w:type="gramEnd"/>
      <w:r w:rsidRPr="0066678C">
        <w:t>beta_0 + \beta_1 \</w:t>
      </w:r>
      <w:proofErr w:type="gramStart"/>
      <w:r w:rsidRPr="0066678C">
        <w:t>text{</w:t>
      </w:r>
      <w:proofErr w:type="gramEnd"/>
      <w:r w:rsidRPr="0066678C">
        <w:t xml:space="preserve">Industry </w:t>
      </w:r>
      <w:proofErr w:type="gramStart"/>
      <w:r w:rsidRPr="0066678C">
        <w:t>Specialization}_</w:t>
      </w:r>
      <w:proofErr w:type="spellStart"/>
      <w:proofErr w:type="gramEnd"/>
      <w:r w:rsidRPr="0066678C">
        <w:t>i</w:t>
      </w:r>
      <w:proofErr w:type="spellEnd"/>
      <w:r w:rsidRPr="0066678C">
        <w:t xml:space="preserve"> + \beta_2 \</w:t>
      </w:r>
      <w:proofErr w:type="gramStart"/>
      <w:r w:rsidRPr="0066678C">
        <w:t>text{</w:t>
      </w:r>
      <w:proofErr w:type="gramEnd"/>
      <w:r w:rsidRPr="0066678C">
        <w:t xml:space="preserve">Local </w:t>
      </w:r>
      <w:proofErr w:type="gramStart"/>
      <w:r w:rsidRPr="0066678C">
        <w:t>Demand}_</w:t>
      </w:r>
      <w:proofErr w:type="spellStart"/>
      <w:proofErr w:type="gramEnd"/>
      <w:r w:rsidRPr="0066678C">
        <w:t>i</w:t>
      </w:r>
      <w:proofErr w:type="spellEnd"/>
      <w:r w:rsidRPr="0066678C">
        <w:t xml:space="preserve"> + \</w:t>
      </w:r>
      <w:proofErr w:type="spellStart"/>
      <w:r w:rsidRPr="0066678C">
        <w:t>mathbf</w:t>
      </w:r>
      <w:proofErr w:type="spellEnd"/>
      <w:r w:rsidRPr="0066678C">
        <w:t>{\gamma} \</w:t>
      </w:r>
      <w:proofErr w:type="spellStart"/>
      <w:r w:rsidRPr="0066678C">
        <w:t>mathbf</w:t>
      </w:r>
      <w:proofErr w:type="spellEnd"/>
      <w:r w:rsidRPr="0066678C">
        <w:t>{X}_</w:t>
      </w:r>
      <w:proofErr w:type="spellStart"/>
      <w:r w:rsidRPr="0066678C">
        <w:t>i</w:t>
      </w:r>
      <w:proofErr w:type="spellEnd"/>
      <w:r w:rsidRPr="0066678C">
        <w:t xml:space="preserve"> + \</w:t>
      </w:r>
      <w:proofErr w:type="gramStart"/>
      <w:r w:rsidRPr="0066678C">
        <w:t>text{</w:t>
      </w:r>
      <w:proofErr w:type="gramEnd"/>
      <w:r w:rsidRPr="0066678C">
        <w:t>Legal FX} + \</w:t>
      </w:r>
      <w:proofErr w:type="gramStart"/>
      <w:r w:rsidRPr="0066678C">
        <w:t>text{</w:t>
      </w:r>
      <w:proofErr w:type="gramEnd"/>
      <w:r w:rsidRPr="0066678C">
        <w:t>Year FX} + \</w:t>
      </w:r>
      <w:proofErr w:type="spellStart"/>
      <w:r w:rsidRPr="0066678C">
        <w:t>varepsilon_i</w:t>
      </w:r>
      <w:proofErr w:type="spellEnd"/>
      <w:r w:rsidRPr="0066678C">
        <w:t xml:space="preserve"> \right)</w:t>
      </w:r>
    </w:p>
    <w:p w14:paraId="12E830BE" w14:textId="77777777" w:rsidR="0066678C" w:rsidRPr="0066678C" w:rsidRDefault="0066678C" w:rsidP="0066678C">
      <w:r w:rsidRPr="0066678C">
        <w:t>where \</w:t>
      </w:r>
      <w:proofErr w:type="spellStart"/>
      <w:r w:rsidRPr="0066678C">
        <w:t>mathbf</w:t>
      </w:r>
      <w:proofErr w:type="spellEnd"/>
      <w:r w:rsidRPr="0066678C">
        <w:t>{X}_</w:t>
      </w:r>
      <w:proofErr w:type="spellStart"/>
      <w:r w:rsidRPr="0066678C">
        <w:t>i</w:t>
      </w:r>
      <w:proofErr w:type="spellEnd"/>
      <w:r w:rsidRPr="0066678C">
        <w:t xml:space="preserve"> represents the vector of firm-level and market-level control variables, and \Lambda(\</w:t>
      </w:r>
      <w:proofErr w:type="spellStart"/>
      <w:r w:rsidRPr="0066678C">
        <w:t>cdot</w:t>
      </w:r>
      <w:proofErr w:type="spellEnd"/>
      <w:r w:rsidRPr="0066678C">
        <w:t>) denotes the logistic cumulative distribution function. Interaction Models 2 through 5 incorporate interaction terms (\</w:t>
      </w:r>
      <w:proofErr w:type="gramStart"/>
      <w:r w:rsidRPr="0066678C">
        <w:t>text{</w:t>
      </w:r>
      <w:proofErr w:type="gramEnd"/>
      <w:r w:rsidRPr="0066678C">
        <w:t>Industry Specialization} \times \</w:t>
      </w:r>
      <w:proofErr w:type="gramStart"/>
      <w:r w:rsidRPr="0066678C">
        <w:t>text{</w:t>
      </w:r>
      <w:proofErr w:type="gramEnd"/>
      <w:r w:rsidRPr="0066678C">
        <w:t>Moderator}) to evaluate Hypotheses 2a–2d.</w:t>
      </w:r>
    </w:p>
    <w:p w14:paraId="70A2B3B9" w14:textId="77777777" w:rsidR="0066678C" w:rsidRPr="0066678C" w:rsidRDefault="0066678C" w:rsidP="0066678C">
      <w:r w:rsidRPr="0066678C">
        <w:rPr>
          <w:b/>
          <w:bCs/>
        </w:rPr>
        <w:lastRenderedPageBreak/>
        <w:t>Takeaway:</w:t>
      </w:r>
      <w:r w:rsidRPr="0066678C">
        <w:t> The study employs a binomial logit framework with firm-clustered standard errors on a global dataset of 46,525 deals, operationalizing specialization via a 5-year rolling window to control for dynamic firm-level learning.</w:t>
      </w:r>
    </w:p>
    <w:p w14:paraId="2CD5C415" w14:textId="77777777" w:rsidR="0066678C" w:rsidRPr="0066678C" w:rsidRDefault="0066678C" w:rsidP="0066678C">
      <w:r w:rsidRPr="0066678C">
        <w:t>The empirical findings from these econometric specifications are analyzed next.</w:t>
      </w:r>
    </w:p>
    <w:p w14:paraId="1FD0277B" w14:textId="77777777" w:rsidR="0066678C" w:rsidRPr="0066678C" w:rsidRDefault="0066678C" w:rsidP="0066678C">
      <w:pPr>
        <w:rPr>
          <w:b/>
          <w:bCs/>
        </w:rPr>
      </w:pPr>
      <w:r w:rsidRPr="0066678C">
        <w:rPr>
          <w:b/>
          <w:bCs/>
        </w:rPr>
        <w:t>4 Empirical results</w:t>
      </w:r>
    </w:p>
    <w:p w14:paraId="0F8768F6" w14:textId="77777777" w:rsidR="0066678C" w:rsidRPr="0066678C" w:rsidRDefault="0066678C" w:rsidP="0066678C">
      <w:r w:rsidRPr="0066678C">
        <w:t>The empirical estimations confirm that firm-level industry specialization substantially increases the likelihood of cross-border investments, while revealing crucial nuances regarding how market-level and company-level variables moderate this effect.</w:t>
      </w:r>
    </w:p>
    <w:p w14:paraId="58D25F96" w14:textId="77777777" w:rsidR="0066678C" w:rsidRPr="0066678C" w:rsidRDefault="0066678C" w:rsidP="0066678C">
      <w:r w:rsidRPr="0066678C">
        <w:t>Model 1 Main Effect: Industry Specialization -&gt; Cross-Border Investment</w:t>
      </w:r>
    </w:p>
    <w:p w14:paraId="19A9DC81" w14:textId="77777777" w:rsidR="0066678C" w:rsidRPr="0066678C" w:rsidRDefault="0066678C" w:rsidP="0066678C">
      <w:r w:rsidRPr="0066678C">
        <w:t xml:space="preserve">  Coefficient = +0.614 (p &lt; 0.01) [H1 SUPPORTED]</w:t>
      </w:r>
    </w:p>
    <w:p w14:paraId="247D00A1" w14:textId="77777777" w:rsidR="0066678C" w:rsidRPr="0066678C" w:rsidRDefault="0066678C" w:rsidP="0066678C">
      <w:r w:rsidRPr="0066678C">
        <w:t xml:space="preserve">  • Margin (+1 SD Specialization): </w:t>
      </w:r>
      <w:proofErr w:type="spellStart"/>
      <w:proofErr w:type="gramStart"/>
      <w:r w:rsidRPr="0066678C">
        <w:t>Pr</w:t>
      </w:r>
      <w:proofErr w:type="spellEnd"/>
      <w:r w:rsidRPr="0066678C">
        <w:t>(</w:t>
      </w:r>
      <w:proofErr w:type="gramEnd"/>
      <w:r w:rsidRPr="0066678C">
        <w:t>Cross-Border) increases by +1.6%</w:t>
      </w:r>
    </w:p>
    <w:p w14:paraId="6A8DEA11" w14:textId="77777777" w:rsidR="0066678C" w:rsidRPr="0066678C" w:rsidRDefault="0066678C" w:rsidP="0066678C">
      <w:r w:rsidRPr="0066678C">
        <w:t xml:space="preserve">  • Margin (-1 SD Specialization): </w:t>
      </w:r>
      <w:proofErr w:type="spellStart"/>
      <w:proofErr w:type="gramStart"/>
      <w:r w:rsidRPr="0066678C">
        <w:t>Pr</w:t>
      </w:r>
      <w:proofErr w:type="spellEnd"/>
      <w:r w:rsidRPr="0066678C">
        <w:t>(</w:t>
      </w:r>
      <w:proofErr w:type="gramEnd"/>
      <w:r w:rsidRPr="0066678C">
        <w:t>Cross-Border) decreases by -1.4%</w:t>
      </w:r>
    </w:p>
    <w:p w14:paraId="61597640" w14:textId="77777777" w:rsidR="0066678C" w:rsidRPr="0066678C" w:rsidRDefault="0066678C" w:rsidP="0066678C"/>
    <w:p w14:paraId="401A5A8E" w14:textId="77777777" w:rsidR="0066678C" w:rsidRPr="0066678C" w:rsidRDefault="0066678C" w:rsidP="0066678C">
      <w:r w:rsidRPr="0066678C">
        <w:t>Moderation Interaction Results:</w:t>
      </w:r>
    </w:p>
    <w:p w14:paraId="4E10C33D" w14:textId="77777777" w:rsidR="0066678C" w:rsidRPr="0066678C" w:rsidRDefault="0066678C" w:rsidP="0066678C">
      <w:r w:rsidRPr="0066678C">
        <w:t xml:space="preserve">  • Model 2: Industry Spec x Start-up Hub      = -0.608 (p &lt; 0.01</w:t>
      </w:r>
      <w:proofErr w:type="gramStart"/>
      <w:r w:rsidRPr="0066678C">
        <w:t>)  [</w:t>
      </w:r>
      <w:proofErr w:type="gramEnd"/>
      <w:r w:rsidRPr="0066678C">
        <w:t>H2a SUPPORTED]</w:t>
      </w:r>
    </w:p>
    <w:p w14:paraId="741EEA33" w14:textId="77777777" w:rsidR="0066678C" w:rsidRPr="0066678C" w:rsidRDefault="0066678C" w:rsidP="0066678C">
      <w:r w:rsidRPr="0066678C">
        <w:t xml:space="preserve">  • Model 3: Industry Spec x Funding Round    = -0.030 (</w:t>
      </w:r>
      <w:proofErr w:type="spellStart"/>
      <w:proofErr w:type="gramStart"/>
      <w:r w:rsidRPr="0066678C">
        <w:t>Insignif</w:t>
      </w:r>
      <w:proofErr w:type="spellEnd"/>
      <w:r w:rsidRPr="0066678C">
        <w:t xml:space="preserve">)   </w:t>
      </w:r>
      <w:proofErr w:type="gramEnd"/>
      <w:r w:rsidRPr="0066678C">
        <w:t>[H2b REJECTED]</w:t>
      </w:r>
    </w:p>
    <w:p w14:paraId="610BAE12" w14:textId="77777777" w:rsidR="0066678C" w:rsidRPr="0066678C" w:rsidRDefault="0066678C" w:rsidP="0066678C">
      <w:r w:rsidRPr="0066678C">
        <w:t xml:space="preserve">  • Model 4: Industry Spec x Funding to </w:t>
      </w:r>
      <w:proofErr w:type="gramStart"/>
      <w:r w:rsidRPr="0066678C">
        <w:t>Date  =</w:t>
      </w:r>
      <w:proofErr w:type="gramEnd"/>
      <w:r w:rsidRPr="0066678C">
        <w:t xml:space="preserve"> -0.137 (p &lt; 0.01</w:t>
      </w:r>
      <w:proofErr w:type="gramStart"/>
      <w:r w:rsidRPr="0066678C">
        <w:t>)  [</w:t>
      </w:r>
      <w:proofErr w:type="gramEnd"/>
      <w:r w:rsidRPr="0066678C">
        <w:t>H2c SUPPORTED]</w:t>
      </w:r>
    </w:p>
    <w:p w14:paraId="1821D902" w14:textId="77777777" w:rsidR="0066678C" w:rsidRPr="0066678C" w:rsidRDefault="0066678C" w:rsidP="0066678C">
      <w:r w:rsidRPr="0066678C">
        <w:t xml:space="preserve">  • Model 5: Industry Spec x Portfolio Age    = +5.346 (p &lt; 0.01</w:t>
      </w:r>
      <w:proofErr w:type="gramStart"/>
      <w:r w:rsidRPr="0066678C">
        <w:t>)  [</w:t>
      </w:r>
      <w:proofErr w:type="gramEnd"/>
      <w:r w:rsidRPr="0066678C">
        <w:t>H2d REVERSED/REJECTED]</w:t>
      </w:r>
    </w:p>
    <w:p w14:paraId="658EEDDA" w14:textId="77777777" w:rsidR="0066678C" w:rsidRPr="0066678C" w:rsidRDefault="0066678C" w:rsidP="0066678C">
      <w:pPr>
        <w:rPr>
          <w:b/>
          <w:bCs/>
        </w:rPr>
      </w:pPr>
      <w:r w:rsidRPr="0066678C">
        <w:rPr>
          <w:b/>
          <w:bCs/>
        </w:rPr>
        <w:t>Main Effect Analysis (H1)</w:t>
      </w:r>
    </w:p>
    <w:p w14:paraId="3747B304" w14:textId="77777777" w:rsidR="0066678C" w:rsidRPr="0066678C" w:rsidRDefault="0066678C" w:rsidP="0066678C">
      <w:r w:rsidRPr="0066678C">
        <w:t>Model 1 demonstrates a positive and highly statistically significant coefficient for Industry specialization (\beta = 0.614, p &lt; 0.01). </w:t>
      </w:r>
      <w:r w:rsidRPr="0066678C">
        <w:rPr>
          <w:b/>
          <w:bCs/>
        </w:rPr>
        <w:t>Hypothesis 1 is fully supported</w:t>
      </w:r>
      <w:r w:rsidRPr="0066678C">
        <w:t>. Because logit models are non-linear, predictive margin calculations illustrate the substantive effect:</w:t>
      </w:r>
    </w:p>
    <w:p w14:paraId="54AB6CBB" w14:textId="77777777" w:rsidR="0066678C" w:rsidRPr="0066678C" w:rsidRDefault="0066678C" w:rsidP="0066678C">
      <w:pPr>
        <w:numPr>
          <w:ilvl w:val="0"/>
          <w:numId w:val="12"/>
        </w:numPr>
      </w:pPr>
      <w:r w:rsidRPr="0066678C">
        <w:t>Increasing a VC’s industry specialization by +1 standard deviation above the mean elevates the predicted probability of executing a cross-border deal by </w:t>
      </w:r>
      <w:r w:rsidRPr="0066678C">
        <w:rPr>
          <w:b/>
          <w:bCs/>
        </w:rPr>
        <w:t>+1.6%</w:t>
      </w:r>
      <w:r w:rsidRPr="0066678C">
        <w:t> (rising from a baseline mean of 11.2% to 12.8%).</w:t>
      </w:r>
    </w:p>
    <w:p w14:paraId="4F771853" w14:textId="77777777" w:rsidR="0066678C" w:rsidRPr="0066678C" w:rsidRDefault="0066678C" w:rsidP="0066678C">
      <w:pPr>
        <w:numPr>
          <w:ilvl w:val="0"/>
          <w:numId w:val="12"/>
        </w:numPr>
      </w:pPr>
      <w:r w:rsidRPr="0066678C">
        <w:t>Decreasing specialization by -1 standard deviation below the mean reduces the cross-border investment probability by </w:t>
      </w:r>
      <w:r w:rsidRPr="0066678C">
        <w:rPr>
          <w:b/>
          <w:bCs/>
        </w:rPr>
        <w:t>-1.4%</w:t>
      </w:r>
      <w:r w:rsidRPr="0066678C">
        <w:t> (falling to 9.8%).</w:t>
      </w:r>
    </w:p>
    <w:p w14:paraId="26ED128D" w14:textId="77777777" w:rsidR="0066678C" w:rsidRPr="0066678C" w:rsidRDefault="0066678C" w:rsidP="0066678C">
      <w:pPr>
        <w:rPr>
          <w:b/>
          <w:bCs/>
        </w:rPr>
      </w:pPr>
      <w:r w:rsidRPr="0066678C">
        <w:rPr>
          <w:b/>
          <w:bCs/>
        </w:rPr>
        <w:t>Moderation Effects Analysis (H2a–H2d)</w:t>
      </w:r>
    </w:p>
    <w:p w14:paraId="6FED825D" w14:textId="77777777" w:rsidR="0066678C" w:rsidRPr="0066678C" w:rsidRDefault="0066678C" w:rsidP="0066678C">
      <w:pPr>
        <w:numPr>
          <w:ilvl w:val="0"/>
          <w:numId w:val="13"/>
        </w:numPr>
      </w:pPr>
      <w:r w:rsidRPr="0066678C">
        <w:rPr>
          <w:b/>
          <w:bCs/>
        </w:rPr>
        <w:lastRenderedPageBreak/>
        <w:t>H2a (Start-up Hub Location):</w:t>
      </w:r>
      <w:r w:rsidRPr="0066678C">
        <w:t> Model 2 yields a negative and statistically significant interaction coefficient (\beta = -0.608, p &lt; 0.01). </w:t>
      </w:r>
      <w:r w:rsidRPr="0066678C">
        <w:rPr>
          <w:b/>
          <w:bCs/>
        </w:rPr>
        <w:t>Hypothesis 2a is supported</w:t>
      </w:r>
      <w:r w:rsidRPr="0066678C">
        <w:t>. Predictive margins show that for targets in start-up hubs, the positive slope of specialization flattens significantly; highly specialized VCs deploy capital into non-hub foreign regions where target companies lack dense local support ecosystems.</w:t>
      </w:r>
    </w:p>
    <w:p w14:paraId="05AF0D25" w14:textId="77777777" w:rsidR="0066678C" w:rsidRPr="0066678C" w:rsidRDefault="0066678C" w:rsidP="0066678C">
      <w:pPr>
        <w:numPr>
          <w:ilvl w:val="0"/>
          <w:numId w:val="13"/>
        </w:numPr>
      </w:pPr>
      <w:r w:rsidRPr="0066678C">
        <w:rPr>
          <w:b/>
          <w:bCs/>
        </w:rPr>
        <w:t>H2b (Funding Round):</w:t>
      </w:r>
      <w:r w:rsidRPr="0066678C">
        <w:t xml:space="preserve"> Model 3 produces </w:t>
      </w:r>
      <w:proofErr w:type="gramStart"/>
      <w:r w:rsidRPr="0066678C">
        <w:t>an</w:t>
      </w:r>
      <w:proofErr w:type="gramEnd"/>
      <w:r w:rsidRPr="0066678C">
        <w:t xml:space="preserve"> statistically insignificant interaction coefficient (\beta = -0.030, p &gt; 0.10). </w:t>
      </w:r>
      <w:r w:rsidRPr="0066678C">
        <w:rPr>
          <w:b/>
          <w:bCs/>
        </w:rPr>
        <w:t>Hypothesis 2b is rejected</w:t>
      </w:r>
      <w:r w:rsidRPr="0066678C">
        <w:t>. The stage of initial financing does not diminish the influence of investor industry specialization on internationalization.</w:t>
      </w:r>
    </w:p>
    <w:p w14:paraId="2797F260" w14:textId="77777777" w:rsidR="0066678C" w:rsidRPr="0066678C" w:rsidRDefault="0066678C" w:rsidP="0066678C">
      <w:pPr>
        <w:numPr>
          <w:ilvl w:val="0"/>
          <w:numId w:val="13"/>
        </w:numPr>
      </w:pPr>
      <w:r w:rsidRPr="0066678C">
        <w:rPr>
          <w:b/>
          <w:bCs/>
        </w:rPr>
        <w:t>H2c (Company Funding to Date):</w:t>
      </w:r>
      <w:r w:rsidRPr="0066678C">
        <w:t> Model 4 demonstrates a negative and statistically significant interaction coefficient (\beta = -0.137, p &lt; 0.01). </w:t>
      </w:r>
      <w:r w:rsidRPr="0066678C">
        <w:rPr>
          <w:b/>
          <w:bCs/>
        </w:rPr>
        <w:t>Hypothesis 2c is supported</w:t>
      </w:r>
      <w:r w:rsidRPr="0066678C">
        <w:t>. High cumulative funding acts as a quality signal that substitutes for investor tacit knowledge, flattening the specialization slope.</w:t>
      </w:r>
    </w:p>
    <w:p w14:paraId="0B3A0D9E" w14:textId="77777777" w:rsidR="0066678C" w:rsidRPr="0066678C" w:rsidRDefault="0066678C" w:rsidP="0066678C">
      <w:pPr>
        <w:numPr>
          <w:ilvl w:val="0"/>
          <w:numId w:val="13"/>
        </w:numPr>
      </w:pPr>
      <w:r w:rsidRPr="0066678C">
        <w:rPr>
          <w:b/>
          <w:bCs/>
        </w:rPr>
        <w:t>H2d (Portfolio Company Age):</w:t>
      </w:r>
      <w:r w:rsidRPr="0066678C">
        <w:t> Model 5 yields a positive and statistically significant interaction coefficient (\beta = +5.346, p &lt; 0.01). </w:t>
      </w:r>
      <w:r w:rsidRPr="0066678C">
        <w:rPr>
          <w:b/>
          <w:bCs/>
        </w:rPr>
        <w:t>Hypothesis 2d is reversed and rejected</w:t>
      </w:r>
      <w:r w:rsidRPr="0066678C">
        <w:t>. Contrary to the proposed theoretical expectation, firm age </w:t>
      </w:r>
      <w:r w:rsidRPr="0066678C">
        <w:rPr>
          <w:i/>
          <w:iCs/>
        </w:rPr>
        <w:t>magnifies</w:t>
      </w:r>
      <w:r w:rsidRPr="0066678C">
        <w:t> the reliance on specialization.</w:t>
      </w:r>
    </w:p>
    <w:p w14:paraId="4D29177A" w14:textId="77777777" w:rsidR="0066678C" w:rsidRPr="0066678C" w:rsidRDefault="0066678C" w:rsidP="0066678C">
      <w:r w:rsidRPr="0066678C">
        <w:rPr>
          <w:b/>
          <w:bCs/>
        </w:rPr>
        <w:t>Exam Callout — Key Theoretical Reversals &amp; Counter-Intuitive Findings:</w:t>
      </w:r>
    </w:p>
    <w:p w14:paraId="3C767C30" w14:textId="77777777" w:rsidR="0066678C" w:rsidRPr="0066678C" w:rsidRDefault="0066678C" w:rsidP="0066678C">
      <w:pPr>
        <w:numPr>
          <w:ilvl w:val="0"/>
          <w:numId w:val="14"/>
        </w:numPr>
      </w:pPr>
      <w:r w:rsidRPr="0066678C">
        <w:rPr>
          <w:b/>
          <w:bCs/>
        </w:rPr>
        <w:t>The H2d Reversal Mechanism (Company Age):</w:t>
      </w:r>
      <w:r w:rsidRPr="0066678C">
        <w:t> Why does older portfolio company age </w:t>
      </w:r>
      <w:r w:rsidRPr="0066678C">
        <w:rPr>
          <w:i/>
          <w:iCs/>
        </w:rPr>
        <w:t>increase</w:t>
      </w:r>
      <w:r w:rsidRPr="0066678C">
        <w:t> reliance on VC specialization? While early-stage investing centers on basic product-market fit (where general funding suffices), mature ventures face complex, entrenched operational routines, international scale-up challenges, and multi-product expansion. Navigating scale-up bottlenecks in older foreign firms requires highly specialized sector expertise, making specialization </w:t>
      </w:r>
      <w:r w:rsidRPr="0066678C">
        <w:rPr>
          <w:i/>
          <w:iCs/>
        </w:rPr>
        <w:t>more</w:t>
      </w:r>
      <w:r w:rsidRPr="0066678C">
        <w:t> critical for older target deals.</w:t>
      </w:r>
    </w:p>
    <w:p w14:paraId="28870140" w14:textId="77777777" w:rsidR="0066678C" w:rsidRPr="0066678C" w:rsidRDefault="0066678C" w:rsidP="0066678C">
      <w:pPr>
        <w:numPr>
          <w:ilvl w:val="0"/>
          <w:numId w:val="14"/>
        </w:numPr>
      </w:pPr>
      <w:r w:rsidRPr="0066678C">
        <w:rPr>
          <w:b/>
          <w:bCs/>
        </w:rPr>
        <w:t>Negative Institutional Coefficients (Efficiency legal system, Same language, Same religion):</w:t>
      </w:r>
      <w:r w:rsidRPr="0066678C">
        <w:t> Why do legal efficiency (\beta = -0.416) and cultural proximity (\beta = -2.727 / -2.777) display negative signs? Global VC supply is overwhelmingly concentrated in common-law, English-speaking, Christian hubs (notably the US and UK). As these dominant funds deploy capital internationally, supply constraints in foreign markets force them to cross legal and cultural boundaries into underserved growth markets.</w:t>
      </w:r>
    </w:p>
    <w:p w14:paraId="5E47B67C" w14:textId="77777777" w:rsidR="0066678C" w:rsidRPr="0066678C" w:rsidRDefault="0066678C" w:rsidP="0066678C">
      <w:pPr>
        <w:rPr>
          <w:b/>
          <w:bCs/>
        </w:rPr>
      </w:pPr>
      <w:r w:rsidRPr="0066678C">
        <w:rPr>
          <w:b/>
          <w:bCs/>
        </w:rPr>
        <w:t>Hypothesis Summary Table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10"/>
        <w:gridCol w:w="1202"/>
        <w:gridCol w:w="2437"/>
        <w:gridCol w:w="1367"/>
        <w:gridCol w:w="2256"/>
        <w:gridCol w:w="1372"/>
      </w:tblGrid>
      <w:tr w:rsidR="0066678C" w:rsidRPr="0066678C" w14:paraId="15DF8E73" w14:textId="77777777" w:rsidTr="0066678C">
        <w:tc>
          <w:tcPr>
            <w:tcW w:w="349" w:type="pct"/>
            <w:tcBorders>
              <w:top w:val="outset" w:sz="6" w:space="0" w:color="auto"/>
              <w:left w:val="outset" w:sz="6" w:space="0" w:color="auto"/>
              <w:bottom w:val="outset" w:sz="6" w:space="0" w:color="auto"/>
              <w:right w:val="outset" w:sz="6" w:space="0" w:color="auto"/>
            </w:tcBorders>
            <w:vAlign w:val="center"/>
            <w:hideMark/>
          </w:tcPr>
          <w:p w14:paraId="0030A2C5" w14:textId="77777777" w:rsidR="0066678C" w:rsidRPr="0066678C" w:rsidRDefault="0066678C" w:rsidP="0066678C">
            <w:r w:rsidRPr="0066678C">
              <w:lastRenderedPageBreak/>
              <w:t>Model</w:t>
            </w:r>
          </w:p>
        </w:tc>
        <w:tc>
          <w:tcPr>
            <w:tcW w:w="511" w:type="pct"/>
            <w:tcBorders>
              <w:top w:val="outset" w:sz="6" w:space="0" w:color="auto"/>
              <w:left w:val="outset" w:sz="6" w:space="0" w:color="auto"/>
              <w:bottom w:val="outset" w:sz="6" w:space="0" w:color="auto"/>
              <w:right w:val="outset" w:sz="6" w:space="0" w:color="auto"/>
            </w:tcBorders>
            <w:vAlign w:val="center"/>
            <w:hideMark/>
          </w:tcPr>
          <w:p w14:paraId="64E10C5F" w14:textId="77777777" w:rsidR="0066678C" w:rsidRPr="0066678C" w:rsidRDefault="0066678C" w:rsidP="0066678C">
            <w:r w:rsidRPr="0066678C">
              <w:t>Hypothesis</w:t>
            </w:r>
          </w:p>
        </w:tc>
        <w:tc>
          <w:tcPr>
            <w:tcW w:w="1345" w:type="pct"/>
            <w:tcBorders>
              <w:top w:val="outset" w:sz="6" w:space="0" w:color="auto"/>
              <w:left w:val="outset" w:sz="6" w:space="0" w:color="auto"/>
              <w:bottom w:val="outset" w:sz="6" w:space="0" w:color="auto"/>
              <w:right w:val="outset" w:sz="6" w:space="0" w:color="auto"/>
            </w:tcBorders>
            <w:vAlign w:val="center"/>
            <w:hideMark/>
          </w:tcPr>
          <w:p w14:paraId="28A48A2E" w14:textId="77777777" w:rsidR="0066678C" w:rsidRPr="0066678C" w:rsidRDefault="0066678C" w:rsidP="0066678C">
            <w:r w:rsidRPr="0066678C">
              <w:t>Proposed Moderating Mechanism</w:t>
            </w:r>
          </w:p>
        </w:tc>
        <w:tc>
          <w:tcPr>
            <w:tcW w:w="772" w:type="pct"/>
            <w:tcBorders>
              <w:top w:val="outset" w:sz="6" w:space="0" w:color="auto"/>
              <w:left w:val="outset" w:sz="6" w:space="0" w:color="auto"/>
              <w:bottom w:val="outset" w:sz="6" w:space="0" w:color="auto"/>
              <w:right w:val="outset" w:sz="6" w:space="0" w:color="auto"/>
            </w:tcBorders>
            <w:vAlign w:val="center"/>
            <w:hideMark/>
          </w:tcPr>
          <w:p w14:paraId="4B55DDA1" w14:textId="77777777" w:rsidR="0066678C" w:rsidRPr="0066678C" w:rsidRDefault="0066678C" w:rsidP="0066678C">
            <w:r w:rsidRPr="0066678C">
              <w:t>Theoretical Direction</w:t>
            </w:r>
          </w:p>
        </w:tc>
        <w:tc>
          <w:tcPr>
            <w:tcW w:w="1248" w:type="pct"/>
            <w:tcBorders>
              <w:top w:val="outset" w:sz="6" w:space="0" w:color="auto"/>
              <w:left w:val="outset" w:sz="6" w:space="0" w:color="auto"/>
              <w:bottom w:val="outset" w:sz="6" w:space="0" w:color="auto"/>
              <w:right w:val="outset" w:sz="6" w:space="0" w:color="auto"/>
            </w:tcBorders>
            <w:vAlign w:val="center"/>
            <w:hideMark/>
          </w:tcPr>
          <w:p w14:paraId="382437F0" w14:textId="77777777" w:rsidR="0066678C" w:rsidRPr="0066678C" w:rsidRDefault="0066678C" w:rsidP="0066678C">
            <w:r w:rsidRPr="0066678C">
              <w:t>Empirical Coefficient</w:t>
            </w:r>
          </w:p>
        </w:tc>
        <w:tc>
          <w:tcPr>
            <w:tcW w:w="776" w:type="pct"/>
            <w:tcBorders>
              <w:top w:val="outset" w:sz="6" w:space="0" w:color="auto"/>
              <w:left w:val="outset" w:sz="6" w:space="0" w:color="auto"/>
              <w:bottom w:val="outset" w:sz="6" w:space="0" w:color="auto"/>
              <w:right w:val="outset" w:sz="6" w:space="0" w:color="auto"/>
            </w:tcBorders>
            <w:vAlign w:val="center"/>
            <w:hideMark/>
          </w:tcPr>
          <w:p w14:paraId="6082D2D8" w14:textId="77777777" w:rsidR="0066678C" w:rsidRPr="0066678C" w:rsidRDefault="0066678C" w:rsidP="0066678C">
            <w:r w:rsidRPr="0066678C">
              <w:t>Statistical Outcome</w:t>
            </w:r>
          </w:p>
        </w:tc>
      </w:tr>
      <w:tr w:rsidR="0066678C" w:rsidRPr="0066678C" w14:paraId="6CE7AC6D" w14:textId="77777777" w:rsidTr="0066678C">
        <w:tc>
          <w:tcPr>
            <w:tcW w:w="349" w:type="pct"/>
            <w:tcBorders>
              <w:top w:val="outset" w:sz="6" w:space="0" w:color="auto"/>
              <w:left w:val="outset" w:sz="6" w:space="0" w:color="auto"/>
              <w:bottom w:val="outset" w:sz="6" w:space="0" w:color="auto"/>
              <w:right w:val="outset" w:sz="6" w:space="0" w:color="auto"/>
            </w:tcBorders>
            <w:vAlign w:val="center"/>
            <w:hideMark/>
          </w:tcPr>
          <w:p w14:paraId="3C688D6C" w14:textId="77777777" w:rsidR="0066678C" w:rsidRPr="0066678C" w:rsidRDefault="0066678C" w:rsidP="0066678C">
            <w:r w:rsidRPr="0066678C">
              <w:rPr>
                <w:b/>
                <w:bCs/>
              </w:rPr>
              <w:t>Model 1</w:t>
            </w:r>
          </w:p>
        </w:tc>
        <w:tc>
          <w:tcPr>
            <w:tcW w:w="511" w:type="pct"/>
            <w:tcBorders>
              <w:top w:val="outset" w:sz="6" w:space="0" w:color="auto"/>
              <w:left w:val="outset" w:sz="6" w:space="0" w:color="auto"/>
              <w:bottom w:val="outset" w:sz="6" w:space="0" w:color="auto"/>
              <w:right w:val="outset" w:sz="6" w:space="0" w:color="auto"/>
            </w:tcBorders>
            <w:vAlign w:val="center"/>
            <w:hideMark/>
          </w:tcPr>
          <w:p w14:paraId="12063231" w14:textId="77777777" w:rsidR="0066678C" w:rsidRPr="0066678C" w:rsidRDefault="0066678C" w:rsidP="0066678C">
            <w:r w:rsidRPr="0066678C">
              <w:rPr>
                <w:b/>
                <w:bCs/>
              </w:rPr>
              <w:t>H1</w:t>
            </w:r>
          </w:p>
        </w:tc>
        <w:tc>
          <w:tcPr>
            <w:tcW w:w="1345" w:type="pct"/>
            <w:tcBorders>
              <w:top w:val="outset" w:sz="6" w:space="0" w:color="auto"/>
              <w:left w:val="outset" w:sz="6" w:space="0" w:color="auto"/>
              <w:bottom w:val="outset" w:sz="6" w:space="0" w:color="auto"/>
              <w:right w:val="outset" w:sz="6" w:space="0" w:color="auto"/>
            </w:tcBorders>
            <w:vAlign w:val="center"/>
            <w:hideMark/>
          </w:tcPr>
          <w:p w14:paraId="12C03FFF" w14:textId="77777777" w:rsidR="0066678C" w:rsidRPr="0066678C" w:rsidRDefault="0066678C" w:rsidP="0066678C">
            <w:r w:rsidRPr="0066678C">
              <w:t>Direct Effect: VC Industry Specialization</w:t>
            </w:r>
          </w:p>
        </w:tc>
        <w:tc>
          <w:tcPr>
            <w:tcW w:w="772" w:type="pct"/>
            <w:tcBorders>
              <w:top w:val="outset" w:sz="6" w:space="0" w:color="auto"/>
              <w:left w:val="outset" w:sz="6" w:space="0" w:color="auto"/>
              <w:bottom w:val="outset" w:sz="6" w:space="0" w:color="auto"/>
              <w:right w:val="outset" w:sz="6" w:space="0" w:color="auto"/>
            </w:tcBorders>
            <w:vAlign w:val="center"/>
            <w:hideMark/>
          </w:tcPr>
          <w:p w14:paraId="7463C3F8" w14:textId="77777777" w:rsidR="0066678C" w:rsidRPr="0066678C" w:rsidRDefault="0066678C" w:rsidP="0066678C">
            <w:r w:rsidRPr="0066678C">
              <w:t>positive (+)</w:t>
            </w:r>
          </w:p>
        </w:tc>
        <w:tc>
          <w:tcPr>
            <w:tcW w:w="1248" w:type="pct"/>
            <w:tcBorders>
              <w:top w:val="outset" w:sz="6" w:space="0" w:color="auto"/>
              <w:left w:val="outset" w:sz="6" w:space="0" w:color="auto"/>
              <w:bottom w:val="outset" w:sz="6" w:space="0" w:color="auto"/>
              <w:right w:val="outset" w:sz="6" w:space="0" w:color="auto"/>
            </w:tcBorders>
            <w:vAlign w:val="center"/>
            <w:hideMark/>
          </w:tcPr>
          <w:p w14:paraId="3261F2FC" w14:textId="77777777" w:rsidR="0066678C" w:rsidRPr="0066678C" w:rsidRDefault="0066678C" w:rsidP="0066678C">
            <w:r w:rsidRPr="0066678C">
              <w:t>\beta = +0.614</w:t>
            </w:r>
            <w:proofErr w:type="gramStart"/>
            <w:r w:rsidRPr="0066678C">
              <w:t>^{</w:t>
            </w:r>
            <w:proofErr w:type="gramEnd"/>
            <w:r w:rsidRPr="0066678C">
              <w:t>**</w:t>
            </w:r>
            <w:proofErr w:type="gramStart"/>
            <w:r w:rsidRPr="0066678C">
              <w:t>*}\text{ (</w:t>
            </w:r>
            <w:proofErr w:type="gramEnd"/>
            <w:r w:rsidRPr="0066678C">
              <w:t>0.098)}</w:t>
            </w:r>
          </w:p>
        </w:tc>
        <w:tc>
          <w:tcPr>
            <w:tcW w:w="776" w:type="pct"/>
            <w:tcBorders>
              <w:top w:val="outset" w:sz="6" w:space="0" w:color="auto"/>
              <w:left w:val="outset" w:sz="6" w:space="0" w:color="auto"/>
              <w:bottom w:val="outset" w:sz="6" w:space="0" w:color="auto"/>
              <w:right w:val="outset" w:sz="6" w:space="0" w:color="auto"/>
            </w:tcBorders>
            <w:vAlign w:val="center"/>
            <w:hideMark/>
          </w:tcPr>
          <w:p w14:paraId="72B38AFB" w14:textId="77777777" w:rsidR="0066678C" w:rsidRPr="0066678C" w:rsidRDefault="0066678C" w:rsidP="0066678C">
            <w:r w:rsidRPr="0066678C">
              <w:rPr>
                <w:b/>
                <w:bCs/>
              </w:rPr>
              <w:t>Supported</w:t>
            </w:r>
          </w:p>
        </w:tc>
      </w:tr>
      <w:tr w:rsidR="0066678C" w:rsidRPr="0066678C" w14:paraId="736ACAE3" w14:textId="77777777" w:rsidTr="0066678C">
        <w:tc>
          <w:tcPr>
            <w:tcW w:w="349" w:type="pct"/>
            <w:tcBorders>
              <w:top w:val="outset" w:sz="6" w:space="0" w:color="auto"/>
              <w:left w:val="outset" w:sz="6" w:space="0" w:color="auto"/>
              <w:bottom w:val="outset" w:sz="6" w:space="0" w:color="auto"/>
              <w:right w:val="outset" w:sz="6" w:space="0" w:color="auto"/>
            </w:tcBorders>
            <w:vAlign w:val="center"/>
            <w:hideMark/>
          </w:tcPr>
          <w:p w14:paraId="0ECECB5C" w14:textId="77777777" w:rsidR="0066678C" w:rsidRPr="0066678C" w:rsidRDefault="0066678C" w:rsidP="0066678C">
            <w:r w:rsidRPr="0066678C">
              <w:rPr>
                <w:b/>
                <w:bCs/>
              </w:rPr>
              <w:t>Model 2</w:t>
            </w:r>
          </w:p>
        </w:tc>
        <w:tc>
          <w:tcPr>
            <w:tcW w:w="511" w:type="pct"/>
            <w:tcBorders>
              <w:top w:val="outset" w:sz="6" w:space="0" w:color="auto"/>
              <w:left w:val="outset" w:sz="6" w:space="0" w:color="auto"/>
              <w:bottom w:val="outset" w:sz="6" w:space="0" w:color="auto"/>
              <w:right w:val="outset" w:sz="6" w:space="0" w:color="auto"/>
            </w:tcBorders>
            <w:vAlign w:val="center"/>
            <w:hideMark/>
          </w:tcPr>
          <w:p w14:paraId="2E5C4258" w14:textId="77777777" w:rsidR="0066678C" w:rsidRPr="0066678C" w:rsidRDefault="0066678C" w:rsidP="0066678C">
            <w:r w:rsidRPr="0066678C">
              <w:rPr>
                <w:b/>
                <w:bCs/>
              </w:rPr>
              <w:t>H2a</w:t>
            </w:r>
          </w:p>
        </w:tc>
        <w:tc>
          <w:tcPr>
            <w:tcW w:w="1345" w:type="pct"/>
            <w:tcBorders>
              <w:top w:val="outset" w:sz="6" w:space="0" w:color="auto"/>
              <w:left w:val="outset" w:sz="6" w:space="0" w:color="auto"/>
              <w:bottom w:val="outset" w:sz="6" w:space="0" w:color="auto"/>
              <w:right w:val="outset" w:sz="6" w:space="0" w:color="auto"/>
            </w:tcBorders>
            <w:vAlign w:val="center"/>
            <w:hideMark/>
          </w:tcPr>
          <w:p w14:paraId="2469ED1B" w14:textId="77777777" w:rsidR="0066678C" w:rsidRPr="0066678C" w:rsidRDefault="0066678C" w:rsidP="0066678C">
            <w:r w:rsidRPr="0066678C">
              <w:t>Ecosystem: Target in Start-up Hub</w:t>
            </w:r>
          </w:p>
        </w:tc>
        <w:tc>
          <w:tcPr>
            <w:tcW w:w="772" w:type="pct"/>
            <w:tcBorders>
              <w:top w:val="outset" w:sz="6" w:space="0" w:color="auto"/>
              <w:left w:val="outset" w:sz="6" w:space="0" w:color="auto"/>
              <w:bottom w:val="outset" w:sz="6" w:space="0" w:color="auto"/>
              <w:right w:val="outset" w:sz="6" w:space="0" w:color="auto"/>
            </w:tcBorders>
            <w:vAlign w:val="center"/>
            <w:hideMark/>
          </w:tcPr>
          <w:p w14:paraId="0EB9F50F" w14:textId="77777777" w:rsidR="0066678C" w:rsidRPr="0066678C" w:rsidRDefault="0066678C" w:rsidP="0066678C">
            <w:r w:rsidRPr="0066678C">
              <w:t>negative (-)</w:t>
            </w:r>
          </w:p>
        </w:tc>
        <w:tc>
          <w:tcPr>
            <w:tcW w:w="1248" w:type="pct"/>
            <w:tcBorders>
              <w:top w:val="outset" w:sz="6" w:space="0" w:color="auto"/>
              <w:left w:val="outset" w:sz="6" w:space="0" w:color="auto"/>
              <w:bottom w:val="outset" w:sz="6" w:space="0" w:color="auto"/>
              <w:right w:val="outset" w:sz="6" w:space="0" w:color="auto"/>
            </w:tcBorders>
            <w:vAlign w:val="center"/>
            <w:hideMark/>
          </w:tcPr>
          <w:p w14:paraId="0EFB0889" w14:textId="77777777" w:rsidR="0066678C" w:rsidRPr="0066678C" w:rsidRDefault="0066678C" w:rsidP="0066678C">
            <w:r w:rsidRPr="0066678C">
              <w:t>\beta = -0.608</w:t>
            </w:r>
            <w:proofErr w:type="gramStart"/>
            <w:r w:rsidRPr="0066678C">
              <w:t>^{</w:t>
            </w:r>
            <w:proofErr w:type="gramEnd"/>
            <w:r w:rsidRPr="0066678C">
              <w:t>**</w:t>
            </w:r>
            <w:proofErr w:type="gramStart"/>
            <w:r w:rsidRPr="0066678C">
              <w:t>*}\text{ (</w:t>
            </w:r>
            <w:proofErr w:type="gramEnd"/>
            <w:r w:rsidRPr="0066678C">
              <w:t>0.173)}</w:t>
            </w:r>
          </w:p>
        </w:tc>
        <w:tc>
          <w:tcPr>
            <w:tcW w:w="776" w:type="pct"/>
            <w:tcBorders>
              <w:top w:val="outset" w:sz="6" w:space="0" w:color="auto"/>
              <w:left w:val="outset" w:sz="6" w:space="0" w:color="auto"/>
              <w:bottom w:val="outset" w:sz="6" w:space="0" w:color="auto"/>
              <w:right w:val="outset" w:sz="6" w:space="0" w:color="auto"/>
            </w:tcBorders>
            <w:vAlign w:val="center"/>
            <w:hideMark/>
          </w:tcPr>
          <w:p w14:paraId="4F831934" w14:textId="77777777" w:rsidR="0066678C" w:rsidRPr="0066678C" w:rsidRDefault="0066678C" w:rsidP="0066678C">
            <w:r w:rsidRPr="0066678C">
              <w:rPr>
                <w:b/>
                <w:bCs/>
              </w:rPr>
              <w:t>Supported</w:t>
            </w:r>
          </w:p>
        </w:tc>
      </w:tr>
      <w:tr w:rsidR="0066678C" w:rsidRPr="0066678C" w14:paraId="7EEE110A" w14:textId="77777777" w:rsidTr="0066678C">
        <w:tc>
          <w:tcPr>
            <w:tcW w:w="349" w:type="pct"/>
            <w:tcBorders>
              <w:top w:val="outset" w:sz="6" w:space="0" w:color="auto"/>
              <w:left w:val="outset" w:sz="6" w:space="0" w:color="auto"/>
              <w:bottom w:val="outset" w:sz="6" w:space="0" w:color="auto"/>
              <w:right w:val="outset" w:sz="6" w:space="0" w:color="auto"/>
            </w:tcBorders>
            <w:vAlign w:val="center"/>
            <w:hideMark/>
          </w:tcPr>
          <w:p w14:paraId="62F64EFD" w14:textId="77777777" w:rsidR="0066678C" w:rsidRPr="0066678C" w:rsidRDefault="0066678C" w:rsidP="0066678C">
            <w:r w:rsidRPr="0066678C">
              <w:rPr>
                <w:b/>
                <w:bCs/>
              </w:rPr>
              <w:t>Model 3</w:t>
            </w:r>
          </w:p>
        </w:tc>
        <w:tc>
          <w:tcPr>
            <w:tcW w:w="511" w:type="pct"/>
            <w:tcBorders>
              <w:top w:val="outset" w:sz="6" w:space="0" w:color="auto"/>
              <w:left w:val="outset" w:sz="6" w:space="0" w:color="auto"/>
              <w:bottom w:val="outset" w:sz="6" w:space="0" w:color="auto"/>
              <w:right w:val="outset" w:sz="6" w:space="0" w:color="auto"/>
            </w:tcBorders>
            <w:vAlign w:val="center"/>
            <w:hideMark/>
          </w:tcPr>
          <w:p w14:paraId="1E4128BD" w14:textId="77777777" w:rsidR="0066678C" w:rsidRPr="0066678C" w:rsidRDefault="0066678C" w:rsidP="0066678C">
            <w:r w:rsidRPr="0066678C">
              <w:rPr>
                <w:b/>
                <w:bCs/>
              </w:rPr>
              <w:t>H2b</w:t>
            </w:r>
          </w:p>
        </w:tc>
        <w:tc>
          <w:tcPr>
            <w:tcW w:w="1345" w:type="pct"/>
            <w:tcBorders>
              <w:top w:val="outset" w:sz="6" w:space="0" w:color="auto"/>
              <w:left w:val="outset" w:sz="6" w:space="0" w:color="auto"/>
              <w:bottom w:val="outset" w:sz="6" w:space="0" w:color="auto"/>
              <w:right w:val="outset" w:sz="6" w:space="0" w:color="auto"/>
            </w:tcBorders>
            <w:vAlign w:val="center"/>
            <w:hideMark/>
          </w:tcPr>
          <w:p w14:paraId="44C4928F" w14:textId="77777777" w:rsidR="0066678C" w:rsidRPr="0066678C" w:rsidRDefault="0066678C" w:rsidP="0066678C">
            <w:r w:rsidRPr="0066678C">
              <w:t>Deal Stage: Staged Funding Round</w:t>
            </w:r>
          </w:p>
        </w:tc>
        <w:tc>
          <w:tcPr>
            <w:tcW w:w="772" w:type="pct"/>
            <w:tcBorders>
              <w:top w:val="outset" w:sz="6" w:space="0" w:color="auto"/>
              <w:left w:val="outset" w:sz="6" w:space="0" w:color="auto"/>
              <w:bottom w:val="outset" w:sz="6" w:space="0" w:color="auto"/>
              <w:right w:val="outset" w:sz="6" w:space="0" w:color="auto"/>
            </w:tcBorders>
            <w:vAlign w:val="center"/>
            <w:hideMark/>
          </w:tcPr>
          <w:p w14:paraId="44373EC2" w14:textId="77777777" w:rsidR="0066678C" w:rsidRPr="0066678C" w:rsidRDefault="0066678C" w:rsidP="0066678C">
            <w:r w:rsidRPr="0066678C">
              <w:t>negative (-)</w:t>
            </w:r>
          </w:p>
        </w:tc>
        <w:tc>
          <w:tcPr>
            <w:tcW w:w="1248" w:type="pct"/>
            <w:tcBorders>
              <w:top w:val="outset" w:sz="6" w:space="0" w:color="auto"/>
              <w:left w:val="outset" w:sz="6" w:space="0" w:color="auto"/>
              <w:bottom w:val="outset" w:sz="6" w:space="0" w:color="auto"/>
              <w:right w:val="outset" w:sz="6" w:space="0" w:color="auto"/>
            </w:tcBorders>
            <w:vAlign w:val="center"/>
            <w:hideMark/>
          </w:tcPr>
          <w:p w14:paraId="166F64E8" w14:textId="77777777" w:rsidR="0066678C" w:rsidRPr="0066678C" w:rsidRDefault="0066678C" w:rsidP="0066678C">
            <w:r w:rsidRPr="0066678C">
              <w:t>\beta = -0.030\</w:t>
            </w:r>
            <w:proofErr w:type="gramStart"/>
            <w:r w:rsidRPr="0066678C">
              <w:t>text{ (</w:t>
            </w:r>
            <w:proofErr w:type="gramEnd"/>
            <w:r w:rsidRPr="0066678C">
              <w:t>0.036)}</w:t>
            </w:r>
          </w:p>
        </w:tc>
        <w:tc>
          <w:tcPr>
            <w:tcW w:w="776" w:type="pct"/>
            <w:tcBorders>
              <w:top w:val="outset" w:sz="6" w:space="0" w:color="auto"/>
              <w:left w:val="outset" w:sz="6" w:space="0" w:color="auto"/>
              <w:bottom w:val="outset" w:sz="6" w:space="0" w:color="auto"/>
              <w:right w:val="outset" w:sz="6" w:space="0" w:color="auto"/>
            </w:tcBorders>
            <w:vAlign w:val="center"/>
            <w:hideMark/>
          </w:tcPr>
          <w:p w14:paraId="4A7ED63F" w14:textId="77777777" w:rsidR="0066678C" w:rsidRPr="0066678C" w:rsidRDefault="0066678C" w:rsidP="0066678C">
            <w:r w:rsidRPr="0066678C">
              <w:rPr>
                <w:b/>
                <w:bCs/>
              </w:rPr>
              <w:t>Rejected</w:t>
            </w:r>
          </w:p>
        </w:tc>
      </w:tr>
      <w:tr w:rsidR="0066678C" w:rsidRPr="0066678C" w14:paraId="335A8809" w14:textId="77777777" w:rsidTr="0066678C">
        <w:tc>
          <w:tcPr>
            <w:tcW w:w="349" w:type="pct"/>
            <w:tcBorders>
              <w:top w:val="outset" w:sz="6" w:space="0" w:color="auto"/>
              <w:left w:val="outset" w:sz="6" w:space="0" w:color="auto"/>
              <w:bottom w:val="outset" w:sz="6" w:space="0" w:color="auto"/>
              <w:right w:val="outset" w:sz="6" w:space="0" w:color="auto"/>
            </w:tcBorders>
            <w:vAlign w:val="center"/>
            <w:hideMark/>
          </w:tcPr>
          <w:p w14:paraId="0E10AAE4" w14:textId="77777777" w:rsidR="0066678C" w:rsidRPr="0066678C" w:rsidRDefault="0066678C" w:rsidP="0066678C">
            <w:r w:rsidRPr="0066678C">
              <w:rPr>
                <w:b/>
                <w:bCs/>
              </w:rPr>
              <w:t>Model 4</w:t>
            </w:r>
          </w:p>
        </w:tc>
        <w:tc>
          <w:tcPr>
            <w:tcW w:w="511" w:type="pct"/>
            <w:tcBorders>
              <w:top w:val="outset" w:sz="6" w:space="0" w:color="auto"/>
              <w:left w:val="outset" w:sz="6" w:space="0" w:color="auto"/>
              <w:bottom w:val="outset" w:sz="6" w:space="0" w:color="auto"/>
              <w:right w:val="outset" w:sz="6" w:space="0" w:color="auto"/>
            </w:tcBorders>
            <w:vAlign w:val="center"/>
            <w:hideMark/>
          </w:tcPr>
          <w:p w14:paraId="3078A2DA" w14:textId="77777777" w:rsidR="0066678C" w:rsidRPr="0066678C" w:rsidRDefault="0066678C" w:rsidP="0066678C">
            <w:r w:rsidRPr="0066678C">
              <w:rPr>
                <w:b/>
                <w:bCs/>
              </w:rPr>
              <w:t>H2c</w:t>
            </w:r>
          </w:p>
        </w:tc>
        <w:tc>
          <w:tcPr>
            <w:tcW w:w="1345" w:type="pct"/>
            <w:tcBorders>
              <w:top w:val="outset" w:sz="6" w:space="0" w:color="auto"/>
              <w:left w:val="outset" w:sz="6" w:space="0" w:color="auto"/>
              <w:bottom w:val="outset" w:sz="6" w:space="0" w:color="auto"/>
              <w:right w:val="outset" w:sz="6" w:space="0" w:color="auto"/>
            </w:tcBorders>
            <w:vAlign w:val="center"/>
            <w:hideMark/>
          </w:tcPr>
          <w:p w14:paraId="1F0C5D9D" w14:textId="77777777" w:rsidR="0066678C" w:rsidRPr="0066678C" w:rsidRDefault="0066678C" w:rsidP="0066678C">
            <w:r w:rsidRPr="0066678C">
              <w:t>Firm Quality: Funding to Date</w:t>
            </w:r>
          </w:p>
        </w:tc>
        <w:tc>
          <w:tcPr>
            <w:tcW w:w="772" w:type="pct"/>
            <w:tcBorders>
              <w:top w:val="outset" w:sz="6" w:space="0" w:color="auto"/>
              <w:left w:val="outset" w:sz="6" w:space="0" w:color="auto"/>
              <w:bottom w:val="outset" w:sz="6" w:space="0" w:color="auto"/>
              <w:right w:val="outset" w:sz="6" w:space="0" w:color="auto"/>
            </w:tcBorders>
            <w:vAlign w:val="center"/>
            <w:hideMark/>
          </w:tcPr>
          <w:p w14:paraId="38701066" w14:textId="77777777" w:rsidR="0066678C" w:rsidRPr="0066678C" w:rsidRDefault="0066678C" w:rsidP="0066678C">
            <w:r w:rsidRPr="0066678C">
              <w:t>negative (-)</w:t>
            </w:r>
          </w:p>
        </w:tc>
        <w:tc>
          <w:tcPr>
            <w:tcW w:w="1248" w:type="pct"/>
            <w:tcBorders>
              <w:top w:val="outset" w:sz="6" w:space="0" w:color="auto"/>
              <w:left w:val="outset" w:sz="6" w:space="0" w:color="auto"/>
              <w:bottom w:val="outset" w:sz="6" w:space="0" w:color="auto"/>
              <w:right w:val="outset" w:sz="6" w:space="0" w:color="auto"/>
            </w:tcBorders>
            <w:vAlign w:val="center"/>
            <w:hideMark/>
          </w:tcPr>
          <w:p w14:paraId="3E31F405" w14:textId="77777777" w:rsidR="0066678C" w:rsidRPr="0066678C" w:rsidRDefault="0066678C" w:rsidP="0066678C">
            <w:r w:rsidRPr="0066678C">
              <w:t>\beta = -0.137</w:t>
            </w:r>
            <w:proofErr w:type="gramStart"/>
            <w:r w:rsidRPr="0066678C">
              <w:t>^{</w:t>
            </w:r>
            <w:proofErr w:type="gramEnd"/>
            <w:r w:rsidRPr="0066678C">
              <w:t>**</w:t>
            </w:r>
            <w:proofErr w:type="gramStart"/>
            <w:r w:rsidRPr="0066678C">
              <w:t>*}\text{ (</w:t>
            </w:r>
            <w:proofErr w:type="gramEnd"/>
            <w:r w:rsidRPr="0066678C">
              <w:t>0.0459)}</w:t>
            </w:r>
          </w:p>
        </w:tc>
        <w:tc>
          <w:tcPr>
            <w:tcW w:w="776" w:type="pct"/>
            <w:tcBorders>
              <w:top w:val="outset" w:sz="6" w:space="0" w:color="auto"/>
              <w:left w:val="outset" w:sz="6" w:space="0" w:color="auto"/>
              <w:bottom w:val="outset" w:sz="6" w:space="0" w:color="auto"/>
              <w:right w:val="outset" w:sz="6" w:space="0" w:color="auto"/>
            </w:tcBorders>
            <w:vAlign w:val="center"/>
            <w:hideMark/>
          </w:tcPr>
          <w:p w14:paraId="1D6B2AED" w14:textId="77777777" w:rsidR="0066678C" w:rsidRPr="0066678C" w:rsidRDefault="0066678C" w:rsidP="0066678C">
            <w:r w:rsidRPr="0066678C">
              <w:rPr>
                <w:b/>
                <w:bCs/>
              </w:rPr>
              <w:t>Supported</w:t>
            </w:r>
          </w:p>
        </w:tc>
      </w:tr>
      <w:tr w:rsidR="0066678C" w:rsidRPr="0066678C" w14:paraId="6731E19F" w14:textId="77777777" w:rsidTr="0066678C">
        <w:tc>
          <w:tcPr>
            <w:tcW w:w="349" w:type="pct"/>
            <w:tcBorders>
              <w:top w:val="outset" w:sz="6" w:space="0" w:color="auto"/>
              <w:left w:val="outset" w:sz="6" w:space="0" w:color="auto"/>
              <w:bottom w:val="outset" w:sz="6" w:space="0" w:color="auto"/>
              <w:right w:val="outset" w:sz="6" w:space="0" w:color="auto"/>
            </w:tcBorders>
            <w:vAlign w:val="center"/>
            <w:hideMark/>
          </w:tcPr>
          <w:p w14:paraId="3321951E" w14:textId="77777777" w:rsidR="0066678C" w:rsidRPr="0066678C" w:rsidRDefault="0066678C" w:rsidP="0066678C">
            <w:r w:rsidRPr="0066678C">
              <w:rPr>
                <w:b/>
                <w:bCs/>
              </w:rPr>
              <w:t>Model 5</w:t>
            </w:r>
          </w:p>
        </w:tc>
        <w:tc>
          <w:tcPr>
            <w:tcW w:w="511" w:type="pct"/>
            <w:tcBorders>
              <w:top w:val="outset" w:sz="6" w:space="0" w:color="auto"/>
              <w:left w:val="outset" w:sz="6" w:space="0" w:color="auto"/>
              <w:bottom w:val="outset" w:sz="6" w:space="0" w:color="auto"/>
              <w:right w:val="outset" w:sz="6" w:space="0" w:color="auto"/>
            </w:tcBorders>
            <w:vAlign w:val="center"/>
            <w:hideMark/>
          </w:tcPr>
          <w:p w14:paraId="2A625D31" w14:textId="77777777" w:rsidR="0066678C" w:rsidRPr="0066678C" w:rsidRDefault="0066678C" w:rsidP="0066678C">
            <w:r w:rsidRPr="0066678C">
              <w:rPr>
                <w:b/>
                <w:bCs/>
              </w:rPr>
              <w:t>H2d</w:t>
            </w:r>
          </w:p>
        </w:tc>
        <w:tc>
          <w:tcPr>
            <w:tcW w:w="1345" w:type="pct"/>
            <w:tcBorders>
              <w:top w:val="outset" w:sz="6" w:space="0" w:color="auto"/>
              <w:left w:val="outset" w:sz="6" w:space="0" w:color="auto"/>
              <w:bottom w:val="outset" w:sz="6" w:space="0" w:color="auto"/>
              <w:right w:val="outset" w:sz="6" w:space="0" w:color="auto"/>
            </w:tcBorders>
            <w:vAlign w:val="center"/>
            <w:hideMark/>
          </w:tcPr>
          <w:p w14:paraId="1A9DEA9C" w14:textId="77777777" w:rsidR="0066678C" w:rsidRPr="0066678C" w:rsidRDefault="0066678C" w:rsidP="0066678C">
            <w:r w:rsidRPr="0066678C">
              <w:t>Organizational Maturity: Company Age</w:t>
            </w:r>
          </w:p>
        </w:tc>
        <w:tc>
          <w:tcPr>
            <w:tcW w:w="772" w:type="pct"/>
            <w:tcBorders>
              <w:top w:val="outset" w:sz="6" w:space="0" w:color="auto"/>
              <w:left w:val="outset" w:sz="6" w:space="0" w:color="auto"/>
              <w:bottom w:val="outset" w:sz="6" w:space="0" w:color="auto"/>
              <w:right w:val="outset" w:sz="6" w:space="0" w:color="auto"/>
            </w:tcBorders>
            <w:vAlign w:val="center"/>
            <w:hideMark/>
          </w:tcPr>
          <w:p w14:paraId="373E12ED" w14:textId="77777777" w:rsidR="0066678C" w:rsidRPr="0066678C" w:rsidRDefault="0066678C" w:rsidP="0066678C">
            <w:r w:rsidRPr="0066678C">
              <w:t>negative (-)</w:t>
            </w:r>
          </w:p>
        </w:tc>
        <w:tc>
          <w:tcPr>
            <w:tcW w:w="1248" w:type="pct"/>
            <w:tcBorders>
              <w:top w:val="outset" w:sz="6" w:space="0" w:color="auto"/>
              <w:left w:val="outset" w:sz="6" w:space="0" w:color="auto"/>
              <w:bottom w:val="outset" w:sz="6" w:space="0" w:color="auto"/>
              <w:right w:val="outset" w:sz="6" w:space="0" w:color="auto"/>
            </w:tcBorders>
            <w:vAlign w:val="center"/>
            <w:hideMark/>
          </w:tcPr>
          <w:p w14:paraId="6368E709" w14:textId="77777777" w:rsidR="0066678C" w:rsidRPr="0066678C" w:rsidRDefault="0066678C" w:rsidP="0066678C">
            <w:r w:rsidRPr="0066678C">
              <w:t>\beta = +5.346</w:t>
            </w:r>
            <w:proofErr w:type="gramStart"/>
            <w:r w:rsidRPr="0066678C">
              <w:t>^{</w:t>
            </w:r>
            <w:proofErr w:type="gramEnd"/>
            <w:r w:rsidRPr="0066678C">
              <w:t>**</w:t>
            </w:r>
            <w:proofErr w:type="gramStart"/>
            <w:r w:rsidRPr="0066678C">
              <w:t>*}\text{ (</w:t>
            </w:r>
            <w:proofErr w:type="gramEnd"/>
            <w:r w:rsidRPr="0066678C">
              <w:t>1.043)}</w:t>
            </w:r>
          </w:p>
        </w:tc>
        <w:tc>
          <w:tcPr>
            <w:tcW w:w="776" w:type="pct"/>
            <w:tcBorders>
              <w:top w:val="outset" w:sz="6" w:space="0" w:color="auto"/>
              <w:left w:val="outset" w:sz="6" w:space="0" w:color="auto"/>
              <w:bottom w:val="outset" w:sz="6" w:space="0" w:color="auto"/>
              <w:right w:val="outset" w:sz="6" w:space="0" w:color="auto"/>
            </w:tcBorders>
            <w:vAlign w:val="center"/>
            <w:hideMark/>
          </w:tcPr>
          <w:p w14:paraId="4A743569" w14:textId="77777777" w:rsidR="0066678C" w:rsidRPr="0066678C" w:rsidRDefault="0066678C" w:rsidP="0066678C">
            <w:r w:rsidRPr="0066678C">
              <w:rPr>
                <w:b/>
                <w:bCs/>
              </w:rPr>
              <w:t>Reversed / Rejected</w:t>
            </w:r>
          </w:p>
        </w:tc>
      </w:tr>
    </w:tbl>
    <w:p w14:paraId="7FA980DA" w14:textId="77777777" w:rsidR="0066678C" w:rsidRPr="0066678C" w:rsidRDefault="0066678C" w:rsidP="0066678C">
      <w:r w:rsidRPr="0066678C">
        <w:t>\</w:t>
      </w:r>
      <w:proofErr w:type="gramStart"/>
      <w:r w:rsidRPr="0066678C">
        <w:t>text{</w:t>
      </w:r>
      <w:proofErr w:type="gramEnd"/>
      <w:r w:rsidRPr="0066678C">
        <w:t>Heteroskedasticity-robust standard errors clustered at the VC firm level are in parentheses.} \</w:t>
      </w:r>
      <w:proofErr w:type="gramStart"/>
      <w:r w:rsidRPr="0066678C">
        <w:t>text{</w:t>
      </w:r>
      <w:proofErr w:type="gramEnd"/>
      <w:r w:rsidRPr="0066678C">
        <w:t>Significance levels</w:t>
      </w:r>
      <w:proofErr w:type="gramStart"/>
      <w:r w:rsidRPr="0066678C">
        <w:t>: }</w:t>
      </w:r>
      <w:proofErr w:type="gramEnd"/>
      <w:r w:rsidRPr="0066678C">
        <w:t xml:space="preserve"> {</w:t>
      </w:r>
      <w:proofErr w:type="gramStart"/>
      <w:r w:rsidRPr="0066678C">
        <w:t>^{</w:t>
      </w:r>
      <w:proofErr w:type="gramEnd"/>
      <w:r w:rsidRPr="0066678C">
        <w:t>***</w:t>
      </w:r>
      <w:proofErr w:type="gramStart"/>
      <w:r w:rsidRPr="0066678C">
        <w:t>}}p</w:t>
      </w:r>
      <w:proofErr w:type="gramEnd"/>
      <w:r w:rsidRPr="0066678C">
        <w:t xml:space="preserve"> &lt; 0.01, {</w:t>
      </w:r>
      <w:proofErr w:type="gramStart"/>
      <w:r w:rsidRPr="0066678C">
        <w:t>^{</w:t>
      </w:r>
      <w:proofErr w:type="gramEnd"/>
      <w:r w:rsidRPr="0066678C">
        <w:t>**</w:t>
      </w:r>
      <w:proofErr w:type="gramStart"/>
      <w:r w:rsidRPr="0066678C">
        <w:t>}}p</w:t>
      </w:r>
      <w:proofErr w:type="gramEnd"/>
      <w:r w:rsidRPr="0066678C">
        <w:t xml:space="preserve"> &lt; 0.05, \</w:t>
      </w:r>
      <w:proofErr w:type="gramStart"/>
      <w:r w:rsidRPr="0066678C">
        <w:t>text{</w:t>
      </w:r>
      <w:proofErr w:type="gramEnd"/>
      <w:r w:rsidRPr="0066678C">
        <w:t>ns = not statistically significant.}</w:t>
      </w:r>
    </w:p>
    <w:p w14:paraId="24C12136" w14:textId="77777777" w:rsidR="0066678C" w:rsidRPr="0066678C" w:rsidRDefault="0066678C" w:rsidP="0066678C">
      <w:pPr>
        <w:rPr>
          <w:b/>
          <w:bCs/>
        </w:rPr>
      </w:pPr>
      <w:r w:rsidRPr="0066678C">
        <w:rPr>
          <w:b/>
          <w:bCs/>
        </w:rPr>
        <w:t>4.1 Robustness check</w:t>
      </w:r>
    </w:p>
    <w:p w14:paraId="2023CB64" w14:textId="77777777" w:rsidR="0066678C" w:rsidRPr="0066678C" w:rsidRDefault="0066678C" w:rsidP="0066678C">
      <w:r w:rsidRPr="0066678C">
        <w:t>Because the global VC landscape is dominated by North America (72.83% of sample deals), a robustness test was conducted on a non-North American subsample (N = 12,644 / 10,539 / 9,374).</w:t>
      </w:r>
    </w:p>
    <w:p w14:paraId="183E8CB4" w14:textId="77777777" w:rsidR="0066678C" w:rsidRPr="0066678C" w:rsidRDefault="0066678C" w:rsidP="0066678C">
      <w:r w:rsidRPr="0066678C">
        <w:rPr>
          <w:b/>
          <w:bCs/>
        </w:rPr>
        <w:t>Exam Flashpoint — Sample Size Truncation in Table 7:</w:t>
      </w:r>
      <w:r w:rsidRPr="0066678C">
        <w:t> Notice that observation counts drop from N = 12,644 in Models 1–3 down to N = 10,539 in Model 4 and N = 9,374 in Model 5. This truncation occurs due to missing underlying data in Refinitiv Eikon regarding exact total funding amounts and portfolio company founding years for smaller non-US companies.</w:t>
      </w:r>
    </w:p>
    <w:p w14:paraId="32A892E8" w14:textId="77777777" w:rsidR="0066678C" w:rsidRPr="0066678C" w:rsidRDefault="0066678C" w:rsidP="0066678C">
      <w:pPr>
        <w:numPr>
          <w:ilvl w:val="0"/>
          <w:numId w:val="15"/>
        </w:numPr>
      </w:pPr>
      <w:r w:rsidRPr="0066678C">
        <w:t>The main direct effect of Industry specialization remains robust, positive, and statistically significant (\beta = +0.804, p &lt; 0.01).</w:t>
      </w:r>
    </w:p>
    <w:p w14:paraId="0818ACFF" w14:textId="77777777" w:rsidR="0066678C" w:rsidRPr="0066678C" w:rsidRDefault="0066678C" w:rsidP="0066678C">
      <w:pPr>
        <w:numPr>
          <w:ilvl w:val="0"/>
          <w:numId w:val="15"/>
        </w:numPr>
      </w:pPr>
      <w:r w:rsidRPr="0066678C">
        <w:lastRenderedPageBreak/>
        <w:t>Start-up hub dummy (\beta = -0.898, p &lt; 0.01) and Company funding to date (\beta = -0.199, p &lt; 0.01) interaction effects remain negative and robust outside North America.</w:t>
      </w:r>
    </w:p>
    <w:p w14:paraId="35B15687" w14:textId="77777777" w:rsidR="0066678C" w:rsidRPr="0066678C" w:rsidRDefault="0066678C" w:rsidP="0066678C">
      <w:pPr>
        <w:numPr>
          <w:ilvl w:val="0"/>
          <w:numId w:val="15"/>
        </w:numPr>
      </w:pPr>
      <w:r w:rsidRPr="0066678C">
        <w:t>The interaction term for Age of portfolio company loses statistical significance (\beta = +0.083, p &gt; 0.10). This structural shift reflects European market growth constraints, where less-developed entrepreneurial infrastructure requires continuous investor hands-on involvement regardless of firm age.</w:t>
      </w:r>
    </w:p>
    <w:p w14:paraId="6F51531B" w14:textId="77777777" w:rsidR="0066678C" w:rsidRPr="0066678C" w:rsidRDefault="0066678C" w:rsidP="0066678C">
      <w:pPr>
        <w:numPr>
          <w:ilvl w:val="0"/>
          <w:numId w:val="15"/>
        </w:numPr>
      </w:pPr>
      <w:r w:rsidRPr="0066678C">
        <w:t>Including control variables for </w:t>
      </w:r>
      <w:r w:rsidRPr="0066678C">
        <w:rPr>
          <w:b/>
          <w:bCs/>
        </w:rPr>
        <w:t>syndication dummy</w:t>
      </w:r>
      <w:r w:rsidRPr="0066678C">
        <w:t> and the presence of </w:t>
      </w:r>
      <w:r w:rsidRPr="0066678C">
        <w:rPr>
          <w:b/>
          <w:bCs/>
        </w:rPr>
        <w:t>local syndicate partners</w:t>
      </w:r>
      <w:r w:rsidRPr="0066678C">
        <w:t> across all models yields stable results, confirming that specialization operates independently of syndicate structures.</w:t>
      </w:r>
    </w:p>
    <w:p w14:paraId="1DEE1963" w14:textId="77777777" w:rsidR="0066678C" w:rsidRPr="0066678C" w:rsidRDefault="0066678C" w:rsidP="0066678C">
      <w:r w:rsidRPr="0066678C">
        <w:rPr>
          <w:b/>
          <w:bCs/>
        </w:rPr>
        <w:t>Takeaway:</w:t>
      </w:r>
      <w:r w:rsidRPr="0066678C">
        <w:t> Empirical testing supports H1, H2a, and H2c, while H2b is rejected and H2d is reversed; domain specialization operates as a primary driver of cross-border venture capital deployment independent of syndication structures.</w:t>
      </w:r>
    </w:p>
    <w:p w14:paraId="5250B811" w14:textId="77777777" w:rsidR="0066678C" w:rsidRPr="0066678C" w:rsidRDefault="0066678C" w:rsidP="0066678C">
      <w:r w:rsidRPr="0066678C">
        <w:t>The theoretical and strategic implications of these empirical findings are examined below.</w:t>
      </w:r>
    </w:p>
    <w:p w14:paraId="7DB23A7D" w14:textId="77777777" w:rsidR="0066678C" w:rsidRPr="0066678C" w:rsidRDefault="0066678C" w:rsidP="0066678C">
      <w:pPr>
        <w:rPr>
          <w:b/>
          <w:bCs/>
        </w:rPr>
      </w:pPr>
      <w:r w:rsidRPr="0066678C">
        <w:rPr>
          <w:b/>
          <w:bCs/>
        </w:rPr>
        <w:t>5 Discussion</w:t>
      </w:r>
    </w:p>
    <w:p w14:paraId="397AD734" w14:textId="77777777" w:rsidR="0066678C" w:rsidRPr="0066678C" w:rsidRDefault="0066678C" w:rsidP="0066678C">
      <w:r w:rsidRPr="0066678C">
        <w:t>The empirical results advance the international entrepreneurship literature by establishing firm-level industry specialization as a key, capability-based driver of cross-border investments.</w:t>
      </w:r>
    </w:p>
    <w:p w14:paraId="389EC13B" w14:textId="77777777" w:rsidR="0066678C" w:rsidRPr="0066678C" w:rsidRDefault="0066678C" w:rsidP="0066678C">
      <w:r w:rsidRPr="0066678C">
        <w:t xml:space="preserve">       +-------------------------------------------------------------+</w:t>
      </w:r>
    </w:p>
    <w:p w14:paraId="3D67B805" w14:textId="77777777" w:rsidR="0066678C" w:rsidRPr="0066678C" w:rsidRDefault="0066678C" w:rsidP="0066678C">
      <w:r w:rsidRPr="0066678C">
        <w:t xml:space="preserve">       |             Theoretical Mechanism Reconciliation            |</w:t>
      </w:r>
    </w:p>
    <w:p w14:paraId="4F0B6B83" w14:textId="77777777" w:rsidR="0066678C" w:rsidRPr="0066678C" w:rsidRDefault="0066678C" w:rsidP="0066678C">
      <w:r w:rsidRPr="0066678C">
        <w:t xml:space="preserve">       +-------------------------------------------------------------+</w:t>
      </w:r>
    </w:p>
    <w:p w14:paraId="04285650" w14:textId="77777777" w:rsidR="0066678C" w:rsidRPr="0066678C" w:rsidRDefault="0066678C" w:rsidP="0066678C">
      <w:r w:rsidRPr="0066678C">
        <w:t xml:space="preserve">                                      |</w:t>
      </w:r>
    </w:p>
    <w:p w14:paraId="1A83E6C0" w14:textId="77777777" w:rsidR="0066678C" w:rsidRPr="0066678C" w:rsidRDefault="0066678C" w:rsidP="0066678C">
      <w:r w:rsidRPr="0066678C">
        <w:t xml:space="preserve">         +----------------------------+----------------------------+</w:t>
      </w:r>
    </w:p>
    <w:p w14:paraId="51380341" w14:textId="77777777" w:rsidR="0066678C" w:rsidRPr="0066678C" w:rsidRDefault="0066678C" w:rsidP="0066678C">
      <w:r w:rsidRPr="0066678C">
        <w:t xml:space="preserve">         |                                                         |</w:t>
      </w:r>
    </w:p>
    <w:p w14:paraId="6CE1B498" w14:textId="77777777" w:rsidR="0066678C" w:rsidRPr="0066678C" w:rsidRDefault="0066678C" w:rsidP="0066678C">
      <w:r w:rsidRPr="0066678C">
        <w:t xml:space="preserve">         v                                                         </w:t>
      </w:r>
      <w:proofErr w:type="spellStart"/>
      <w:r w:rsidRPr="0066678C">
        <w:t>v</w:t>
      </w:r>
      <w:proofErr w:type="spellEnd"/>
    </w:p>
    <w:p w14:paraId="29DA1F36" w14:textId="77777777" w:rsidR="0066678C" w:rsidRPr="0066678C" w:rsidRDefault="0066678C" w:rsidP="0066678C">
      <w:r w:rsidRPr="0066678C">
        <w:t xml:space="preserve">  [Tacit Knowledge </w:t>
      </w:r>
      <w:proofErr w:type="gramStart"/>
      <w:r w:rsidRPr="0066678C">
        <w:t xml:space="preserve">Expansion]   </w:t>
      </w:r>
      <w:proofErr w:type="gramEnd"/>
      <w:r w:rsidRPr="0066678C">
        <w:t xml:space="preserve">                         </w:t>
      </w:r>
      <w:proofErr w:type="gramStart"/>
      <w:r w:rsidRPr="0066678C">
        <w:t xml:space="preserve">   [</w:t>
      </w:r>
      <w:proofErr w:type="gramEnd"/>
      <w:r w:rsidRPr="0066678C">
        <w:t>Domestic Saturation Push]</w:t>
      </w:r>
    </w:p>
    <w:p w14:paraId="2FEC14FD" w14:textId="77777777" w:rsidR="0066678C" w:rsidRPr="0066678C" w:rsidRDefault="0066678C" w:rsidP="0066678C">
      <w:r w:rsidRPr="0066678C">
        <w:t xml:space="preserve">  • Lower LOF via sector domain expertise                   • Contracting domestic target options</w:t>
      </w:r>
    </w:p>
    <w:p w14:paraId="0EEDF47F" w14:textId="77777777" w:rsidR="0066678C" w:rsidRPr="0066678C" w:rsidRDefault="0066678C" w:rsidP="0066678C">
      <w:r w:rsidRPr="0066678C">
        <w:t xml:space="preserve">  • Replicable operational templates                        • Forces VCs to expand global search radius</w:t>
      </w:r>
    </w:p>
    <w:p w14:paraId="59C963A8" w14:textId="77777777" w:rsidR="0066678C" w:rsidRPr="0066678C" w:rsidRDefault="0066678C" w:rsidP="0066678C">
      <w:r w:rsidRPr="0066678C">
        <w:lastRenderedPageBreak/>
        <w:t xml:space="preserve">  • Enhanced product &amp; business evaluation                  • Deployment of capital in foreign markets</w:t>
      </w:r>
    </w:p>
    <w:p w14:paraId="1E0114BA" w14:textId="77777777" w:rsidR="0066678C" w:rsidRPr="0066678C" w:rsidRDefault="0066678C" w:rsidP="0066678C"/>
    <w:p w14:paraId="2A84DE3E" w14:textId="77777777" w:rsidR="0066678C" w:rsidRPr="0066678C" w:rsidRDefault="0066678C" w:rsidP="0066678C">
      <w:r w:rsidRPr="0066678C">
        <w:t xml:space="preserve">                                      |</w:t>
      </w:r>
    </w:p>
    <w:p w14:paraId="464EAC9E" w14:textId="77777777" w:rsidR="0066678C" w:rsidRPr="0066678C" w:rsidRDefault="0066678C" w:rsidP="0066678C">
      <w:r w:rsidRPr="0066678C">
        <w:t xml:space="preserve">                                      v</w:t>
      </w:r>
    </w:p>
    <w:p w14:paraId="5340F6CC" w14:textId="77777777" w:rsidR="0066678C" w:rsidRPr="0066678C" w:rsidRDefault="0066678C" w:rsidP="0066678C">
      <w:r w:rsidRPr="0066678C">
        <w:t xml:space="preserve">       +-------------------------------------------------------------+</w:t>
      </w:r>
    </w:p>
    <w:p w14:paraId="7E48E24C" w14:textId="77777777" w:rsidR="0066678C" w:rsidRPr="0066678C" w:rsidRDefault="0066678C" w:rsidP="0066678C">
      <w:r w:rsidRPr="0066678C">
        <w:t xml:space="preserve">       |               Information Asymmetry Substitutes             |</w:t>
      </w:r>
    </w:p>
    <w:p w14:paraId="4D1E76EB" w14:textId="77777777" w:rsidR="0066678C" w:rsidRPr="0066678C" w:rsidRDefault="0066678C" w:rsidP="0066678C">
      <w:r w:rsidRPr="0066678C">
        <w:t xml:space="preserve">       +-------------------------------------------------------------+</w:t>
      </w:r>
    </w:p>
    <w:p w14:paraId="24C4F236" w14:textId="77777777" w:rsidR="0066678C" w:rsidRPr="0066678C" w:rsidRDefault="0066678C" w:rsidP="0066678C">
      <w:r w:rsidRPr="0066678C">
        <w:t xml:space="preserve">         • External Hub Ecosystems: Provide localized resources/networks</w:t>
      </w:r>
    </w:p>
    <w:p w14:paraId="328CB71E" w14:textId="77777777" w:rsidR="0066678C" w:rsidRPr="0066678C" w:rsidRDefault="0066678C" w:rsidP="0066678C">
      <w:r w:rsidRPr="0066678C">
        <w:t xml:space="preserve">         • Company Funding to Date: Signals prior validation/maturity</w:t>
      </w:r>
    </w:p>
    <w:p w14:paraId="5B59C7E6" w14:textId="77777777" w:rsidR="0066678C" w:rsidRPr="0066678C" w:rsidRDefault="0066678C" w:rsidP="0066678C">
      <w:r w:rsidRPr="0066678C">
        <w:t xml:space="preserve">         • Company Age Reversal: Older targets present complex scale-</w:t>
      </w:r>
    </w:p>
    <w:p w14:paraId="1E569FC5" w14:textId="77777777" w:rsidR="0066678C" w:rsidRPr="0066678C" w:rsidRDefault="0066678C" w:rsidP="0066678C">
      <w:r w:rsidRPr="0066678C">
        <w:t xml:space="preserve">           up challenges, *increasing* need for specialization.</w:t>
      </w:r>
    </w:p>
    <w:p w14:paraId="7C3BFA8A" w14:textId="77777777" w:rsidR="0066678C" w:rsidRPr="0066678C" w:rsidRDefault="0066678C" w:rsidP="0066678C">
      <w:r w:rsidRPr="0066678C">
        <w:t>The findings resolve competing theoretical mechanisms regarding how VCs mitigate LOF. Rather than relying solely on external networks or country-level experience, VC firms leverage sector-specific </w:t>
      </w:r>
      <w:r w:rsidRPr="0066678C">
        <w:rPr>
          <w:b/>
          <w:bCs/>
        </w:rPr>
        <w:t>tacit knowledge</w:t>
      </w:r>
      <w:r w:rsidRPr="0066678C">
        <w:t> acquired through iterative deal-making. This tacit knowledge lowers LOF by providing replicable framework templates for evaluating complex technological products, assessing specialized business models, and providing value-added operational guidance across borders. Concurrently, the results demonstrate a structural "push" mechanism: high specialization reduces the density of viable domestic targets, compelling VCs to search abroad to deploy committed capital.</w:t>
      </w:r>
    </w:p>
    <w:p w14:paraId="24078642" w14:textId="77777777" w:rsidR="0066678C" w:rsidRPr="0066678C" w:rsidRDefault="0066678C" w:rsidP="0066678C">
      <w:r w:rsidRPr="0066678C">
        <w:t>The moderation analysis reveals key insights into how information asymmetries interact across levels of analysis:</w:t>
      </w:r>
    </w:p>
    <w:p w14:paraId="4FB64AB2" w14:textId="77777777" w:rsidR="0066678C" w:rsidRPr="0066678C" w:rsidRDefault="0066678C" w:rsidP="0066678C">
      <w:pPr>
        <w:numPr>
          <w:ilvl w:val="0"/>
          <w:numId w:val="16"/>
        </w:numPr>
      </w:pPr>
      <w:r w:rsidRPr="0066678C">
        <w:rPr>
          <w:i/>
          <w:iCs/>
        </w:rPr>
        <w:t>Ecosystem &amp; Capital Substitution:</w:t>
      </w:r>
      <w:r w:rsidRPr="0066678C">
        <w:t> Evolved entrepreneurial ecosystems (start-up hubs) and high accumulated funding substitute for investor domain expertise. Foreign start-up hubs provide dense local support networks, while high funding signals operational validation from incumbent backers. Both factors reduce the target firm's reliance on the incoming VC's industry specialization.</w:t>
      </w:r>
    </w:p>
    <w:p w14:paraId="1F5C7BC3" w14:textId="77777777" w:rsidR="0066678C" w:rsidRPr="0066678C" w:rsidRDefault="0066678C" w:rsidP="0066678C">
      <w:pPr>
        <w:numPr>
          <w:ilvl w:val="0"/>
          <w:numId w:val="16"/>
        </w:numPr>
      </w:pPr>
      <w:r w:rsidRPr="0066678C">
        <w:rPr>
          <w:i/>
          <w:iCs/>
        </w:rPr>
        <w:t>The Age Moderation Reversal:</w:t>
      </w:r>
      <w:r w:rsidRPr="0066678C">
        <w:t xml:space="preserve"> The unexpected positive moderation of portfolio company age (\beta = +5.346) reflects the structural complexities of scaling established businesses. While early-stage investments center on basic product-market fit, older ventures </w:t>
      </w:r>
      <w:proofErr w:type="gramStart"/>
      <w:r w:rsidRPr="0066678C">
        <w:t>face</w:t>
      </w:r>
      <w:proofErr w:type="gramEnd"/>
      <w:r w:rsidRPr="0066678C">
        <w:t xml:space="preserve"> complex strategic decisions—such as international </w:t>
      </w:r>
      <w:r w:rsidRPr="0066678C">
        <w:lastRenderedPageBreak/>
        <w:t>market entry, organizational restructuring, and multi-product expansion. Navigating these scale-up hurdles requires high industry specialization, making domain expertise </w:t>
      </w:r>
      <w:r w:rsidRPr="0066678C">
        <w:rPr>
          <w:i/>
          <w:iCs/>
        </w:rPr>
        <w:t>more</w:t>
      </w:r>
      <w:r w:rsidRPr="0066678C">
        <w:t> critical for older cross-border targets.</w:t>
      </w:r>
    </w:p>
    <w:p w14:paraId="3A04AD4D" w14:textId="77777777" w:rsidR="0066678C" w:rsidRPr="0066678C" w:rsidRDefault="0066678C" w:rsidP="0066678C">
      <w:pPr>
        <w:numPr>
          <w:ilvl w:val="0"/>
          <w:numId w:val="16"/>
        </w:numPr>
      </w:pPr>
      <w:r w:rsidRPr="0066678C">
        <w:rPr>
          <w:i/>
          <w:iCs/>
        </w:rPr>
        <w:t>Cultural and Legal Boundaries:</w:t>
      </w:r>
      <w:r w:rsidRPr="0066678C">
        <w:t> The negative coefficients for cultural and legal proximity highlight structural supply constraints in global venture capital. Venture capital supply remains concentrated in dominant financial hubs (primarily US common-law, English-speaking regions). High growth opportunities in emerging or institutional foreign markets force these dominant VCs to deploy capital across legal and cultural boundaries, over-indexing on foreign deals in culturally distinct jurisdictions.</w:t>
      </w:r>
    </w:p>
    <w:p w14:paraId="6079250F" w14:textId="77777777" w:rsidR="0066678C" w:rsidRPr="0066678C" w:rsidRDefault="0066678C" w:rsidP="0066678C">
      <w:r w:rsidRPr="0066678C">
        <w:rPr>
          <w:b/>
          <w:bCs/>
        </w:rPr>
        <w:t>Takeaway:</w:t>
      </w:r>
      <w:r w:rsidRPr="0066678C">
        <w:t> Industry specialization drives VC internationalization by combining tacit knowledge LOF mitigation with a domestic target saturation push, interacting dynamically with external ecosystem and deal-level substitutes.</w:t>
      </w:r>
    </w:p>
    <w:p w14:paraId="228F923C" w14:textId="77777777" w:rsidR="0066678C" w:rsidRPr="0066678C" w:rsidRDefault="0066678C" w:rsidP="0066678C">
      <w:pPr>
        <w:rPr>
          <w:b/>
          <w:bCs/>
        </w:rPr>
      </w:pPr>
      <w:r w:rsidRPr="0066678C">
        <w:rPr>
          <w:b/>
          <w:bCs/>
        </w:rPr>
        <w:t>6 Conclusion</w:t>
      </w:r>
    </w:p>
    <w:p w14:paraId="78E9BCD8" w14:textId="77777777" w:rsidR="0066678C" w:rsidRPr="0066678C" w:rsidRDefault="0066678C" w:rsidP="0066678C">
      <w:r w:rsidRPr="0066678C">
        <w:t>This study establishes firm-level industry specialization as an independent driver of cross-border venture capital decisions. By bridging the institution-based and resource-based views, the paper demonstrates that specialized domain expertise mitigates the liability of foreignness, enabling VCs to deploy capital internationally.</w:t>
      </w:r>
    </w:p>
    <w:p w14:paraId="39FE9B63" w14:textId="77777777" w:rsidR="0066678C" w:rsidRPr="0066678C" w:rsidRDefault="0066678C" w:rsidP="0066678C">
      <w:pPr>
        <w:rPr>
          <w:b/>
          <w:bCs/>
        </w:rPr>
      </w:pPr>
      <w:r w:rsidRPr="0066678C">
        <w:rPr>
          <w:b/>
          <w:bCs/>
        </w:rPr>
        <w:t>Key Academic &amp; Practical Contributions</w:t>
      </w:r>
    </w:p>
    <w:p w14:paraId="779BF49C" w14:textId="77777777" w:rsidR="0066678C" w:rsidRPr="0066678C" w:rsidRDefault="0066678C" w:rsidP="0066678C">
      <w:pPr>
        <w:numPr>
          <w:ilvl w:val="0"/>
          <w:numId w:val="17"/>
        </w:numPr>
      </w:pPr>
      <w:r w:rsidRPr="0066678C">
        <w:rPr>
          <w:i/>
          <w:iCs/>
        </w:rPr>
        <w:t>Theoretical Refinement:</w:t>
      </w:r>
      <w:r w:rsidRPr="0066678C">
        <w:t> Demonstrates that firm-specific industry capabilities directly drive internationalization choices, expanding theories of VC expansion beyond traditional network and syndication dependencies.</w:t>
      </w:r>
    </w:p>
    <w:p w14:paraId="35040819" w14:textId="77777777" w:rsidR="0066678C" w:rsidRPr="0066678C" w:rsidRDefault="0066678C" w:rsidP="0066678C">
      <w:pPr>
        <w:numPr>
          <w:ilvl w:val="0"/>
          <w:numId w:val="17"/>
        </w:numPr>
      </w:pPr>
      <w:r w:rsidRPr="0066678C">
        <w:rPr>
          <w:i/>
          <w:iCs/>
        </w:rPr>
        <w:t>Multi-Level Contingency Framework:</w:t>
      </w:r>
      <w:r w:rsidRPr="0066678C">
        <w:t> Illustrates how external ecosystem resources (start-up hubs) and firm quality signals (funding to date) substitute for investor specialization, while organizational scale-up complexity (firm age) amplifies its strategic importance.</w:t>
      </w:r>
    </w:p>
    <w:p w14:paraId="76B7717C" w14:textId="77777777" w:rsidR="0066678C" w:rsidRPr="0066678C" w:rsidRDefault="0066678C" w:rsidP="0066678C">
      <w:pPr>
        <w:numPr>
          <w:ilvl w:val="0"/>
          <w:numId w:val="17"/>
        </w:numPr>
      </w:pPr>
      <w:r w:rsidRPr="0066678C">
        <w:rPr>
          <w:i/>
          <w:iCs/>
        </w:rPr>
        <w:t>Practitioner Strategy:</w:t>
      </w:r>
      <w:r w:rsidRPr="0066678C">
        <w:t> Provides VC fund managers with a framework for balancing portfolio concentration against geographic expansion, demonstrating how sector specialization enables international deal sourcing.</w:t>
      </w:r>
    </w:p>
    <w:p w14:paraId="76898A0B" w14:textId="77777777" w:rsidR="0066678C" w:rsidRPr="0066678C" w:rsidRDefault="0066678C" w:rsidP="0066678C">
      <w:pPr>
        <w:rPr>
          <w:b/>
          <w:bCs/>
        </w:rPr>
      </w:pPr>
      <w:r w:rsidRPr="0066678C">
        <w:rPr>
          <w:b/>
          <w:bCs/>
        </w:rPr>
        <w:t>Study Limitations &amp; Future Research Agenda</w:t>
      </w:r>
    </w:p>
    <w:p w14:paraId="1581CCB2" w14:textId="77777777" w:rsidR="0066678C" w:rsidRPr="0066678C" w:rsidRDefault="0066678C" w:rsidP="0066678C">
      <w:pPr>
        <w:numPr>
          <w:ilvl w:val="0"/>
          <w:numId w:val="18"/>
        </w:numPr>
      </w:pPr>
      <w:r w:rsidRPr="0066678C">
        <w:rPr>
          <w:i/>
          <w:iCs/>
        </w:rPr>
        <w:t>Industry Complexity Variance:</w:t>
      </w:r>
      <w:r w:rsidRPr="0066678C">
        <w:t xml:space="preserve"> The empirical specification treats specialization ratios uniformly across sectors. Future research should weight specialization </w:t>
      </w:r>
      <w:r w:rsidRPr="0066678C">
        <w:lastRenderedPageBreak/>
        <w:t>indices by industry R&amp;D intensity and technological complexity (e.g., contrasting deep-tech biotech against consumer internet models).</w:t>
      </w:r>
    </w:p>
    <w:p w14:paraId="2F969684" w14:textId="77777777" w:rsidR="0066678C" w:rsidRPr="0066678C" w:rsidRDefault="0066678C" w:rsidP="0066678C">
      <w:pPr>
        <w:numPr>
          <w:ilvl w:val="0"/>
          <w:numId w:val="18"/>
        </w:numPr>
      </w:pPr>
      <w:r w:rsidRPr="0066678C">
        <w:rPr>
          <w:i/>
          <w:iCs/>
        </w:rPr>
        <w:t>Static Organizational Assumptions:</w:t>
      </w:r>
      <w:r w:rsidRPr="0066678C">
        <w:t> The study assumes stable VC firm capabilities over time. Future designs should account for partner turnover, key-person departures, and the acquisition of human capital.</w:t>
      </w:r>
    </w:p>
    <w:p w14:paraId="3F19153A" w14:textId="77777777" w:rsidR="0066678C" w:rsidRPr="0066678C" w:rsidRDefault="0066678C" w:rsidP="0066678C">
      <w:pPr>
        <w:numPr>
          <w:ilvl w:val="0"/>
          <w:numId w:val="18"/>
        </w:numPr>
      </w:pPr>
      <w:r w:rsidRPr="0066678C">
        <w:rPr>
          <w:i/>
          <w:iCs/>
        </w:rPr>
        <w:t>Unobserved Structural Variables:</w:t>
      </w:r>
      <w:r w:rsidRPr="0066678C">
        <w:t> Data limitations prevent direct tracking of foreign branch offices, full syndicate team composition, deal-flow competition intensity, or alternative unselected deal pipelines. Future research should explore how physical branch networks and syndicate skill alignment interact with industry specialization.</w:t>
      </w:r>
    </w:p>
    <w:p w14:paraId="6D6BC7A3" w14:textId="0112E5F6" w:rsidR="0066678C" w:rsidRDefault="0066678C">
      <w:r w:rsidRPr="0066678C">
        <w:rPr>
          <w:b/>
          <w:bCs/>
        </w:rPr>
        <w:t>Takeaway:</w:t>
      </w:r>
      <w:r w:rsidRPr="0066678C">
        <w:t> Master's Exam Core Thesis: Firm-level industry specialization reduces the liability of foreignness through tacit knowledge, interacting with market ecosystems and firm maturity to dictate cross-border venture capital allocation.</w:t>
      </w:r>
    </w:p>
    <w:sectPr w:rsidR="00666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ED42C0"/>
    <w:multiLevelType w:val="multilevel"/>
    <w:tmpl w:val="1D86E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832DC"/>
    <w:multiLevelType w:val="multilevel"/>
    <w:tmpl w:val="9FFC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32D7F"/>
    <w:multiLevelType w:val="multilevel"/>
    <w:tmpl w:val="1D26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B0FC0"/>
    <w:multiLevelType w:val="multilevel"/>
    <w:tmpl w:val="F97EF2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14178"/>
    <w:multiLevelType w:val="multilevel"/>
    <w:tmpl w:val="CADA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27E45"/>
    <w:multiLevelType w:val="multilevel"/>
    <w:tmpl w:val="0594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D0A8E"/>
    <w:multiLevelType w:val="multilevel"/>
    <w:tmpl w:val="3A48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24042"/>
    <w:multiLevelType w:val="multilevel"/>
    <w:tmpl w:val="C558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B7118"/>
    <w:multiLevelType w:val="multilevel"/>
    <w:tmpl w:val="E774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F1577"/>
    <w:multiLevelType w:val="multilevel"/>
    <w:tmpl w:val="653E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C38D3"/>
    <w:multiLevelType w:val="multilevel"/>
    <w:tmpl w:val="802C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10890"/>
    <w:multiLevelType w:val="multilevel"/>
    <w:tmpl w:val="7278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CF7776"/>
    <w:multiLevelType w:val="multilevel"/>
    <w:tmpl w:val="5A0E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13EEA"/>
    <w:multiLevelType w:val="multilevel"/>
    <w:tmpl w:val="AF642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402A4"/>
    <w:multiLevelType w:val="multilevel"/>
    <w:tmpl w:val="08365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CD7C39"/>
    <w:multiLevelType w:val="multilevel"/>
    <w:tmpl w:val="B716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F21C48"/>
    <w:multiLevelType w:val="multilevel"/>
    <w:tmpl w:val="4B7C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A72BF"/>
    <w:multiLevelType w:val="multilevel"/>
    <w:tmpl w:val="A1BA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518426">
    <w:abstractNumId w:val="13"/>
  </w:num>
  <w:num w:numId="2" w16cid:durableId="1294024885">
    <w:abstractNumId w:val="4"/>
  </w:num>
  <w:num w:numId="3" w16cid:durableId="1107889030">
    <w:abstractNumId w:val="7"/>
  </w:num>
  <w:num w:numId="4" w16cid:durableId="1497458611">
    <w:abstractNumId w:val="10"/>
  </w:num>
  <w:num w:numId="5" w16cid:durableId="1855607308">
    <w:abstractNumId w:val="2"/>
  </w:num>
  <w:num w:numId="6" w16cid:durableId="1077097401">
    <w:abstractNumId w:val="15"/>
  </w:num>
  <w:num w:numId="7" w16cid:durableId="1325865085">
    <w:abstractNumId w:val="16"/>
  </w:num>
  <w:num w:numId="8" w16cid:durableId="2070179253">
    <w:abstractNumId w:val="8"/>
  </w:num>
  <w:num w:numId="9" w16cid:durableId="2117360874">
    <w:abstractNumId w:val="3"/>
  </w:num>
  <w:num w:numId="10" w16cid:durableId="712969971">
    <w:abstractNumId w:val="11"/>
  </w:num>
  <w:num w:numId="11" w16cid:durableId="378822356">
    <w:abstractNumId w:val="6"/>
  </w:num>
  <w:num w:numId="12" w16cid:durableId="924923849">
    <w:abstractNumId w:val="9"/>
  </w:num>
  <w:num w:numId="13" w16cid:durableId="1031538153">
    <w:abstractNumId w:val="12"/>
  </w:num>
  <w:num w:numId="14" w16cid:durableId="412554642">
    <w:abstractNumId w:val="14"/>
  </w:num>
  <w:num w:numId="15" w16cid:durableId="1716811426">
    <w:abstractNumId w:val="5"/>
  </w:num>
  <w:num w:numId="16" w16cid:durableId="2008751108">
    <w:abstractNumId w:val="0"/>
  </w:num>
  <w:num w:numId="17" w16cid:durableId="1037975169">
    <w:abstractNumId w:val="17"/>
  </w:num>
  <w:num w:numId="18" w16cid:durableId="153977694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78C"/>
    <w:rsid w:val="0066678C"/>
    <w:rsid w:val="00892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2DE471"/>
  <w15:chartTrackingRefBased/>
  <w15:docId w15:val="{4252D859-C0C3-C04D-BADC-73F4C1F99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78C"/>
    <w:rPr>
      <w:rFonts w:eastAsiaTheme="majorEastAsia" w:cstheme="majorBidi"/>
      <w:color w:val="272727" w:themeColor="text1" w:themeTint="D8"/>
    </w:rPr>
  </w:style>
  <w:style w:type="paragraph" w:styleId="Title">
    <w:name w:val="Title"/>
    <w:basedOn w:val="Normal"/>
    <w:next w:val="Normal"/>
    <w:link w:val="TitleChar"/>
    <w:uiPriority w:val="10"/>
    <w:qFormat/>
    <w:rsid w:val="0066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78C"/>
    <w:pPr>
      <w:spacing w:before="160"/>
      <w:jc w:val="center"/>
    </w:pPr>
    <w:rPr>
      <w:i/>
      <w:iCs/>
      <w:color w:val="404040" w:themeColor="text1" w:themeTint="BF"/>
    </w:rPr>
  </w:style>
  <w:style w:type="character" w:customStyle="1" w:styleId="QuoteChar">
    <w:name w:val="Quote Char"/>
    <w:basedOn w:val="DefaultParagraphFont"/>
    <w:link w:val="Quote"/>
    <w:uiPriority w:val="29"/>
    <w:rsid w:val="0066678C"/>
    <w:rPr>
      <w:i/>
      <w:iCs/>
      <w:color w:val="404040" w:themeColor="text1" w:themeTint="BF"/>
    </w:rPr>
  </w:style>
  <w:style w:type="paragraph" w:styleId="ListParagraph">
    <w:name w:val="List Paragraph"/>
    <w:basedOn w:val="Normal"/>
    <w:uiPriority w:val="34"/>
    <w:qFormat/>
    <w:rsid w:val="0066678C"/>
    <w:pPr>
      <w:ind w:left="720"/>
      <w:contextualSpacing/>
    </w:pPr>
  </w:style>
  <w:style w:type="character" w:styleId="IntenseEmphasis">
    <w:name w:val="Intense Emphasis"/>
    <w:basedOn w:val="DefaultParagraphFont"/>
    <w:uiPriority w:val="21"/>
    <w:qFormat/>
    <w:rsid w:val="0066678C"/>
    <w:rPr>
      <w:i/>
      <w:iCs/>
      <w:color w:val="0F4761" w:themeColor="accent1" w:themeShade="BF"/>
    </w:rPr>
  </w:style>
  <w:style w:type="paragraph" w:styleId="IntenseQuote">
    <w:name w:val="Intense Quote"/>
    <w:basedOn w:val="Normal"/>
    <w:next w:val="Normal"/>
    <w:link w:val="IntenseQuoteChar"/>
    <w:uiPriority w:val="30"/>
    <w:qFormat/>
    <w:rsid w:val="00666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78C"/>
    <w:rPr>
      <w:i/>
      <w:iCs/>
      <w:color w:val="0F4761" w:themeColor="accent1" w:themeShade="BF"/>
    </w:rPr>
  </w:style>
  <w:style w:type="character" w:styleId="IntenseReference">
    <w:name w:val="Intense Reference"/>
    <w:basedOn w:val="DefaultParagraphFont"/>
    <w:uiPriority w:val="32"/>
    <w:qFormat/>
    <w:rsid w:val="00666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4578</Words>
  <Characters>26096</Characters>
  <Application>Microsoft Office Word</Application>
  <DocSecurity>0</DocSecurity>
  <Lines>217</Lines>
  <Paragraphs>61</Paragraphs>
  <ScaleCrop>false</ScaleCrop>
  <Company/>
  <LinksUpToDate>false</LinksUpToDate>
  <CharactersWithSpaces>30613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1</cp:revision>
  <dcterms:created xsi:type="dcterms:W3CDTF">2026-09-26T15:47:00Z</dcterms:created>
  <dcterms:modified xsi:type="dcterms:W3CDTF">2026-09-26T15:55:00Z</dcterms:modified>
</cp:coreProperties>
</file>