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E79B3" w14:textId="77777777" w:rsidR="00F86BF0" w:rsidRPr="00F86BF0" w:rsidRDefault="00F86BF0" w:rsidP="00F86BF0">
      <w:pPr>
        <w:rPr>
          <w:b/>
          <w:bCs/>
        </w:rPr>
      </w:pPr>
      <w:r w:rsidRPr="00F86BF0">
        <w:rPr>
          <w:b/>
          <w:bCs/>
        </w:rPr>
        <w:t>Exam Study Report: Attracting Cross-Border Venture Capital – The Role of a Local Investor</w:t>
      </w:r>
    </w:p>
    <w:p w14:paraId="33CFC90E" w14:textId="77777777" w:rsidR="00F86BF0" w:rsidRPr="00F86BF0" w:rsidRDefault="00F86BF0" w:rsidP="00F86BF0">
      <w:pPr>
        <w:rPr>
          <w:b/>
          <w:bCs/>
        </w:rPr>
      </w:pPr>
      <w:r w:rsidRPr="00F86BF0">
        <w:rPr>
          <w:b/>
          <w:bCs/>
        </w:rPr>
        <w:t>Reference Citation Block</w:t>
      </w:r>
    </w:p>
    <w:p w14:paraId="4560EFAF" w14:textId="77777777" w:rsidR="00F86BF0" w:rsidRPr="00F86BF0" w:rsidRDefault="00F86BF0" w:rsidP="00F86BF0">
      <w:r w:rsidRPr="00F86BF0">
        <w:t>Mäkelä, M. M., &amp; Maula, M. V. J. (2008). Attracting cross-border venture capital: the role of a local investor. </w:t>
      </w:r>
      <w:r w:rsidRPr="00F86BF0">
        <w:rPr>
          <w:i/>
          <w:iCs/>
        </w:rPr>
        <w:t>Entrepreneurship and Regional Development</w:t>
      </w:r>
      <w:r w:rsidRPr="00F86BF0">
        <w:t>, 20(3), 237–257. https://doi.org/10.1080/08985620701795442</w:t>
      </w:r>
    </w:p>
    <w:p w14:paraId="32D7DEFF" w14:textId="77777777" w:rsidR="00F86BF0" w:rsidRPr="00F86BF0" w:rsidRDefault="00F86BF0" w:rsidP="00F86BF0">
      <w:pPr>
        <w:rPr>
          <w:b/>
          <w:bCs/>
        </w:rPr>
      </w:pPr>
      <w:r w:rsidRPr="00F86BF0">
        <w:rPr>
          <w:b/>
          <w:bCs/>
        </w:rPr>
        <w:t>1. Introduction</w:t>
      </w:r>
    </w:p>
    <w:p w14:paraId="1E92AEFC" w14:textId="77777777" w:rsidR="00F86BF0" w:rsidRPr="00F86BF0" w:rsidRDefault="00F86BF0" w:rsidP="00F86BF0">
      <w:r w:rsidRPr="00F86BF0">
        <w:t>Cross-border venture capital (CBVC) investments represent a vital financing mechanism for technology-based new ventures seeking international scale, particularly within small, open economies bounded by constrained domestic equity markets. Although foreign venture capital firms provide essential non-financial resources, including foreign market access and international exit channels, cross-border equity allocation is severely hampered by liabilities of foreignness, geographical distance, divergent legal frameworks, and socio-cultural variations. Understanding how domestic venture capitalists act as institutional intermediaries to lower transaction costs and attract foreign capital is therefore a critical concern for entrepreneurial finance, corporate strategy, and regional innovation policy.</w:t>
      </w:r>
    </w:p>
    <w:p w14:paraId="7C4FC4EC" w14:textId="77777777" w:rsidR="00F86BF0" w:rsidRPr="00F86BF0" w:rsidRDefault="00F86BF0" w:rsidP="00F86BF0">
      <w:pPr>
        <w:numPr>
          <w:ilvl w:val="0"/>
          <w:numId w:val="1"/>
        </w:numPr>
      </w:pPr>
      <w:r w:rsidRPr="00F86BF0">
        <w:rPr>
          <w:b/>
          <w:bCs/>
        </w:rPr>
        <w:t>Definition of Cross-Border Venture Capital</w:t>
      </w:r>
      <w:r w:rsidRPr="00F86BF0">
        <w:t>: Cross-border venture capital investments are defined as equity investments made by venture capital firms into portfolio companies located outside the investor's home country operating jurisdiction.</w:t>
      </w:r>
    </w:p>
    <w:p w14:paraId="1B428799" w14:textId="77777777" w:rsidR="00F86BF0" w:rsidRPr="00F86BF0" w:rsidRDefault="00F86BF0" w:rsidP="00F86BF0">
      <w:pPr>
        <w:numPr>
          <w:ilvl w:val="0"/>
          <w:numId w:val="1"/>
        </w:numPr>
      </w:pPr>
      <w:r w:rsidRPr="00F86BF0">
        <w:rPr>
          <w:b/>
          <w:bCs/>
        </w:rPr>
        <w:t>Primary Research Question</w:t>
      </w:r>
      <w:r w:rsidRPr="00F86BF0">
        <w:t>: The central empirical inquiry asks: </w:t>
      </w:r>
      <w:r w:rsidRPr="00F86BF0">
        <w:rPr>
          <w:i/>
          <w:iCs/>
        </w:rPr>
        <w:t>"What is the role of a local venture capital investor in obtaining cross-border venture capital investors?"</w:t>
      </w:r>
    </w:p>
    <w:p w14:paraId="6258C7C8" w14:textId="77777777" w:rsidR="00F86BF0" w:rsidRPr="00F86BF0" w:rsidRDefault="00F86BF0" w:rsidP="00F86BF0">
      <w:pPr>
        <w:numPr>
          <w:ilvl w:val="0"/>
          <w:numId w:val="1"/>
        </w:numPr>
      </w:pPr>
      <w:r w:rsidRPr="00F86BF0">
        <w:rPr>
          <w:b/>
          <w:bCs/>
        </w:rPr>
        <w:t>Macroeconomic Context</w:t>
      </w:r>
      <w:r w:rsidRPr="00F86BF0">
        <w:t>: Cross-border syndication is expanding rapidly; in 2006, nearly 70% of European VC firms reported plans to expand their international investment focus, while in small open markets such as Finland, foreign capital accounted for 43% of total venture investments by 1999 (ranking third in the OECD behind Ireland and Denmark).</w:t>
      </w:r>
    </w:p>
    <w:p w14:paraId="02F51D46" w14:textId="77777777" w:rsidR="00F86BF0" w:rsidRPr="00F86BF0" w:rsidRDefault="00F86BF0" w:rsidP="00F86BF0">
      <w:pPr>
        <w:numPr>
          <w:ilvl w:val="0"/>
          <w:numId w:val="1"/>
        </w:numPr>
      </w:pPr>
      <w:r w:rsidRPr="00F86BF0">
        <w:rPr>
          <w:b/>
          <w:bCs/>
        </w:rPr>
        <w:t>Distance Friction &amp; Market Failures</w:t>
      </w:r>
      <w:r w:rsidRPr="00F86BF0">
        <w:t>: Spatial proximity remains a dominant preference for VCs due to information asymmetries and active post-investment monitoring costs; cross-border deals face friction from legal variations, cultural and linguistic differences, and high geographic monitoring barriers.</w:t>
      </w:r>
    </w:p>
    <w:p w14:paraId="1070C333" w14:textId="77777777" w:rsidR="00F86BF0" w:rsidRPr="00F86BF0" w:rsidRDefault="00F86BF0" w:rsidP="00F86BF0">
      <w:pPr>
        <w:numPr>
          <w:ilvl w:val="0"/>
          <w:numId w:val="1"/>
        </w:numPr>
      </w:pPr>
      <w:r w:rsidRPr="00F86BF0">
        <w:rPr>
          <w:b/>
          <w:bCs/>
        </w:rPr>
        <w:t>Cross-Border Investment Readiness</w:t>
      </w:r>
      <w:r w:rsidRPr="00F86BF0">
        <w:t xml:space="preserve">: Defined as the structural, organizational, and operational degree of maturity required by an entrepreneurial venture to </w:t>
      </w:r>
      <w:r w:rsidRPr="00F86BF0">
        <w:lastRenderedPageBreak/>
        <w:t>effectively attract, undergo due diligence by, and receive equity financing from foreign venture capital investors.</w:t>
      </w:r>
    </w:p>
    <w:p w14:paraId="50FD3AEB" w14:textId="77777777" w:rsidR="00F86BF0" w:rsidRPr="00F86BF0" w:rsidRDefault="00F86BF0" w:rsidP="00F86BF0">
      <w:r w:rsidRPr="00F86BF0">
        <w:rPr>
          <w:b/>
          <w:bCs/>
        </w:rPr>
        <w:t>Takeaway:</w:t>
      </w:r>
      <w:r w:rsidRPr="00F86BF0">
        <w:t> Local venture capital investors act as indispensable institutional bridges that mitigate foreign investor uncertainty and elevate a startup's structural readiness for international capital.</w:t>
      </w:r>
    </w:p>
    <w:p w14:paraId="1DCA2D7A" w14:textId="77777777" w:rsidR="00F86BF0" w:rsidRPr="00F86BF0" w:rsidRDefault="00F86BF0" w:rsidP="00F86BF0">
      <w:r w:rsidRPr="00F86BF0">
        <w:t>Building upon these macro-level dynamics and institutional friction points, it is necessary to examine the theoretical frameworks governing international syndication and social capital.</w:t>
      </w:r>
    </w:p>
    <w:p w14:paraId="703F6E92" w14:textId="77777777" w:rsidR="00F86BF0" w:rsidRPr="00F86BF0" w:rsidRDefault="00F86BF0" w:rsidP="00F86BF0">
      <w:pPr>
        <w:rPr>
          <w:b/>
          <w:bCs/>
        </w:rPr>
      </w:pPr>
      <w:r w:rsidRPr="00F86BF0">
        <w:rPr>
          <w:b/>
          <w:bCs/>
        </w:rPr>
        <w:t>2. Prior Literature</w:t>
      </w:r>
    </w:p>
    <w:p w14:paraId="4C81BB4B" w14:textId="77777777" w:rsidR="00F86BF0" w:rsidRPr="00F86BF0" w:rsidRDefault="00F86BF0" w:rsidP="00F86BF0">
      <w:r w:rsidRPr="00F86BF0">
        <w:t>The mechanisms underlying cross-border venture capital deployment sit at the theoretical intersection of venture capital finance and syndication and international social capital theory. While traditional financial economics explains staged financing and domestic risk-sharing, international network perspectives articulate how cross-border relational ties bridge institutional and spatial divides.</w:t>
      </w:r>
    </w:p>
    <w:p w14:paraId="27FB0770" w14:textId="77777777" w:rsidR="00F86BF0" w:rsidRPr="00F86BF0" w:rsidRDefault="00F86BF0" w:rsidP="00F86BF0">
      <w:r w:rsidRPr="00F86BF0">
        <w:t xml:space="preserve">Together, these frameworks provide the baseline constructs required to conceptualize how domestic financial </w:t>
      </w:r>
      <w:proofErr w:type="gramStart"/>
      <w:r w:rsidRPr="00F86BF0">
        <w:t>intermediaries</w:t>
      </w:r>
      <w:proofErr w:type="gramEnd"/>
      <w:r w:rsidRPr="00F86BF0">
        <w:t xml:space="preserve"> lower information asymmetries for foreign investors.</w:t>
      </w:r>
    </w:p>
    <w:p w14:paraId="64590956" w14:textId="77777777" w:rsidR="00F86BF0" w:rsidRPr="00F86BF0" w:rsidRDefault="00F86BF0" w:rsidP="00F86BF0">
      <w:pPr>
        <w:rPr>
          <w:b/>
          <w:bCs/>
        </w:rPr>
      </w:pPr>
      <w:r w:rsidRPr="00F86BF0">
        <w:rPr>
          <w:b/>
          <w:bCs/>
        </w:rPr>
        <w:t>2.1 Venture Capital Finance and Syndication</w:t>
      </w:r>
    </w:p>
    <w:p w14:paraId="46C8042E" w14:textId="77777777" w:rsidR="00F86BF0" w:rsidRPr="00F86BF0" w:rsidRDefault="00F86BF0" w:rsidP="00F86BF0">
      <w:pPr>
        <w:numPr>
          <w:ilvl w:val="0"/>
          <w:numId w:val="2"/>
        </w:numPr>
      </w:pPr>
      <w:r w:rsidRPr="00F86BF0">
        <w:rPr>
          <w:b/>
          <w:bCs/>
        </w:rPr>
        <w:t>Staged Financing Mechanisms</w:t>
      </w:r>
      <w:r w:rsidRPr="00F86BF0">
        <w:t>: Venture capital is characteristically deployed in sequential investment rounds as portfolio companies achieve operational milestones, regularly introducing new co-investors in later growth rounds.</w:t>
      </w:r>
    </w:p>
    <w:p w14:paraId="02552DAF" w14:textId="77777777" w:rsidR="00F86BF0" w:rsidRPr="00F86BF0" w:rsidRDefault="00F86BF0" w:rsidP="00F86BF0">
      <w:pPr>
        <w:numPr>
          <w:ilvl w:val="0"/>
          <w:numId w:val="2"/>
        </w:numPr>
      </w:pPr>
      <w:r w:rsidRPr="00F86BF0">
        <w:rPr>
          <w:b/>
          <w:bCs/>
        </w:rPr>
        <w:t>Motives for Equity Syndication</w:t>
      </w:r>
      <w:r w:rsidRPr="00F86BF0">
        <w:t>: Syndication—the joint equity investment by multiple VCs in a single venture—is driven by portfolio risk diversification, resource pooling, collective deal evaluation, and deal-flow reciprocity.</w:t>
      </w:r>
    </w:p>
    <w:p w14:paraId="18C6454E" w14:textId="77777777" w:rsidR="00F86BF0" w:rsidRPr="00F86BF0" w:rsidRDefault="00F86BF0" w:rsidP="00F86BF0">
      <w:pPr>
        <w:numPr>
          <w:ilvl w:val="0"/>
          <w:numId w:val="2"/>
        </w:numPr>
      </w:pPr>
      <w:r w:rsidRPr="00F86BF0">
        <w:rPr>
          <w:b/>
          <w:bCs/>
        </w:rPr>
        <w:t>International Division of Syndicate Labor</w:t>
      </w:r>
      <w:r w:rsidRPr="00F86BF0">
        <w:t>: Syndicates establish a functional division of labor where local lead investors execute routine operational monitoring, local governance, and administrative oversight, enabling foreign VCs to focus on foreign market entry, global network access, and international exits.</w:t>
      </w:r>
    </w:p>
    <w:p w14:paraId="095D73B2" w14:textId="77777777" w:rsidR="00F86BF0" w:rsidRPr="00F86BF0" w:rsidRDefault="00F86BF0" w:rsidP="00F86BF0">
      <w:pPr>
        <w:numPr>
          <w:ilvl w:val="0"/>
          <w:numId w:val="2"/>
        </w:numPr>
      </w:pPr>
      <w:r w:rsidRPr="00F86BF0">
        <w:rPr>
          <w:b/>
          <w:bCs/>
        </w:rPr>
        <w:t>Theoretical Limitation of Prior Literature</w:t>
      </w:r>
      <w:r w:rsidRPr="00F86BF0">
        <w:t>: Existing syndication and value-added venture capital research focuses almost exclusively on domestic investment contexts, leaving international syndicate formation mechanisms unexamined.</w:t>
      </w:r>
    </w:p>
    <w:p w14:paraId="612C1A2D" w14:textId="77777777" w:rsidR="00F86BF0" w:rsidRPr="00F86BF0" w:rsidRDefault="00F86BF0" w:rsidP="00F86BF0">
      <w:r w:rsidRPr="00F86BF0">
        <w:rPr>
          <w:b/>
          <w:bCs/>
        </w:rPr>
        <w:t>Takeaway:</w:t>
      </w:r>
      <w:r w:rsidRPr="00F86BF0">
        <w:t> Standard venture capital syndication frameworks treat investor syndicates as geographically homogeneous, failing to account for the unique coordination costs and governance dynamics inherent in cross-border syndicates.</w:t>
      </w:r>
    </w:p>
    <w:p w14:paraId="73F5181F" w14:textId="77777777" w:rsidR="00F86BF0" w:rsidRPr="00F86BF0" w:rsidRDefault="00F86BF0" w:rsidP="00F86BF0">
      <w:pPr>
        <w:rPr>
          <w:b/>
          <w:bCs/>
        </w:rPr>
      </w:pPr>
      <w:r w:rsidRPr="00F86BF0">
        <w:rPr>
          <w:b/>
          <w:bCs/>
        </w:rPr>
        <w:lastRenderedPageBreak/>
        <w:t>2.2 Internationalization and International Social Capital</w:t>
      </w:r>
    </w:p>
    <w:p w14:paraId="1CAB4D0F" w14:textId="77777777" w:rsidR="00F86BF0" w:rsidRPr="00F86BF0" w:rsidRDefault="00F86BF0" w:rsidP="00F86BF0">
      <w:pPr>
        <w:numPr>
          <w:ilvl w:val="0"/>
          <w:numId w:val="3"/>
        </w:numPr>
      </w:pPr>
      <w:r w:rsidRPr="00F86BF0">
        <w:rPr>
          <w:b/>
          <w:bCs/>
        </w:rPr>
        <w:t>Social &amp; International Social Capital</w:t>
      </w:r>
      <w:r w:rsidRPr="00F86BF0">
        <w:t>: Social capital comprises the actual and potential resources embedded within an actor's relational network; international social capital represents these relational manifestations across national boundaries.</w:t>
      </w:r>
    </w:p>
    <w:p w14:paraId="72B7EC39" w14:textId="77777777" w:rsidR="00F86BF0" w:rsidRPr="00F86BF0" w:rsidRDefault="00F86BF0" w:rsidP="00F86BF0">
      <w:pPr>
        <w:numPr>
          <w:ilvl w:val="0"/>
          <w:numId w:val="3"/>
        </w:numPr>
      </w:pPr>
      <w:r w:rsidRPr="00F86BF0">
        <w:rPr>
          <w:b/>
          <w:bCs/>
        </w:rPr>
        <w:t>Role of Weak Ties</w:t>
      </w:r>
      <w:r w:rsidRPr="00F86BF0">
        <w:t>: International "weak ties" maintained by domestic partners expose expanding ventures to foreign market opportunities, facilitate foreign resource acquisition, and establish bridges to overseas co-investors.</w:t>
      </w:r>
    </w:p>
    <w:p w14:paraId="14EE3441" w14:textId="77777777" w:rsidR="00F86BF0" w:rsidRPr="00F86BF0" w:rsidRDefault="00F86BF0" w:rsidP="00F86BF0">
      <w:pPr>
        <w:numPr>
          <w:ilvl w:val="0"/>
          <w:numId w:val="3"/>
        </w:numPr>
      </w:pPr>
      <w:r w:rsidRPr="00F86BF0">
        <w:rPr>
          <w:b/>
          <w:bCs/>
        </w:rPr>
        <w:t>Knowledge Typologies</w:t>
      </w:r>
      <w:r w:rsidRPr="00F86BF0">
        <w:t>: Firm internationalization relies on distinguishing </w:t>
      </w:r>
      <w:r w:rsidRPr="00F86BF0">
        <w:rPr>
          <w:i/>
          <w:iCs/>
        </w:rPr>
        <w:t>local organizing knowledge</w:t>
      </w:r>
      <w:r w:rsidRPr="00F86BF0">
        <w:t> (expertise in navigating domestic regulatory, legal, administrative, and market mechanics) from </w:t>
      </w:r>
      <w:r w:rsidRPr="00F86BF0">
        <w:rPr>
          <w:i/>
          <w:iCs/>
        </w:rPr>
        <w:t xml:space="preserve">foreign organizing </w:t>
      </w:r>
      <w:proofErr w:type="gramStart"/>
      <w:r w:rsidRPr="00F86BF0">
        <w:rPr>
          <w:i/>
          <w:iCs/>
        </w:rPr>
        <w:t>knowledge</w:t>
      </w:r>
      <w:r w:rsidRPr="00F86BF0">
        <w:t>(</w:t>
      </w:r>
      <w:proofErr w:type="gramEnd"/>
      <w:r w:rsidRPr="00F86BF0">
        <w:t>understanding operating contexts, institutional norms, and market mechanics in foreign target jurisdictions).</w:t>
      </w:r>
    </w:p>
    <w:p w14:paraId="11576A86" w14:textId="77777777" w:rsidR="00F86BF0" w:rsidRPr="00F86BF0" w:rsidRDefault="00F86BF0" w:rsidP="00F86BF0">
      <w:pPr>
        <w:numPr>
          <w:ilvl w:val="0"/>
          <w:numId w:val="3"/>
        </w:numPr>
      </w:pPr>
      <w:r w:rsidRPr="00F86BF0">
        <w:rPr>
          <w:b/>
          <w:bCs/>
        </w:rPr>
        <w:t>Executive Network Ties</w:t>
      </w:r>
      <w:r w:rsidRPr="00F86BF0">
        <w:t>: Managerial social capital directly drives firm knowledge acquisition, facilitating foreign market entry and strategic counterparty alignment.</w:t>
      </w:r>
    </w:p>
    <w:p w14:paraId="619E400A" w14:textId="77777777" w:rsidR="00F86BF0" w:rsidRPr="00F86BF0" w:rsidRDefault="00F86BF0" w:rsidP="00F86BF0">
      <w:r w:rsidRPr="00F86BF0">
        <w:rPr>
          <w:b/>
          <w:bCs/>
        </w:rPr>
        <w:t>Takeaway:</w:t>
      </w:r>
      <w:r w:rsidRPr="00F86BF0">
        <w:t> International social capital serves as an essential conduit for knowledge transfer and resource acquisition, enabling young ventures to overcome contextual boundaries through network ties.</w:t>
      </w:r>
    </w:p>
    <w:p w14:paraId="0F0BA3AA" w14:textId="77777777" w:rsidR="00F86BF0" w:rsidRPr="00F86BF0" w:rsidRDefault="00F86BF0" w:rsidP="00F86BF0">
      <w:r w:rsidRPr="00F86BF0">
        <w:t>To systematically evaluate these theoretical mechanisms within an empirical setting, a specialized qualitative methodology was implemented.</w:t>
      </w:r>
    </w:p>
    <w:p w14:paraId="4C92770A" w14:textId="77777777" w:rsidR="00F86BF0" w:rsidRPr="00F86BF0" w:rsidRDefault="00F86BF0" w:rsidP="00F86BF0">
      <w:pPr>
        <w:rPr>
          <w:b/>
          <w:bCs/>
        </w:rPr>
      </w:pPr>
      <w:r w:rsidRPr="00F86BF0">
        <w:rPr>
          <w:b/>
          <w:bCs/>
        </w:rPr>
        <w:t>3. Methods</w:t>
      </w:r>
    </w:p>
    <w:p w14:paraId="29EDA302" w14:textId="77777777" w:rsidR="00F86BF0" w:rsidRPr="00F86BF0" w:rsidRDefault="00F86BF0" w:rsidP="00F86BF0">
      <w:r w:rsidRPr="00F86BF0">
        <w:t>Given the under-researched nature of cross-border venture capital syndicate formation, an inductive, multiple-case study design inspired by grounded theory was adopted. This design captures rich, qualitative field data to identify emerging constructs, establish logical replication across corporate entities, and build an integrative conceptual model.</w:t>
      </w:r>
    </w:p>
    <w:p w14:paraId="1C935E8B" w14:textId="77777777" w:rsidR="00F86BF0" w:rsidRPr="00F86BF0" w:rsidRDefault="00F86BF0" w:rsidP="00F86BF0">
      <w:r w:rsidRPr="00F86BF0">
        <w:t>The research design utilizes a post-positivistic approach to synthesize complex multi-actor relationships across cross-border equity transactions.</w:t>
      </w:r>
    </w:p>
    <w:p w14:paraId="5C9EB3AA" w14:textId="77777777" w:rsidR="00F86BF0" w:rsidRPr="00F86BF0" w:rsidRDefault="00F86BF0" w:rsidP="00F86BF0">
      <w:pPr>
        <w:rPr>
          <w:b/>
          <w:bCs/>
        </w:rPr>
      </w:pPr>
      <w:r w:rsidRPr="00F86BF0">
        <w:rPr>
          <w:b/>
          <w:bCs/>
        </w:rPr>
        <w:t>3.1 Research Setting &amp; Sample Design</w:t>
      </w:r>
    </w:p>
    <w:p w14:paraId="4F5F714D" w14:textId="77777777" w:rsidR="00F86BF0" w:rsidRPr="00F86BF0" w:rsidRDefault="00F86BF0" w:rsidP="00F86BF0">
      <w:pPr>
        <w:numPr>
          <w:ilvl w:val="0"/>
          <w:numId w:val="4"/>
        </w:numPr>
      </w:pPr>
      <w:r w:rsidRPr="00F86BF0">
        <w:rPr>
          <w:b/>
          <w:bCs/>
        </w:rPr>
        <w:t>Empirical Setting Rationale</w:t>
      </w:r>
      <w:r w:rsidRPr="00F86BF0">
        <w:t>: Finland was selected due to its combination of an advanced technological base, a small home market requiring rapid internationalization, and high reliance on foreign VC (43% foreign capital share, ranking third in the OECD).</w:t>
      </w:r>
    </w:p>
    <w:p w14:paraId="1B8A6A12" w14:textId="77777777" w:rsidR="00F86BF0" w:rsidRPr="00F86BF0" w:rsidRDefault="00F86BF0" w:rsidP="00F86BF0">
      <w:pPr>
        <w:numPr>
          <w:ilvl w:val="0"/>
          <w:numId w:val="4"/>
        </w:numPr>
      </w:pPr>
      <w:r w:rsidRPr="00F86BF0">
        <w:rPr>
          <w:b/>
          <w:bCs/>
        </w:rPr>
        <w:lastRenderedPageBreak/>
        <w:t>Unit of Analysis</w:t>
      </w:r>
      <w:r w:rsidRPr="00F86BF0">
        <w:t>: Defined as the organizational entity formed by the investee portfolio venture together with its local venture capital investors.</w:t>
      </w:r>
    </w:p>
    <w:p w14:paraId="2813F8E0" w14:textId="77777777" w:rsidR="00F86BF0" w:rsidRPr="00F86BF0" w:rsidRDefault="00F86BF0" w:rsidP="00F86BF0">
      <w:pPr>
        <w:numPr>
          <w:ilvl w:val="0"/>
          <w:numId w:val="4"/>
        </w:numPr>
      </w:pPr>
      <w:r w:rsidRPr="00F86BF0">
        <w:rPr>
          <w:b/>
          <w:bCs/>
        </w:rPr>
        <w:t>Sample Structure</w:t>
      </w:r>
      <w:r w:rsidRPr="00F86BF0">
        <w:t>: Comprises 9 technology-based new ventures; 7 cases represent standard sequences where local VCs preceded cross-border VCs, while 2 "anomaly" control cases (Pollux and Vega) lacked local investors and served as analytical contrasts.</w:t>
      </w:r>
    </w:p>
    <w:p w14:paraId="213F7607" w14:textId="77777777" w:rsidR="00F86BF0" w:rsidRPr="00F86BF0" w:rsidRDefault="00F86BF0" w:rsidP="00F86BF0">
      <w:pPr>
        <w:numPr>
          <w:ilvl w:val="0"/>
          <w:numId w:val="4"/>
        </w:numPr>
      </w:pPr>
      <w:r w:rsidRPr="00F86BF0">
        <w:rPr>
          <w:b/>
          <w:bCs/>
        </w:rPr>
        <w:t>Data Collection Scope</w:t>
      </w:r>
      <w:r w:rsidRPr="00F86BF0">
        <w:t>: Dataset includes 58 semi-structured, dyadic interviews across executive management (CEOs, CTOs) and investor counterparts, supported by over 300 pages of field notes written under the "24-hour rule" to eliminate recall bias.</w:t>
      </w:r>
    </w:p>
    <w:p w14:paraId="1A9FBD6B" w14:textId="77777777" w:rsidR="00F86BF0" w:rsidRPr="00F86BF0" w:rsidRDefault="00F86BF0" w:rsidP="00F86BF0">
      <w:pPr>
        <w:numPr>
          <w:ilvl w:val="0"/>
          <w:numId w:val="4"/>
        </w:numPr>
      </w:pPr>
      <w:r w:rsidRPr="00F86BF0">
        <w:rPr>
          <w:b/>
          <w:bCs/>
        </w:rPr>
        <w:t>Triangulation Sources</w:t>
      </w:r>
      <w:r w:rsidRPr="00F86BF0">
        <w:t>: Primary interview material was systematically triangulated using secondary archival data, corporate press releases, media reports, and firm event timelines.</w:t>
      </w:r>
    </w:p>
    <w:p w14:paraId="7D32614C" w14:textId="77777777" w:rsidR="00F86BF0" w:rsidRPr="00F86BF0" w:rsidRDefault="00F86BF0" w:rsidP="00F86BF0">
      <w:r w:rsidRPr="00F86BF0">
        <w:rPr>
          <w:b/>
          <w:bCs/>
        </w:rPr>
        <w:t>Takeaway:</w:t>
      </w:r>
      <w:r w:rsidRPr="00F86BF0">
        <w:t> The Finnish technology sector provides an ideal theoretical laboratory for grounded case replication due to its intense demand for cross-border capital and established local VC infrastructure.</w:t>
      </w:r>
    </w:p>
    <w:p w14:paraId="10CB9FFE" w14:textId="77777777" w:rsidR="00F86BF0" w:rsidRPr="00F86BF0" w:rsidRDefault="00F86BF0" w:rsidP="00F86BF0">
      <w:pPr>
        <w:rPr>
          <w:b/>
          <w:bCs/>
        </w:rPr>
      </w:pPr>
      <w:r w:rsidRPr="00F86BF0">
        <w:rPr>
          <w:b/>
          <w:bCs/>
        </w:rPr>
        <w:t>3.2 Data Analysis Protocols</w:t>
      </w:r>
    </w:p>
    <w:p w14:paraId="6EC57EA8" w14:textId="77777777" w:rsidR="00F86BF0" w:rsidRPr="00F86BF0" w:rsidRDefault="00F86BF0" w:rsidP="00F86BF0">
      <w:pPr>
        <w:numPr>
          <w:ilvl w:val="0"/>
          <w:numId w:val="5"/>
        </w:numPr>
      </w:pPr>
      <w:r w:rsidRPr="00F86BF0">
        <w:rPr>
          <w:b/>
          <w:bCs/>
        </w:rPr>
        <w:t>Within-Case Analysis</w:t>
      </w:r>
      <w:r w:rsidRPr="00F86BF0">
        <w:t>: Each portfolio firm was analyzed as an independent experiment to chart internal timelines, local investor contributions, and sequential funding events.</w:t>
      </w:r>
    </w:p>
    <w:p w14:paraId="2998D364" w14:textId="77777777" w:rsidR="00F86BF0" w:rsidRPr="00F86BF0" w:rsidRDefault="00F86BF0" w:rsidP="00F86BF0">
      <w:pPr>
        <w:numPr>
          <w:ilvl w:val="0"/>
          <w:numId w:val="5"/>
        </w:numPr>
      </w:pPr>
      <w:r w:rsidRPr="00F86BF0">
        <w:rPr>
          <w:b/>
          <w:bCs/>
        </w:rPr>
        <w:t>Cross-Case Comparative Protocols</w:t>
      </w:r>
      <w:r w:rsidRPr="00F86BF0">
        <w:t>: Case pairings and sets were systematically contrasted to isolate recurring patterns, identify construct variations, and test theoretical limits.</w:t>
      </w:r>
    </w:p>
    <w:p w14:paraId="66F26D6E" w14:textId="77777777" w:rsidR="00F86BF0" w:rsidRPr="00F86BF0" w:rsidRDefault="00F86BF0" w:rsidP="00F86BF0">
      <w:pPr>
        <w:numPr>
          <w:ilvl w:val="0"/>
          <w:numId w:val="5"/>
        </w:numPr>
      </w:pPr>
      <w:r w:rsidRPr="00F86BF0">
        <w:rPr>
          <w:b/>
          <w:bCs/>
        </w:rPr>
        <w:t>Post-Positivistic Grounded Theory Iteration</w:t>
      </w:r>
      <w:r w:rsidRPr="00F86BF0">
        <w:t>: Analysis involved continuous rotation between primary interview data, detailed field notes, and existing literature without imposing explicit </w:t>
      </w:r>
      <w:r w:rsidRPr="00F86BF0">
        <w:rPr>
          <w:i/>
          <w:iCs/>
        </w:rPr>
        <w:t>a priori</w:t>
      </w:r>
      <w:r w:rsidRPr="00F86BF0">
        <w:t> hypotheses.</w:t>
      </w:r>
    </w:p>
    <w:p w14:paraId="7D5D0773" w14:textId="77777777" w:rsidR="00F86BF0" w:rsidRPr="00F86BF0" w:rsidRDefault="00F86BF0" w:rsidP="00F86BF0">
      <w:r w:rsidRPr="00F86BF0">
        <w:rPr>
          <w:b/>
          <w:bCs/>
        </w:rPr>
        <w:t>Takeaway:</w:t>
      </w:r>
      <w:r w:rsidRPr="00F86BF0">
        <w:t> Rigorous within-case analysis and iterative cross-case pattern matching ensured that emergent constructs were deeply grounded in empirical field data and cross-validated across multiple corporate settings.</w:t>
      </w:r>
    </w:p>
    <w:p w14:paraId="74F3B598" w14:textId="77777777" w:rsidR="00F86BF0" w:rsidRPr="00F86BF0" w:rsidRDefault="00F86BF0" w:rsidP="00F86BF0">
      <w:r w:rsidRPr="00F86BF0">
        <w:t>These methodological protocols yielded an integrated, multi-proposition model detailing how domestic investors facilitate cross-border equity syndication.</w:t>
      </w:r>
    </w:p>
    <w:p w14:paraId="448A7AEF" w14:textId="77777777" w:rsidR="00F86BF0" w:rsidRPr="00F86BF0" w:rsidRDefault="00F86BF0" w:rsidP="00F86BF0">
      <w:pPr>
        <w:rPr>
          <w:b/>
          <w:bCs/>
        </w:rPr>
      </w:pPr>
      <w:r w:rsidRPr="00F86BF0">
        <w:rPr>
          <w:b/>
          <w:bCs/>
        </w:rPr>
        <w:t>4. Integrated Model of Cross-Border VC Syndication</w:t>
      </w:r>
    </w:p>
    <w:p w14:paraId="0F9B0043" w14:textId="77777777" w:rsidR="00F86BF0" w:rsidRPr="00F86BF0" w:rsidRDefault="00F86BF0" w:rsidP="00F86BF0">
      <w:r w:rsidRPr="00F86BF0">
        <w:lastRenderedPageBreak/>
        <w:t>The inductive analysis yielded a 9-proposition integrated model outlining the dynamic interactions between local investor presence, management capability, market scope, and international social capital in driving foreign equity investment.</w:t>
      </w:r>
    </w:p>
    <w:p w14:paraId="4865D139" w14:textId="77777777" w:rsidR="00F86BF0" w:rsidRPr="00F86BF0" w:rsidRDefault="00F86BF0" w:rsidP="00F86BF0">
      <w:r w:rsidRPr="00F86BF0">
        <w:t xml:space="preserve">Local VC’s knowledge of local markets </w:t>
      </w:r>
      <w:r w:rsidRPr="00F86BF0">
        <w:rPr>
          <w:rFonts w:ascii="Arial" w:hAnsi="Arial" w:cs="Arial"/>
        </w:rPr>
        <w:t>◄</w:t>
      </w:r>
      <w:r w:rsidRPr="00F86BF0">
        <w:t>─────────────────────────────────────────────┐</w:t>
      </w:r>
    </w:p>
    <w:p w14:paraId="05184B1B" w14:textId="77777777" w:rsidR="00F86BF0" w:rsidRPr="00F86BF0" w:rsidRDefault="00F86BF0" w:rsidP="00F86BF0">
      <w:r w:rsidRPr="00F86BF0">
        <w:t>and social capital                                                                  │</w:t>
      </w:r>
    </w:p>
    <w:p w14:paraId="100604A8" w14:textId="77777777" w:rsidR="00F86BF0" w:rsidRPr="00F86BF0" w:rsidRDefault="00F86BF0" w:rsidP="00F86BF0">
      <w:r w:rsidRPr="00F86BF0">
        <w:t xml:space="preserve">          │                                                                         │</w:t>
      </w:r>
    </w:p>
    <w:p w14:paraId="51ED5D33" w14:textId="77777777" w:rsidR="00F86BF0" w:rsidRPr="00F86BF0" w:rsidRDefault="00F86BF0" w:rsidP="00F86BF0">
      <w:r w:rsidRPr="00F86BF0">
        <w:t xml:space="preserve">          </w:t>
      </w:r>
      <w:r w:rsidRPr="00F86BF0">
        <w:rPr>
          <w:rFonts w:ascii="MS Gothic" w:eastAsia="MS Gothic" w:hAnsi="MS Gothic" w:cs="MS Gothic" w:hint="eastAsia"/>
        </w:rPr>
        <w:t>├</w:t>
      </w:r>
      <w:r w:rsidRPr="00F86BF0">
        <w:t>───────────────────────────────────────────────────────</w:t>
      </w:r>
      <w:r w:rsidRPr="00F86BF0">
        <w:rPr>
          <w:rFonts w:ascii="Arial" w:hAnsi="Arial" w:cs="Arial"/>
        </w:rPr>
        <w:t>►</w:t>
      </w:r>
      <w:r w:rsidRPr="00F86BF0">
        <w:t xml:space="preserve"> P3a (+)         │</w:t>
      </w:r>
    </w:p>
    <w:p w14:paraId="1A1D41E6" w14:textId="77777777" w:rsidR="00F86BF0" w:rsidRPr="00F86BF0" w:rsidRDefault="00F86BF0" w:rsidP="00F86BF0">
      <w:r w:rsidRPr="00F86BF0">
        <w:t xml:space="preserve">          │                                                         │               │</w:t>
      </w:r>
    </w:p>
    <w:p w14:paraId="6F75DC42" w14:textId="77777777" w:rsidR="00F86BF0" w:rsidRPr="00F86BF0" w:rsidRDefault="00F86BF0" w:rsidP="00F86BF0">
      <w:r w:rsidRPr="00F86BF0">
        <w:t>Venture’s home market importance ─────────────────────────────────</w:t>
      </w:r>
      <w:r w:rsidRPr="00F86BF0">
        <w:rPr>
          <w:rFonts w:ascii="Arial" w:hAnsi="Arial" w:cs="Arial"/>
        </w:rPr>
        <w:t>►</w:t>
      </w:r>
      <w:r w:rsidRPr="00F86BF0">
        <w:t xml:space="preserve"> P3b (+)         │</w:t>
      </w:r>
    </w:p>
    <w:p w14:paraId="178FC9AA" w14:textId="77777777" w:rsidR="00F86BF0" w:rsidRPr="00F86BF0" w:rsidRDefault="00F86BF0" w:rsidP="00F86BF0">
      <w:r w:rsidRPr="00F86BF0">
        <w:t xml:space="preserve">          │                                                         │               │</w:t>
      </w:r>
    </w:p>
    <w:p w14:paraId="023831A3" w14:textId="77777777" w:rsidR="00F86BF0" w:rsidRPr="00F86BF0" w:rsidRDefault="00F86BF0" w:rsidP="00F86BF0">
      <w:r w:rsidRPr="00F86BF0">
        <w:t xml:space="preserve">          </w:t>
      </w:r>
      <w:r w:rsidRPr="00F86BF0">
        <w:rPr>
          <w:rFonts w:ascii="Arial" w:hAnsi="Arial" w:cs="Arial"/>
        </w:rPr>
        <w:t>▼</w:t>
      </w:r>
      <w:r w:rsidRPr="00F86BF0">
        <w:t xml:space="preserve">                                                         </w:t>
      </w:r>
      <w:r w:rsidRPr="00F86BF0">
        <w:rPr>
          <w:rFonts w:ascii="Arial" w:hAnsi="Arial" w:cs="Arial"/>
        </w:rPr>
        <w:t>▼</w:t>
      </w:r>
      <w:r w:rsidRPr="00F86BF0">
        <w:t xml:space="preserve">               │</w:t>
      </w:r>
    </w:p>
    <w:p w14:paraId="40D4FA81" w14:textId="77777777" w:rsidR="00F86BF0" w:rsidRPr="00F86BF0" w:rsidRDefault="00F86BF0" w:rsidP="00F86BF0">
      <w:r w:rsidRPr="00F86BF0">
        <w:t>Existence of a high quality ─────── P1 (+) ─────────────</w:t>
      </w:r>
      <w:r w:rsidRPr="00F86BF0">
        <w:rPr>
          <w:rFonts w:ascii="Arial" w:hAnsi="Arial" w:cs="Arial"/>
        </w:rPr>
        <w:t>►</w:t>
      </w:r>
      <w:r w:rsidRPr="00F86BF0">
        <w:t xml:space="preserve"> Cross-Border Investment   │</w:t>
      </w:r>
    </w:p>
    <w:p w14:paraId="459AFADC" w14:textId="77777777" w:rsidR="00F86BF0" w:rsidRPr="00F86BF0" w:rsidRDefault="00F86BF0" w:rsidP="00F86BF0">
      <w:r w:rsidRPr="00F86BF0">
        <w:t xml:space="preserve">     local VC                                                Readiness              │</w:t>
      </w:r>
    </w:p>
    <w:p w14:paraId="6596AC27" w14:textId="77777777" w:rsidR="00F86BF0" w:rsidRPr="00F86BF0" w:rsidRDefault="00F86BF0" w:rsidP="00F86BF0">
      <w:r w:rsidRPr="00F86BF0">
        <w:t xml:space="preserve">          </w:t>
      </w:r>
      <w:r w:rsidRPr="00F86BF0">
        <w:rPr>
          <w:rFonts w:ascii="Arial" w:hAnsi="Arial" w:cs="Arial"/>
        </w:rPr>
        <w:t>▲</w:t>
      </w:r>
      <w:r w:rsidRPr="00F86BF0">
        <w:t xml:space="preserve">                                                     </w:t>
      </w:r>
      <w:r w:rsidRPr="00F86BF0">
        <w:rPr>
          <w:rFonts w:ascii="Arial" w:hAnsi="Arial" w:cs="Arial"/>
        </w:rPr>
        <w:t>▲</w:t>
      </w:r>
      <w:r w:rsidRPr="00F86BF0">
        <w:t xml:space="preserve">   │               │</w:t>
      </w:r>
    </w:p>
    <w:p w14:paraId="60573307" w14:textId="77777777" w:rsidR="00F86BF0" w:rsidRPr="00F86BF0" w:rsidRDefault="00F86BF0" w:rsidP="00F86BF0">
      <w:r w:rsidRPr="00F86BF0">
        <w:t xml:space="preserve">          │                                                     │   │               │</w:t>
      </w:r>
    </w:p>
    <w:p w14:paraId="0C4D6BBD" w14:textId="77777777" w:rsidR="00F86BF0" w:rsidRPr="00F86BF0" w:rsidRDefault="00F86BF0" w:rsidP="00F86BF0">
      <w:r w:rsidRPr="00F86BF0">
        <w:t xml:space="preserve">          </w:t>
      </w:r>
      <w:r w:rsidRPr="00F86BF0">
        <w:rPr>
          <w:rFonts w:ascii="MS Gothic" w:eastAsia="MS Gothic" w:hAnsi="MS Gothic" w:cs="MS Gothic" w:hint="eastAsia"/>
        </w:rPr>
        <w:t>├</w:t>
      </w:r>
      <w:r w:rsidRPr="00F86BF0">
        <w:t>──────────────────────── P2a (+) ────────────────────</w:t>
      </w:r>
      <w:r w:rsidRPr="00F86BF0">
        <w:rPr>
          <w:rFonts w:ascii="MS Gothic" w:eastAsia="MS Gothic" w:hAnsi="MS Gothic" w:cs="MS Gothic" w:hint="eastAsia"/>
        </w:rPr>
        <w:t>┤</w:t>
      </w:r>
      <w:r w:rsidRPr="00F86BF0">
        <w:t xml:space="preserve">   │ P4a (+)       │</w:t>
      </w:r>
    </w:p>
    <w:p w14:paraId="112ADD1F" w14:textId="77777777" w:rsidR="00F86BF0" w:rsidRPr="00F86BF0" w:rsidRDefault="00F86BF0" w:rsidP="00F86BF0">
      <w:r w:rsidRPr="00F86BF0">
        <w:t xml:space="preserve">          │                                                     │   │               │</w:t>
      </w:r>
    </w:p>
    <w:p w14:paraId="3471AF3A" w14:textId="77777777" w:rsidR="00F86BF0" w:rsidRPr="00F86BF0" w:rsidRDefault="00F86BF0" w:rsidP="00F86BF0">
      <w:r w:rsidRPr="00F86BF0">
        <w:t xml:space="preserve">Local VC’s day-to-day                                           │   </w:t>
      </w:r>
      <w:r w:rsidRPr="00F86BF0">
        <w:rPr>
          <w:rFonts w:ascii="Arial" w:hAnsi="Arial" w:cs="Arial"/>
        </w:rPr>
        <w:t>▼</w:t>
      </w:r>
      <w:r w:rsidRPr="00F86BF0">
        <w:t xml:space="preserve">               │</w:t>
      </w:r>
    </w:p>
    <w:p w14:paraId="085C0A0F" w14:textId="77777777" w:rsidR="00F86BF0" w:rsidRPr="00F86BF0" w:rsidRDefault="00F86BF0" w:rsidP="00F86BF0">
      <w:r w:rsidRPr="00F86BF0">
        <w:t>management participation                                        │ Likelihood of CBVC│</w:t>
      </w:r>
    </w:p>
    <w:p w14:paraId="4DFA8796" w14:textId="77777777" w:rsidR="00F86BF0" w:rsidRPr="00F86BF0" w:rsidRDefault="00F86BF0" w:rsidP="00F86BF0">
      <w:r w:rsidRPr="00F86BF0">
        <w:t xml:space="preserve">          </w:t>
      </w:r>
      <w:r w:rsidRPr="00F86BF0">
        <w:rPr>
          <w:rFonts w:ascii="Arial" w:hAnsi="Arial" w:cs="Arial"/>
        </w:rPr>
        <w:t>▲</w:t>
      </w:r>
      <w:r w:rsidRPr="00F86BF0">
        <w:t xml:space="preserve">                                                     │    Investment     │</w:t>
      </w:r>
    </w:p>
    <w:p w14:paraId="1F3070CB" w14:textId="77777777" w:rsidR="00F86BF0" w:rsidRPr="00F86BF0" w:rsidRDefault="00F86BF0" w:rsidP="00F86BF0">
      <w:r w:rsidRPr="00F86BF0">
        <w:t xml:space="preserve">          │ P2b (-)                                             │       </w:t>
      </w:r>
      <w:r w:rsidRPr="00F86BF0">
        <w:rPr>
          <w:rFonts w:ascii="Arial" w:hAnsi="Arial" w:cs="Arial"/>
        </w:rPr>
        <w:t>▲</w:t>
      </w:r>
      <w:r w:rsidRPr="00F86BF0">
        <w:t xml:space="preserve">           │</w:t>
      </w:r>
    </w:p>
    <w:p w14:paraId="2063D36C" w14:textId="77777777" w:rsidR="00F86BF0" w:rsidRPr="00F86BF0" w:rsidRDefault="00F86BF0" w:rsidP="00F86BF0">
      <w:r w:rsidRPr="00F86BF0">
        <w:t xml:space="preserve">          │                                                     │ P3</w:t>
      </w:r>
      <w:proofErr w:type="gramStart"/>
      <w:r w:rsidRPr="00F86BF0">
        <w:t>d(+)│</w:t>
      </w:r>
      <w:proofErr w:type="gramEnd"/>
      <w:r w:rsidRPr="00F86BF0">
        <w:t xml:space="preserve"> P4b (+)   │ P3c (-)</w:t>
      </w:r>
    </w:p>
    <w:p w14:paraId="30B28823" w14:textId="77777777" w:rsidR="00F86BF0" w:rsidRPr="00F86BF0" w:rsidRDefault="00F86BF0" w:rsidP="00F86BF0">
      <w:r w:rsidRPr="00F86BF0">
        <w:t xml:space="preserve">          │                                                     │       │           │</w:t>
      </w:r>
    </w:p>
    <w:p w14:paraId="4C1D7F81" w14:textId="77777777" w:rsidR="00F86BF0" w:rsidRPr="00F86BF0" w:rsidRDefault="00F86BF0" w:rsidP="00F86BF0">
      <w:r w:rsidRPr="00F86BF0">
        <w:t>Venture’s top management team experience ───────────────────────</w:t>
      </w:r>
      <w:r w:rsidRPr="00F86BF0">
        <w:rPr>
          <w:rFonts w:ascii="MS Gothic" w:eastAsia="MS Gothic" w:hAnsi="MS Gothic" w:cs="MS Gothic" w:hint="eastAsia"/>
        </w:rPr>
        <w:t>┴</w:t>
      </w:r>
      <w:r w:rsidRPr="00F86BF0">
        <w:t>───────</w:t>
      </w:r>
      <w:r w:rsidRPr="00F86BF0">
        <w:rPr>
          <w:rFonts w:ascii="MS Gothic" w:eastAsia="MS Gothic" w:hAnsi="MS Gothic" w:cs="MS Gothic" w:hint="eastAsia"/>
        </w:rPr>
        <w:t>┼</w:t>
      </w:r>
      <w:r w:rsidRPr="00F86BF0">
        <w:t>───────────┘</w:t>
      </w:r>
    </w:p>
    <w:p w14:paraId="22B15B12" w14:textId="77777777" w:rsidR="00F86BF0" w:rsidRPr="00F86BF0" w:rsidRDefault="00F86BF0" w:rsidP="00F86BF0">
      <w:r w:rsidRPr="00F86BF0">
        <w:t xml:space="preserve">                                                                        │</w:t>
      </w:r>
    </w:p>
    <w:p w14:paraId="08FF87E7" w14:textId="77777777" w:rsidR="00F86BF0" w:rsidRPr="00F86BF0" w:rsidRDefault="00F86BF0" w:rsidP="00F86BF0">
      <w:r w:rsidRPr="00F86BF0">
        <w:lastRenderedPageBreak/>
        <w:t xml:space="preserve">                                                      International social capital of local VCs</w:t>
      </w:r>
    </w:p>
    <w:p w14:paraId="4E0D4B89" w14:textId="77777777" w:rsidR="00F86BF0" w:rsidRPr="00F86BF0" w:rsidRDefault="00F86BF0" w:rsidP="00F86BF0">
      <w:r w:rsidRPr="00F86BF0">
        <w:t>The model structures the precise mechanics through which domestic venture capitalists increase a firm's cross-border investment readiness and subsequently catalyze foreign capital inflows.</w:t>
      </w:r>
    </w:p>
    <w:p w14:paraId="6F179D76" w14:textId="77777777" w:rsidR="00F86BF0" w:rsidRPr="00F86BF0" w:rsidRDefault="00F86BF0" w:rsidP="00F86BF0">
      <w:pPr>
        <w:rPr>
          <w:b/>
          <w:bCs/>
        </w:rPr>
      </w:pPr>
      <w:r w:rsidRPr="00F86BF0">
        <w:rPr>
          <w:b/>
          <w:bCs/>
        </w:rPr>
        <w:t>4.1 Existence of a High-Quality Local Investor</w:t>
      </w:r>
    </w:p>
    <w:p w14:paraId="780097C6" w14:textId="77777777" w:rsidR="00F86BF0" w:rsidRPr="00F86BF0" w:rsidRDefault="00F86BF0" w:rsidP="00F86BF0">
      <w:pPr>
        <w:numPr>
          <w:ilvl w:val="0"/>
          <w:numId w:val="6"/>
        </w:numPr>
      </w:pPr>
      <w:r w:rsidRPr="00F86BF0">
        <w:rPr>
          <w:b/>
          <w:bCs/>
        </w:rPr>
        <w:t>Temporal Investment Sequence</w:t>
      </w:r>
      <w:r w:rsidRPr="00F86BF0">
        <w:t>: Empirical data reveals a dominant temporal pattern wherein domestic VCs invest during early financing rounds (e.g., Round 1 or 2 in Altair, Antares, Betelgeuse, Capella, Fomalhaut, Procyon, and Rigel), followed by cross-border VCs in subsequent expansion rounds.</w:t>
      </w:r>
    </w:p>
    <w:p w14:paraId="49CB73F3" w14:textId="77777777" w:rsidR="00F86BF0" w:rsidRPr="00F86BF0" w:rsidRDefault="00F86BF0" w:rsidP="00F86BF0">
      <w:pPr>
        <w:numPr>
          <w:ilvl w:val="0"/>
          <w:numId w:val="6"/>
        </w:numPr>
      </w:pPr>
      <w:proofErr w:type="spellStart"/>
      <w:r w:rsidRPr="00F86BF0">
        <w:rPr>
          <w:b/>
          <w:bCs/>
        </w:rPr>
        <w:t>Signalling</w:t>
      </w:r>
      <w:proofErr w:type="spellEnd"/>
      <w:r w:rsidRPr="00F86BF0">
        <w:rPr>
          <w:b/>
          <w:bCs/>
        </w:rPr>
        <w:t xml:space="preserve"> and Inter-Organizational Endorsement</w:t>
      </w:r>
      <w:r w:rsidRPr="00F86BF0">
        <w:t>: The presence of a reputable local VC serves as a strong quality signal, certifying firm legitimacy and lowering information asymmetry for distant foreign investors regarding domestic legal, statutory, and operational environments.</w:t>
      </w:r>
    </w:p>
    <w:p w14:paraId="1D2C1635" w14:textId="77777777" w:rsidR="00F86BF0" w:rsidRPr="00F86BF0" w:rsidRDefault="00F86BF0" w:rsidP="00F86BF0">
      <w:pPr>
        <w:numPr>
          <w:ilvl w:val="0"/>
          <w:numId w:val="6"/>
        </w:numPr>
      </w:pPr>
      <w:r w:rsidRPr="00F86BF0">
        <w:rPr>
          <w:b/>
          <w:bCs/>
        </w:rPr>
        <w:t>Governance and Administrative Risk Reduction</w:t>
      </w:r>
      <w:r w:rsidRPr="00F86BF0">
        <w:t>: Local investor participation assures distant foreign VCs that local statutory compliance, board governance, and administrative oversight are actively managed.</w:t>
      </w:r>
    </w:p>
    <w:p w14:paraId="3F5CBC6E" w14:textId="77777777" w:rsidR="00F86BF0" w:rsidRPr="00F86BF0" w:rsidRDefault="00F86BF0" w:rsidP="00F86BF0">
      <w:pPr>
        <w:numPr>
          <w:ilvl w:val="0"/>
          <w:numId w:val="6"/>
        </w:numPr>
      </w:pPr>
      <w:r w:rsidRPr="00F86BF0">
        <w:t>Example: In Pollux and Vega, the complete absence of local investors shifted the operational governance verification burden onto foreign funds; Pollux relied on management's intermediate experience to pitch German CVC and US VCs directly, while Vega's complete lack of domestic market relevance forced an immediate foreign-led syndicate round led by US venture investors.</w:t>
      </w:r>
    </w:p>
    <w:p w14:paraId="63B5A53F" w14:textId="77777777" w:rsidR="00F86BF0" w:rsidRPr="00F86BF0" w:rsidRDefault="00F86BF0" w:rsidP="00F86BF0">
      <w:pPr>
        <w:numPr>
          <w:ilvl w:val="0"/>
          <w:numId w:val="6"/>
        </w:numPr>
      </w:pPr>
      <w:r w:rsidRPr="00F86BF0">
        <w:rPr>
          <w:b/>
          <w:bCs/>
        </w:rPr>
        <w:t>Proposition 1 (P1)</w:t>
      </w:r>
      <w:r w:rsidRPr="00F86BF0">
        <w:t>: </w:t>
      </w:r>
      <w:r w:rsidRPr="00F86BF0">
        <w:rPr>
          <w:i/>
          <w:iCs/>
        </w:rPr>
        <w:t xml:space="preserve">Existence of a </w:t>
      </w:r>
      <w:proofErr w:type="gramStart"/>
      <w:r w:rsidRPr="00F86BF0">
        <w:rPr>
          <w:i/>
          <w:iCs/>
        </w:rPr>
        <w:t>high quality</w:t>
      </w:r>
      <w:proofErr w:type="gramEnd"/>
      <w:r w:rsidRPr="00F86BF0">
        <w:rPr>
          <w:i/>
          <w:iCs/>
        </w:rPr>
        <w:t xml:space="preserve"> local VC will increase the venture's cross-border investment readiness.</w:t>
      </w:r>
    </w:p>
    <w:p w14:paraId="4A914132" w14:textId="77777777" w:rsidR="00F86BF0" w:rsidRPr="00F86BF0" w:rsidRDefault="00F86BF0" w:rsidP="00F86BF0">
      <w:r w:rsidRPr="00F86BF0">
        <w:rPr>
          <w:b/>
          <w:bCs/>
        </w:rPr>
        <w:t>Takeaway:</w:t>
      </w:r>
      <w:r w:rsidRPr="00F86BF0">
        <w:t> Reputable local investors provide essential certification and inter-organizational endorsement that mitigate perceived institutional risks and signal cross-border investment readiness to foreign venture capitalists.</w:t>
      </w:r>
    </w:p>
    <w:p w14:paraId="417EF6CD" w14:textId="77777777" w:rsidR="00F86BF0" w:rsidRPr="00F86BF0" w:rsidRDefault="00F86BF0" w:rsidP="00F86BF0">
      <w:pPr>
        <w:rPr>
          <w:b/>
          <w:bCs/>
        </w:rPr>
      </w:pPr>
      <w:r w:rsidRPr="00F86BF0">
        <w:rPr>
          <w:b/>
          <w:bCs/>
        </w:rPr>
        <w:t>4.2 Local VC Management Participation</w:t>
      </w:r>
    </w:p>
    <w:p w14:paraId="3ECEF5EF" w14:textId="77777777" w:rsidR="00F86BF0" w:rsidRPr="00F86BF0" w:rsidRDefault="00F86BF0" w:rsidP="00F86BF0">
      <w:pPr>
        <w:numPr>
          <w:ilvl w:val="0"/>
          <w:numId w:val="7"/>
        </w:numPr>
      </w:pPr>
      <w:r w:rsidRPr="00F86BF0">
        <w:rPr>
          <w:b/>
          <w:bCs/>
        </w:rPr>
        <w:t>Operational Value Addition</w:t>
      </w:r>
      <w:r w:rsidRPr="00F86BF0">
        <w:t>: Local VCs (e.g., Aquarius in Altair and Procyon, Capricorn in Capella) actively assist early-stage management teams with administrative setup, recruitment, governance structuring, and routine operational decisions.</w:t>
      </w:r>
    </w:p>
    <w:p w14:paraId="24BD9509" w14:textId="77777777" w:rsidR="00F86BF0" w:rsidRPr="00F86BF0" w:rsidRDefault="00F86BF0" w:rsidP="00F86BF0">
      <w:pPr>
        <w:numPr>
          <w:ilvl w:val="0"/>
          <w:numId w:val="7"/>
        </w:numPr>
      </w:pPr>
      <w:r w:rsidRPr="00F86BF0">
        <w:rPr>
          <w:b/>
          <w:bCs/>
        </w:rPr>
        <w:lastRenderedPageBreak/>
        <w:t>Spatial Proximity Advantage</w:t>
      </w:r>
      <w:r w:rsidRPr="00F86BF0">
        <w:t>: Geographical closeness, shared language, and identical time zones enable efficient, day-to-day operational interaction that distant cross-border VCs cannot replicate.</w:t>
      </w:r>
    </w:p>
    <w:p w14:paraId="180B517D" w14:textId="77777777" w:rsidR="00F86BF0" w:rsidRPr="00F86BF0" w:rsidRDefault="00F86BF0" w:rsidP="00F86BF0">
      <w:pPr>
        <w:numPr>
          <w:ilvl w:val="0"/>
          <w:numId w:val="7"/>
        </w:numPr>
      </w:pPr>
      <w:r w:rsidRPr="00F86BF0">
        <w:rPr>
          <w:b/>
          <w:bCs/>
        </w:rPr>
        <w:t>Management Experience Substitution</w:t>
      </w:r>
      <w:r w:rsidRPr="00F86BF0">
        <w:t>: Executive teams with extensive prior business experience (e.g., Antares and Rigel) require minimal day-to-day operational coaching, reducing reliance on local investor management participation.</w:t>
      </w:r>
    </w:p>
    <w:p w14:paraId="0541EC60" w14:textId="77777777" w:rsidR="00F86BF0" w:rsidRPr="00F86BF0" w:rsidRDefault="00F86BF0" w:rsidP="00F86BF0">
      <w:pPr>
        <w:numPr>
          <w:ilvl w:val="0"/>
          <w:numId w:val="7"/>
        </w:numPr>
      </w:pPr>
      <w:r w:rsidRPr="00F86BF0">
        <w:rPr>
          <w:b/>
          <w:bCs/>
        </w:rPr>
        <w:t>Proposition 2a (P2a)</w:t>
      </w:r>
      <w:r w:rsidRPr="00F86BF0">
        <w:t>: </w:t>
      </w:r>
      <w:r w:rsidRPr="00F86BF0">
        <w:rPr>
          <w:i/>
          <w:iCs/>
        </w:rPr>
        <w:t>Existence of a local VC that can add value by advising the entrepreneurial team on operational issues will increase the venture's cross-border investment readiness.</w:t>
      </w:r>
    </w:p>
    <w:p w14:paraId="4D15C8AF" w14:textId="77777777" w:rsidR="00F86BF0" w:rsidRPr="00F86BF0" w:rsidRDefault="00F86BF0" w:rsidP="00F86BF0">
      <w:pPr>
        <w:numPr>
          <w:ilvl w:val="0"/>
          <w:numId w:val="7"/>
        </w:numPr>
      </w:pPr>
      <w:r w:rsidRPr="00F86BF0">
        <w:rPr>
          <w:b/>
          <w:bCs/>
        </w:rPr>
        <w:t>Proposition 2b (P2b)</w:t>
      </w:r>
      <w:r w:rsidRPr="00F86BF0">
        <w:t>: </w:t>
      </w:r>
      <w:r w:rsidRPr="00F86BF0">
        <w:rPr>
          <w:i/>
          <w:iCs/>
        </w:rPr>
        <w:t>Entrepreneurial experience of the management team will decrease the need for the day-to-day management contribution of a local VC.</w:t>
      </w:r>
    </w:p>
    <w:p w14:paraId="57C0C90D" w14:textId="77777777" w:rsidR="00F86BF0" w:rsidRPr="00F86BF0" w:rsidRDefault="00F86BF0" w:rsidP="00F86BF0">
      <w:r w:rsidRPr="00F86BF0">
        <w:rPr>
          <w:b/>
          <w:bCs/>
        </w:rPr>
        <w:t>Takeaway:</w:t>
      </w:r>
      <w:r w:rsidRPr="00F86BF0">
        <w:t> Proximate domestic VCs elevate investment readiness through hands-on operational participation, though executive team experience directly substitutes for this daily management guidance.</w:t>
      </w:r>
    </w:p>
    <w:p w14:paraId="19EDCBA5" w14:textId="77777777" w:rsidR="00F86BF0" w:rsidRPr="00F86BF0" w:rsidRDefault="00F86BF0" w:rsidP="00F86BF0">
      <w:pPr>
        <w:rPr>
          <w:b/>
          <w:bCs/>
        </w:rPr>
      </w:pPr>
      <w:r w:rsidRPr="00F86BF0">
        <w:rPr>
          <w:b/>
          <w:bCs/>
        </w:rPr>
        <w:t>4.3 Knowledge, Social Capital, and Team Experience</w:t>
      </w:r>
    </w:p>
    <w:p w14:paraId="52AA3D33" w14:textId="77777777" w:rsidR="00F86BF0" w:rsidRPr="00F86BF0" w:rsidRDefault="00F86BF0" w:rsidP="00F86BF0">
      <w:pPr>
        <w:numPr>
          <w:ilvl w:val="0"/>
          <w:numId w:val="8"/>
        </w:numPr>
      </w:pPr>
      <w:r w:rsidRPr="00F86BF0">
        <w:rPr>
          <w:b/>
          <w:bCs/>
        </w:rPr>
        <w:t>Local vs. Foreign Knowledge Mechanics</w:t>
      </w:r>
      <w:r w:rsidRPr="00F86BF0">
        <w:t>: Domestic VCs contribute </w:t>
      </w:r>
      <w:r w:rsidRPr="00F86BF0">
        <w:rPr>
          <w:i/>
          <w:iCs/>
        </w:rPr>
        <w:t>local organizing knowledge</w:t>
      </w:r>
      <w:r w:rsidRPr="00F86BF0">
        <w:t> (domestic regulatory, legal, administrative, and local market expertise) and local network ties (e.g., Fornax in Fomalhaut, Aquarius in Procyon), which contrast with the </w:t>
      </w:r>
      <w:r w:rsidRPr="00F86BF0">
        <w:rPr>
          <w:i/>
          <w:iCs/>
        </w:rPr>
        <w:t>foreign organizing knowledge</w:t>
      </w:r>
      <w:r w:rsidRPr="00F86BF0">
        <w:t> required for global market expansion.</w:t>
      </w:r>
    </w:p>
    <w:p w14:paraId="67FAB992" w14:textId="77777777" w:rsidR="00F86BF0" w:rsidRPr="00F86BF0" w:rsidRDefault="00F86BF0" w:rsidP="00F86BF0">
      <w:pPr>
        <w:numPr>
          <w:ilvl w:val="0"/>
          <w:numId w:val="8"/>
        </w:numPr>
      </w:pPr>
      <w:r w:rsidRPr="00F86BF0">
        <w:rPr>
          <w:b/>
          <w:bCs/>
        </w:rPr>
        <w:t>Home Market Scope Moderation</w:t>
      </w:r>
      <w:r w:rsidRPr="00F86BF0">
        <w:t>: If a venture's business model targets global markets immediately and views the home market as financially negligible (e.g., Vega's hardware materials market having virtually zero domestic demand), local market knowledge and local social capital contribute little value toward cross-border investment readiness.</w:t>
      </w:r>
    </w:p>
    <w:p w14:paraId="18AE1366" w14:textId="77777777" w:rsidR="00F86BF0" w:rsidRPr="00F86BF0" w:rsidRDefault="00F86BF0" w:rsidP="00F86BF0">
      <w:pPr>
        <w:numPr>
          <w:ilvl w:val="0"/>
          <w:numId w:val="8"/>
        </w:numPr>
      </w:pPr>
      <w:r w:rsidRPr="00F86BF0">
        <w:rPr>
          <w:b/>
          <w:bCs/>
        </w:rPr>
        <w:t>Proposition 3a (P3a)</w:t>
      </w:r>
      <w:r w:rsidRPr="00F86BF0">
        <w:t>: </w:t>
      </w:r>
      <w:r w:rsidRPr="00F86BF0">
        <w:rPr>
          <w:i/>
          <w:iCs/>
        </w:rPr>
        <w:t>Existence of a local VC providing the required local organizing knowledge and local social capital in the home market of the investee firm will increase the venture's cross-border investment readiness.</w:t>
      </w:r>
    </w:p>
    <w:p w14:paraId="692ADF1C" w14:textId="77777777" w:rsidR="00F86BF0" w:rsidRPr="00F86BF0" w:rsidRDefault="00F86BF0" w:rsidP="00F86BF0">
      <w:pPr>
        <w:numPr>
          <w:ilvl w:val="0"/>
          <w:numId w:val="8"/>
        </w:numPr>
      </w:pPr>
      <w:r w:rsidRPr="00F86BF0">
        <w:rPr>
          <w:b/>
          <w:bCs/>
        </w:rPr>
        <w:t>Proposition 3b (P3b)</w:t>
      </w:r>
      <w:r w:rsidRPr="00F86BF0">
        <w:t>: </w:t>
      </w:r>
      <w:r w:rsidRPr="00F86BF0">
        <w:rPr>
          <w:i/>
          <w:iCs/>
        </w:rPr>
        <w:t>Low importance of the local market to the investee firm's business will decrease the importance of a local venture capital investor providing local organizing knowledge and local social capital.</w:t>
      </w:r>
    </w:p>
    <w:p w14:paraId="2CBE11B6" w14:textId="77777777" w:rsidR="00F86BF0" w:rsidRPr="00F86BF0" w:rsidRDefault="00F86BF0" w:rsidP="00F86BF0">
      <w:pPr>
        <w:numPr>
          <w:ilvl w:val="0"/>
          <w:numId w:val="8"/>
        </w:numPr>
      </w:pPr>
      <w:r w:rsidRPr="00F86BF0">
        <w:rPr>
          <w:b/>
          <w:bCs/>
        </w:rPr>
        <w:lastRenderedPageBreak/>
        <w:t>Proposition 3c (P3c) &amp; Proposition 3d (P3d)</w:t>
      </w:r>
      <w:r w:rsidRPr="00F86BF0">
        <w:t>: </w:t>
      </w:r>
      <w:r w:rsidRPr="00F86BF0">
        <w:rPr>
          <w:i/>
          <w:iCs/>
        </w:rPr>
        <w:t>Significant entrepreneurial experience of the management team will decrease the importance of a local venture capital investor providing local organizing knowledge and local social capital (P3c) and directly increase the cross-border investment readiness of the venture (P3d).</w:t>
      </w:r>
    </w:p>
    <w:p w14:paraId="12BA331C" w14:textId="77777777" w:rsidR="00F86BF0" w:rsidRPr="00F86BF0" w:rsidRDefault="00F86BF0" w:rsidP="00F86BF0">
      <w:r w:rsidRPr="00F86BF0">
        <w:rPr>
          <w:b/>
          <w:bCs/>
        </w:rPr>
        <w:t>Takeaway:</w:t>
      </w:r>
      <w:r w:rsidRPr="00F86BF0">
        <w:t> Executive management experience directly drives cross-border investment readiness while diminishing reliance on local investor knowledge and home market social ties.</w:t>
      </w:r>
    </w:p>
    <w:p w14:paraId="0C47714C" w14:textId="77777777" w:rsidR="00F86BF0" w:rsidRPr="00F86BF0" w:rsidRDefault="00F86BF0" w:rsidP="00F86BF0">
      <w:pPr>
        <w:rPr>
          <w:b/>
          <w:bCs/>
        </w:rPr>
      </w:pPr>
      <w:r w:rsidRPr="00F86BF0">
        <w:rPr>
          <w:b/>
          <w:bCs/>
        </w:rPr>
        <w:t>4.4 Impact of Local VC International Social Capital</w:t>
      </w:r>
    </w:p>
    <w:p w14:paraId="2BD225F6" w14:textId="77777777" w:rsidR="00F86BF0" w:rsidRPr="00F86BF0" w:rsidRDefault="00F86BF0" w:rsidP="00F86BF0">
      <w:pPr>
        <w:numPr>
          <w:ilvl w:val="0"/>
          <w:numId w:val="9"/>
        </w:numPr>
      </w:pPr>
      <w:r w:rsidRPr="00F86BF0">
        <w:rPr>
          <w:b/>
          <w:bCs/>
        </w:rPr>
        <w:t>Readiness vs. Realization</w:t>
      </w:r>
      <w:r w:rsidRPr="00F86BF0">
        <w:t>: Cross-border investment readiness establishes firm feasibility (potential), but converting potential into executed international syndicates requires active network bridges.</w:t>
      </w:r>
    </w:p>
    <w:p w14:paraId="38070E6F" w14:textId="77777777" w:rsidR="00F86BF0" w:rsidRPr="00F86BF0" w:rsidRDefault="00F86BF0" w:rsidP="00F86BF0">
      <w:pPr>
        <w:numPr>
          <w:ilvl w:val="0"/>
          <w:numId w:val="9"/>
        </w:numPr>
      </w:pPr>
      <w:r w:rsidRPr="00F86BF0">
        <w:rPr>
          <w:b/>
          <w:bCs/>
        </w:rPr>
        <w:t>Weak Ties as Network Bridges</w:t>
      </w:r>
      <w:r w:rsidRPr="00F86BF0">
        <w:t>: Reputable domestic VCs leverage their international social capital—specifically cross-border weak ties and syndication networks (e.g., Capricorn in Betelgeuse and Capella, Hydra in Antares, Aquarius and Carina in Altair)—to actively market investment-ready ventures to foreign funds.</w:t>
      </w:r>
    </w:p>
    <w:p w14:paraId="01C1776B" w14:textId="77777777" w:rsidR="00F86BF0" w:rsidRPr="00F86BF0" w:rsidRDefault="00F86BF0" w:rsidP="00F86BF0">
      <w:pPr>
        <w:numPr>
          <w:ilvl w:val="0"/>
          <w:numId w:val="9"/>
        </w:numPr>
      </w:pPr>
      <w:r w:rsidRPr="00F86BF0">
        <w:rPr>
          <w:b/>
          <w:bCs/>
        </w:rPr>
        <w:t>Proactive Deal Marketing &amp; Screening</w:t>
      </w:r>
      <w:r w:rsidRPr="00F86BF0">
        <w:t>: Local VCs act as trusted information channels, screening ventures and initiating foreign syndicate creation, thereby lowering search and evaluation costs for foreign investors.</w:t>
      </w:r>
    </w:p>
    <w:p w14:paraId="760EF519" w14:textId="77777777" w:rsidR="00F86BF0" w:rsidRPr="00F86BF0" w:rsidRDefault="00F86BF0" w:rsidP="00F86BF0">
      <w:pPr>
        <w:numPr>
          <w:ilvl w:val="0"/>
          <w:numId w:val="9"/>
        </w:numPr>
      </w:pPr>
      <w:r w:rsidRPr="00F86BF0">
        <w:rPr>
          <w:b/>
          <w:bCs/>
        </w:rPr>
        <w:t>Proposition 4a (P4a)</w:t>
      </w:r>
      <w:r w:rsidRPr="00F86BF0">
        <w:t>: </w:t>
      </w:r>
      <w:r w:rsidRPr="00F86BF0">
        <w:rPr>
          <w:i/>
          <w:iCs/>
        </w:rPr>
        <w:t>Cross-border investment readiness increases the likelihood of receiving a cross-border investment.</w:t>
      </w:r>
    </w:p>
    <w:p w14:paraId="36DDA6E3" w14:textId="77777777" w:rsidR="00F86BF0" w:rsidRPr="00F86BF0" w:rsidRDefault="00F86BF0" w:rsidP="00F86BF0">
      <w:pPr>
        <w:numPr>
          <w:ilvl w:val="0"/>
          <w:numId w:val="9"/>
        </w:numPr>
      </w:pPr>
      <w:r w:rsidRPr="00F86BF0">
        <w:rPr>
          <w:b/>
          <w:bCs/>
        </w:rPr>
        <w:t>Proposition 4b (P4b)</w:t>
      </w:r>
      <w:r w:rsidRPr="00F86BF0">
        <w:t>: </w:t>
      </w:r>
      <w:r w:rsidRPr="00F86BF0">
        <w:rPr>
          <w:i/>
          <w:iCs/>
        </w:rPr>
        <w:t>A local venture capitalist's international social capital that connects it to international investors increases the impact of cross-border investment readiness on the likelihood of receiving a cross-border investment.</w:t>
      </w:r>
    </w:p>
    <w:p w14:paraId="705824F5" w14:textId="77777777" w:rsidR="00F86BF0" w:rsidRPr="00F86BF0" w:rsidRDefault="00F86BF0" w:rsidP="00F86BF0">
      <w:r w:rsidRPr="00F86BF0">
        <w:rPr>
          <w:b/>
          <w:bCs/>
        </w:rPr>
        <w:t>Takeaway:</w:t>
      </w:r>
      <w:r w:rsidRPr="00F86BF0">
        <w:t> A domestic investor's international social capital acts as the essential catalyst converting internal cross-border investment readiness into realized international VC syndicates.</w:t>
      </w:r>
    </w:p>
    <w:p w14:paraId="008ECAB0" w14:textId="77777777" w:rsidR="00F86BF0" w:rsidRPr="00F86BF0" w:rsidRDefault="00F86BF0" w:rsidP="00F86BF0">
      <w:r w:rsidRPr="00F86BF0">
        <w:t>Synthesizing these propositions leads directly to key strategic recommendations for managers, investors, and regional policy architects.</w:t>
      </w:r>
    </w:p>
    <w:p w14:paraId="010262D6" w14:textId="77777777" w:rsidR="00F86BF0" w:rsidRPr="00F86BF0" w:rsidRDefault="00F86BF0" w:rsidP="00F86BF0">
      <w:pPr>
        <w:rPr>
          <w:b/>
          <w:bCs/>
        </w:rPr>
      </w:pPr>
      <w:r w:rsidRPr="00F86BF0">
        <w:rPr>
          <w:b/>
          <w:bCs/>
        </w:rPr>
        <w:t>5. Discussion &amp; Strategic Implications</w:t>
      </w:r>
    </w:p>
    <w:p w14:paraId="53965541" w14:textId="77777777" w:rsidR="00F86BF0" w:rsidRPr="00F86BF0" w:rsidRDefault="00F86BF0" w:rsidP="00F86BF0">
      <w:r w:rsidRPr="00F86BF0">
        <w:t>The findings systematically extend existing venture capital and internationalization literature by articulating the division of labor within international syndicates and highlighting the role of domestic financial infrastructure in global capital access.</w:t>
      </w:r>
    </w:p>
    <w:p w14:paraId="495175B7" w14:textId="77777777" w:rsidR="00F86BF0" w:rsidRPr="00F86BF0" w:rsidRDefault="00F86BF0" w:rsidP="00F86BF0">
      <w:pPr>
        <w:numPr>
          <w:ilvl w:val="0"/>
          <w:numId w:val="10"/>
        </w:numPr>
      </w:pPr>
      <w:r w:rsidRPr="00F86BF0">
        <w:rPr>
          <w:b/>
          <w:bCs/>
        </w:rPr>
        <w:lastRenderedPageBreak/>
        <w:t>Theoretical Contributions &amp; Syndicate Labor Division</w:t>
      </w:r>
      <w:r w:rsidRPr="00F86BF0">
        <w:t xml:space="preserve">: Advances syndication literature by defining the international division of labor—local VCs manage local governance, administrative monitoring, and local organizing knowledge, while foreign VCs provide global network access, market scale, and international exit channels (Jääskeläinen &amp; Maula 2005; </w:t>
      </w:r>
      <w:proofErr w:type="spellStart"/>
      <w:r w:rsidRPr="00F86BF0">
        <w:t>Hursti</w:t>
      </w:r>
      <w:proofErr w:type="spellEnd"/>
      <w:r w:rsidRPr="00F86BF0">
        <w:t xml:space="preserve"> &amp; Maula 2007).</w:t>
      </w:r>
    </w:p>
    <w:p w14:paraId="551DC991" w14:textId="77777777" w:rsidR="00F86BF0" w:rsidRPr="00F86BF0" w:rsidRDefault="00F86BF0" w:rsidP="00F86BF0">
      <w:pPr>
        <w:numPr>
          <w:ilvl w:val="0"/>
          <w:numId w:val="10"/>
        </w:numPr>
      </w:pPr>
      <w:proofErr w:type="spellStart"/>
      <w:r w:rsidRPr="00F86BF0">
        <w:rPr>
          <w:b/>
          <w:bCs/>
        </w:rPr>
        <w:t>Signalling</w:t>
      </w:r>
      <w:proofErr w:type="spellEnd"/>
      <w:r w:rsidRPr="00F86BF0">
        <w:rPr>
          <w:b/>
          <w:bCs/>
        </w:rPr>
        <w:t xml:space="preserve"> &amp; Information Asymmetries</w:t>
      </w:r>
      <w:r w:rsidRPr="00F86BF0">
        <w:t xml:space="preserve">: Demonstrates how inter-organizational endorsement (Stuart et al. 1999; </w:t>
      </w:r>
      <w:proofErr w:type="spellStart"/>
      <w:r w:rsidRPr="00F86BF0">
        <w:t>Podolny</w:t>
      </w:r>
      <w:proofErr w:type="spellEnd"/>
      <w:r w:rsidRPr="00F86BF0">
        <w:t xml:space="preserve"> 1993, 1994) and quality </w:t>
      </w:r>
      <w:proofErr w:type="spellStart"/>
      <w:r w:rsidRPr="00F86BF0">
        <w:t>signalling</w:t>
      </w:r>
      <w:proofErr w:type="spellEnd"/>
      <w:r w:rsidRPr="00F86BF0">
        <w:t xml:space="preserve"> (Spence 1973) resolve lemons market information asymmetries (Akerlof 1970) for distant foreign investors, establishing the home base (Kuemmerle 2002) as structurally sound.</w:t>
      </w:r>
    </w:p>
    <w:p w14:paraId="72CAA294" w14:textId="77777777" w:rsidR="00F86BF0" w:rsidRPr="00F86BF0" w:rsidRDefault="00F86BF0" w:rsidP="00F86BF0">
      <w:pPr>
        <w:numPr>
          <w:ilvl w:val="0"/>
          <w:numId w:val="10"/>
        </w:numPr>
      </w:pPr>
      <w:r w:rsidRPr="00F86BF0">
        <w:rPr>
          <w:b/>
          <w:bCs/>
        </w:rPr>
        <w:t>Managerial Strategy for Founders</w:t>
      </w:r>
      <w:r w:rsidRPr="00F86BF0">
        <w:t>: Entrepreneurs seeking global expansion must evaluate prospective local VCs not merely for domestic capital, but specifically for their international social capital, foreign syndicate networks, and cross-border co-investment track record.</w:t>
      </w:r>
    </w:p>
    <w:p w14:paraId="62CBFEFA" w14:textId="77777777" w:rsidR="00F86BF0" w:rsidRPr="00F86BF0" w:rsidRDefault="00F86BF0" w:rsidP="00F86BF0">
      <w:pPr>
        <w:numPr>
          <w:ilvl w:val="0"/>
          <w:numId w:val="10"/>
        </w:numPr>
      </w:pPr>
      <w:r w:rsidRPr="00F86BF0">
        <w:rPr>
          <w:b/>
          <w:bCs/>
        </w:rPr>
        <w:t>Policy Mandates for Regional Economies</w:t>
      </w:r>
      <w:r w:rsidRPr="00F86BF0">
        <w:t>: Public policies designed to attract foreign direct investment and scale local tech ecosystems must focus on building a high-quality domestic VC industry, as foreign capital flows depend heavily on trusted local co-investors.</w:t>
      </w:r>
    </w:p>
    <w:p w14:paraId="4701965C" w14:textId="77777777" w:rsidR="00F86BF0" w:rsidRPr="00F86BF0" w:rsidRDefault="00F86BF0" w:rsidP="00F86BF0">
      <w:pPr>
        <w:numPr>
          <w:ilvl w:val="0"/>
          <w:numId w:val="10"/>
        </w:numPr>
      </w:pPr>
      <w:r w:rsidRPr="00F86BF0">
        <w:rPr>
          <w:b/>
          <w:bCs/>
        </w:rPr>
        <w:t>Methodological Limitations &amp; Future Directions</w:t>
      </w:r>
      <w:r w:rsidRPr="00F86BF0">
        <w:t>: The single-country qualitative setting (Finland) presents boundary conditions; future research should conduct quantitative hypothesis testing across multiple international jurisdictions and incorporate control groups of ventures that failed to secure cross-border funding.</w:t>
      </w:r>
    </w:p>
    <w:p w14:paraId="22CFBAF1" w14:textId="141EF705" w:rsidR="00A74D2E" w:rsidRDefault="00F86BF0">
      <w:r w:rsidRPr="00F86BF0">
        <w:rPr>
          <w:b/>
          <w:bCs/>
        </w:rPr>
        <w:t>Takeaway:</w:t>
      </w:r>
      <w:r w:rsidRPr="00F86BF0">
        <w:t> A sophisticated domestic venture capital market is a vital prerequisite for plugging regional entrepreneurial ventures into international equity markets and global expansion networks.</w:t>
      </w:r>
    </w:p>
    <w:sectPr w:rsidR="00A74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BF2D55"/>
    <w:multiLevelType w:val="multilevel"/>
    <w:tmpl w:val="BAC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71098"/>
    <w:multiLevelType w:val="multilevel"/>
    <w:tmpl w:val="A7B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3176"/>
    <w:multiLevelType w:val="multilevel"/>
    <w:tmpl w:val="5F22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9329D"/>
    <w:multiLevelType w:val="multilevel"/>
    <w:tmpl w:val="F06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A5DDB"/>
    <w:multiLevelType w:val="multilevel"/>
    <w:tmpl w:val="DE4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4146"/>
    <w:multiLevelType w:val="multilevel"/>
    <w:tmpl w:val="CFC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403F3"/>
    <w:multiLevelType w:val="multilevel"/>
    <w:tmpl w:val="3B36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9369F"/>
    <w:multiLevelType w:val="multilevel"/>
    <w:tmpl w:val="6CC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7D143D"/>
    <w:multiLevelType w:val="multilevel"/>
    <w:tmpl w:val="5E3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47CAD"/>
    <w:multiLevelType w:val="multilevel"/>
    <w:tmpl w:val="BD8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9415067">
    <w:abstractNumId w:val="8"/>
  </w:num>
  <w:num w:numId="2" w16cid:durableId="1027876356">
    <w:abstractNumId w:val="1"/>
  </w:num>
  <w:num w:numId="3" w16cid:durableId="258373240">
    <w:abstractNumId w:val="0"/>
  </w:num>
  <w:num w:numId="4" w16cid:durableId="1295482288">
    <w:abstractNumId w:val="3"/>
  </w:num>
  <w:num w:numId="5" w16cid:durableId="111366784">
    <w:abstractNumId w:val="2"/>
  </w:num>
  <w:num w:numId="6" w16cid:durableId="1692561586">
    <w:abstractNumId w:val="4"/>
  </w:num>
  <w:num w:numId="7" w16cid:durableId="1951738183">
    <w:abstractNumId w:val="6"/>
  </w:num>
  <w:num w:numId="8" w16cid:durableId="1007638228">
    <w:abstractNumId w:val="5"/>
  </w:num>
  <w:num w:numId="9" w16cid:durableId="460416125">
    <w:abstractNumId w:val="7"/>
  </w:num>
  <w:num w:numId="10" w16cid:durableId="52409852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2E"/>
    <w:rsid w:val="0089238A"/>
    <w:rsid w:val="00A74D2E"/>
    <w:rsid w:val="00E75E0C"/>
    <w:rsid w:val="00F86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E172B"/>
  <w15:chartTrackingRefBased/>
  <w15:docId w15:val="{5C691E22-9A21-314D-9D2B-D3D0C638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D2E"/>
    <w:rPr>
      <w:rFonts w:eastAsiaTheme="majorEastAsia" w:cstheme="majorBidi"/>
      <w:color w:val="272727" w:themeColor="text1" w:themeTint="D8"/>
    </w:rPr>
  </w:style>
  <w:style w:type="paragraph" w:styleId="Title">
    <w:name w:val="Title"/>
    <w:basedOn w:val="Normal"/>
    <w:next w:val="Normal"/>
    <w:link w:val="TitleChar"/>
    <w:uiPriority w:val="10"/>
    <w:qFormat/>
    <w:rsid w:val="00A7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D2E"/>
    <w:pPr>
      <w:spacing w:before="160"/>
      <w:jc w:val="center"/>
    </w:pPr>
    <w:rPr>
      <w:i/>
      <w:iCs/>
      <w:color w:val="404040" w:themeColor="text1" w:themeTint="BF"/>
    </w:rPr>
  </w:style>
  <w:style w:type="character" w:customStyle="1" w:styleId="QuoteChar">
    <w:name w:val="Quote Char"/>
    <w:basedOn w:val="DefaultParagraphFont"/>
    <w:link w:val="Quote"/>
    <w:uiPriority w:val="29"/>
    <w:rsid w:val="00A74D2E"/>
    <w:rPr>
      <w:i/>
      <w:iCs/>
      <w:color w:val="404040" w:themeColor="text1" w:themeTint="BF"/>
    </w:rPr>
  </w:style>
  <w:style w:type="paragraph" w:styleId="ListParagraph">
    <w:name w:val="List Paragraph"/>
    <w:basedOn w:val="Normal"/>
    <w:uiPriority w:val="34"/>
    <w:qFormat/>
    <w:rsid w:val="00A74D2E"/>
    <w:pPr>
      <w:ind w:left="720"/>
      <w:contextualSpacing/>
    </w:pPr>
  </w:style>
  <w:style w:type="character" w:styleId="IntenseEmphasis">
    <w:name w:val="Intense Emphasis"/>
    <w:basedOn w:val="DefaultParagraphFont"/>
    <w:uiPriority w:val="21"/>
    <w:qFormat/>
    <w:rsid w:val="00A74D2E"/>
    <w:rPr>
      <w:i/>
      <w:iCs/>
      <w:color w:val="0F4761" w:themeColor="accent1" w:themeShade="BF"/>
    </w:rPr>
  </w:style>
  <w:style w:type="paragraph" w:styleId="IntenseQuote">
    <w:name w:val="Intense Quote"/>
    <w:basedOn w:val="Normal"/>
    <w:next w:val="Normal"/>
    <w:link w:val="IntenseQuoteChar"/>
    <w:uiPriority w:val="30"/>
    <w:qFormat/>
    <w:rsid w:val="00A7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D2E"/>
    <w:rPr>
      <w:i/>
      <w:iCs/>
      <w:color w:val="0F4761" w:themeColor="accent1" w:themeShade="BF"/>
    </w:rPr>
  </w:style>
  <w:style w:type="character" w:styleId="IntenseReference">
    <w:name w:val="Intense Reference"/>
    <w:basedOn w:val="DefaultParagraphFont"/>
    <w:uiPriority w:val="32"/>
    <w:qFormat/>
    <w:rsid w:val="00A74D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2881</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2026-09-27T10:39:00Z</dcterms:created>
  <dcterms:modified xsi:type="dcterms:W3CDTF">2026-09-27T11:02:00Z</dcterms:modified>
</cp:coreProperties>
</file>