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462F2C" w14:textId="77777777" w:rsidR="00E70AA5" w:rsidRPr="00E70AA5" w:rsidRDefault="00E70AA5" w:rsidP="00E70AA5">
      <w:pPr>
        <w:rPr>
          <w:b/>
          <w:bCs/>
        </w:rPr>
      </w:pPr>
      <w:r w:rsidRPr="00E70AA5">
        <w:rPr>
          <w:b/>
          <w:bCs/>
        </w:rPr>
        <w:t>Study Report: The Complementarity of Local and International Venture Capitalists</w:t>
      </w:r>
    </w:p>
    <w:p w14:paraId="278C6E6C" w14:textId="77777777" w:rsidR="00E70AA5" w:rsidRPr="00E70AA5" w:rsidRDefault="00E70AA5" w:rsidP="00E70AA5">
      <w:pPr>
        <w:rPr>
          <w:b/>
          <w:bCs/>
        </w:rPr>
      </w:pPr>
      <w:r w:rsidRPr="00E70AA5">
        <w:rPr>
          <w:b/>
          <w:bCs/>
        </w:rPr>
        <w:t>1. APA 7 Citation &amp; Core Overview</w:t>
      </w:r>
    </w:p>
    <w:p w14:paraId="5174EAFE" w14:textId="77777777" w:rsidR="00E70AA5" w:rsidRPr="00E70AA5" w:rsidRDefault="00E70AA5" w:rsidP="00E70AA5">
      <w:r w:rsidRPr="00E70AA5">
        <w:t>Cross-border venture capital (VC) investments expanded rapidly from 10% of global VC activity in 1991 to 22.7% in 2008. A primary catalyst of this internationalization is the influx of foreign capital into emerging economies alongside the concurrent development of domestic VC industries. Understanding whether foreign and domestic investors act as substitutes or strategic complements is vital for evaluating entrepreneurial firm governance, liquidity outcomes, and private equity ecosystem development across varying institutional environments.</w:t>
      </w:r>
    </w:p>
    <w:p w14:paraId="0D67F03D" w14:textId="77777777" w:rsidR="00E70AA5" w:rsidRPr="00E70AA5" w:rsidRDefault="00E70AA5" w:rsidP="00E70AA5">
      <w:r w:rsidRPr="00E70AA5">
        <w:rPr>
          <w:b/>
          <w:bCs/>
        </w:rPr>
        <w:t>APA 7 Reference:</w:t>
      </w:r>
      <w:r w:rsidRPr="00E70AA5">
        <w:t> </w:t>
      </w:r>
      <w:proofErr w:type="spellStart"/>
      <w:r w:rsidRPr="00E70AA5">
        <w:t>Chemmanur</w:t>
      </w:r>
      <w:proofErr w:type="spellEnd"/>
      <w:r w:rsidRPr="00E70AA5">
        <w:t>, T. J., Hull, T. J., &amp; Krishnan, K. (2016). Do local and international venture capitalists play well together? The complementarity of local and international venture capitalists. </w:t>
      </w:r>
      <w:r w:rsidRPr="00E70AA5">
        <w:rPr>
          <w:i/>
          <w:iCs/>
        </w:rPr>
        <w:t>Journal of Business Venturing</w:t>
      </w:r>
      <w:r w:rsidRPr="00E70AA5">
        <w:t>, 31(5), 573–594. http://dx.doi.org/10.1016/j.jbusvent.2016.07.002</w:t>
      </w:r>
    </w:p>
    <w:p w14:paraId="6777FF18" w14:textId="77777777" w:rsidR="00E70AA5" w:rsidRPr="00E70AA5" w:rsidRDefault="00E70AA5" w:rsidP="00E70AA5">
      <w:pPr>
        <w:numPr>
          <w:ilvl w:val="0"/>
          <w:numId w:val="1"/>
        </w:numPr>
      </w:pPr>
      <w:r w:rsidRPr="00E70AA5">
        <w:rPr>
          <w:b/>
          <w:bCs/>
        </w:rPr>
        <w:t>Central Thesis:</w:t>
      </w:r>
      <w:r w:rsidRPr="00E70AA5">
        <w:t> The study investigates whether cross-border syndication between </w:t>
      </w:r>
      <w:r w:rsidRPr="00E70AA5">
        <w:rPr>
          <w:b/>
          <w:bCs/>
        </w:rPr>
        <w:t>international venture capitalists (IVCs)</w:t>
      </w:r>
      <w:r w:rsidRPr="00E70AA5">
        <w:t> (defined by fund offices located outside the target firm's nation) and </w:t>
      </w:r>
      <w:r w:rsidRPr="00E70AA5">
        <w:rPr>
          <w:b/>
          <w:bCs/>
        </w:rPr>
        <w:t>local venture capitalists (LVCs)</w:t>
      </w:r>
      <w:r w:rsidRPr="00E70AA5">
        <w:t> (defined by fund offices inside the target firm's nation) creates operational synergies that enhance target firm performance beyond what purely IVC or purely LVC syndicates achieve.</w:t>
      </w:r>
    </w:p>
    <w:p w14:paraId="018218A2" w14:textId="77777777" w:rsidR="00E70AA5" w:rsidRPr="00E70AA5" w:rsidRDefault="00E70AA5" w:rsidP="00E70AA5">
      <w:pPr>
        <w:numPr>
          <w:ilvl w:val="0"/>
          <w:numId w:val="1"/>
        </w:numPr>
      </w:pPr>
      <w:r w:rsidRPr="00E70AA5">
        <w:rPr>
          <w:b/>
          <w:bCs/>
        </w:rPr>
        <w:t>Primary Dataset:</w:t>
      </w:r>
      <w:r w:rsidRPr="00E70AA5">
        <w:t> The empirical analysis utilizes a comprehensive </w:t>
      </w:r>
      <w:proofErr w:type="spellStart"/>
      <w:r w:rsidRPr="00E70AA5">
        <w:rPr>
          <w:b/>
          <w:bCs/>
        </w:rPr>
        <w:t>VentureXpert</w:t>
      </w:r>
      <w:proofErr w:type="spellEnd"/>
      <w:r w:rsidRPr="00E70AA5">
        <w:t> sample of 30,071 venture-backed entrepreneurial firms across 41 nations (excluding US target firms) from 1989 to 2008.</w:t>
      </w:r>
    </w:p>
    <w:p w14:paraId="76F7BB51" w14:textId="77777777" w:rsidR="00E70AA5" w:rsidRPr="00E70AA5" w:rsidRDefault="00E70AA5" w:rsidP="00E70AA5">
      <w:pPr>
        <w:numPr>
          <w:ilvl w:val="0"/>
          <w:numId w:val="1"/>
        </w:numPr>
      </w:pPr>
      <w:r w:rsidRPr="00E70AA5">
        <w:rPr>
          <w:b/>
          <w:bCs/>
        </w:rPr>
        <w:t>Main Empirical Conclusion:</w:t>
      </w:r>
      <w:r w:rsidRPr="00E70AA5">
        <w:t> Firms backed by </w:t>
      </w:r>
      <w:r w:rsidRPr="00E70AA5">
        <w:rPr>
          <w:b/>
          <w:bCs/>
        </w:rPr>
        <w:t>Local and International VC Syndicates</w:t>
      </w:r>
      <w:r w:rsidRPr="00E70AA5">
        <w:t> achieve higher successful exit rates via </w:t>
      </w:r>
      <w:r w:rsidRPr="00E70AA5">
        <w:rPr>
          <w:b/>
          <w:bCs/>
        </w:rPr>
        <w:t>Initial Public Offerings (IPOs)</w:t>
      </w:r>
      <w:r w:rsidRPr="00E70AA5">
        <w:t> or </w:t>
      </w:r>
      <w:r w:rsidRPr="00E70AA5">
        <w:rPr>
          <w:b/>
          <w:bCs/>
        </w:rPr>
        <w:t>Mergers and Acquisitions (M&amp;A)</w:t>
      </w:r>
      <w:r w:rsidRPr="00E70AA5">
        <w:t> and display superior post-IPO operating performance, an effect predominantly concentrated in </w:t>
      </w:r>
      <w:r w:rsidRPr="00E70AA5">
        <w:rPr>
          <w:b/>
          <w:bCs/>
        </w:rPr>
        <w:t>emerging nations</w:t>
      </w:r>
      <w:r w:rsidRPr="00E70AA5">
        <w:t>.</w:t>
      </w:r>
    </w:p>
    <w:p w14:paraId="18DA02AC" w14:textId="77777777" w:rsidR="00E70AA5" w:rsidRPr="00E70AA5" w:rsidRDefault="00E70AA5" w:rsidP="00E70AA5">
      <w:pPr>
        <w:numPr>
          <w:ilvl w:val="0"/>
          <w:numId w:val="1"/>
        </w:numPr>
      </w:pPr>
      <w:r w:rsidRPr="00E70AA5">
        <w:rPr>
          <w:b/>
          <w:bCs/>
        </w:rPr>
        <w:t>Underlying Mechanism:</w:t>
      </w:r>
      <w:r w:rsidRPr="00E70AA5">
        <w:t> IVCs supply advanced </w:t>
      </w:r>
      <w:r w:rsidRPr="00E70AA5">
        <w:rPr>
          <w:b/>
          <w:bCs/>
        </w:rPr>
        <w:t>venture capital expertise</w:t>
      </w:r>
      <w:r w:rsidRPr="00E70AA5">
        <w:t> (screening, professionalization, and global networks), while LVCs contribute superior local market knowledge and lower ongoing monitoring costs, effectively offsetting the IVC </w:t>
      </w:r>
      <w:r w:rsidRPr="00E70AA5">
        <w:rPr>
          <w:b/>
          <w:bCs/>
        </w:rPr>
        <w:t>proximity disadvantage</w:t>
      </w:r>
      <w:r w:rsidRPr="00E70AA5">
        <w:t>.</w:t>
      </w:r>
    </w:p>
    <w:p w14:paraId="7EA5433E" w14:textId="77777777" w:rsidR="00E70AA5" w:rsidRPr="00E70AA5" w:rsidRDefault="00E70AA5" w:rsidP="00E70AA5">
      <w:pPr>
        <w:numPr>
          <w:ilvl w:val="0"/>
          <w:numId w:val="1"/>
        </w:numPr>
      </w:pPr>
      <w:r w:rsidRPr="00E70AA5">
        <w:rPr>
          <w:b/>
          <w:bCs/>
        </w:rPr>
        <w:t>Methodological Identification:</w:t>
      </w:r>
      <w:r w:rsidRPr="00E70AA5">
        <w:t> To establish causality, the authors employ a </w:t>
      </w:r>
      <w:r w:rsidRPr="00E70AA5">
        <w:rPr>
          <w:b/>
          <w:bCs/>
        </w:rPr>
        <w:t>bivariate probit instrumental variables framework</w:t>
      </w:r>
      <w:r w:rsidRPr="00E70AA5">
        <w:t> alongside two natural experiments: the bilateral establishment of </w:t>
      </w:r>
      <w:r w:rsidRPr="00E70AA5">
        <w:rPr>
          <w:b/>
          <w:bCs/>
        </w:rPr>
        <w:t>Air Service Agreements (ASA)</w:t>
      </w:r>
      <w:r w:rsidRPr="00E70AA5">
        <w:t> and exogenous drops in foreign investment following major urban terror attacks in India.</w:t>
      </w:r>
    </w:p>
    <w:p w14:paraId="25119BA9" w14:textId="77777777" w:rsidR="00E70AA5" w:rsidRPr="00E70AA5" w:rsidRDefault="00E70AA5" w:rsidP="00E70AA5">
      <w:r w:rsidRPr="00E70AA5">
        <w:rPr>
          <w:b/>
          <w:bCs/>
        </w:rPr>
        <w:lastRenderedPageBreak/>
        <w:t>Takeaway: Cross-border VC syndication generates significant economic complementarity in emerging nations by pairing international investor expertise with local monitoring advantages, directly boosting exit success and long-term firm efficiency.</w:t>
      </w:r>
      <w:r w:rsidRPr="00E70AA5">
        <w:t> </w:t>
      </w:r>
      <w:r w:rsidRPr="00E70AA5">
        <w:rPr>
          <w:i/>
          <w:iCs/>
        </w:rPr>
        <w:t>The following section details the theoretical mechanisms and formal hypotheses underpinning these observed empirical advantages.</w:t>
      </w:r>
    </w:p>
    <w:p w14:paraId="2F8D58B8" w14:textId="77777777" w:rsidR="00E70AA5" w:rsidRPr="00E70AA5" w:rsidRDefault="00E70AA5" w:rsidP="00E70AA5">
      <w:pPr>
        <w:rPr>
          <w:b/>
          <w:bCs/>
        </w:rPr>
      </w:pPr>
      <w:r w:rsidRPr="00E70AA5">
        <w:rPr>
          <w:b/>
          <w:bCs/>
        </w:rPr>
        <w:t>2. Theoretical Framework &amp; Hypotheses Development</w:t>
      </w:r>
    </w:p>
    <w:p w14:paraId="5C9158C5" w14:textId="77777777" w:rsidR="00E70AA5" w:rsidRPr="00E70AA5" w:rsidRDefault="00E70AA5" w:rsidP="00E70AA5">
      <w:pPr>
        <w:rPr>
          <w:b/>
          <w:bCs/>
        </w:rPr>
      </w:pPr>
      <w:r w:rsidRPr="00E70AA5">
        <w:rPr>
          <w:b/>
          <w:bCs/>
        </w:rPr>
        <w:t>2.1 Foundations: Expertise vs. Proximity Disadvantage</w:t>
      </w:r>
    </w:p>
    <w:p w14:paraId="4F0753CF" w14:textId="77777777" w:rsidR="00E70AA5" w:rsidRPr="00E70AA5" w:rsidRDefault="00E70AA5" w:rsidP="00E70AA5">
      <w:r w:rsidRPr="00E70AA5">
        <w:t>Cross-border venture capital investments involve complex economic trade-offs regarding </w:t>
      </w:r>
      <w:r w:rsidRPr="00E70AA5">
        <w:rPr>
          <w:b/>
          <w:bCs/>
        </w:rPr>
        <w:t>information asymmetry</w:t>
      </w:r>
      <w:r w:rsidRPr="00E70AA5">
        <w:t>, post-investment </w:t>
      </w:r>
      <w:r w:rsidRPr="00E70AA5">
        <w:rPr>
          <w:b/>
          <w:bCs/>
        </w:rPr>
        <w:t>monitoring costs</w:t>
      </w:r>
      <w:r w:rsidRPr="00E70AA5">
        <w:t>, and value-addition capabilities. While foreign investors bring operational sophistication, geographic separation limits their capacity to conduct hands-on governance, creating distinct structural functional differences between IVCs and LVCs:</w:t>
      </w:r>
    </w:p>
    <w:p w14:paraId="672708A9" w14:textId="77777777" w:rsidR="00E70AA5" w:rsidRPr="00E70AA5" w:rsidRDefault="00E70AA5" w:rsidP="00E70AA5">
      <w:pPr>
        <w:numPr>
          <w:ilvl w:val="0"/>
          <w:numId w:val="2"/>
        </w:numPr>
      </w:pPr>
      <w:r w:rsidRPr="00E70AA5">
        <w:rPr>
          <w:b/>
          <w:bCs/>
        </w:rPr>
        <w:t>IVC Expertise Effect:</w:t>
      </w:r>
      <w:r w:rsidRPr="00E70AA5">
        <w:t> IVCs possess superior </w:t>
      </w:r>
      <w:r w:rsidRPr="00E70AA5">
        <w:rPr>
          <w:b/>
          <w:bCs/>
        </w:rPr>
        <w:t>Human Capital Assets</w:t>
      </w:r>
      <w:r w:rsidRPr="00E70AA5">
        <w:t> among general partners, yielding enhanced capabilities during the </w:t>
      </w:r>
      <w:r w:rsidRPr="00E70AA5">
        <w:rPr>
          <w:b/>
          <w:bCs/>
        </w:rPr>
        <w:t>Selection Effect</w:t>
      </w:r>
      <w:r w:rsidRPr="00E70AA5">
        <w:t> (due diligence, management assessment, evaluating business model viability) and post-investment value creation (installing executive compensation schemes, operational staging, and providing international customer/supplier network access).</w:t>
      </w:r>
    </w:p>
    <w:p w14:paraId="5F841AC7" w14:textId="77777777" w:rsidR="00E70AA5" w:rsidRPr="00E70AA5" w:rsidRDefault="00E70AA5" w:rsidP="00E70AA5">
      <w:pPr>
        <w:numPr>
          <w:ilvl w:val="0"/>
          <w:numId w:val="2"/>
        </w:numPr>
      </w:pPr>
      <w:r w:rsidRPr="00E70AA5">
        <w:rPr>
          <w:b/>
          <w:bCs/>
        </w:rPr>
        <w:t>IVC Proximity Disadvantage:</w:t>
      </w:r>
      <w:r w:rsidRPr="00E70AA5">
        <w:t> Geographic distance severely restricts the </w:t>
      </w:r>
      <w:r w:rsidRPr="00E70AA5">
        <w:rPr>
          <w:b/>
          <w:bCs/>
        </w:rPr>
        <w:t>Monitoring Effect</w:t>
      </w:r>
      <w:r w:rsidRPr="00E70AA5">
        <w:t>. Travel friction makes physical attendance at board meetings, direct oversight, and real-time operational advice costly and inefficient for IVC general partners.</w:t>
      </w:r>
    </w:p>
    <w:p w14:paraId="6A0426E5" w14:textId="77777777" w:rsidR="00E70AA5" w:rsidRPr="00E70AA5" w:rsidRDefault="00E70AA5" w:rsidP="00E70AA5">
      <w:pPr>
        <w:numPr>
          <w:ilvl w:val="0"/>
          <w:numId w:val="2"/>
        </w:numPr>
      </w:pPr>
      <w:r w:rsidRPr="00E70AA5">
        <w:rPr>
          <w:b/>
          <w:bCs/>
        </w:rPr>
        <w:t>LVC Proximity Advantage:</w:t>
      </w:r>
      <w:r w:rsidRPr="00E70AA5">
        <w:t> LVCs enjoy lower monitoring costs, immediate physical proximity, cultural alignment, institutional familiarity, and deep local market information, though they frequently lack deep operational venture experience in emerging nations.</w:t>
      </w:r>
    </w:p>
    <w:p w14:paraId="3C5520E5" w14:textId="77777777" w:rsidR="00E70AA5" w:rsidRPr="00E70AA5" w:rsidRDefault="00E70AA5" w:rsidP="00E70AA5">
      <w:pPr>
        <w:numPr>
          <w:ilvl w:val="0"/>
          <w:numId w:val="2"/>
        </w:numPr>
      </w:pPr>
      <w:r w:rsidRPr="00E70AA5">
        <w:rPr>
          <w:b/>
          <w:bCs/>
        </w:rPr>
        <w:t>Selection Effect vs. Value Addition:</w:t>
      </w:r>
      <w:r w:rsidRPr="00E70AA5">
        <w:t> While IVCs excel at screening promising startups, their physical distance hinders ongoing governance unless paired with local investor oversight.</w:t>
      </w:r>
    </w:p>
    <w:p w14:paraId="28DBB4C7" w14:textId="77777777" w:rsidR="00E70AA5" w:rsidRPr="00E70AA5" w:rsidRDefault="00E70AA5" w:rsidP="00E70AA5">
      <w:pPr>
        <w:numPr>
          <w:ilvl w:val="0"/>
          <w:numId w:val="2"/>
        </w:numPr>
      </w:pPr>
      <w:r w:rsidRPr="00E70AA5">
        <w:rPr>
          <w:b/>
          <w:bCs/>
        </w:rPr>
        <w:t>Syndication Synergy:</w:t>
      </w:r>
      <w:r w:rsidRPr="00E70AA5">
        <w:t> Co-syndication allows IVCs to leverage LVC physical proximity and local market insights to overcome monitoring friction without forfeiting high-level strategic screening and operational support.</w:t>
      </w:r>
    </w:p>
    <w:p w14:paraId="0FB309FE" w14:textId="77777777" w:rsidR="00E70AA5" w:rsidRPr="00E70AA5" w:rsidRDefault="00E70AA5" w:rsidP="00E70AA5">
      <w:r w:rsidRPr="00E70AA5">
        <w:rPr>
          <w:b/>
          <w:bCs/>
        </w:rPr>
        <w:t xml:space="preserve">Takeaway: International venture capitalists possess superior human capital expertise but face significant monitoring costs due to geographic distance, whereas local </w:t>
      </w:r>
      <w:r w:rsidRPr="00E70AA5">
        <w:rPr>
          <w:b/>
          <w:bCs/>
        </w:rPr>
        <w:lastRenderedPageBreak/>
        <w:t>venture capitalists offer proximity and market knowledge at the expense of deep venture experience.</w:t>
      </w:r>
    </w:p>
    <w:p w14:paraId="629304A0" w14:textId="77777777" w:rsidR="00E70AA5" w:rsidRPr="00E70AA5" w:rsidRDefault="00E70AA5" w:rsidP="00E70AA5">
      <w:pPr>
        <w:rPr>
          <w:b/>
          <w:bCs/>
        </w:rPr>
      </w:pPr>
      <w:r w:rsidRPr="00E70AA5">
        <w:rPr>
          <w:b/>
          <w:bCs/>
        </w:rPr>
        <w:t>2.2 Formal Hypotheses</w:t>
      </w:r>
    </w:p>
    <w:p w14:paraId="3D256689" w14:textId="77777777" w:rsidR="00E70AA5" w:rsidRPr="00E70AA5" w:rsidRDefault="00E70AA5" w:rsidP="00E70AA5">
      <w:r w:rsidRPr="00E70AA5">
        <w:t>The authors formulate two primary testable hypotheses regarding syndicate structure, physical distance, and firm outcomes:</w:t>
      </w:r>
    </w:p>
    <w:p w14:paraId="5EDB6BA3" w14:textId="77777777" w:rsidR="00E70AA5" w:rsidRPr="00E70AA5" w:rsidRDefault="00E70AA5" w:rsidP="00E70AA5">
      <w:pPr>
        <w:numPr>
          <w:ilvl w:val="0"/>
          <w:numId w:val="3"/>
        </w:numPr>
      </w:pPr>
      <w:r w:rsidRPr="00E70AA5">
        <w:rPr>
          <w:b/>
          <w:bCs/>
        </w:rPr>
        <w:t>Hypothesis 1 (H1 - Complementarity Hypothesis):</w:t>
      </w:r>
      <w:r w:rsidRPr="00E70AA5">
        <w:t> Entrepreneurial firms backed by </w:t>
      </w:r>
      <w:r w:rsidRPr="00E70AA5">
        <w:rPr>
          <w:b/>
          <w:bCs/>
        </w:rPr>
        <w:t>Local and International VC Syndicates</w:t>
      </w:r>
      <w:r w:rsidRPr="00E70AA5">
        <w:t> achieve higher </w:t>
      </w:r>
      <w:r w:rsidRPr="00E70AA5">
        <w:rPr>
          <w:b/>
          <w:bCs/>
        </w:rPr>
        <w:t>Exit Likelihood</w:t>
      </w:r>
      <w:r w:rsidRPr="00E70AA5">
        <w:t> (successful IPOs or acquisitions) and superior </w:t>
      </w:r>
      <w:r w:rsidRPr="00E70AA5">
        <w:rPr>
          <w:b/>
          <w:bCs/>
        </w:rPr>
        <w:t>Post-IPO Operating Performance</w:t>
      </w:r>
      <w:r w:rsidRPr="00E70AA5">
        <w:t> than firms backed by purely IVC or purely LVC syndicates, driven by the </w:t>
      </w:r>
      <w:r w:rsidRPr="00E70AA5">
        <w:rPr>
          <w:b/>
          <w:bCs/>
        </w:rPr>
        <w:t>Complementarity Effect</w:t>
      </w:r>
      <w:r w:rsidRPr="00E70AA5">
        <w:t> in emerging nations.</w:t>
      </w:r>
    </w:p>
    <w:p w14:paraId="22BD2C33" w14:textId="77777777" w:rsidR="00E70AA5" w:rsidRPr="00E70AA5" w:rsidRDefault="00E70AA5" w:rsidP="00E70AA5">
      <w:pPr>
        <w:numPr>
          <w:ilvl w:val="0"/>
          <w:numId w:val="3"/>
        </w:numPr>
      </w:pPr>
      <w:r w:rsidRPr="00E70AA5">
        <w:rPr>
          <w:b/>
          <w:bCs/>
        </w:rPr>
        <w:t>Hypothesis 2 (H2 - Travel/Proximity Mitigation Hypothesis):</w:t>
      </w:r>
      <w:r w:rsidRPr="00E70AA5">
        <w:t> Exogenous reductions in physical travel friction (facilitating access for scarce </w:t>
      </w:r>
      <w:r w:rsidRPr="00E70AA5">
        <w:rPr>
          <w:b/>
          <w:bCs/>
        </w:rPr>
        <w:t>Human Capital Assets</w:t>
      </w:r>
      <w:r w:rsidRPr="00E70AA5">
        <w:t>) disproportionately increase the </w:t>
      </w:r>
      <w:r w:rsidRPr="00E70AA5">
        <w:rPr>
          <w:b/>
          <w:bCs/>
        </w:rPr>
        <w:t>Exit Likelihood</w:t>
      </w:r>
      <w:r w:rsidRPr="00E70AA5">
        <w:t> of firms backed purely by IVCs by directly mitigating their monitoring constraint.</w:t>
      </w:r>
    </w:p>
    <w:p w14:paraId="4E556E27" w14:textId="77777777" w:rsidR="00E70AA5" w:rsidRPr="00E70AA5" w:rsidRDefault="00E70AA5" w:rsidP="00E70AA5">
      <w:pPr>
        <w:numPr>
          <w:ilvl w:val="0"/>
          <w:numId w:val="3"/>
        </w:numPr>
      </w:pPr>
      <w:r w:rsidRPr="00E70AA5">
        <w:rPr>
          <w:b/>
          <w:bCs/>
        </w:rPr>
        <w:t>Underlying H1 Mechanism:</w:t>
      </w:r>
      <w:r w:rsidRPr="00E70AA5">
        <w:t> Local-international co-syndication combines LVC institutional knowledge and direct monitoring capabilities with IVC operational staging, incentive structuring, and global network expansion.</w:t>
      </w:r>
    </w:p>
    <w:p w14:paraId="3E6FAEE7" w14:textId="77777777" w:rsidR="00E70AA5" w:rsidRPr="00E70AA5" w:rsidRDefault="00E70AA5" w:rsidP="00E70AA5">
      <w:pPr>
        <w:numPr>
          <w:ilvl w:val="0"/>
          <w:numId w:val="3"/>
        </w:numPr>
      </w:pPr>
      <w:r w:rsidRPr="00E70AA5">
        <w:rPr>
          <w:b/>
          <w:bCs/>
        </w:rPr>
        <w:t>Underlying H2 Mechanism:</w:t>
      </w:r>
      <w:r w:rsidRPr="00E70AA5">
        <w:t> Easing international travel conditions reduces general partner travel time, enabling solo IVCs to conduct direct board oversight and due diligence, thereby diminishing their structural need to co-syndicate with LVCs.</w:t>
      </w:r>
    </w:p>
    <w:p w14:paraId="5D959A80" w14:textId="77777777" w:rsidR="00E70AA5" w:rsidRPr="00E70AA5" w:rsidRDefault="00E70AA5" w:rsidP="00E70AA5">
      <w:r w:rsidRPr="00E70AA5">
        <w:rPr>
          <w:b/>
          <w:bCs/>
        </w:rPr>
        <w:t>Takeaway: The study hypothesizes that cross-border co-syndication maximizes firm performance through skill-proximity complementarity (H1), while direct travel friction reductions specifically enhance standalone IVC efficacy (H2).</w:t>
      </w:r>
      <w:r w:rsidRPr="00E70AA5">
        <w:t> </w:t>
      </w:r>
      <w:r w:rsidRPr="00E70AA5">
        <w:rPr>
          <w:i/>
          <w:iCs/>
        </w:rPr>
        <w:t>To test these theoretical predictions, the authors construct multi-country dataset metrics and distance controls.</w:t>
      </w:r>
    </w:p>
    <w:p w14:paraId="4F54FE62" w14:textId="77777777" w:rsidR="00E70AA5" w:rsidRPr="00E70AA5" w:rsidRDefault="00E70AA5" w:rsidP="00E70AA5">
      <w:pPr>
        <w:rPr>
          <w:b/>
          <w:bCs/>
        </w:rPr>
      </w:pPr>
      <w:r w:rsidRPr="00E70AA5">
        <w:rPr>
          <w:b/>
          <w:bCs/>
        </w:rPr>
        <w:t>3. Data, Variables, and Distance Metrics</w:t>
      </w:r>
    </w:p>
    <w:p w14:paraId="0AAFE64C" w14:textId="77777777" w:rsidR="00E70AA5" w:rsidRPr="00E70AA5" w:rsidRDefault="00E70AA5" w:rsidP="00E70AA5">
      <w:pPr>
        <w:rPr>
          <w:b/>
          <w:bCs/>
        </w:rPr>
      </w:pPr>
      <w:r w:rsidRPr="00E70AA5">
        <w:rPr>
          <w:b/>
          <w:bCs/>
        </w:rPr>
        <w:t>3.1 Sample Construction &amp; Key Variables</w:t>
      </w:r>
    </w:p>
    <w:p w14:paraId="1922AC48" w14:textId="77777777" w:rsidR="00E70AA5" w:rsidRPr="00E70AA5" w:rsidRDefault="00E70AA5" w:rsidP="00E70AA5">
      <w:r w:rsidRPr="00E70AA5">
        <w:t xml:space="preserve">The empirical analysis draws on the </w:t>
      </w:r>
      <w:proofErr w:type="spellStart"/>
      <w:r w:rsidRPr="00E70AA5">
        <w:t>VentureXpert</w:t>
      </w:r>
      <w:proofErr w:type="spellEnd"/>
      <w:r w:rsidRPr="00E70AA5">
        <w:t xml:space="preserve"> database from 1989 to 2008, encompassing 30,071 venture-backed firms across 41 countries. The sample period captures the growth of cross-border VC financing while allowing sufficient time for investments to mature and exit:</w:t>
      </w:r>
    </w:p>
    <w:p w14:paraId="6238023F" w14:textId="77777777" w:rsidR="00E70AA5" w:rsidRPr="00E70AA5" w:rsidRDefault="00E70AA5" w:rsidP="00E70AA5">
      <w:pPr>
        <w:numPr>
          <w:ilvl w:val="0"/>
          <w:numId w:val="4"/>
        </w:numPr>
      </w:pPr>
      <w:r w:rsidRPr="00E70AA5">
        <w:rPr>
          <w:b/>
          <w:bCs/>
        </w:rPr>
        <w:t>Sample Criteria:</w:t>
      </w:r>
      <w:r w:rsidRPr="00E70AA5">
        <w:t xml:space="preserve"> Excludes US target firms (a highly mature benchmark market) and nations with fewer than 10 VC-backed firms. Countries are categorized as emerging or developed using the World Bank high-income threshold ($11,906 GNI per capita </w:t>
      </w:r>
      <w:r w:rsidRPr="00E70AA5">
        <w:lastRenderedPageBreak/>
        <w:t>in 2008). BRIC nations dominate emerging market investments, comprising India (48.04%), China (18.44%), Brazil (8.65%), and Russia (3.07%).</w:t>
      </w:r>
    </w:p>
    <w:p w14:paraId="19BB1EA7" w14:textId="77777777" w:rsidR="00E70AA5" w:rsidRPr="00E70AA5" w:rsidRDefault="00E70AA5" w:rsidP="00E70AA5">
      <w:pPr>
        <w:numPr>
          <w:ilvl w:val="0"/>
          <w:numId w:val="4"/>
        </w:numPr>
      </w:pPr>
      <w:r w:rsidRPr="00E70AA5">
        <w:rPr>
          <w:b/>
          <w:bCs/>
        </w:rPr>
        <w:t>Key Dummies:</w:t>
      </w:r>
      <w:r w:rsidRPr="00E70AA5">
        <w:t> Constructs </w:t>
      </w:r>
      <w:r w:rsidRPr="00E70AA5">
        <w:rPr>
          <w:b/>
          <w:bCs/>
        </w:rPr>
        <w:t>Local VC Dummy</w:t>
      </w:r>
      <w:r w:rsidRPr="00E70AA5">
        <w:t xml:space="preserve"> (equals 1 if all investing VC fund offices </w:t>
      </w:r>
      <w:proofErr w:type="gramStart"/>
      <w:r w:rsidRPr="00E70AA5">
        <w:t>are located in</w:t>
      </w:r>
      <w:proofErr w:type="gramEnd"/>
      <w:r w:rsidRPr="00E70AA5">
        <w:t xml:space="preserve"> the target firm's nation), </w:t>
      </w:r>
      <w:r w:rsidRPr="00E70AA5">
        <w:rPr>
          <w:b/>
          <w:bCs/>
        </w:rPr>
        <w:t>Local and International VC Dummy</w:t>
      </w:r>
      <w:r w:rsidRPr="00E70AA5">
        <w:t> (equals 1 if at least one local and one international VC fund office participate), </w:t>
      </w:r>
      <w:r w:rsidRPr="00E70AA5">
        <w:rPr>
          <w:b/>
          <w:bCs/>
        </w:rPr>
        <w:t>US VC Dummy</w:t>
      </w:r>
      <w:r w:rsidRPr="00E70AA5">
        <w:t>, and </w:t>
      </w:r>
      <w:r w:rsidRPr="00E70AA5">
        <w:rPr>
          <w:b/>
          <w:bCs/>
        </w:rPr>
        <w:t>UK VC Dummy</w:t>
      </w:r>
      <w:r w:rsidRPr="00E70AA5">
        <w:t>.</w:t>
      </w:r>
    </w:p>
    <w:p w14:paraId="3A93B87F" w14:textId="77777777" w:rsidR="00E70AA5" w:rsidRPr="00E70AA5" w:rsidRDefault="00E70AA5" w:rsidP="00E70AA5">
      <w:pPr>
        <w:numPr>
          <w:ilvl w:val="0"/>
          <w:numId w:val="4"/>
        </w:numPr>
      </w:pPr>
      <w:r w:rsidRPr="00E70AA5">
        <w:rPr>
          <w:b/>
          <w:bCs/>
        </w:rPr>
        <w:t>Control Variables:</w:t>
      </w:r>
      <w:r w:rsidRPr="00E70AA5">
        <w:t> Incorporates </w:t>
      </w:r>
      <w:r w:rsidRPr="00E70AA5">
        <w:rPr>
          <w:b/>
          <w:bCs/>
        </w:rPr>
        <w:t>VC Investment Amount</w:t>
      </w:r>
      <w:r w:rsidRPr="00E70AA5">
        <w:t> (log US$), </w:t>
      </w:r>
      <w:r w:rsidRPr="00E70AA5">
        <w:rPr>
          <w:b/>
          <w:bCs/>
        </w:rPr>
        <w:t>Number of VCs</w:t>
      </w:r>
      <w:r w:rsidRPr="00E70AA5">
        <w:t>, </w:t>
      </w:r>
      <w:r w:rsidRPr="00E70AA5">
        <w:rPr>
          <w:b/>
          <w:bCs/>
        </w:rPr>
        <w:t>VC Age</w:t>
      </w:r>
      <w:r w:rsidRPr="00E70AA5">
        <w:t>, </w:t>
      </w:r>
      <w:r w:rsidRPr="00E70AA5">
        <w:rPr>
          <w:b/>
          <w:bCs/>
        </w:rPr>
        <w:t xml:space="preserve">VC </w:t>
      </w:r>
      <w:proofErr w:type="gramStart"/>
      <w:r w:rsidRPr="00E70AA5">
        <w:rPr>
          <w:b/>
          <w:bCs/>
        </w:rPr>
        <w:t>Experience</w:t>
      </w:r>
      <w:r w:rsidRPr="00E70AA5">
        <w:t>(</w:t>
      </w:r>
      <w:proofErr w:type="gramEnd"/>
      <w:r w:rsidRPr="00E70AA5">
        <w:t>average prior investment rounds of participating VCs), </w:t>
      </w:r>
      <w:r w:rsidRPr="00E70AA5">
        <w:rPr>
          <w:b/>
          <w:bCs/>
        </w:rPr>
        <w:t>Number of Rounds</w:t>
      </w:r>
      <w:r w:rsidRPr="00E70AA5">
        <w:t>, and macroeconomic controls including </w:t>
      </w:r>
      <w:r w:rsidRPr="00E70AA5">
        <w:rPr>
          <w:b/>
          <w:bCs/>
        </w:rPr>
        <w:t>Firm Country GDP</w:t>
      </w:r>
      <w:r w:rsidRPr="00E70AA5">
        <w:t> and </w:t>
      </w:r>
      <w:r w:rsidRPr="00E70AA5">
        <w:rPr>
          <w:b/>
          <w:bCs/>
        </w:rPr>
        <w:t>Stock Market Development</w:t>
      </w:r>
      <w:r w:rsidRPr="00E70AA5">
        <w:t> (market capitalization to GDP).</w:t>
      </w:r>
    </w:p>
    <w:p w14:paraId="5019B315" w14:textId="77777777" w:rsidR="00E70AA5" w:rsidRPr="00E70AA5" w:rsidRDefault="00E70AA5" w:rsidP="00E70AA5">
      <w:pPr>
        <w:numPr>
          <w:ilvl w:val="0"/>
          <w:numId w:val="4"/>
        </w:numPr>
      </w:pPr>
      <w:r w:rsidRPr="00E70AA5">
        <w:rPr>
          <w:b/>
          <w:bCs/>
        </w:rPr>
        <w:t>Data Bias Checks:</w:t>
      </w:r>
      <w:r w:rsidRPr="00E70AA5">
        <w:t xml:space="preserve"> Cross-validates </w:t>
      </w:r>
      <w:proofErr w:type="spellStart"/>
      <w:r w:rsidRPr="00E70AA5">
        <w:t>VentureXpert</w:t>
      </w:r>
      <w:proofErr w:type="spellEnd"/>
      <w:r w:rsidRPr="00E70AA5">
        <w:t xml:space="preserve"> country distributions against alternative databases, establishing strong statistically significant correlations with samples from Lerner &amp; </w:t>
      </w:r>
      <w:proofErr w:type="spellStart"/>
      <w:r w:rsidRPr="00E70AA5">
        <w:t>Schoar</w:t>
      </w:r>
      <w:proofErr w:type="spellEnd"/>
      <w:r w:rsidRPr="00E70AA5">
        <w:t xml:space="preserve"> (64% correlation in emerging markets) and Jeng &amp; Wells (72% in developed markets), as well as an 82% match with India's TSJ Venture Intelligence database.</w:t>
      </w:r>
    </w:p>
    <w:p w14:paraId="04F80965" w14:textId="77777777" w:rsidR="00E70AA5" w:rsidRPr="00E70AA5" w:rsidRDefault="00E70AA5" w:rsidP="00E70AA5">
      <w:r w:rsidRPr="00E70AA5">
        <w:rPr>
          <w:b/>
          <w:bCs/>
        </w:rPr>
        <w:t>Takeaway: The dataset provides a globally representative, non-US sample across 41 nations, robustly categorized into local and international syndicate structures while controlling for firm, VC, and macroeconomic variables.</w:t>
      </w:r>
    </w:p>
    <w:p w14:paraId="3A8D1639" w14:textId="77777777" w:rsidR="00E70AA5" w:rsidRPr="00E70AA5" w:rsidRDefault="00E70AA5" w:rsidP="00E70AA5">
      <w:pPr>
        <w:rPr>
          <w:b/>
          <w:bCs/>
        </w:rPr>
      </w:pPr>
      <w:r w:rsidRPr="00E70AA5">
        <w:rPr>
          <w:b/>
          <w:bCs/>
        </w:rPr>
        <w:t>3.2 Distance Metrics (Cultural, Legal, Institutional, Geographic)</w:t>
      </w:r>
    </w:p>
    <w:p w14:paraId="519A5AD4" w14:textId="77777777" w:rsidR="00E70AA5" w:rsidRPr="00E70AA5" w:rsidRDefault="00E70AA5" w:rsidP="00E70AA5">
      <w:r w:rsidRPr="00E70AA5">
        <w:t>To isolate physical travel friction from non-geographic institutional barriers, the study constructs multi-dimensional distance metrics between the VC home country and the target firm country:</w:t>
      </w:r>
    </w:p>
    <w:p w14:paraId="299B53DA" w14:textId="77777777" w:rsidR="00E70AA5" w:rsidRPr="00E70AA5" w:rsidRDefault="00E70AA5" w:rsidP="00E70AA5">
      <w:pPr>
        <w:numPr>
          <w:ilvl w:val="0"/>
          <w:numId w:val="5"/>
        </w:numPr>
      </w:pPr>
      <w:r w:rsidRPr="00E70AA5">
        <w:rPr>
          <w:b/>
          <w:bCs/>
        </w:rPr>
        <w:t>Int. VC Cultural Distance:</w:t>
      </w:r>
      <w:r w:rsidRPr="00E70AA5">
        <w:t> Calculated using Hofstede's four cultural dimensions (power distance, individualism, masculinity, uncertainty avoidance) averaged across all international VCs backing the firm: \</w:t>
      </w:r>
      <w:proofErr w:type="gramStart"/>
      <w:r w:rsidRPr="00E70AA5">
        <w:t>text{</w:t>
      </w:r>
      <w:proofErr w:type="gramEnd"/>
      <w:r w:rsidRPr="00E70AA5">
        <w:t>Cultural Distance} = \sqrt{\frac{\sum_{</w:t>
      </w:r>
      <w:proofErr w:type="spellStart"/>
      <w:r w:rsidRPr="00E70AA5">
        <w:t>i</w:t>
      </w:r>
      <w:proofErr w:type="spellEnd"/>
      <w:r w:rsidRPr="00E70AA5">
        <w:t>=</w:t>
      </w:r>
      <w:proofErr w:type="gramStart"/>
      <w:r w:rsidRPr="00E70AA5">
        <w:t>1}^</w:t>
      </w:r>
      <w:proofErr w:type="gramEnd"/>
      <w:r w:rsidRPr="00E70AA5">
        <w:t>4 (C_{\</w:t>
      </w:r>
      <w:proofErr w:type="gramStart"/>
      <w:r w:rsidRPr="00E70AA5">
        <w:t>text{</w:t>
      </w:r>
      <w:proofErr w:type="gramEnd"/>
      <w:r w:rsidRPr="00E70AA5">
        <w:t>VC</w:t>
      </w:r>
      <w:proofErr w:type="gramStart"/>
      <w:r w:rsidRPr="00E70AA5">
        <w:t>},</w:t>
      </w:r>
      <w:proofErr w:type="spellStart"/>
      <w:r w:rsidRPr="00E70AA5">
        <w:t>i</w:t>
      </w:r>
      <w:proofErr w:type="spellEnd"/>
      <w:proofErr w:type="gramEnd"/>
      <w:r w:rsidRPr="00E70AA5">
        <w:t>} - C_{\text{firm</w:t>
      </w:r>
      <w:proofErr w:type="gramStart"/>
      <w:r w:rsidRPr="00E70AA5">
        <w:t>},</w:t>
      </w:r>
      <w:proofErr w:type="spellStart"/>
      <w:r w:rsidRPr="00E70AA5">
        <w:t>i</w:t>
      </w:r>
      <w:proofErr w:type="spellEnd"/>
      <w:r w:rsidRPr="00E70AA5">
        <w:t>})^</w:t>
      </w:r>
      <w:proofErr w:type="gramEnd"/>
      <w:r w:rsidRPr="00E70AA5">
        <w:t>2}{4}}</w:t>
      </w:r>
    </w:p>
    <w:p w14:paraId="46ECAE0F" w14:textId="77777777" w:rsidR="00E70AA5" w:rsidRPr="00E70AA5" w:rsidRDefault="00E70AA5" w:rsidP="00E70AA5">
      <w:pPr>
        <w:numPr>
          <w:ilvl w:val="1"/>
          <w:numId w:val="5"/>
        </w:numPr>
      </w:pPr>
      <w:r w:rsidRPr="00E70AA5">
        <w:t>C_{\</w:t>
      </w:r>
      <w:proofErr w:type="gramStart"/>
      <w:r w:rsidRPr="00E70AA5">
        <w:t>text{</w:t>
      </w:r>
      <w:proofErr w:type="gramEnd"/>
      <w:r w:rsidRPr="00E70AA5">
        <w:t>VC</w:t>
      </w:r>
      <w:proofErr w:type="gramStart"/>
      <w:r w:rsidRPr="00E70AA5">
        <w:t>},</w:t>
      </w:r>
      <w:proofErr w:type="spellStart"/>
      <w:r w:rsidRPr="00E70AA5">
        <w:t>i</w:t>
      </w:r>
      <w:proofErr w:type="spellEnd"/>
      <w:proofErr w:type="gramEnd"/>
      <w:r w:rsidRPr="00E70AA5">
        <w:t xml:space="preserve">}: Cultural dimension score </w:t>
      </w:r>
      <w:proofErr w:type="spellStart"/>
      <w:r w:rsidRPr="00E70AA5">
        <w:t>i</w:t>
      </w:r>
      <w:proofErr w:type="spellEnd"/>
      <w:r w:rsidRPr="00E70AA5">
        <w:t xml:space="preserve"> for the international VC's home country.</w:t>
      </w:r>
    </w:p>
    <w:p w14:paraId="00DE4374" w14:textId="77777777" w:rsidR="00E70AA5" w:rsidRPr="00E70AA5" w:rsidRDefault="00E70AA5" w:rsidP="00E70AA5">
      <w:pPr>
        <w:numPr>
          <w:ilvl w:val="1"/>
          <w:numId w:val="5"/>
        </w:numPr>
      </w:pPr>
      <w:r w:rsidRPr="00E70AA5">
        <w:t>C_{\text{firm</w:t>
      </w:r>
      <w:proofErr w:type="gramStart"/>
      <w:r w:rsidRPr="00E70AA5">
        <w:t>},</w:t>
      </w:r>
      <w:proofErr w:type="spellStart"/>
      <w:r w:rsidRPr="00E70AA5">
        <w:t>i</w:t>
      </w:r>
      <w:proofErr w:type="spellEnd"/>
      <w:proofErr w:type="gramEnd"/>
      <w:r w:rsidRPr="00E70AA5">
        <w:t xml:space="preserve">}: Cultural dimension score </w:t>
      </w:r>
      <w:proofErr w:type="spellStart"/>
      <w:r w:rsidRPr="00E70AA5">
        <w:t>i</w:t>
      </w:r>
      <w:proofErr w:type="spellEnd"/>
      <w:r w:rsidRPr="00E70AA5">
        <w:t xml:space="preserve"> for the entrepreneurial firm's home country.</w:t>
      </w:r>
    </w:p>
    <w:p w14:paraId="69CE6FFC" w14:textId="77777777" w:rsidR="00E70AA5" w:rsidRPr="00E70AA5" w:rsidRDefault="00E70AA5" w:rsidP="00E70AA5">
      <w:pPr>
        <w:numPr>
          <w:ilvl w:val="0"/>
          <w:numId w:val="5"/>
        </w:numPr>
      </w:pPr>
      <w:r w:rsidRPr="00E70AA5">
        <w:rPr>
          <w:b/>
          <w:bCs/>
        </w:rPr>
        <w:t>Legal Distance:</w:t>
      </w:r>
      <w:r w:rsidRPr="00E70AA5">
        <w:t> A dummy variable equal to 1 if the legal origin (civil law vs. common law) of the entrepreneurial firm's nation differs from that of at least one international VC backing the firm.</w:t>
      </w:r>
    </w:p>
    <w:p w14:paraId="2FAB1541" w14:textId="77777777" w:rsidR="00E70AA5" w:rsidRPr="00E70AA5" w:rsidRDefault="00E70AA5" w:rsidP="00E70AA5">
      <w:pPr>
        <w:numPr>
          <w:ilvl w:val="0"/>
          <w:numId w:val="5"/>
        </w:numPr>
      </w:pPr>
      <w:r w:rsidRPr="00E70AA5">
        <w:rPr>
          <w:b/>
          <w:bCs/>
        </w:rPr>
        <w:lastRenderedPageBreak/>
        <w:t>Institutional Distance:</w:t>
      </w:r>
      <w:r w:rsidRPr="00E70AA5">
        <w:t> Captured via </w:t>
      </w:r>
      <w:r w:rsidRPr="00E70AA5">
        <w:rPr>
          <w:b/>
          <w:bCs/>
        </w:rPr>
        <w:t>Difference in Market Cap to GDP</w:t>
      </w:r>
      <w:r w:rsidRPr="00E70AA5">
        <w:t> (absolute difference in prior 5-year average stock market valuation relative to GDP) and </w:t>
      </w:r>
      <w:r w:rsidRPr="00E70AA5">
        <w:rPr>
          <w:b/>
          <w:bCs/>
        </w:rPr>
        <w:t>SD of Difference in Market Cap to GDP</w:t>
      </w:r>
      <w:r w:rsidRPr="00E70AA5">
        <w:t> (absolute difference in prior 5-year stock market volatility).</w:t>
      </w:r>
    </w:p>
    <w:p w14:paraId="515B2379" w14:textId="77777777" w:rsidR="00E70AA5" w:rsidRPr="00E70AA5" w:rsidRDefault="00E70AA5" w:rsidP="00E70AA5">
      <w:pPr>
        <w:numPr>
          <w:ilvl w:val="0"/>
          <w:numId w:val="5"/>
        </w:numPr>
      </w:pPr>
      <w:r w:rsidRPr="00E70AA5">
        <w:rPr>
          <w:b/>
          <w:bCs/>
        </w:rPr>
        <w:t>International VC Distance:</w:t>
      </w:r>
      <w:r w:rsidRPr="00E70AA5">
        <w:t> Defined as the log of 1 plus the average geographic distance (in thousands of miles) between the target firm's national capital/major city and the home nation of each participating international VC.</w:t>
      </w:r>
    </w:p>
    <w:p w14:paraId="306CB006" w14:textId="77777777" w:rsidR="00E70AA5" w:rsidRPr="00E70AA5" w:rsidRDefault="00E70AA5" w:rsidP="00E70AA5">
      <w:r w:rsidRPr="00E70AA5">
        <w:rPr>
          <w:b/>
          <w:bCs/>
        </w:rPr>
        <w:t>Takeaway: Multi-dimensional distance metrics isolate physical geographic travel friction from cultural, legal, and institutional differences in evaluating cross-border VC syndicate success.</w:t>
      </w:r>
      <w:r w:rsidRPr="00E70AA5">
        <w:t> </w:t>
      </w:r>
      <w:r w:rsidRPr="00E70AA5">
        <w:rPr>
          <w:i/>
          <w:iCs/>
        </w:rPr>
        <w:t>These granular variables enable rigorous econometric evaluation of investment exit probability and long-term operating performance.</w:t>
      </w:r>
    </w:p>
    <w:p w14:paraId="54A9B291" w14:textId="77777777" w:rsidR="00E70AA5" w:rsidRPr="00E70AA5" w:rsidRDefault="00E70AA5" w:rsidP="00E70AA5">
      <w:pPr>
        <w:rPr>
          <w:b/>
          <w:bCs/>
        </w:rPr>
      </w:pPr>
      <w:r w:rsidRPr="00E70AA5">
        <w:rPr>
          <w:b/>
          <w:bCs/>
        </w:rPr>
        <w:t>4. Empirical Methodology, Identification, and Findings</w:t>
      </w:r>
    </w:p>
    <w:p w14:paraId="0D343D18" w14:textId="77777777" w:rsidR="00E70AA5" w:rsidRPr="00E70AA5" w:rsidRDefault="00E70AA5" w:rsidP="00E70AA5">
      <w:pPr>
        <w:rPr>
          <w:b/>
          <w:bCs/>
        </w:rPr>
      </w:pPr>
      <w:r w:rsidRPr="00E70AA5">
        <w:rPr>
          <w:b/>
          <w:bCs/>
        </w:rPr>
        <w:t>4.1 Exit Rates &amp; Post-IPO Operating Performance (Testing H1)</w:t>
      </w:r>
    </w:p>
    <w:p w14:paraId="28188215" w14:textId="77777777" w:rsidR="00E70AA5" w:rsidRPr="00E70AA5" w:rsidRDefault="00E70AA5" w:rsidP="00E70AA5">
      <w:r w:rsidRPr="00E70AA5">
        <w:t>The authors evaluate H1 using logit regressions for exit probability (IPO or M&amp;A) across all firms, and OLS regressions for post-IPO operating performance (operating income to assets up to 4 years post-IPO) for exited firms:</w:t>
      </w:r>
    </w:p>
    <w:p w14:paraId="4F433A97" w14:textId="77777777" w:rsidR="00E70AA5" w:rsidRPr="00E70AA5" w:rsidRDefault="00E70AA5" w:rsidP="00E70AA5">
      <w:pPr>
        <w:numPr>
          <w:ilvl w:val="0"/>
          <w:numId w:val="6"/>
        </w:numPr>
      </w:pPr>
      <w:r w:rsidRPr="00E70AA5">
        <w:rPr>
          <w:b/>
          <w:bCs/>
        </w:rPr>
        <w:t>Exit Probability (Logit):</w:t>
      </w:r>
      <w:r w:rsidRPr="00E70AA5">
        <w:t> In emerging nations, the </w:t>
      </w:r>
      <w:r w:rsidRPr="00E70AA5">
        <w:rPr>
          <w:b/>
          <w:bCs/>
        </w:rPr>
        <w:t>Local and International VC Dummy</w:t>
      </w:r>
      <w:r w:rsidRPr="00E70AA5">
        <w:t> demonstrates a positive, statistically significant association with exit success (p &lt; 0.01), yielding a 5.7 percentage point increase in exit probability over purely local or purely international syndicates. Results are weaker or insignificant in developed nations due to smaller baseline expertise gaps.</w:t>
      </w:r>
    </w:p>
    <w:p w14:paraId="612BA053" w14:textId="77777777" w:rsidR="00E70AA5" w:rsidRPr="00E70AA5" w:rsidRDefault="00E70AA5" w:rsidP="00E70AA5">
      <w:pPr>
        <w:numPr>
          <w:ilvl w:val="0"/>
          <w:numId w:val="6"/>
        </w:numPr>
      </w:pPr>
      <w:r w:rsidRPr="00E70AA5">
        <w:rPr>
          <w:b/>
          <w:bCs/>
        </w:rPr>
        <w:t>Post-IPO Performance (OLS):</w:t>
      </w:r>
      <w:r w:rsidRPr="00E70AA5">
        <w:t xml:space="preserve"> In emerging markets, local-international VC syndication correlates with a </w:t>
      </w:r>
      <w:proofErr w:type="gramStart"/>
      <w:r w:rsidRPr="00E70AA5">
        <w:t>27 percentage</w:t>
      </w:r>
      <w:proofErr w:type="gramEnd"/>
      <w:r w:rsidRPr="00E70AA5">
        <w:t xml:space="preserve"> point increase in post-IPO operating income to assets (p &lt; 0.01), controlling for firm size via </w:t>
      </w:r>
      <w:r w:rsidRPr="00E70AA5">
        <w:rPr>
          <w:b/>
          <w:bCs/>
        </w:rPr>
        <w:t>Lagged Assets</w:t>
      </w:r>
      <w:r w:rsidRPr="00E70AA5">
        <w:t>.</w:t>
      </w:r>
    </w:p>
    <w:p w14:paraId="61B27873" w14:textId="77777777" w:rsidR="00E70AA5" w:rsidRPr="00E70AA5" w:rsidRDefault="00E70AA5" w:rsidP="00E70AA5">
      <w:pPr>
        <w:numPr>
          <w:ilvl w:val="0"/>
          <w:numId w:val="6"/>
        </w:numPr>
      </w:pPr>
      <w:r w:rsidRPr="00E70AA5">
        <w:rPr>
          <w:b/>
          <w:bCs/>
        </w:rPr>
        <w:t>Investment Timing/Round Entry:</w:t>
      </w:r>
      <w:r w:rsidRPr="00E70AA5">
        <w:t> Granular round interaction tests from Table 2 Panel B show exit gains are driven by foreign VCs entering in early rounds. The Round 1 interaction is strongly positive (\</w:t>
      </w:r>
      <w:proofErr w:type="gramStart"/>
      <w:r w:rsidRPr="00E70AA5">
        <w:t>text{</w:t>
      </w:r>
      <w:proofErr w:type="gramEnd"/>
      <w:r w:rsidRPr="00E70AA5">
        <w:t>Coeff} = 0.455, p &lt; 0.01), whereas Round 2 (\</w:t>
      </w:r>
      <w:proofErr w:type="gramStart"/>
      <w:r w:rsidRPr="00E70AA5">
        <w:t>text{</w:t>
      </w:r>
      <w:proofErr w:type="gramEnd"/>
      <w:r w:rsidRPr="00E70AA5">
        <w:t>Coeff} = -0.025) and Round 3+ (\</w:t>
      </w:r>
      <w:proofErr w:type="gramStart"/>
      <w:r w:rsidRPr="00E70AA5">
        <w:t>text{</w:t>
      </w:r>
      <w:proofErr w:type="gramEnd"/>
      <w:r w:rsidRPr="00E70AA5">
        <w:t>Coeff} = 0.232) are statistically insignificant, refuting the alternative "deep pockets" hypothesis.</w:t>
      </w:r>
    </w:p>
    <w:p w14:paraId="16C3CDFD" w14:textId="77777777" w:rsidR="00E70AA5" w:rsidRPr="00E70AA5" w:rsidRDefault="00E70AA5" w:rsidP="00E70AA5">
      <w:pPr>
        <w:numPr>
          <w:ilvl w:val="0"/>
          <w:numId w:val="6"/>
        </w:numPr>
      </w:pPr>
      <w:r w:rsidRPr="00E70AA5">
        <w:rPr>
          <w:b/>
          <w:bCs/>
        </w:rPr>
        <w:t>Macroeconomic Cyclicality Explanation:</w:t>
      </w:r>
      <w:r w:rsidRPr="00E70AA5">
        <w:t> The negative coefficient on </w:t>
      </w:r>
      <w:r w:rsidRPr="00E70AA5">
        <w:rPr>
          <w:b/>
          <w:bCs/>
        </w:rPr>
        <w:t>Firm Country GDP</w:t>
      </w:r>
      <w:r w:rsidRPr="00E70AA5">
        <w:t> in emerging nation exit regressions (\</w:t>
      </w:r>
      <w:proofErr w:type="gramStart"/>
      <w:r w:rsidRPr="00E70AA5">
        <w:t>text{</w:t>
      </w:r>
      <w:proofErr w:type="gramEnd"/>
      <w:r w:rsidRPr="00E70AA5">
        <w:t xml:space="preserve">Coeff} = -2.091, p &lt; 0.01) reflects within-country economic cycles because country fixed effects are controlled for. Venture investments initiated during macroeconomic market peaks </w:t>
      </w:r>
      <w:r w:rsidRPr="00E70AA5">
        <w:lastRenderedPageBreak/>
        <w:t>yield lower eventual exit success due to overvaluation and relaxed screening standards.</w:t>
      </w:r>
    </w:p>
    <w:p w14:paraId="70C22033" w14:textId="77777777" w:rsidR="00E70AA5" w:rsidRPr="00E70AA5" w:rsidRDefault="00E70AA5" w:rsidP="00E70AA5">
      <w:pPr>
        <w:numPr>
          <w:ilvl w:val="0"/>
          <w:numId w:val="6"/>
        </w:numPr>
      </w:pPr>
      <w:r w:rsidRPr="00E70AA5">
        <w:t>Example: In emerging market logit specifications, combining LVCs and IVCs yields a significantly higher exit coefficient (0.388, p &lt; 0.01) compared to purely local backing (-0.054), a contrast statistically verified by a Wald test comparison (p &lt; 0.10).</w:t>
      </w:r>
    </w:p>
    <w:p w14:paraId="625A34B1" w14:textId="77777777" w:rsidR="00E70AA5" w:rsidRPr="00E70AA5" w:rsidRDefault="00E70AA5" w:rsidP="00E70AA5">
      <w:r w:rsidRPr="00E70AA5">
        <w:rPr>
          <w:b/>
          <w:bCs/>
        </w:rPr>
        <w:t>Takeaway: Empirical findings confirm Hypothesis 1: early-stage local and international VC syndication significantly increases exit success and post-IPO operating profitability in emerging markets.</w:t>
      </w:r>
    </w:p>
    <w:p w14:paraId="39A4675B" w14:textId="77777777" w:rsidR="00E70AA5" w:rsidRPr="00E70AA5" w:rsidRDefault="00E70AA5" w:rsidP="00E70AA5">
      <w:pPr>
        <w:rPr>
          <w:b/>
          <w:bCs/>
        </w:rPr>
      </w:pPr>
      <w:r w:rsidRPr="00E70AA5">
        <w:rPr>
          <w:b/>
          <w:bCs/>
        </w:rPr>
        <w:t>4.2 Causal Identification: Instrumental Variables &amp; Natural Experiments</w:t>
      </w:r>
    </w:p>
    <w:p w14:paraId="731DEDF7" w14:textId="77777777" w:rsidR="00E70AA5" w:rsidRPr="00E70AA5" w:rsidRDefault="00E70AA5" w:rsidP="00E70AA5">
      <w:r w:rsidRPr="00E70AA5">
        <w:t>To eliminate concerns that IVCs merely select higher-quality firms or superior local partners (selection bias/endogeneity), the study employs three distinct causal identification strategies:</w:t>
      </w:r>
    </w:p>
    <w:p w14:paraId="5E3F09C0" w14:textId="77777777" w:rsidR="00E70AA5" w:rsidRPr="00E70AA5" w:rsidRDefault="00E70AA5" w:rsidP="00E70AA5">
      <w:pPr>
        <w:numPr>
          <w:ilvl w:val="0"/>
          <w:numId w:val="7"/>
        </w:numPr>
      </w:pPr>
      <w:r w:rsidRPr="00E70AA5">
        <w:rPr>
          <w:b/>
          <w:bCs/>
        </w:rPr>
        <w:t>Bivariate Probit Model:</w:t>
      </w:r>
      <w:r w:rsidRPr="00E70AA5">
        <w:t> Delineates instruments across first-stage equations to address endogenous participation and syndication choice. </w:t>
      </w:r>
      <w:r w:rsidRPr="00E70AA5">
        <w:rPr>
          <w:b/>
          <w:bCs/>
        </w:rPr>
        <w:t>Low Capital Controls</w:t>
      </w:r>
      <w:r w:rsidRPr="00E70AA5">
        <w:t> serves as the primary positive predictor for standalone IVC entry (\</w:t>
      </w:r>
      <w:proofErr w:type="gramStart"/>
      <w:r w:rsidRPr="00E70AA5">
        <w:t>text{</w:t>
      </w:r>
      <w:proofErr w:type="gramEnd"/>
      <w:r w:rsidRPr="00E70AA5">
        <w:t>Coeff} = 0.285, p &lt; 0.01), while </w:t>
      </w:r>
      <w:r w:rsidRPr="00E70AA5">
        <w:rPr>
          <w:b/>
          <w:bCs/>
        </w:rPr>
        <w:t>Low Foreign Investment/Ownership Regulation</w:t>
      </w:r>
      <w:r w:rsidRPr="00E70AA5">
        <w:t> serves as the primary negative predictor for local-international co-syndication choice (\</w:t>
      </w:r>
      <w:proofErr w:type="gramStart"/>
      <w:r w:rsidRPr="00E70AA5">
        <w:t>text{</w:t>
      </w:r>
      <w:proofErr w:type="gramEnd"/>
      <w:r w:rsidRPr="00E70AA5">
        <w:t>Coeff} = -0.410, p &lt; 0.05), as less restrictive ownership laws reduce the regulatory mandate to partner locally. Second-stage results confirm a direct positive causal effect of IVC participation (p &lt; 0.10) and co-syndication (p &lt; 0.05) on exit probability.</w:t>
      </w:r>
    </w:p>
    <w:p w14:paraId="3365EFAE" w14:textId="77777777" w:rsidR="00E70AA5" w:rsidRPr="00E70AA5" w:rsidRDefault="00E70AA5" w:rsidP="00E70AA5">
      <w:pPr>
        <w:numPr>
          <w:ilvl w:val="0"/>
          <w:numId w:val="7"/>
        </w:numPr>
      </w:pPr>
      <w:r w:rsidRPr="00E70AA5">
        <w:rPr>
          <w:b/>
          <w:bCs/>
        </w:rPr>
        <w:t>Natural Experiment 1 (Air Service Agreements - ASAs):</w:t>
      </w:r>
      <w:r w:rsidRPr="00E70AA5">
        <w:t> Bilateral </w:t>
      </w:r>
      <w:r w:rsidRPr="00E70AA5">
        <w:rPr>
          <w:b/>
          <w:bCs/>
        </w:rPr>
        <w:t>Air Service Agreements (ASA)</w:t>
      </w:r>
      <w:r w:rsidRPr="00E70AA5">
        <w:t> introduce exogenous reductions in effective travel time. To validate the experiment and prove IVCs did not invest in anticipation of travel liberalization, the sample was strictly restricted to investment rounds that either had </w:t>
      </w:r>
      <w:r w:rsidRPr="00E70AA5">
        <w:rPr>
          <w:i/>
          <w:iCs/>
        </w:rPr>
        <w:t xml:space="preserve">only local </w:t>
      </w:r>
      <w:proofErr w:type="gramStart"/>
      <w:r w:rsidRPr="00E70AA5">
        <w:rPr>
          <w:i/>
          <w:iCs/>
        </w:rPr>
        <w:t>VCs</w:t>
      </w:r>
      <w:r w:rsidRPr="00E70AA5">
        <w:t>, or</w:t>
      </w:r>
      <w:proofErr w:type="gramEnd"/>
      <w:r w:rsidRPr="00E70AA5">
        <w:t xml:space="preserve"> had </w:t>
      </w:r>
      <w:r w:rsidRPr="00E70AA5">
        <w:rPr>
          <w:i/>
          <w:iCs/>
        </w:rPr>
        <w:t>international VCs where no ASA existed or where the ASA was signed within a 3-year window after the initial investment round</w:t>
      </w:r>
      <w:r w:rsidRPr="00E70AA5">
        <w:t>.</w:t>
      </w:r>
    </w:p>
    <w:p w14:paraId="68A8B363" w14:textId="77777777" w:rsidR="00E70AA5" w:rsidRPr="00E70AA5" w:rsidRDefault="00E70AA5" w:rsidP="00E70AA5">
      <w:pPr>
        <w:numPr>
          <w:ilvl w:val="0"/>
          <w:numId w:val="7"/>
        </w:numPr>
      </w:pPr>
      <w:r w:rsidRPr="00E70AA5">
        <w:rPr>
          <w:b/>
          <w:bCs/>
        </w:rPr>
        <w:t>ASA Exit Impact &amp; Parallel Trends Verification:</w:t>
      </w:r>
      <w:r w:rsidRPr="00E70AA5">
        <w:t> Following an ASA signing, purely IVC-backed firms experience a sharp, statistically significant rise in exit probability (\</w:t>
      </w:r>
      <w:proofErr w:type="gramStart"/>
      <w:r w:rsidRPr="00E70AA5">
        <w:t>text{</w:t>
      </w:r>
      <w:proofErr w:type="gramEnd"/>
      <w:r w:rsidRPr="00E70AA5">
        <w:t xml:space="preserve">Coeff} = 10.994, p &lt; 0.01), validating H2. Figure 1 tracks median GDP per capita over </w:t>
      </w:r>
      <w:proofErr w:type="gramStart"/>
      <w:r w:rsidRPr="00E70AA5">
        <w:t>a 10-year window (\pm 5 years</w:t>
      </w:r>
      <w:proofErr w:type="gramEnd"/>
      <w:r w:rsidRPr="00E70AA5">
        <w:t xml:space="preserve"> around ASA signing), establishing flat, parallel GDP trends that confirm ASAs were not signed in anticipation of unobserved economic growth.</w:t>
      </w:r>
    </w:p>
    <w:p w14:paraId="2AF6BA41" w14:textId="77777777" w:rsidR="00E70AA5" w:rsidRPr="00E70AA5" w:rsidRDefault="00E70AA5" w:rsidP="00E70AA5">
      <w:pPr>
        <w:numPr>
          <w:ilvl w:val="0"/>
          <w:numId w:val="7"/>
        </w:numPr>
      </w:pPr>
      <w:r w:rsidRPr="00E70AA5">
        <w:rPr>
          <w:b/>
          <w:bCs/>
        </w:rPr>
        <w:lastRenderedPageBreak/>
        <w:t>Natural Experiment 2 (Terror Attacks in India):</w:t>
      </w:r>
      <w:r w:rsidRPr="00E70AA5">
        <w:t> Uses four major city terror attacks in India (Delhi 2005; Mumbai 1993, 2003, 2006) within a </w:t>
      </w:r>
      <w:r w:rsidRPr="00E70AA5">
        <w:rPr>
          <w:b/>
          <w:bCs/>
        </w:rPr>
        <w:t>Differences-in-Differences</w:t>
      </w:r>
      <w:r w:rsidRPr="00E70AA5">
        <w:t xml:space="preserve"> framework. Post-attack exogenous drops in foreign investor participation </w:t>
      </w:r>
      <w:proofErr w:type="gramStart"/>
      <w:r w:rsidRPr="00E70AA5">
        <w:t>lead</w:t>
      </w:r>
      <w:proofErr w:type="gramEnd"/>
      <w:r w:rsidRPr="00E70AA5">
        <w:t xml:space="preserve"> to significant declines in firm exit success in affected cities.</w:t>
      </w:r>
    </w:p>
    <w:p w14:paraId="5654088F" w14:textId="77777777" w:rsidR="00E70AA5" w:rsidRPr="00E70AA5" w:rsidRDefault="00E70AA5" w:rsidP="00E70AA5">
      <w:pPr>
        <w:numPr>
          <w:ilvl w:val="0"/>
          <w:numId w:val="7"/>
        </w:numPr>
      </w:pPr>
      <w:r w:rsidRPr="00E70AA5">
        <w:rPr>
          <w:b/>
          <w:bCs/>
        </w:rPr>
        <w:t>Industry Dependence Mechanism:</w:t>
      </w:r>
      <w:r w:rsidRPr="00E70AA5">
        <w:t> The terror-attack-induced decline in exit success is heavily concentrated in industries with high baseline reliance on international VC capital (\</w:t>
      </w:r>
      <w:proofErr w:type="gramStart"/>
      <w:r w:rsidRPr="00E70AA5">
        <w:t>text{</w:t>
      </w:r>
      <w:proofErr w:type="gramEnd"/>
      <w:r w:rsidRPr="00E70AA5">
        <w:t>Triple Interaction} = -8.570, p &lt; 0.10).</w:t>
      </w:r>
    </w:p>
    <w:p w14:paraId="70D93195" w14:textId="77777777" w:rsidR="00E70AA5" w:rsidRPr="00E70AA5" w:rsidRDefault="00E70AA5" w:rsidP="00E70AA5">
      <w:r w:rsidRPr="00E70AA5">
        <w:rPr>
          <w:b/>
          <w:bCs/>
        </w:rPr>
        <w:t>Takeaway: Instrumental variables and natural experiments (ASAs and Indian terror attacks) confirm that international VC participation and local co-syndication exert a robust positive causal impact on firm outcomes.</w:t>
      </w:r>
    </w:p>
    <w:p w14:paraId="575026F3" w14:textId="77777777" w:rsidR="00E70AA5" w:rsidRPr="00E70AA5" w:rsidRDefault="00E70AA5" w:rsidP="00E70AA5">
      <w:pPr>
        <w:rPr>
          <w:b/>
          <w:bCs/>
        </w:rPr>
      </w:pPr>
      <w:r w:rsidRPr="00E70AA5">
        <w:rPr>
          <w:b/>
          <w:bCs/>
        </w:rPr>
        <w:t>4.3 Mechanisms, Distance Non-Linearity, and Lead VC Role</w:t>
      </w:r>
    </w:p>
    <w:p w14:paraId="38F321DA" w14:textId="77777777" w:rsidR="00E70AA5" w:rsidRPr="00E70AA5" w:rsidRDefault="00E70AA5" w:rsidP="00E70AA5">
      <w:r w:rsidRPr="00E70AA5">
        <w:t>Further empirical refinements isolate the structural role of travel costs, non-geographic frictions, and governance structures:</w:t>
      </w:r>
    </w:p>
    <w:p w14:paraId="62667F69" w14:textId="77777777" w:rsidR="00E70AA5" w:rsidRPr="00E70AA5" w:rsidRDefault="00E70AA5" w:rsidP="00E70AA5">
      <w:pPr>
        <w:numPr>
          <w:ilvl w:val="0"/>
          <w:numId w:val="8"/>
        </w:numPr>
      </w:pPr>
      <w:r w:rsidRPr="00E70AA5">
        <w:rPr>
          <w:b/>
          <w:bCs/>
        </w:rPr>
        <w:t>Geographic Distance Non-Linearity:</w:t>
      </w:r>
      <w:r w:rsidRPr="00E70AA5">
        <w:t> While </w:t>
      </w:r>
      <w:r w:rsidRPr="00E70AA5">
        <w:rPr>
          <w:b/>
          <w:bCs/>
        </w:rPr>
        <w:t>International VC Distance</w:t>
      </w:r>
      <w:r w:rsidRPr="00E70AA5">
        <w:t> negatively impacts standalone exit rates (p &lt; 0.05), its interaction with local-international syndication is positive (6.982, p &lt; 0.05), confirming that co-investing with LVCs mitigates geographic separation penalties.</w:t>
      </w:r>
    </w:p>
    <w:p w14:paraId="1132C979" w14:textId="77777777" w:rsidR="00E70AA5" w:rsidRPr="00E70AA5" w:rsidRDefault="00E70AA5" w:rsidP="00E70AA5">
      <w:pPr>
        <w:numPr>
          <w:ilvl w:val="0"/>
          <w:numId w:val="8"/>
        </w:numPr>
      </w:pPr>
      <w:r w:rsidRPr="00E70AA5">
        <w:rPr>
          <w:b/>
          <w:bCs/>
        </w:rPr>
        <w:t>Inverted U-Shape Curve (Figure 2):</w:t>
      </w:r>
      <w:r w:rsidRPr="00E70AA5">
        <w:t xml:space="preserve"> Plotting exit probability changes across </w:t>
      </w:r>
      <w:proofErr w:type="spellStart"/>
      <w:r w:rsidRPr="00E70AA5">
        <w:t>log</w:t>
      </w:r>
      <w:proofErr w:type="spellEnd"/>
      <w:r w:rsidRPr="00E70AA5">
        <w:t xml:space="preserve"> distance thresholds (0.1 to 2.0) demonstrates that the exit mitigation benefit of local syndication peaks at mid-range distances (\</w:t>
      </w:r>
      <w:proofErr w:type="spellStart"/>
      <w:r w:rsidRPr="00E70AA5">
        <w:t>approx</w:t>
      </w:r>
      <w:proofErr w:type="spellEnd"/>
      <w:r w:rsidRPr="00E70AA5">
        <w:t xml:space="preserve"> 0.8-0.9) before inter-firm coordination costs between syndicate members diminish incremental gains at extreme distances.</w:t>
      </w:r>
    </w:p>
    <w:p w14:paraId="6467D0C4" w14:textId="77777777" w:rsidR="00E70AA5" w:rsidRPr="00E70AA5" w:rsidRDefault="00E70AA5" w:rsidP="00E70AA5">
      <w:pPr>
        <w:numPr>
          <w:ilvl w:val="0"/>
          <w:numId w:val="8"/>
        </w:numPr>
      </w:pPr>
      <w:r w:rsidRPr="00E70AA5">
        <w:rPr>
          <w:b/>
          <w:bCs/>
        </w:rPr>
        <w:t>Non-Geographic Distances:</w:t>
      </w:r>
      <w:r w:rsidRPr="00E70AA5">
        <w:t> Interacting local-international syndication with cultural distance yields a negative coefficient (-0.033, p &lt; 0.05), while interactions with legal and institutional distances are non-significant. This confirms that local syndication specifically alleviates </w:t>
      </w:r>
      <w:r w:rsidRPr="00E70AA5">
        <w:rPr>
          <w:i/>
          <w:iCs/>
        </w:rPr>
        <w:t>geographic travel/monitoring</w:t>
      </w:r>
      <w:r w:rsidRPr="00E70AA5">
        <w:t> friction rather than non-geographic institutional differences.</w:t>
      </w:r>
    </w:p>
    <w:p w14:paraId="7DC0D6AD" w14:textId="77777777" w:rsidR="00E70AA5" w:rsidRPr="00E70AA5" w:rsidRDefault="00E70AA5" w:rsidP="00E70AA5">
      <w:pPr>
        <w:numPr>
          <w:ilvl w:val="0"/>
          <w:numId w:val="8"/>
        </w:numPr>
      </w:pPr>
      <w:r w:rsidRPr="00E70AA5">
        <w:rPr>
          <w:b/>
          <w:bCs/>
        </w:rPr>
        <w:t>Lead VC Status Logic:</w:t>
      </w:r>
      <w:r w:rsidRPr="00E70AA5">
        <w:t> Local-international syndication benefits persist across governance structures but are maximized when the foreign investor serves as the </w:t>
      </w:r>
      <w:r w:rsidRPr="00E70AA5">
        <w:rPr>
          <w:b/>
          <w:bCs/>
        </w:rPr>
        <w:t>Lead VC</w:t>
      </w:r>
      <w:r w:rsidRPr="00E70AA5">
        <w:t> (\</w:t>
      </w:r>
      <w:proofErr w:type="gramStart"/>
      <w:r w:rsidRPr="00E70AA5">
        <w:t>text{</w:t>
      </w:r>
      <w:proofErr w:type="gramEnd"/>
      <w:r w:rsidRPr="00E70AA5">
        <w:t>Coeff} = 0.877, p &lt; 0.01). As Lead VC, foreign investors assume primary board seating and contract structuring responsibilities, maximizing the application of their superior human capital assets while utilizing LVC co-investors as local monitoring proxies.</w:t>
      </w:r>
    </w:p>
    <w:p w14:paraId="69F8A521" w14:textId="77777777" w:rsidR="00E70AA5" w:rsidRPr="00E70AA5" w:rsidRDefault="00E70AA5" w:rsidP="00E70AA5">
      <w:r w:rsidRPr="00E70AA5">
        <w:rPr>
          <w:b/>
          <w:bCs/>
        </w:rPr>
        <w:lastRenderedPageBreak/>
        <w:t>Takeaway: Local syndication specifically alleviates geographic travel friction up to a threshold where coordination costs emerge, with maximum value created when the international VC serves as the lead investor.</w:t>
      </w:r>
      <w:r w:rsidRPr="00E70AA5">
        <w:t> </w:t>
      </w:r>
      <w:r w:rsidRPr="00E70AA5">
        <w:rPr>
          <w:i/>
          <w:iCs/>
        </w:rPr>
        <w:t>The final section synthesizes these empirical insights into key exam review takeaways.</w:t>
      </w:r>
    </w:p>
    <w:p w14:paraId="02E3CD9E" w14:textId="77777777" w:rsidR="00E70AA5" w:rsidRPr="00E70AA5" w:rsidRDefault="00E70AA5" w:rsidP="00E70AA5">
      <w:pPr>
        <w:rPr>
          <w:b/>
          <w:bCs/>
        </w:rPr>
      </w:pPr>
      <w:r w:rsidRPr="00E70AA5">
        <w:rPr>
          <w:b/>
          <w:bCs/>
        </w:rPr>
        <w:t>5. Exam Synthesis &amp; Core Takeaways</w:t>
      </w:r>
    </w:p>
    <w:p w14:paraId="7853C5B7" w14:textId="77777777" w:rsidR="00E70AA5" w:rsidRPr="00E70AA5" w:rsidRDefault="00E70AA5" w:rsidP="00E70AA5">
      <w:pPr>
        <w:numPr>
          <w:ilvl w:val="0"/>
          <w:numId w:val="9"/>
        </w:numPr>
      </w:pPr>
      <w:r w:rsidRPr="00E70AA5">
        <w:rPr>
          <w:b/>
          <w:bCs/>
        </w:rPr>
        <w:t>Core Mechanism:</w:t>
      </w:r>
      <w:r w:rsidRPr="00E70AA5">
        <w:t> Cross-border venture capital syndication operates via skill-proximity complementarity. International VCs contribute superior human capital assets, screening expertise, and global network connections, while local VCs contribute physical proximity, lower-cost monitoring, and institutional familiarity.</w:t>
      </w:r>
    </w:p>
    <w:p w14:paraId="40D4FAD7" w14:textId="77777777" w:rsidR="00E70AA5" w:rsidRPr="00E70AA5" w:rsidRDefault="00E70AA5" w:rsidP="00E70AA5">
      <w:pPr>
        <w:numPr>
          <w:ilvl w:val="0"/>
          <w:numId w:val="9"/>
        </w:numPr>
      </w:pPr>
      <w:r w:rsidRPr="00E70AA5">
        <w:rPr>
          <w:b/>
          <w:bCs/>
        </w:rPr>
        <w:t>Primary Context:</w:t>
      </w:r>
      <w:r w:rsidRPr="00E70AA5">
        <w:t> Empirical gains are concentrated in </w:t>
      </w:r>
      <w:r w:rsidRPr="00E70AA5">
        <w:rPr>
          <w:b/>
          <w:bCs/>
        </w:rPr>
        <w:t>Emerging Markets</w:t>
      </w:r>
      <w:r w:rsidRPr="00E70AA5">
        <w:t> (e.g., BRIC economies), where local venture ecosystems lack mature operational experience and expertise differentials between foreign and domestic investors are widest.</w:t>
      </w:r>
    </w:p>
    <w:p w14:paraId="45A7D02A" w14:textId="77777777" w:rsidR="00E70AA5" w:rsidRPr="00E70AA5" w:rsidRDefault="00E70AA5" w:rsidP="00E70AA5">
      <w:pPr>
        <w:numPr>
          <w:ilvl w:val="0"/>
          <w:numId w:val="9"/>
        </w:numPr>
      </w:pPr>
      <w:r w:rsidRPr="00E70AA5">
        <w:rPr>
          <w:b/>
          <w:bCs/>
        </w:rPr>
        <w:t>Key Econometric Solvers:</w:t>
      </w:r>
      <w:r w:rsidRPr="00E70AA5">
        <w:t> When asked how to resolve endogeneity and selection bias in cross-border PE/VC studies, cite bivariate probit models (instrumented by capital controls for IVC entry and foreign ownership regulations for co-syndication choice) and exogenous natural experiments (Air Service Agreements for travel ease; city-level terror attacks in India for exogenous IVC withdrawal).</w:t>
      </w:r>
    </w:p>
    <w:p w14:paraId="51E9AEBA" w14:textId="77777777" w:rsidR="00E70AA5" w:rsidRPr="00E70AA5" w:rsidRDefault="00E70AA5" w:rsidP="00E70AA5">
      <w:pPr>
        <w:numPr>
          <w:ilvl w:val="0"/>
          <w:numId w:val="9"/>
        </w:numPr>
      </w:pPr>
      <w:r w:rsidRPr="00E70AA5">
        <w:rPr>
          <w:b/>
          <w:bCs/>
        </w:rPr>
        <w:t>Critical Constraint:</w:t>
      </w:r>
      <w:r w:rsidRPr="00E70AA5">
        <w:t> Geographic distance creates physical travel friction that taxes scarce human capital assets (general partner time). Bilateral ASAs exogenously reduce travel times, disproportionately improving performance for standalone IVC investments.</w:t>
      </w:r>
    </w:p>
    <w:p w14:paraId="0CE0FCC0" w14:textId="77777777" w:rsidR="00E70AA5" w:rsidRPr="00E70AA5" w:rsidRDefault="00E70AA5" w:rsidP="00E70AA5">
      <w:pPr>
        <w:numPr>
          <w:ilvl w:val="0"/>
          <w:numId w:val="9"/>
        </w:numPr>
      </w:pPr>
      <w:r w:rsidRPr="00E70AA5">
        <w:rPr>
          <w:b/>
          <w:bCs/>
        </w:rPr>
        <w:t>Policy/Managerial Implication:</w:t>
      </w:r>
      <w:r w:rsidRPr="00E70AA5">
        <w:t> International venture capital firms expanding into emerging markets should syndicate with domestic VCs rather than invest independently. Local co-syndication mitigates physical distance penalties, maximizes exit probability, and enhances long-term post-IPO operating performance.</w:t>
      </w:r>
    </w:p>
    <w:p w14:paraId="47629409" w14:textId="3BF2AE07" w:rsidR="008B708D" w:rsidRDefault="00E70AA5">
      <w:r w:rsidRPr="00E70AA5">
        <w:rPr>
          <w:b/>
          <w:bCs/>
        </w:rPr>
        <w:t>Takeaway: In emerging market cross-border venture capital, local-international syndication optimizes firm performance and exit success by successfully synthesizing international human capital expertise with local monitoring proximity.</w:t>
      </w:r>
    </w:p>
    <w:sectPr w:rsidR="008B70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5670DE"/>
    <w:multiLevelType w:val="multilevel"/>
    <w:tmpl w:val="94BE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5278A"/>
    <w:multiLevelType w:val="multilevel"/>
    <w:tmpl w:val="49C2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5009D"/>
    <w:multiLevelType w:val="multilevel"/>
    <w:tmpl w:val="6BD4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375308"/>
    <w:multiLevelType w:val="multilevel"/>
    <w:tmpl w:val="2E1C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EB4882"/>
    <w:multiLevelType w:val="multilevel"/>
    <w:tmpl w:val="C3E2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F87E1B"/>
    <w:multiLevelType w:val="multilevel"/>
    <w:tmpl w:val="5FF6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1A528A"/>
    <w:multiLevelType w:val="multilevel"/>
    <w:tmpl w:val="7160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FB271B"/>
    <w:multiLevelType w:val="multilevel"/>
    <w:tmpl w:val="CA1E8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0A3D6F"/>
    <w:multiLevelType w:val="multilevel"/>
    <w:tmpl w:val="2F2E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691902">
    <w:abstractNumId w:val="5"/>
  </w:num>
  <w:num w:numId="2" w16cid:durableId="366760787">
    <w:abstractNumId w:val="8"/>
  </w:num>
  <w:num w:numId="3" w16cid:durableId="1154375797">
    <w:abstractNumId w:val="4"/>
  </w:num>
  <w:num w:numId="4" w16cid:durableId="1668053333">
    <w:abstractNumId w:val="2"/>
  </w:num>
  <w:num w:numId="5" w16cid:durableId="2080517179">
    <w:abstractNumId w:val="7"/>
  </w:num>
  <w:num w:numId="6" w16cid:durableId="1099258242">
    <w:abstractNumId w:val="0"/>
  </w:num>
  <w:num w:numId="7" w16cid:durableId="326052811">
    <w:abstractNumId w:val="1"/>
  </w:num>
  <w:num w:numId="8" w16cid:durableId="1403799258">
    <w:abstractNumId w:val="3"/>
  </w:num>
  <w:num w:numId="9" w16cid:durableId="1000236832">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08D"/>
    <w:rsid w:val="008B708D"/>
    <w:rsid w:val="00D22A89"/>
    <w:rsid w:val="00E70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22FE3E"/>
  <w15:chartTrackingRefBased/>
  <w15:docId w15:val="{52A2517C-089F-9641-930E-67E09F4D6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0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70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70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70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0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0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0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0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0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0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70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0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0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0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0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0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0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08D"/>
    <w:rPr>
      <w:rFonts w:eastAsiaTheme="majorEastAsia" w:cstheme="majorBidi"/>
      <w:color w:val="272727" w:themeColor="text1" w:themeTint="D8"/>
    </w:rPr>
  </w:style>
  <w:style w:type="paragraph" w:styleId="Title">
    <w:name w:val="Title"/>
    <w:basedOn w:val="Normal"/>
    <w:next w:val="Normal"/>
    <w:link w:val="TitleChar"/>
    <w:uiPriority w:val="10"/>
    <w:qFormat/>
    <w:rsid w:val="008B7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0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0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0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08D"/>
    <w:pPr>
      <w:spacing w:before="160"/>
      <w:jc w:val="center"/>
    </w:pPr>
    <w:rPr>
      <w:i/>
      <w:iCs/>
      <w:color w:val="404040" w:themeColor="text1" w:themeTint="BF"/>
    </w:rPr>
  </w:style>
  <w:style w:type="character" w:customStyle="1" w:styleId="QuoteChar">
    <w:name w:val="Quote Char"/>
    <w:basedOn w:val="DefaultParagraphFont"/>
    <w:link w:val="Quote"/>
    <w:uiPriority w:val="29"/>
    <w:rsid w:val="008B708D"/>
    <w:rPr>
      <w:i/>
      <w:iCs/>
      <w:color w:val="404040" w:themeColor="text1" w:themeTint="BF"/>
    </w:rPr>
  </w:style>
  <w:style w:type="paragraph" w:styleId="ListParagraph">
    <w:name w:val="List Paragraph"/>
    <w:basedOn w:val="Normal"/>
    <w:uiPriority w:val="34"/>
    <w:qFormat/>
    <w:rsid w:val="008B708D"/>
    <w:pPr>
      <w:ind w:left="720"/>
      <w:contextualSpacing/>
    </w:pPr>
  </w:style>
  <w:style w:type="character" w:styleId="IntenseEmphasis">
    <w:name w:val="Intense Emphasis"/>
    <w:basedOn w:val="DefaultParagraphFont"/>
    <w:uiPriority w:val="21"/>
    <w:qFormat/>
    <w:rsid w:val="008B708D"/>
    <w:rPr>
      <w:i/>
      <w:iCs/>
      <w:color w:val="0F4761" w:themeColor="accent1" w:themeShade="BF"/>
    </w:rPr>
  </w:style>
  <w:style w:type="paragraph" w:styleId="IntenseQuote">
    <w:name w:val="Intense Quote"/>
    <w:basedOn w:val="Normal"/>
    <w:next w:val="Normal"/>
    <w:link w:val="IntenseQuoteChar"/>
    <w:uiPriority w:val="30"/>
    <w:qFormat/>
    <w:rsid w:val="008B70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08D"/>
    <w:rPr>
      <w:i/>
      <w:iCs/>
      <w:color w:val="0F4761" w:themeColor="accent1" w:themeShade="BF"/>
    </w:rPr>
  </w:style>
  <w:style w:type="character" w:styleId="IntenseReference">
    <w:name w:val="Intense Reference"/>
    <w:basedOn w:val="DefaultParagraphFont"/>
    <w:uiPriority w:val="32"/>
    <w:qFormat/>
    <w:rsid w:val="008B70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2765</Words>
  <Characters>15764</Characters>
  <Application>Microsoft Office Word</Application>
  <DocSecurity>0</DocSecurity>
  <Lines>131</Lines>
  <Paragraphs>36</Paragraphs>
  <ScaleCrop>false</ScaleCrop>
  <Company/>
  <LinksUpToDate>false</LinksUpToDate>
  <CharactersWithSpaces>18493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Sarman</dc:creator>
  <cp:keywords/>
  <dc:description/>
  <cp:lastModifiedBy>Mark Sarman</cp:lastModifiedBy>
  <cp:revision>2</cp:revision>
  <dcterms:created xsi:type="dcterms:W3CDTF">2026-09-30T15:14:00Z</dcterms:created>
  <dcterms:modified xsi:type="dcterms:W3CDTF">2026-09-30T17:26:00Z</dcterms:modified>
</cp:coreProperties>
</file>