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E7B9E3" w14:textId="77777777" w:rsidR="00947F61" w:rsidRPr="00947F61" w:rsidRDefault="00947F61" w:rsidP="00947F61">
      <w:pPr>
        <w:rPr>
          <w:b/>
          <w:bCs/>
        </w:rPr>
      </w:pPr>
      <w:r w:rsidRPr="00947F61">
        <w:rPr>
          <w:b/>
          <w:bCs/>
        </w:rPr>
        <w:t>Study Report: Cross-Border Venture Capital Performance — Evidence from China</w:t>
      </w:r>
    </w:p>
    <w:p w14:paraId="78D32DAD" w14:textId="77777777" w:rsidR="00947F61" w:rsidRPr="00947F61" w:rsidRDefault="00947F61" w:rsidP="00947F61">
      <w:r w:rsidRPr="00947F61">
        <w:t>Wang, L., &amp; Wang, S. (2011). Cross-border venture capital performance: Evidence from China. </w:t>
      </w:r>
      <w:r w:rsidRPr="00947F61">
        <w:rPr>
          <w:i/>
          <w:iCs/>
        </w:rPr>
        <w:t>Pacific-Basin Finance Journal</w:t>
      </w:r>
      <w:r w:rsidRPr="00947F61">
        <w:t>, 19(1), 71–97. https://doi.org/10.1016/j.pacfin.2010.09.002</w:t>
      </w:r>
    </w:p>
    <w:p w14:paraId="588C3B8F" w14:textId="77777777" w:rsidR="00947F61" w:rsidRPr="00947F61" w:rsidRDefault="00947F61" w:rsidP="00947F61">
      <w:pPr>
        <w:rPr>
          <w:b/>
          <w:bCs/>
        </w:rPr>
      </w:pPr>
      <w:r w:rsidRPr="00947F61">
        <w:rPr>
          <w:b/>
          <w:bCs/>
        </w:rPr>
        <w:t>1. Introduction and Core Research Motivation</w:t>
      </w:r>
    </w:p>
    <w:p w14:paraId="16D5C494" w14:textId="77777777" w:rsidR="00947F61" w:rsidRPr="00947F61" w:rsidRDefault="00947F61" w:rsidP="00947F61">
      <w:r w:rsidRPr="00947F61">
        <w:t>Understanding the drivers of financial performance in emerging venture capital markets is critical for evaluating global private equity allocation strategies. This study investigates whether cross-border venture capital performance in China is determined by foreign investor capabilities or domestic executive experience.</w:t>
      </w:r>
    </w:p>
    <w:p w14:paraId="21E31D43" w14:textId="77777777" w:rsidR="00947F61" w:rsidRPr="00947F61" w:rsidRDefault="00947F61" w:rsidP="00947F61">
      <w:pPr>
        <w:numPr>
          <w:ilvl w:val="0"/>
          <w:numId w:val="1"/>
        </w:numPr>
      </w:pPr>
      <w:r w:rsidRPr="00947F61">
        <w:rPr>
          <w:b/>
          <w:bCs/>
        </w:rPr>
        <w:t>Cross-border VC investment</w:t>
      </w:r>
      <w:r w:rsidRPr="00947F61">
        <w:t> involves foreign venture firms deploying capital into host economies, where China acts as the world's largest net importer of VC capital, surpassing Sweden, the UK, and Canada.</w:t>
      </w:r>
    </w:p>
    <w:p w14:paraId="20E64F5C" w14:textId="77777777" w:rsidR="00947F61" w:rsidRPr="00947F61" w:rsidRDefault="00947F61" w:rsidP="00947F61">
      <w:pPr>
        <w:numPr>
          <w:ilvl w:val="0"/>
          <w:numId w:val="1"/>
        </w:numPr>
      </w:pPr>
      <w:r w:rsidRPr="00947F61">
        <w:t>Foreign VCs dominate China's market by providing over 70% of total VC capital and raising over 85% of new funds, despite constituting only ~25% of total VC firms by count.</w:t>
      </w:r>
    </w:p>
    <w:p w14:paraId="3E7F42DB" w14:textId="77777777" w:rsidR="00947F61" w:rsidRPr="00947F61" w:rsidRDefault="00947F61" w:rsidP="00947F61">
      <w:pPr>
        <w:numPr>
          <w:ilvl w:val="0"/>
          <w:numId w:val="1"/>
        </w:numPr>
      </w:pPr>
      <w:r w:rsidRPr="00947F61">
        <w:t>The core research question evaluates whether exit performance is driven by foreign investors' </w:t>
      </w:r>
      <w:r w:rsidRPr="00947F61">
        <w:rPr>
          <w:b/>
          <w:bCs/>
        </w:rPr>
        <w:t xml:space="preserve">Human </w:t>
      </w:r>
      <w:proofErr w:type="gramStart"/>
      <w:r w:rsidRPr="00947F61">
        <w:rPr>
          <w:b/>
          <w:bCs/>
        </w:rPr>
        <w:t>Capital</w:t>
      </w:r>
      <w:r w:rsidRPr="00947F61">
        <w:t>(</w:t>
      </w:r>
      <w:proofErr w:type="gramEnd"/>
      <w:r w:rsidRPr="00947F61">
        <w:t>experience, networks, reputation) or domestic </w:t>
      </w:r>
      <w:r w:rsidRPr="00947F61">
        <w:rPr>
          <w:b/>
          <w:bCs/>
        </w:rPr>
        <w:t>Entrepreneurs' Experience</w:t>
      </w:r>
      <w:r w:rsidRPr="00947F61">
        <w:t>.</w:t>
      </w:r>
    </w:p>
    <w:p w14:paraId="33349B82" w14:textId="77777777" w:rsidR="00947F61" w:rsidRPr="00947F61" w:rsidRDefault="00947F61" w:rsidP="00947F61">
      <w:pPr>
        <w:numPr>
          <w:ilvl w:val="0"/>
          <w:numId w:val="1"/>
        </w:numPr>
      </w:pPr>
      <w:r w:rsidRPr="00947F61">
        <w:t xml:space="preserve">Empirical results reveal a paradox: foreign </w:t>
      </w:r>
      <w:proofErr w:type="gramStart"/>
      <w:r w:rsidRPr="00947F61">
        <w:t>VCs'</w:t>
      </w:r>
      <w:proofErr w:type="gramEnd"/>
      <w:r w:rsidRPr="00947F61">
        <w:t xml:space="preserve"> globally accumulated human capital shows no statistically significant correlation with exit outcomes, whereas domestic managerial capability is the primary driver of success.</w:t>
      </w:r>
    </w:p>
    <w:p w14:paraId="043E9CCD" w14:textId="77777777" w:rsidR="00947F61" w:rsidRPr="00947F61" w:rsidRDefault="00947F61" w:rsidP="00947F61">
      <w:pPr>
        <w:numPr>
          <w:ilvl w:val="0"/>
          <w:numId w:val="1"/>
        </w:numPr>
      </w:pPr>
      <w:r w:rsidRPr="00947F61">
        <w:t>This finding is explained by </w:t>
      </w:r>
      <w:r w:rsidRPr="00947F61">
        <w:rPr>
          <w:b/>
          <w:bCs/>
        </w:rPr>
        <w:t>Market-Specific Human Capital</w:t>
      </w:r>
      <w:r w:rsidRPr="00947F61">
        <w:t>, where institutional, regulatory, and cultural boundaries prevent the direct transferability of Western VC capabilities into emerging host markets.</w:t>
      </w:r>
    </w:p>
    <w:p w14:paraId="71121E64" w14:textId="77777777" w:rsidR="00947F61" w:rsidRPr="00947F61" w:rsidRDefault="00947F61" w:rsidP="00947F61">
      <w:r w:rsidRPr="00947F61">
        <w:rPr>
          <w:b/>
          <w:bCs/>
        </w:rPr>
        <w:t>Takeaway:</w:t>
      </w:r>
      <w:r w:rsidRPr="00947F61">
        <w:t> Local entrepreneurial capability dominates foreign investor capability in driving venture success in China due to institutional boundaries that limit cross-border human capital transferability.</w:t>
      </w:r>
    </w:p>
    <w:p w14:paraId="5F24CBD3" w14:textId="77777777" w:rsidR="00947F61" w:rsidRPr="00947F61" w:rsidRDefault="00947F61" w:rsidP="00947F61">
      <w:r w:rsidRPr="00947F61">
        <w:t>To contextualize these findings, we examine the theoretical literature on venture monitoring, contractual legality, and international capital flows.</w:t>
      </w:r>
    </w:p>
    <w:p w14:paraId="21AC5444" w14:textId="77777777" w:rsidR="00947F61" w:rsidRPr="00947F61" w:rsidRDefault="00947F61" w:rsidP="00947F61">
      <w:pPr>
        <w:rPr>
          <w:b/>
          <w:bCs/>
        </w:rPr>
      </w:pPr>
      <w:r w:rsidRPr="00947F61">
        <w:rPr>
          <w:b/>
          <w:bCs/>
        </w:rPr>
        <w:t>2. Literature Review &amp; Theoretical Framing</w:t>
      </w:r>
    </w:p>
    <w:p w14:paraId="6B297CC8" w14:textId="77777777" w:rsidR="00947F61" w:rsidRPr="00947F61" w:rsidRDefault="00947F61" w:rsidP="00947F61">
      <w:r w:rsidRPr="00947F61">
        <w:t xml:space="preserve">This study bridges three major strands of financial economics: Asia-Pacific VC markets, cross-border venture capital dynamics, and VC performance determinants. Synthesizing </w:t>
      </w:r>
      <w:r w:rsidRPr="00947F61">
        <w:lastRenderedPageBreak/>
        <w:t>these fields demonstrates how emerging market institutional voids modify standard financial intermediation theories.</w:t>
      </w:r>
    </w:p>
    <w:p w14:paraId="31A4FAD2" w14:textId="77777777" w:rsidR="00947F61" w:rsidRPr="00947F61" w:rsidRDefault="00947F61" w:rsidP="00947F61">
      <w:pPr>
        <w:numPr>
          <w:ilvl w:val="0"/>
          <w:numId w:val="2"/>
        </w:numPr>
      </w:pPr>
      <w:r w:rsidRPr="00947F61">
        <w:rPr>
          <w:b/>
          <w:bCs/>
        </w:rPr>
        <w:t>Asia-Pacific VC Literature</w:t>
      </w:r>
      <w:r w:rsidRPr="00947F61">
        <w:t xml:space="preserve">: Emerging markets feature institutional voids and weak formal legal frameworks (Lerner &amp; </w:t>
      </w:r>
      <w:proofErr w:type="spellStart"/>
      <w:r w:rsidRPr="00947F61">
        <w:t>Schoar</w:t>
      </w:r>
      <w:proofErr w:type="spellEnd"/>
      <w:r w:rsidRPr="00947F61">
        <w:t>, 2005; Cumming et al., 2006), making convertible preferred stock far less ubiquitous than in the U.S. and altering standard governance mechanics.</w:t>
      </w:r>
    </w:p>
    <w:p w14:paraId="21370F00" w14:textId="77777777" w:rsidR="00947F61" w:rsidRPr="00947F61" w:rsidRDefault="00947F61" w:rsidP="00947F61">
      <w:pPr>
        <w:numPr>
          <w:ilvl w:val="0"/>
          <w:numId w:val="2"/>
        </w:numPr>
      </w:pPr>
      <w:r w:rsidRPr="00947F61">
        <w:rPr>
          <w:b/>
          <w:bCs/>
        </w:rPr>
        <w:t>Cross-Border VC Literature</w:t>
      </w:r>
      <w:r w:rsidRPr="00947F61">
        <w:t>: Foreign VCs assist host-market startups through internationalization, signaling, syndication networks, and lowering operational learning curves.</w:t>
      </w:r>
    </w:p>
    <w:p w14:paraId="58473C21" w14:textId="77777777" w:rsidR="00947F61" w:rsidRPr="00947F61" w:rsidRDefault="00947F61" w:rsidP="00947F61">
      <w:pPr>
        <w:numPr>
          <w:ilvl w:val="0"/>
          <w:numId w:val="2"/>
        </w:numPr>
      </w:pPr>
      <w:r w:rsidRPr="00947F61">
        <w:rPr>
          <w:b/>
          <w:bCs/>
        </w:rPr>
        <w:t>VC Performance Literature</w:t>
      </w:r>
      <w:r w:rsidRPr="00947F61">
        <w:t>: Standard Western empirical evidence demonstrates that </w:t>
      </w:r>
      <w:r w:rsidRPr="00947F61">
        <w:rPr>
          <w:b/>
          <w:bCs/>
        </w:rPr>
        <w:t>VC Experience</w:t>
      </w:r>
      <w:r w:rsidRPr="00947F61">
        <w:t> (Gompers et al., 2008), </w:t>
      </w:r>
      <w:r w:rsidRPr="00947F61">
        <w:rPr>
          <w:b/>
          <w:bCs/>
        </w:rPr>
        <w:t>VC Networks</w:t>
      </w:r>
      <w:r w:rsidRPr="00947F61">
        <w:t> (Hochberg et al., 2007), and </w:t>
      </w:r>
      <w:r w:rsidRPr="00947F61">
        <w:rPr>
          <w:b/>
          <w:bCs/>
        </w:rPr>
        <w:t>VC Reputation</w:t>
      </w:r>
      <w:r w:rsidRPr="00947F61">
        <w:t> (</w:t>
      </w:r>
      <w:proofErr w:type="spellStart"/>
      <w:r w:rsidRPr="00947F61">
        <w:t>Nahata</w:t>
      </w:r>
      <w:proofErr w:type="spellEnd"/>
      <w:r w:rsidRPr="00947F61">
        <w:t>, 2008) directly enhance active monitoring, decrease IPO underpricing, and raise exit success rates.</w:t>
      </w:r>
    </w:p>
    <w:p w14:paraId="3FDAA29E" w14:textId="77777777" w:rsidR="00947F61" w:rsidRPr="00947F61" w:rsidRDefault="00947F61" w:rsidP="00947F61">
      <w:pPr>
        <w:numPr>
          <w:ilvl w:val="0"/>
          <w:numId w:val="2"/>
        </w:numPr>
      </w:pPr>
      <w:r w:rsidRPr="00947F61">
        <w:t>Theoretical Gap: Prior literature focuses predominantly on investor capabilities in developed economies without evaluating the interaction between foreign investor human capital and local entrepreneurial experience in emerging institutional environments.</w:t>
      </w:r>
    </w:p>
    <w:p w14:paraId="419D5F11" w14:textId="77777777" w:rsidR="00947F61" w:rsidRPr="00947F61" w:rsidRDefault="00947F61" w:rsidP="00947F61">
      <w:r w:rsidRPr="00947F61">
        <w:rPr>
          <w:b/>
          <w:bCs/>
        </w:rPr>
        <w:t>Takeaway:</w:t>
      </w:r>
      <w:r w:rsidRPr="00947F61">
        <w:t> Standard Western VC models assume universal investor capability transferability, whereas emerging market institutional realities severely dampen traditional investor value-added monitoring mechanisms.</w:t>
      </w:r>
    </w:p>
    <w:p w14:paraId="4D54D695" w14:textId="77777777" w:rsidR="00947F61" w:rsidRPr="00947F61" w:rsidRDefault="00947F61" w:rsidP="00947F61">
      <w:r w:rsidRPr="00947F61">
        <w:t>Having established the theoretical framework, we next outline dataset construction, variable definitions, and empirical methodology.</w:t>
      </w:r>
    </w:p>
    <w:p w14:paraId="4AB8EFF0" w14:textId="77777777" w:rsidR="00947F61" w:rsidRPr="00947F61" w:rsidRDefault="00947F61" w:rsidP="00947F61">
      <w:pPr>
        <w:rPr>
          <w:b/>
          <w:bCs/>
        </w:rPr>
      </w:pPr>
      <w:r w:rsidRPr="00947F61">
        <w:rPr>
          <w:b/>
          <w:bCs/>
        </w:rPr>
        <w:t>3. Data, Variables, and Econometric Methodology</w:t>
      </w:r>
    </w:p>
    <w:p w14:paraId="33D9B3EA" w14:textId="77777777" w:rsidR="00947F61" w:rsidRPr="00947F61" w:rsidRDefault="00947F61" w:rsidP="00947F61">
      <w:r w:rsidRPr="00947F61">
        <w:t xml:space="preserve">Rigorous empirical testing requires paired investor-company deal tracking combined with comprehensive executive profiles across international jurisdictions. The sample integrates Zero2IPO and SDC </w:t>
      </w:r>
      <w:proofErr w:type="spellStart"/>
      <w:r w:rsidRPr="00947F61">
        <w:t>VentureXpert</w:t>
      </w:r>
      <w:proofErr w:type="spellEnd"/>
      <w:r w:rsidRPr="00947F61">
        <w:t xml:space="preserve"> data covering 495 VC investments across 243 Chinese domestic companies receiving initial funding between 1999 and 2006.</w:t>
      </w:r>
    </w:p>
    <w:p w14:paraId="41D7D6CC" w14:textId="77777777" w:rsidR="00947F61" w:rsidRPr="00947F61" w:rsidRDefault="00947F61" w:rsidP="00947F61">
      <w:pPr>
        <w:rPr>
          <w:b/>
          <w:bCs/>
        </w:rPr>
      </w:pPr>
      <w:r w:rsidRPr="00947F61">
        <w:rPr>
          <w:b/>
          <w:bCs/>
        </w:rPr>
        <w:t>3.1 Dependent Variables &amp; Performance Metrics</w:t>
      </w:r>
    </w:p>
    <w:p w14:paraId="10583232" w14:textId="77777777" w:rsidR="00947F61" w:rsidRPr="00947F61" w:rsidRDefault="00947F61" w:rsidP="00947F61">
      <w:pPr>
        <w:numPr>
          <w:ilvl w:val="0"/>
          <w:numId w:val="3"/>
        </w:numPr>
      </w:pPr>
      <w:r w:rsidRPr="00947F61">
        <w:rPr>
          <w:b/>
          <w:bCs/>
        </w:rPr>
        <w:t>Investment Success</w:t>
      </w:r>
      <w:r w:rsidRPr="00947F61">
        <w:t> is a binary indicator equal to 1 if a portfolio company exited via Initial Public Offering (</w:t>
      </w:r>
      <w:r w:rsidRPr="00947F61">
        <w:rPr>
          <w:b/>
          <w:bCs/>
        </w:rPr>
        <w:t>IPO</w:t>
      </w:r>
      <w:r w:rsidRPr="00947F61">
        <w:t>) or Merger &amp; Acquisition (</w:t>
      </w:r>
      <w:r w:rsidRPr="00947F61">
        <w:rPr>
          <w:b/>
          <w:bCs/>
        </w:rPr>
        <w:t>M&amp;A</w:t>
      </w:r>
      <w:r w:rsidRPr="00947F61">
        <w:t>) prior to September 2009; 0 otherwise (liquidations and non-exits).</w:t>
      </w:r>
    </w:p>
    <w:p w14:paraId="228A52BA" w14:textId="77777777" w:rsidR="00947F61" w:rsidRPr="00947F61" w:rsidRDefault="00947F61" w:rsidP="00947F61">
      <w:pPr>
        <w:numPr>
          <w:ilvl w:val="0"/>
          <w:numId w:val="3"/>
        </w:numPr>
      </w:pPr>
      <w:r w:rsidRPr="00947F61">
        <w:rPr>
          <w:b/>
          <w:bCs/>
        </w:rPr>
        <w:lastRenderedPageBreak/>
        <w:t>Investment Duration</w:t>
      </w:r>
      <w:r w:rsidRPr="00947F61">
        <w:t xml:space="preserve"> is defined as the natural logarithm of 1 plus the calendar days elapsed from initial VC investment to exit date, </w:t>
      </w:r>
      <w:proofErr w:type="gramStart"/>
      <w:r w:rsidRPr="00947F61">
        <w:t>right-censored</w:t>
      </w:r>
      <w:proofErr w:type="gramEnd"/>
      <w:r w:rsidRPr="00947F61">
        <w:t xml:space="preserve"> </w:t>
      </w:r>
      <w:proofErr w:type="gramStart"/>
      <w:r w:rsidRPr="00947F61">
        <w:t>at</w:t>
      </w:r>
      <w:proofErr w:type="gramEnd"/>
      <w:r w:rsidRPr="00947F61">
        <w:t xml:space="preserve"> September 2009 for non-exits.</w:t>
      </w:r>
    </w:p>
    <w:p w14:paraId="2F9463A4" w14:textId="77777777" w:rsidR="00947F61" w:rsidRPr="00947F61" w:rsidRDefault="00947F61" w:rsidP="00947F61">
      <w:pPr>
        <w:numPr>
          <w:ilvl w:val="0"/>
          <w:numId w:val="3"/>
        </w:numPr>
      </w:pPr>
      <w:r w:rsidRPr="00947F61">
        <w:t>The sample consists of 495 unique VC investments across 243 Chinese portfolio companies initially funded between 1999 and 2006.</w:t>
      </w:r>
    </w:p>
    <w:p w14:paraId="6ABF5BA6" w14:textId="77777777" w:rsidR="00947F61" w:rsidRPr="00947F61" w:rsidRDefault="00947F61" w:rsidP="00947F61">
      <w:pPr>
        <w:numPr>
          <w:ilvl w:val="0"/>
          <w:numId w:val="3"/>
        </w:numPr>
      </w:pPr>
      <w:r w:rsidRPr="00947F61">
        <w:t>Each venture is traced forward for at least 2.5 years to match the typical 2-to-3-year operational exit horizon for foreign VCs in China and minimize non-random exit bias.</w:t>
      </w:r>
    </w:p>
    <w:p w14:paraId="4A2BDDAC" w14:textId="77777777" w:rsidR="00947F61" w:rsidRPr="00947F61" w:rsidRDefault="00947F61" w:rsidP="00947F61">
      <w:pPr>
        <w:rPr>
          <w:b/>
          <w:bCs/>
        </w:rPr>
      </w:pPr>
      <w:r w:rsidRPr="00947F61">
        <w:rPr>
          <w:b/>
          <w:bCs/>
        </w:rPr>
        <w:t>3.2 Key Independent Variables (Foreign VCs' Human Capital vs. Entrepreneurs' Experience)</w:t>
      </w:r>
    </w:p>
    <w:p w14:paraId="0FE3FEAE" w14:textId="77777777" w:rsidR="00947F61" w:rsidRPr="00947F61" w:rsidRDefault="00947F61" w:rsidP="00947F61">
      <w:pPr>
        <w:numPr>
          <w:ilvl w:val="0"/>
          <w:numId w:val="4"/>
        </w:numPr>
      </w:pPr>
      <w:r w:rsidRPr="00947F61">
        <w:t>Foreign VC human capital proxies include VC Experience (logarithm of 1 plus firm age at investment: \</w:t>
      </w:r>
      <w:proofErr w:type="gramStart"/>
      <w:r w:rsidRPr="00947F61">
        <w:t>ln(</w:t>
      </w:r>
      <w:proofErr w:type="gramEnd"/>
      <w:r w:rsidRPr="00947F61">
        <w:t>1 + \</w:t>
      </w:r>
      <w:proofErr w:type="gramStart"/>
      <w:r w:rsidRPr="00947F61">
        <w:t>text{</w:t>
      </w:r>
      <w:proofErr w:type="gramEnd"/>
      <w:r w:rsidRPr="00947F61">
        <w:t>Firm Age})), VC Networks (normalized 5-year rolling syndication count), and VC Reputation (normalized cumulative market cap of backed IPOs since 1994).</w:t>
      </w:r>
    </w:p>
    <w:p w14:paraId="38AE21F8" w14:textId="77777777" w:rsidR="00947F61" w:rsidRPr="00947F61" w:rsidRDefault="00947F61" w:rsidP="00947F61">
      <w:pPr>
        <w:numPr>
          <w:ilvl w:val="0"/>
          <w:numId w:val="4"/>
        </w:numPr>
      </w:pPr>
      <w:r w:rsidRPr="00947F61">
        <w:t>CEO general capability is proxied by </w:t>
      </w:r>
      <w:r w:rsidRPr="00947F61">
        <w:rPr>
          <w:b/>
          <w:bCs/>
        </w:rPr>
        <w:t>CEO General Experience</w:t>
      </w:r>
      <w:r w:rsidRPr="00947F61">
        <w:t xml:space="preserve"> (logarithm of 1 plus total previous </w:t>
      </w:r>
      <w:proofErr w:type="gramStart"/>
      <w:r w:rsidRPr="00947F61">
        <w:t>employers</w:t>
      </w:r>
      <w:proofErr w:type="gramEnd"/>
      <w:r w:rsidRPr="00947F61">
        <w:t xml:space="preserve"> in any job role prior to joining as CEO).</w:t>
      </w:r>
    </w:p>
    <w:p w14:paraId="0B59E8E2" w14:textId="77777777" w:rsidR="00947F61" w:rsidRPr="00947F61" w:rsidRDefault="00947F61" w:rsidP="00947F61">
      <w:pPr>
        <w:numPr>
          <w:ilvl w:val="0"/>
          <w:numId w:val="4"/>
        </w:numPr>
      </w:pPr>
      <w:r w:rsidRPr="00947F61">
        <w:t>CEO special capabilities are proxied by </w:t>
      </w:r>
      <w:r w:rsidRPr="00947F61">
        <w:rPr>
          <w:b/>
          <w:bCs/>
        </w:rPr>
        <w:t>Special Experience as CEO</w:t>
      </w:r>
      <w:r w:rsidRPr="00947F61">
        <w:t xml:space="preserve"> (logarithm of 1 plus prior </w:t>
      </w:r>
      <w:proofErr w:type="gramStart"/>
      <w:r w:rsidRPr="00947F61">
        <w:t>companies</w:t>
      </w:r>
      <w:proofErr w:type="gramEnd"/>
      <w:r w:rsidRPr="00947F61">
        <w:t xml:space="preserve"> served as CEO) and </w:t>
      </w:r>
      <w:r w:rsidRPr="00947F61">
        <w:rPr>
          <w:b/>
          <w:bCs/>
        </w:rPr>
        <w:t>Special Experience as Manager</w:t>
      </w:r>
      <w:r w:rsidRPr="00947F61">
        <w:t xml:space="preserve"> (logarithm of 1 plus prior </w:t>
      </w:r>
      <w:proofErr w:type="gramStart"/>
      <w:r w:rsidRPr="00947F61">
        <w:t>companies</w:t>
      </w:r>
      <w:proofErr w:type="gramEnd"/>
      <w:r w:rsidRPr="00947F61">
        <w:t xml:space="preserve"> served as a non-CEO top executive like CFO, COO, or CTO).</w:t>
      </w:r>
    </w:p>
    <w:p w14:paraId="1347EC03" w14:textId="77777777" w:rsidR="00947F61" w:rsidRPr="00947F61" w:rsidRDefault="00947F61" w:rsidP="00947F61">
      <w:pPr>
        <w:rPr>
          <w:b/>
          <w:bCs/>
        </w:rPr>
      </w:pPr>
      <w:r w:rsidRPr="00947F61">
        <w:rPr>
          <w:b/>
          <w:bCs/>
        </w:rPr>
        <w:t>3.3 Control Variables &amp; Econometric Specification</w:t>
      </w:r>
    </w:p>
    <w:p w14:paraId="4935F4A0" w14:textId="77777777" w:rsidR="00947F61" w:rsidRPr="00947F61" w:rsidRDefault="00947F61" w:rsidP="00947F61">
      <w:pPr>
        <w:numPr>
          <w:ilvl w:val="0"/>
          <w:numId w:val="5"/>
        </w:numPr>
      </w:pPr>
      <w:r w:rsidRPr="00947F61">
        <w:t>Executive governance controls include </w:t>
      </w:r>
      <w:r w:rsidRPr="00947F61">
        <w:rPr>
          <w:b/>
          <w:bCs/>
        </w:rPr>
        <w:t>Chairman Overlap Indicator</w:t>
      </w:r>
      <w:r w:rsidRPr="00947F61">
        <w:t>, </w:t>
      </w:r>
      <w:r w:rsidRPr="00947F61">
        <w:rPr>
          <w:b/>
          <w:bCs/>
        </w:rPr>
        <w:t>Founder Overlap Indicator</w:t>
      </w:r>
      <w:r w:rsidRPr="00947F61">
        <w:t>, and </w:t>
      </w:r>
      <w:r w:rsidRPr="00947F61">
        <w:rPr>
          <w:b/>
          <w:bCs/>
        </w:rPr>
        <w:t>Founder Departure Indicator</w:t>
      </w:r>
      <w:r w:rsidRPr="00947F61">
        <w:t>.</w:t>
      </w:r>
    </w:p>
    <w:p w14:paraId="35F6672E" w14:textId="77777777" w:rsidR="00947F61" w:rsidRPr="00947F61" w:rsidRDefault="00947F61" w:rsidP="00947F61">
      <w:pPr>
        <w:numPr>
          <w:ilvl w:val="0"/>
          <w:numId w:val="5"/>
        </w:numPr>
      </w:pPr>
      <w:r w:rsidRPr="00947F61">
        <w:t>Firm, deal, and macro controls include </w:t>
      </w:r>
      <w:r w:rsidRPr="00947F61">
        <w:rPr>
          <w:b/>
          <w:bCs/>
        </w:rPr>
        <w:t>Portfolio Company Quality</w:t>
      </w:r>
      <w:r w:rsidRPr="00947F61">
        <w:t> (log of total VC funding raised across all rounds), </w:t>
      </w:r>
      <w:r w:rsidRPr="00947F61">
        <w:rPr>
          <w:b/>
          <w:bCs/>
        </w:rPr>
        <w:t>Syndicate Size</w:t>
      </w:r>
      <w:r w:rsidRPr="00947F61">
        <w:t>, </w:t>
      </w:r>
      <w:r w:rsidRPr="00947F61">
        <w:rPr>
          <w:b/>
          <w:bCs/>
        </w:rPr>
        <w:t>VC Industry Development</w:t>
      </w:r>
      <w:r w:rsidRPr="00947F61">
        <w:t> (log of aggregate lagged annual VC inflows to China), </w:t>
      </w:r>
      <w:r w:rsidRPr="00947F61">
        <w:rPr>
          <w:b/>
          <w:bCs/>
        </w:rPr>
        <w:t>Domestic IPO Conditions</w:t>
      </w:r>
      <w:r w:rsidRPr="00947F61">
        <w:t>, and </w:t>
      </w:r>
      <w:r w:rsidRPr="00947F61">
        <w:rPr>
          <w:b/>
          <w:bCs/>
        </w:rPr>
        <w:t>Domestic M&amp;A Conditions</w:t>
      </w:r>
      <w:r w:rsidRPr="00947F61">
        <w:t>.</w:t>
      </w:r>
    </w:p>
    <w:p w14:paraId="48E12D5F" w14:textId="77777777" w:rsidR="00947F61" w:rsidRPr="00947F61" w:rsidRDefault="00947F61" w:rsidP="00947F61">
      <w:pPr>
        <w:numPr>
          <w:ilvl w:val="0"/>
          <w:numId w:val="5"/>
        </w:numPr>
      </w:pPr>
      <w:r w:rsidRPr="00947F61">
        <w:t>Primary estimations utilize a </w:t>
      </w:r>
      <w:r w:rsidRPr="00947F61">
        <w:rPr>
          <w:b/>
          <w:bCs/>
        </w:rPr>
        <w:t>Logit model</w:t>
      </w:r>
      <w:r w:rsidRPr="00947F61">
        <w:t> for exit probability and a </w:t>
      </w:r>
      <w:r w:rsidRPr="00947F61">
        <w:rPr>
          <w:b/>
          <w:bCs/>
        </w:rPr>
        <w:t>Cox proportional hazard model</w:t>
      </w:r>
      <w:r w:rsidRPr="00947F61">
        <w:t> for investment duration survival analysis, where hazard coefficients directly reflect exit speed acceleration (H_0: \beta = 0).</w:t>
      </w:r>
    </w:p>
    <w:p w14:paraId="0196714E" w14:textId="77777777" w:rsidR="00947F61" w:rsidRPr="00947F61" w:rsidRDefault="00947F61" w:rsidP="00947F61">
      <w:r w:rsidRPr="00947F61">
        <w:rPr>
          <w:b/>
          <w:bCs/>
        </w:rPr>
        <w:t>Takeaway:</w:t>
      </w:r>
      <w:r w:rsidRPr="00947F61">
        <w:t> The econometric design isolates local managerial experience from foreign investor capabilities while controlling for deal quality, syndication structure, and macro exit conditions.</w:t>
      </w:r>
    </w:p>
    <w:p w14:paraId="03855E02" w14:textId="77777777" w:rsidR="00947F61" w:rsidRPr="00947F61" w:rsidRDefault="00947F61" w:rsidP="00947F61">
      <w:r w:rsidRPr="00947F61">
        <w:lastRenderedPageBreak/>
        <w:t>We now present the empirical results at the deal/investment level.</w:t>
      </w:r>
    </w:p>
    <w:p w14:paraId="2E742DB3" w14:textId="77777777" w:rsidR="00947F61" w:rsidRPr="00947F61" w:rsidRDefault="00947F61" w:rsidP="00947F61">
      <w:pPr>
        <w:rPr>
          <w:b/>
          <w:bCs/>
        </w:rPr>
      </w:pPr>
      <w:r w:rsidRPr="00947F61">
        <w:rPr>
          <w:b/>
          <w:bCs/>
        </w:rPr>
        <w:t>4. Empirical Results at the VC Investment Level</w:t>
      </w:r>
    </w:p>
    <w:p w14:paraId="3A09E922" w14:textId="77777777" w:rsidR="00947F61" w:rsidRPr="00947F61" w:rsidRDefault="00947F61" w:rsidP="00947F61">
      <w:r w:rsidRPr="00947F61">
        <w:t>The empirical investigation begins at the unique investor-company deal level (N = 495) using Logit and Cox hazard models to evaluate performance determinants. Analyzing paired deal observations isolates specific investor human capital inputs against executive leadership characteristics.</w:t>
      </w:r>
    </w:p>
    <w:p w14:paraId="294188EB" w14:textId="77777777" w:rsidR="00947F61" w:rsidRPr="00947F61" w:rsidRDefault="00947F61" w:rsidP="00947F61">
      <w:pPr>
        <w:numPr>
          <w:ilvl w:val="0"/>
          <w:numId w:val="6"/>
        </w:numPr>
      </w:pPr>
      <w:r w:rsidRPr="00947F61">
        <w:t>Foreign VCs' human capital proxies (VC Experience, VC Networks, and VC Reputation) yield statistically insignificant coefficients across all Logit and Cox specifications (p &gt; 0.10).</w:t>
      </w:r>
    </w:p>
    <w:p w14:paraId="522E6D25" w14:textId="77777777" w:rsidR="00947F61" w:rsidRPr="00947F61" w:rsidRDefault="00947F61" w:rsidP="00947F61">
      <w:pPr>
        <w:numPr>
          <w:ilvl w:val="0"/>
          <w:numId w:val="6"/>
        </w:numPr>
      </w:pPr>
      <w:r w:rsidRPr="00947F61">
        <w:t>Local CEO experience strongly drives performance: CEO General Experience (p &lt; 0.01), Special Experience as CEO (p &lt; 0.05), and Special Experience as Manager (p &lt; 0.01) significantly increase exit probability and shorten investment duration.</w:t>
      </w:r>
    </w:p>
    <w:p w14:paraId="5A1E131C" w14:textId="77777777" w:rsidR="00947F61" w:rsidRPr="00947F61" w:rsidRDefault="00947F61" w:rsidP="00947F61">
      <w:pPr>
        <w:numPr>
          <w:ilvl w:val="0"/>
          <w:numId w:val="6"/>
        </w:numPr>
      </w:pPr>
      <w:r w:rsidRPr="00947F61">
        <w:t>Quantifying marginal effects: a 1-standard-deviation increase in CEO General Experience increases investment success odds by 30.9% and exit hazard by 27.9%; Special Experience as CEO increases success odds by 31.3% (p &lt; 0.05) and exit hazard by 22.1% (p &lt; 0.05); Special Experience as Manager increases success odds by 22.3% (p &lt; 0.01) and exit hazard by 18.8% (p &lt; 0.01).</w:t>
      </w:r>
    </w:p>
    <w:p w14:paraId="4ECFFDE0" w14:textId="77777777" w:rsidR="00947F61" w:rsidRPr="00947F61" w:rsidRDefault="00947F61" w:rsidP="00947F61">
      <w:pPr>
        <w:numPr>
          <w:ilvl w:val="0"/>
          <w:numId w:val="6"/>
        </w:numPr>
      </w:pPr>
      <w:r w:rsidRPr="00947F61">
        <w:t>Governance transitions matter: Founder Departure Indicator strongly increases success odds (p &lt; 0.01), whereas Founder Overlap Indicator reduces success odds (p &lt; 0.05), highlighting the necessity of professionalizing leadership.</w:t>
      </w:r>
    </w:p>
    <w:p w14:paraId="1C4B5903" w14:textId="77777777" w:rsidR="00947F61" w:rsidRPr="00947F61" w:rsidRDefault="00947F61" w:rsidP="00947F61">
      <w:pPr>
        <w:numPr>
          <w:ilvl w:val="0"/>
          <w:numId w:val="6"/>
        </w:numPr>
      </w:pPr>
      <w:r w:rsidRPr="00947F61">
        <w:t>Domestic IPO Conditions and Domestic M&amp;A Conditions are statistically insignificant because foreign VCs exited predominantly through overseas exchanges (e.g., NASDAQ, HKEX) using offshore red-chip structures to bypass domestic listing quotas.</w:t>
      </w:r>
    </w:p>
    <w:p w14:paraId="11A28B61" w14:textId="77777777" w:rsidR="00947F61" w:rsidRPr="00947F61" w:rsidRDefault="00947F61" w:rsidP="00947F61">
      <w:r w:rsidRPr="00947F61">
        <w:rPr>
          <w:b/>
          <w:bCs/>
        </w:rPr>
        <w:t>Takeaway:</w:t>
      </w:r>
      <w:r w:rsidRPr="00947F61">
        <w:t> Deal-level estimations demonstrate that domestic executive experience significantly drives exit success and shortens duration, whereas foreign investor human capital exhibits no measurable performance impact.</w:t>
      </w:r>
    </w:p>
    <w:p w14:paraId="23C9C010" w14:textId="77777777" w:rsidR="00947F61" w:rsidRPr="00947F61" w:rsidRDefault="00947F61" w:rsidP="00947F61">
      <w:r w:rsidRPr="00947F61">
        <w:t>To rule out multi-round deal weighting distortions, we examine performance aggregated at the portfolio company level.</w:t>
      </w:r>
    </w:p>
    <w:p w14:paraId="0DD9E5A8" w14:textId="77777777" w:rsidR="00947F61" w:rsidRPr="00947F61" w:rsidRDefault="00947F61" w:rsidP="00947F61">
      <w:pPr>
        <w:rPr>
          <w:b/>
          <w:bCs/>
        </w:rPr>
      </w:pPr>
      <w:r w:rsidRPr="00947F61">
        <w:rPr>
          <w:b/>
          <w:bCs/>
        </w:rPr>
        <w:t>5. Empirical Results at the Portfolio Company Level</w:t>
      </w:r>
    </w:p>
    <w:p w14:paraId="7B4C0836" w14:textId="77777777" w:rsidR="00947F61" w:rsidRPr="00947F61" w:rsidRDefault="00947F61" w:rsidP="00947F61">
      <w:r w:rsidRPr="00947F61">
        <w:t>Aggregating the sample to the portfolio company level (N = 243) isolates initial financing dynamics and avoids double-counting across multi-round syndicates. This setup tests whether lead investor attributes at entry influence ultimate venture outcomes.</w:t>
      </w:r>
    </w:p>
    <w:p w14:paraId="2EE409F0" w14:textId="77777777" w:rsidR="00947F61" w:rsidRPr="00947F61" w:rsidRDefault="00947F61" w:rsidP="00947F61">
      <w:pPr>
        <w:numPr>
          <w:ilvl w:val="0"/>
          <w:numId w:val="7"/>
        </w:numPr>
      </w:pPr>
      <w:r w:rsidRPr="00947F61">
        <w:lastRenderedPageBreak/>
        <w:t>The </w:t>
      </w:r>
      <w:r w:rsidRPr="00947F61">
        <w:rPr>
          <w:b/>
          <w:bCs/>
        </w:rPr>
        <w:t>Lead VC Firm</w:t>
      </w:r>
      <w:r w:rsidRPr="00947F61">
        <w:t> is identified as the foreign VC participating in the first financing round that contributed the largest cumulative capital across all rounds.</w:t>
      </w:r>
    </w:p>
    <w:p w14:paraId="7D5DFB80" w14:textId="77777777" w:rsidR="00947F61" w:rsidRPr="00947F61" w:rsidRDefault="00947F61" w:rsidP="00947F61">
      <w:pPr>
        <w:numPr>
          <w:ilvl w:val="0"/>
          <w:numId w:val="7"/>
        </w:numPr>
      </w:pPr>
      <w:r w:rsidRPr="00947F61">
        <w:t>Lead VC Firm human capital metrics remain statistically insignificant, whereas CEO General Experience (</w:t>
      </w:r>
      <w:proofErr w:type="spellStart"/>
      <w:r w:rsidRPr="00947F61">
        <w:t>coeff</w:t>
      </w:r>
      <w:proofErr w:type="spellEnd"/>
      <w:r w:rsidRPr="00947F61">
        <w:t xml:space="preserve"> = 0.31, p &lt; 0.01; +22.3% odds) and Special Experience as CEO (</w:t>
      </w:r>
      <w:proofErr w:type="spellStart"/>
      <w:r w:rsidRPr="00947F61">
        <w:t>coeff</w:t>
      </w:r>
      <w:proofErr w:type="spellEnd"/>
      <w:r w:rsidRPr="00947F61">
        <w:t xml:space="preserve"> = 0.39, p &lt; 0.01; +17.3% odds) strongly drive company exit success.</w:t>
      </w:r>
    </w:p>
    <w:p w14:paraId="19864A00" w14:textId="77777777" w:rsidR="00947F61" w:rsidRPr="00947F61" w:rsidRDefault="00947F61" w:rsidP="00947F61">
      <w:pPr>
        <w:numPr>
          <w:ilvl w:val="0"/>
          <w:numId w:val="7"/>
        </w:numPr>
      </w:pPr>
      <w:r w:rsidRPr="00947F61">
        <w:t>Cox hazard models confirm that a 1-standard-deviation increase in CEO General Experience, Special Experience as CEO, and Special Experience as Manager increases exit hazard rates by 16.0% (p &lt; 0.01), 5.9% (p &lt; 0.10), and 15.5% (p &lt; 0.01), respectively.</w:t>
      </w:r>
    </w:p>
    <w:p w14:paraId="4FD19613" w14:textId="77777777" w:rsidR="00947F61" w:rsidRPr="00947F61" w:rsidRDefault="00947F61" w:rsidP="00947F61">
      <w:pPr>
        <w:numPr>
          <w:ilvl w:val="0"/>
          <w:numId w:val="7"/>
        </w:numPr>
      </w:pPr>
      <w:r w:rsidRPr="00947F61">
        <w:t>Portfolio Company Quality and VC Industry Development consistently exhibit positive, statistically significant impact on success and duration (p &lt; 0.01).</w:t>
      </w:r>
    </w:p>
    <w:p w14:paraId="367739F5" w14:textId="77777777" w:rsidR="00947F61" w:rsidRPr="00947F61" w:rsidRDefault="00947F61" w:rsidP="00947F61">
      <w:pPr>
        <w:numPr>
          <w:ilvl w:val="0"/>
          <w:numId w:val="7"/>
        </w:numPr>
      </w:pPr>
      <w:r w:rsidRPr="00947F61">
        <w:t>Investor structures reveal that an </w:t>
      </w:r>
      <w:r w:rsidRPr="00947F61">
        <w:rPr>
          <w:b/>
          <w:bCs/>
        </w:rPr>
        <w:t>Institutional VC Indicator</w:t>
      </w:r>
      <w:r w:rsidRPr="00947F61">
        <w:t> positively correlates with success (p &lt; 0.01), while seed/</w:t>
      </w:r>
      <w:proofErr w:type="gramStart"/>
      <w:r w:rsidRPr="00947F61">
        <w:t>early stage</w:t>
      </w:r>
      <w:proofErr w:type="gramEnd"/>
      <w:r w:rsidRPr="00947F61">
        <w:t xml:space="preserve"> entry (</w:t>
      </w:r>
      <w:r w:rsidRPr="00947F61">
        <w:rPr>
          <w:b/>
          <w:bCs/>
        </w:rPr>
        <w:t>Early Investment Indicator</w:t>
      </w:r>
      <w:r w:rsidRPr="00947F61">
        <w:t>) extends duration due to required operational development cycles.</w:t>
      </w:r>
    </w:p>
    <w:p w14:paraId="16F74ACB" w14:textId="77777777" w:rsidR="00947F61" w:rsidRPr="00947F61" w:rsidRDefault="00947F61" w:rsidP="00947F61">
      <w:r w:rsidRPr="00947F61">
        <w:rPr>
          <w:b/>
          <w:bCs/>
        </w:rPr>
        <w:t>Takeaway:</w:t>
      </w:r>
      <w:r w:rsidRPr="00947F61">
        <w:t> Portfolio company-level estimations confirm that lead investor human capital does not predict venture outcomes, reaffirming the dominant role of local managerial human capital.</w:t>
      </w:r>
    </w:p>
    <w:p w14:paraId="27FCF89B" w14:textId="77777777" w:rsidR="00947F61" w:rsidRPr="00947F61" w:rsidRDefault="00947F61" w:rsidP="00947F61">
      <w:r w:rsidRPr="00947F61">
        <w:t>We next examine robustness tests, exit choice specifications, and endogeneity treatments.</w:t>
      </w:r>
    </w:p>
    <w:p w14:paraId="2EDA2841" w14:textId="77777777" w:rsidR="00947F61" w:rsidRPr="00947F61" w:rsidRDefault="00947F61" w:rsidP="00947F61">
      <w:pPr>
        <w:rPr>
          <w:b/>
          <w:bCs/>
        </w:rPr>
      </w:pPr>
      <w:r w:rsidRPr="00947F61">
        <w:rPr>
          <w:b/>
          <w:bCs/>
        </w:rPr>
        <w:t>6. Robustness Checks and Endogeneity Corrections</w:t>
      </w:r>
    </w:p>
    <w:p w14:paraId="02470635" w14:textId="77777777" w:rsidR="00947F61" w:rsidRPr="00947F61" w:rsidRDefault="00947F61" w:rsidP="00947F61">
      <w:r w:rsidRPr="00947F61">
        <w:t>Validating empirical stability requires controlling for non-random executive matching, alternative variable constructions, and selection bias. A battery of econometric tests confirms that the empirical dominance of local CEO experience is robust.</w:t>
      </w:r>
    </w:p>
    <w:p w14:paraId="79C5C264" w14:textId="77777777" w:rsidR="00947F61" w:rsidRPr="00947F61" w:rsidRDefault="00947F61" w:rsidP="00947F61">
      <w:pPr>
        <w:numPr>
          <w:ilvl w:val="0"/>
          <w:numId w:val="8"/>
        </w:numPr>
      </w:pPr>
      <w:r w:rsidRPr="00947F61">
        <w:t>A </w:t>
      </w:r>
      <w:r w:rsidRPr="00947F61">
        <w:rPr>
          <w:b/>
          <w:bCs/>
        </w:rPr>
        <w:t>Multinomial Logit Model</w:t>
      </w:r>
      <w:r w:rsidRPr="00947F61">
        <w:t> analyzing exit choices (IPO vs. Acquisition vs. Liquidation) confirms that CEO experience metrics equally boost the likelihood of both IPO and M&amp;A outcomes over liquidation.</w:t>
      </w:r>
    </w:p>
    <w:p w14:paraId="32BF7DCD" w14:textId="77777777" w:rsidR="00947F61" w:rsidRPr="00947F61" w:rsidRDefault="00947F61" w:rsidP="00947F61">
      <w:pPr>
        <w:numPr>
          <w:ilvl w:val="0"/>
          <w:numId w:val="8"/>
        </w:numPr>
      </w:pPr>
      <w:r w:rsidRPr="00947F61">
        <w:t>A </w:t>
      </w:r>
      <w:r w:rsidRPr="00947F61">
        <w:rPr>
          <w:b/>
          <w:bCs/>
        </w:rPr>
        <w:t>Two-Step Instrumental Variable (2SLS) Approach</w:t>
      </w:r>
      <w:r w:rsidRPr="00947F61">
        <w:t> addresses matching endogeneity using </w:t>
      </w:r>
      <w:r w:rsidRPr="00947F61">
        <w:rPr>
          <w:b/>
          <w:bCs/>
        </w:rPr>
        <w:t>Local Availability of Experienced CEOs</w:t>
      </w:r>
      <w:r w:rsidRPr="00947F61">
        <w:t> (regional ratio of experienced CEOs in the province) as an instrument in first-stage OLS (t = 4.33, p &lt; 0.01); the instrument satisfies the exclusion restriction by driving executive matching probability without directly impacting subsequent company operational performance, confirming robust second-stage CEO coefficients.</w:t>
      </w:r>
    </w:p>
    <w:p w14:paraId="7749FB75" w14:textId="77777777" w:rsidR="00947F61" w:rsidRPr="00947F61" w:rsidRDefault="00947F61" w:rsidP="00947F61">
      <w:pPr>
        <w:numPr>
          <w:ilvl w:val="0"/>
          <w:numId w:val="8"/>
        </w:numPr>
      </w:pPr>
      <w:r w:rsidRPr="00947F61">
        <w:lastRenderedPageBreak/>
        <w:t>Alternative foreign VC human capital measures—replacing firm age with cumulative investment rounds, altering network/reputation windows, or averaging syndicate human capital—leave core results unchanged.</w:t>
      </w:r>
    </w:p>
    <w:p w14:paraId="6C40BD79" w14:textId="77777777" w:rsidR="00947F61" w:rsidRPr="00947F61" w:rsidRDefault="00947F61" w:rsidP="00947F61">
      <w:pPr>
        <w:numPr>
          <w:ilvl w:val="0"/>
          <w:numId w:val="8"/>
        </w:numPr>
      </w:pPr>
      <w:r w:rsidRPr="00947F61">
        <w:t>Broadening the success definition to include receiving follow-on funding rounds (raising the success baseline from 36% to 66%) yields identical conclusions regarding managerial experience.</w:t>
      </w:r>
    </w:p>
    <w:p w14:paraId="0AB1C279" w14:textId="77777777" w:rsidR="00947F61" w:rsidRPr="00947F61" w:rsidRDefault="00947F61" w:rsidP="00947F61">
      <w:pPr>
        <w:numPr>
          <w:ilvl w:val="0"/>
          <w:numId w:val="8"/>
        </w:numPr>
      </w:pPr>
      <w:r w:rsidRPr="00947F61">
        <w:t>Additional robustness checks—controlling for </w:t>
      </w:r>
      <w:r w:rsidRPr="00947F61">
        <w:rPr>
          <w:b/>
          <w:bCs/>
        </w:rPr>
        <w:t>Portfolio Size</w:t>
      </w:r>
      <w:r w:rsidRPr="00947F61">
        <w:t xml:space="preserve"> (yielding a negative coefficient consistent with </w:t>
      </w:r>
      <w:proofErr w:type="spellStart"/>
      <w:r w:rsidRPr="00947F61">
        <w:t>Kanniainen</w:t>
      </w:r>
      <w:proofErr w:type="spellEnd"/>
      <w:r w:rsidRPr="00947F61">
        <w:t xml:space="preserve"> &amp; </w:t>
      </w:r>
      <w:proofErr w:type="spellStart"/>
      <w:r w:rsidRPr="00947F61">
        <w:t>Keuschnigg's</w:t>
      </w:r>
      <w:proofErr w:type="spellEnd"/>
      <w:r w:rsidRPr="00947F61">
        <w:t xml:space="preserve"> advice-intensity tradeoff), </w:t>
      </w:r>
      <w:proofErr w:type="spellStart"/>
      <w:r w:rsidRPr="00947F61">
        <w:t>winsorizing</w:t>
      </w:r>
      <w:proofErr w:type="spellEnd"/>
      <w:r w:rsidRPr="00947F61">
        <w:t xml:space="preserve"> outliers (1%, 2%, 5%), and dropping internet bubble years (1999–2000) or dominant/minority sectors—preserve baseline stability.</w:t>
      </w:r>
    </w:p>
    <w:p w14:paraId="607E44A4" w14:textId="77777777" w:rsidR="00947F61" w:rsidRPr="00947F61" w:rsidRDefault="00947F61" w:rsidP="00947F61">
      <w:r w:rsidRPr="00947F61">
        <w:rPr>
          <w:b/>
          <w:bCs/>
        </w:rPr>
        <w:t>Takeaway:</w:t>
      </w:r>
      <w:r w:rsidRPr="00947F61">
        <w:t> Extensive econometric checks, including two-stage instrumental variable regressions, confirm that endogeneity and selection bias do not drive the dominant explanatory power of local executive experience.</w:t>
      </w:r>
    </w:p>
    <w:p w14:paraId="671C399E" w14:textId="77777777" w:rsidR="00947F61" w:rsidRPr="00947F61" w:rsidRDefault="00947F61" w:rsidP="00947F61">
      <w:r w:rsidRPr="00947F61">
        <w:t>Finally, we synthesize the major theoretical contributions and exam takeaways.</w:t>
      </w:r>
    </w:p>
    <w:p w14:paraId="40DB4DC5" w14:textId="77777777" w:rsidR="00947F61" w:rsidRPr="00947F61" w:rsidRDefault="00947F61" w:rsidP="00947F61">
      <w:pPr>
        <w:rPr>
          <w:b/>
          <w:bCs/>
        </w:rPr>
      </w:pPr>
      <w:r w:rsidRPr="00947F61">
        <w:rPr>
          <w:b/>
          <w:bCs/>
        </w:rPr>
        <w:t>7. Conclusions &amp; Core Exam Summary</w:t>
      </w:r>
    </w:p>
    <w:p w14:paraId="38436392" w14:textId="77777777" w:rsidR="00947F61" w:rsidRPr="00947F61" w:rsidRDefault="00947F61" w:rsidP="00947F61">
      <w:r w:rsidRPr="00947F61">
        <w:t>The findings of Wang &amp; Wang (2011) challenge standard venture capital paradigms by establishing the institutional boundary conditions of investor human capital. The study provides core insights into emerging market private equity dynamics, governance transitions, and cross-border capital flows.</w:t>
      </w:r>
    </w:p>
    <w:p w14:paraId="0C4FAC30" w14:textId="77777777" w:rsidR="00947F61" w:rsidRPr="00947F61" w:rsidRDefault="00947F61" w:rsidP="00947F61">
      <w:pPr>
        <w:numPr>
          <w:ilvl w:val="0"/>
          <w:numId w:val="9"/>
        </w:numPr>
      </w:pPr>
      <w:r w:rsidRPr="00947F61">
        <w:t>Theoretical Contribution: Venture capital human capital is market-specific rather than universally transferable across geographic and institutional boundaries.</w:t>
      </w:r>
    </w:p>
    <w:p w14:paraId="678D603D" w14:textId="77777777" w:rsidR="00947F61" w:rsidRPr="00947F61" w:rsidRDefault="00947F61" w:rsidP="00947F61">
      <w:pPr>
        <w:numPr>
          <w:ilvl w:val="0"/>
          <w:numId w:val="9"/>
        </w:numPr>
      </w:pPr>
      <w:r w:rsidRPr="00947F61">
        <w:t>Empirical Insight: Local executive capability (CEO General Experience, Special Experience as CEO, Special Experience as Manager) is the single most robust determinant of cross-border VC success and exit duration in emerging markets.</w:t>
      </w:r>
    </w:p>
    <w:p w14:paraId="35B1E3D8" w14:textId="77777777" w:rsidR="00947F61" w:rsidRPr="00947F61" w:rsidRDefault="00947F61" w:rsidP="00947F61">
      <w:pPr>
        <w:numPr>
          <w:ilvl w:val="0"/>
          <w:numId w:val="9"/>
        </w:numPr>
      </w:pPr>
      <w:r w:rsidRPr="00947F61">
        <w:t>Governance Transition: Modernizing corporate structure by replacing initial founders with experienced professional managers (Founder Departure Indicator) significantly increases exit feasibility.</w:t>
      </w:r>
    </w:p>
    <w:p w14:paraId="047EAD97" w14:textId="77777777" w:rsidR="00947F61" w:rsidRPr="00947F61" w:rsidRDefault="00947F61" w:rsidP="00947F61">
      <w:pPr>
        <w:numPr>
          <w:ilvl w:val="0"/>
          <w:numId w:val="9"/>
        </w:numPr>
      </w:pPr>
      <w:r w:rsidRPr="00947F61">
        <w:t>Exit Environment: Cross-border VCs operating in China during 1999–2006 relied heavily on offshore red-chip legal structures and overseas public markets to circumvent restrictive domestic listing regulations.</w:t>
      </w:r>
    </w:p>
    <w:p w14:paraId="54D466F3" w14:textId="2E22DC8B" w:rsidR="00947F61" w:rsidRDefault="00947F61">
      <w:r w:rsidRPr="00947F61">
        <w:rPr>
          <w:b/>
          <w:bCs/>
        </w:rPr>
        <w:t>Takeaway:</w:t>
      </w:r>
      <w:r w:rsidRPr="00947F61">
        <w:t xml:space="preserve"> Cross-border venture success in emerging economies depends on local operational leadership rather than foreign investor reputation or global experience. </w:t>
      </w:r>
      <w:r w:rsidRPr="00947F61">
        <w:lastRenderedPageBreak/>
        <w:t>International VC expansion strategies must prioritize investee managerial quality over legacy investor human capital.</w:t>
      </w:r>
    </w:p>
    <w:sectPr w:rsidR="00947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34E29"/>
    <w:multiLevelType w:val="multilevel"/>
    <w:tmpl w:val="A2C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A586E"/>
    <w:multiLevelType w:val="multilevel"/>
    <w:tmpl w:val="965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90BCF"/>
    <w:multiLevelType w:val="multilevel"/>
    <w:tmpl w:val="459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84FC8"/>
    <w:multiLevelType w:val="multilevel"/>
    <w:tmpl w:val="05C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C37FE"/>
    <w:multiLevelType w:val="multilevel"/>
    <w:tmpl w:val="A460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55FE0"/>
    <w:multiLevelType w:val="multilevel"/>
    <w:tmpl w:val="B34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360CC"/>
    <w:multiLevelType w:val="multilevel"/>
    <w:tmpl w:val="6D7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45FE9"/>
    <w:multiLevelType w:val="multilevel"/>
    <w:tmpl w:val="583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F1AFD"/>
    <w:multiLevelType w:val="multilevel"/>
    <w:tmpl w:val="341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707868">
    <w:abstractNumId w:val="5"/>
  </w:num>
  <w:num w:numId="2" w16cid:durableId="436485410">
    <w:abstractNumId w:val="2"/>
  </w:num>
  <w:num w:numId="3" w16cid:durableId="1118261138">
    <w:abstractNumId w:val="8"/>
  </w:num>
  <w:num w:numId="4" w16cid:durableId="400755854">
    <w:abstractNumId w:val="4"/>
  </w:num>
  <w:num w:numId="5" w16cid:durableId="1186990282">
    <w:abstractNumId w:val="3"/>
  </w:num>
  <w:num w:numId="6" w16cid:durableId="2025982155">
    <w:abstractNumId w:val="6"/>
  </w:num>
  <w:num w:numId="7" w16cid:durableId="1157920932">
    <w:abstractNumId w:val="0"/>
  </w:num>
  <w:num w:numId="8" w16cid:durableId="1669214334">
    <w:abstractNumId w:val="7"/>
  </w:num>
  <w:num w:numId="9" w16cid:durableId="15163114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61"/>
    <w:rsid w:val="0089238A"/>
    <w:rsid w:val="0094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E8D5F3"/>
  <w15:chartTrackingRefBased/>
  <w15:docId w15:val="{F122215A-CDFE-8844-AC37-F6C32E56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F61"/>
    <w:rPr>
      <w:rFonts w:eastAsiaTheme="majorEastAsia" w:cstheme="majorBidi"/>
      <w:color w:val="272727" w:themeColor="text1" w:themeTint="D8"/>
    </w:rPr>
  </w:style>
  <w:style w:type="paragraph" w:styleId="Title">
    <w:name w:val="Title"/>
    <w:basedOn w:val="Normal"/>
    <w:next w:val="Normal"/>
    <w:link w:val="TitleChar"/>
    <w:uiPriority w:val="10"/>
    <w:qFormat/>
    <w:rsid w:val="00947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F61"/>
    <w:pPr>
      <w:spacing w:before="160"/>
      <w:jc w:val="center"/>
    </w:pPr>
    <w:rPr>
      <w:i/>
      <w:iCs/>
      <w:color w:val="404040" w:themeColor="text1" w:themeTint="BF"/>
    </w:rPr>
  </w:style>
  <w:style w:type="character" w:customStyle="1" w:styleId="QuoteChar">
    <w:name w:val="Quote Char"/>
    <w:basedOn w:val="DefaultParagraphFont"/>
    <w:link w:val="Quote"/>
    <w:uiPriority w:val="29"/>
    <w:rsid w:val="00947F61"/>
    <w:rPr>
      <w:i/>
      <w:iCs/>
      <w:color w:val="404040" w:themeColor="text1" w:themeTint="BF"/>
    </w:rPr>
  </w:style>
  <w:style w:type="paragraph" w:styleId="ListParagraph">
    <w:name w:val="List Paragraph"/>
    <w:basedOn w:val="Normal"/>
    <w:uiPriority w:val="34"/>
    <w:qFormat/>
    <w:rsid w:val="00947F61"/>
    <w:pPr>
      <w:ind w:left="720"/>
      <w:contextualSpacing/>
    </w:pPr>
  </w:style>
  <w:style w:type="character" w:styleId="IntenseEmphasis">
    <w:name w:val="Intense Emphasis"/>
    <w:basedOn w:val="DefaultParagraphFont"/>
    <w:uiPriority w:val="21"/>
    <w:qFormat/>
    <w:rsid w:val="00947F61"/>
    <w:rPr>
      <w:i/>
      <w:iCs/>
      <w:color w:val="0F4761" w:themeColor="accent1" w:themeShade="BF"/>
    </w:rPr>
  </w:style>
  <w:style w:type="paragraph" w:styleId="IntenseQuote">
    <w:name w:val="Intense Quote"/>
    <w:basedOn w:val="Normal"/>
    <w:next w:val="Normal"/>
    <w:link w:val="IntenseQuoteChar"/>
    <w:uiPriority w:val="30"/>
    <w:qFormat/>
    <w:rsid w:val="00947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F61"/>
    <w:rPr>
      <w:i/>
      <w:iCs/>
      <w:color w:val="0F4761" w:themeColor="accent1" w:themeShade="BF"/>
    </w:rPr>
  </w:style>
  <w:style w:type="character" w:styleId="IntenseReference">
    <w:name w:val="Intense Reference"/>
    <w:basedOn w:val="DefaultParagraphFont"/>
    <w:uiPriority w:val="32"/>
    <w:qFormat/>
    <w:rsid w:val="00947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1989</Words>
  <Characters>11338</Characters>
  <Application>Microsoft Office Word</Application>
  <DocSecurity>0</DocSecurity>
  <Lines>94</Lines>
  <Paragraphs>26</Paragraphs>
  <ScaleCrop>false</ScaleCrop>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2026-09-26T16:56:00Z</dcterms:created>
  <dcterms:modified xsi:type="dcterms:W3CDTF">2026-09-26T16:59:00Z</dcterms:modified>
</cp:coreProperties>
</file>