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6ECA7E" w14:textId="77777777" w:rsidR="0046206D" w:rsidRPr="0046206D" w:rsidRDefault="0046206D" w:rsidP="0046206D">
      <w:r w:rsidRPr="0046206D">
        <w:t>Zhang, L., &amp; Zhang, X. (2022). The foreign experience and investment performance of venture capitalists. </w:t>
      </w:r>
      <w:r w:rsidRPr="0046206D">
        <w:rPr>
          <w:i/>
          <w:iCs/>
        </w:rPr>
        <w:t>Accounting &amp; Finance</w:t>
      </w:r>
      <w:r w:rsidRPr="0046206D">
        <w:t>, 62(1), 1675–1714. https://doi.org/10.1111/acfi.12836</w:t>
      </w:r>
    </w:p>
    <w:p w14:paraId="795AF812" w14:textId="77777777" w:rsidR="0046206D" w:rsidRPr="0046206D" w:rsidRDefault="0046206D" w:rsidP="0046206D">
      <w:pPr>
        <w:rPr>
          <w:b/>
          <w:bCs/>
        </w:rPr>
      </w:pPr>
      <w:r w:rsidRPr="0046206D">
        <w:rPr>
          <w:b/>
          <w:bCs/>
        </w:rPr>
        <w:t>Exam Study Summary: The Foreign Experience and Investment Performance of Venture Capitalists</w:t>
      </w:r>
    </w:p>
    <w:p w14:paraId="31EBC280" w14:textId="77777777" w:rsidR="0046206D" w:rsidRPr="0046206D" w:rsidRDefault="0046206D" w:rsidP="0046206D">
      <w:pPr>
        <w:rPr>
          <w:b/>
          <w:bCs/>
        </w:rPr>
      </w:pPr>
      <w:r w:rsidRPr="0046206D">
        <w:rPr>
          <w:b/>
          <w:bCs/>
        </w:rPr>
        <w:t>1. Introduction</w:t>
      </w:r>
    </w:p>
    <w:p w14:paraId="3C917AFF" w14:textId="77777777" w:rsidR="0046206D" w:rsidRPr="0046206D" w:rsidRDefault="0046206D" w:rsidP="0046206D">
      <w:r w:rsidRPr="0046206D">
        <w:t>In emerging market private equity, partner human capital exerts a paramount influence on investment returns relative to organizational structure. Evaluating whether cross-border experience enhances venture capital (VC) performance is central to financial economics, especially where Western professional norms contrast with local institutional frameworks.</w:t>
      </w:r>
    </w:p>
    <w:p w14:paraId="342861F4" w14:textId="77777777" w:rsidR="0046206D" w:rsidRPr="0046206D" w:rsidRDefault="0046206D" w:rsidP="0046206D">
      <w:pPr>
        <w:numPr>
          <w:ilvl w:val="0"/>
          <w:numId w:val="1"/>
        </w:numPr>
      </w:pPr>
      <w:r w:rsidRPr="0046206D">
        <w:rPr>
          <w:b/>
          <w:bCs/>
        </w:rPr>
        <w:t>Human Capital in Venture Capital</w:t>
      </w:r>
      <w:r w:rsidRPr="0046206D">
        <w:t> reflects individual partner expertise, proven two to five times more critical in explaining fund return variance than fund-level </w:t>
      </w:r>
      <w:proofErr w:type="spellStart"/>
      <w:r w:rsidRPr="0046206D">
        <w:rPr>
          <w:b/>
          <w:bCs/>
        </w:rPr>
        <w:t>Organisational</w:t>
      </w:r>
      <w:proofErr w:type="spellEnd"/>
      <w:r w:rsidRPr="0046206D">
        <w:rPr>
          <w:b/>
          <w:bCs/>
        </w:rPr>
        <w:t xml:space="preserve"> Capital</w:t>
      </w:r>
      <w:r w:rsidRPr="0046206D">
        <w:t>.</w:t>
      </w:r>
    </w:p>
    <w:p w14:paraId="0C4294E7" w14:textId="77777777" w:rsidR="0046206D" w:rsidRPr="0046206D" w:rsidRDefault="0046206D" w:rsidP="0046206D">
      <w:pPr>
        <w:numPr>
          <w:ilvl w:val="0"/>
          <w:numId w:val="1"/>
        </w:numPr>
      </w:pPr>
      <w:r w:rsidRPr="0046206D">
        <w:t>The core research question evaluates whether VCs with </w:t>
      </w:r>
      <w:r w:rsidRPr="0046206D">
        <w:rPr>
          <w:b/>
          <w:bCs/>
        </w:rPr>
        <w:t>Foreign Experience</w:t>
      </w:r>
      <w:r w:rsidRPr="0046206D">
        <w:t> outperform or underperform those with </w:t>
      </w:r>
      <w:r w:rsidRPr="0046206D">
        <w:rPr>
          <w:b/>
          <w:bCs/>
        </w:rPr>
        <w:t>Domestic Experience</w:t>
      </w:r>
      <w:r w:rsidRPr="0046206D">
        <w:t> in an emerging market setting (China, 2001–2012).</w:t>
      </w:r>
    </w:p>
    <w:p w14:paraId="71570B6D" w14:textId="77777777" w:rsidR="0046206D" w:rsidRPr="0046206D" w:rsidRDefault="0046206D" w:rsidP="0046206D">
      <w:pPr>
        <w:numPr>
          <w:ilvl w:val="0"/>
          <w:numId w:val="1"/>
        </w:numPr>
      </w:pPr>
      <w:r w:rsidRPr="0046206D">
        <w:t>Baseline empirical findings reveal that foreign-experienced VCs generate a </w:t>
      </w:r>
      <w:r w:rsidRPr="0046206D">
        <w:rPr>
          <w:b/>
          <w:bCs/>
        </w:rPr>
        <w:t>9.68 percent lower Internal Rate of Return (IRR)</w:t>
      </w:r>
      <w:r w:rsidRPr="0046206D">
        <w:t> and a </w:t>
      </w:r>
      <w:r w:rsidRPr="0046206D">
        <w:rPr>
          <w:b/>
          <w:bCs/>
        </w:rPr>
        <w:t>15.88 percent lower Return on Investment (ROI)</w:t>
      </w:r>
      <w:r w:rsidRPr="0046206D">
        <w:t> than domestic counterparts.</w:t>
      </w:r>
    </w:p>
    <w:p w14:paraId="335E4691" w14:textId="77777777" w:rsidR="0046206D" w:rsidRPr="0046206D" w:rsidRDefault="0046206D" w:rsidP="0046206D">
      <w:pPr>
        <w:numPr>
          <w:ilvl w:val="0"/>
          <w:numId w:val="1"/>
        </w:numPr>
      </w:pPr>
      <w:r w:rsidRPr="0046206D">
        <w:t>China's VC market, established in the mid-1980s, historically relied on foreign talent, creating an institutional environment characterized by informal relational networks.</w:t>
      </w:r>
    </w:p>
    <w:p w14:paraId="42C5E6CB" w14:textId="77777777" w:rsidR="0046206D" w:rsidRPr="0046206D" w:rsidRDefault="0046206D" w:rsidP="0046206D">
      <w:pPr>
        <w:numPr>
          <w:ilvl w:val="0"/>
          <w:numId w:val="1"/>
        </w:numPr>
      </w:pPr>
      <w:r w:rsidRPr="0046206D">
        <w:t>The primary explanatory channel reveals that socio-cultural friction, operationalized as </w:t>
      </w:r>
      <w:r w:rsidRPr="0046206D">
        <w:rPr>
          <w:b/>
          <w:bCs/>
        </w:rPr>
        <w:t>Cultural Distance</w:t>
      </w:r>
      <w:r w:rsidRPr="0046206D">
        <w:t>, drives underperformance via a post-investment </w:t>
      </w:r>
      <w:r w:rsidRPr="0046206D">
        <w:rPr>
          <w:b/>
          <w:bCs/>
        </w:rPr>
        <w:t>Treatment Effect</w:t>
      </w:r>
      <w:r w:rsidRPr="0046206D">
        <w:t> rather than a pre-investment </w:t>
      </w:r>
      <w:r w:rsidRPr="0046206D">
        <w:rPr>
          <w:b/>
          <w:bCs/>
        </w:rPr>
        <w:t>Selection Effect</w:t>
      </w:r>
      <w:r w:rsidRPr="0046206D">
        <w:t>.</w:t>
      </w:r>
    </w:p>
    <w:p w14:paraId="3D33C37A" w14:textId="77777777" w:rsidR="0046206D" w:rsidRPr="0046206D" w:rsidRDefault="0046206D" w:rsidP="0046206D">
      <w:r w:rsidRPr="0046206D">
        <w:rPr>
          <w:b/>
          <w:bCs/>
        </w:rPr>
        <w:t>Takeaway:</w:t>
      </w:r>
      <w:r w:rsidRPr="0046206D">
        <w:t> Venture capitalists with foreign experience in China systematically underperform domestic managers across return and exit benchmarks. This performance gap highlights that local institutional fluency outweighs international human capital advantages in emerging markets.</w:t>
      </w:r>
    </w:p>
    <w:p w14:paraId="05DEEEF9" w14:textId="77777777" w:rsidR="0046206D" w:rsidRPr="0046206D" w:rsidRDefault="0046206D" w:rsidP="0046206D">
      <w:r w:rsidRPr="0046206D">
        <w:t>This theoretical divide between international talent and local market alignment necessitates examining formal hypotheses.</w:t>
      </w:r>
    </w:p>
    <w:p w14:paraId="54827D27" w14:textId="77777777" w:rsidR="0046206D" w:rsidRPr="0046206D" w:rsidRDefault="0046206D" w:rsidP="0046206D">
      <w:pPr>
        <w:rPr>
          <w:b/>
          <w:bCs/>
        </w:rPr>
      </w:pPr>
      <w:r w:rsidRPr="0046206D">
        <w:rPr>
          <w:b/>
          <w:bCs/>
        </w:rPr>
        <w:t>2. Literature Review and Hypotheses</w:t>
      </w:r>
    </w:p>
    <w:p w14:paraId="2D0831F0" w14:textId="77777777" w:rsidR="0046206D" w:rsidRPr="0046206D" w:rsidRDefault="0046206D" w:rsidP="0046206D">
      <w:r w:rsidRPr="0046206D">
        <w:lastRenderedPageBreak/>
        <w:t>Financial economics literature contrasts international human capital benefits ("brain gain") against local institutional alignment advantages.</w:t>
      </w:r>
    </w:p>
    <w:p w14:paraId="2E7085D3" w14:textId="77777777" w:rsidR="0046206D" w:rsidRPr="0046206D" w:rsidRDefault="0046206D" w:rsidP="0046206D">
      <w:pPr>
        <w:rPr>
          <w:b/>
          <w:bCs/>
        </w:rPr>
      </w:pPr>
      <w:r w:rsidRPr="0046206D">
        <w:rPr>
          <w:b/>
          <w:bCs/>
        </w:rPr>
        <w:t>2.1 Foreign Experience, Cultural Distance and Investment Performance</w:t>
      </w:r>
    </w:p>
    <w:p w14:paraId="2DCACDFD" w14:textId="77777777" w:rsidR="0046206D" w:rsidRPr="0046206D" w:rsidRDefault="0046206D" w:rsidP="0046206D">
      <w:pPr>
        <w:numPr>
          <w:ilvl w:val="0"/>
          <w:numId w:val="2"/>
        </w:numPr>
      </w:pPr>
      <w:r w:rsidRPr="0046206D">
        <w:t>Supporting arguments cite advanced </w:t>
      </w:r>
      <w:r w:rsidRPr="0046206D">
        <w:rPr>
          <w:b/>
          <w:bCs/>
        </w:rPr>
        <w:t>Management Practices</w:t>
      </w:r>
      <w:r w:rsidRPr="0046206D">
        <w:t>, overseas syndication networks (</w:t>
      </w:r>
      <w:r w:rsidRPr="0046206D">
        <w:rPr>
          <w:b/>
          <w:bCs/>
        </w:rPr>
        <w:t>Brain Gain</w:t>
      </w:r>
      <w:r w:rsidRPr="0046206D">
        <w:t>), and accelerated portfolio firm internationalization.</w:t>
      </w:r>
    </w:p>
    <w:p w14:paraId="584D30AF" w14:textId="77777777" w:rsidR="0046206D" w:rsidRPr="0046206D" w:rsidRDefault="0046206D" w:rsidP="0046206D">
      <w:pPr>
        <w:numPr>
          <w:ilvl w:val="0"/>
          <w:numId w:val="2"/>
        </w:numPr>
      </w:pPr>
      <w:r w:rsidRPr="0046206D">
        <w:t>Counterarguments emphasize reduced information costs, behavioral alignment with local </w:t>
      </w:r>
      <w:r w:rsidRPr="0046206D">
        <w:rPr>
          <w:b/>
          <w:bCs/>
        </w:rPr>
        <w:t>Collectivistic Culture</w:t>
      </w:r>
      <w:r w:rsidRPr="0046206D">
        <w:t>, and navigating informal regulatory frameworks (e.g., CSRC IPO rules, Confucian norms).</w:t>
      </w:r>
    </w:p>
    <w:p w14:paraId="2451983F" w14:textId="77777777" w:rsidR="0046206D" w:rsidRPr="0046206D" w:rsidRDefault="0046206D" w:rsidP="0046206D">
      <w:pPr>
        <w:numPr>
          <w:ilvl w:val="0"/>
          <w:numId w:val="2"/>
        </w:numPr>
      </w:pPr>
      <w:r w:rsidRPr="0046206D">
        <w:rPr>
          <w:b/>
          <w:bCs/>
        </w:rPr>
        <w:t>Hypothesis 1 (H1)</w:t>
      </w:r>
      <w:r w:rsidRPr="0046206D">
        <w:t>: Ceteris paribus, VCs with foreign experience yield worse investment performance than those with domestic experience.</w:t>
      </w:r>
    </w:p>
    <w:p w14:paraId="694A673A" w14:textId="77777777" w:rsidR="0046206D" w:rsidRPr="0046206D" w:rsidRDefault="0046206D" w:rsidP="0046206D">
      <w:pPr>
        <w:numPr>
          <w:ilvl w:val="0"/>
          <w:numId w:val="2"/>
        </w:numPr>
      </w:pPr>
      <w:r w:rsidRPr="0046206D">
        <w:rPr>
          <w:b/>
          <w:bCs/>
        </w:rPr>
        <w:t>Hypothesis 2 (H2)</w:t>
      </w:r>
      <w:r w:rsidRPr="0046206D">
        <w:t>: Ceteris paribus, VC investment performance decreases as cultural distance between foreign experience countries and China increases.</w:t>
      </w:r>
    </w:p>
    <w:p w14:paraId="6666FAB4" w14:textId="77777777" w:rsidR="0046206D" w:rsidRPr="0046206D" w:rsidRDefault="0046206D" w:rsidP="0046206D">
      <w:r w:rsidRPr="0046206D">
        <w:rPr>
          <w:b/>
          <w:bCs/>
        </w:rPr>
        <w:t>Takeaway:</w:t>
      </w:r>
      <w:r w:rsidRPr="0046206D">
        <w:t> Although foreign human capital introduces modern operational practices, local cultural alignment and institutional familiarity yield superior investment performance in emerging markets.</w:t>
      </w:r>
    </w:p>
    <w:p w14:paraId="17ACB50B" w14:textId="77777777" w:rsidR="0046206D" w:rsidRPr="0046206D" w:rsidRDefault="0046206D" w:rsidP="0046206D">
      <w:pPr>
        <w:rPr>
          <w:b/>
          <w:bCs/>
        </w:rPr>
      </w:pPr>
      <w:r w:rsidRPr="0046206D">
        <w:rPr>
          <w:b/>
          <w:bCs/>
        </w:rPr>
        <w:t>2.2 Foreign Experience and Investment Strategies</w:t>
      </w:r>
    </w:p>
    <w:p w14:paraId="57AA1ED1" w14:textId="77777777" w:rsidR="0046206D" w:rsidRPr="0046206D" w:rsidRDefault="0046206D" w:rsidP="0046206D">
      <w:pPr>
        <w:numPr>
          <w:ilvl w:val="0"/>
          <w:numId w:val="3"/>
        </w:numPr>
      </w:pPr>
      <w:r w:rsidRPr="0046206D">
        <w:t>Cultural distance elevates transaction costs, reduces trust, and induces risk-averse investment choices among cross-border managers.</w:t>
      </w:r>
    </w:p>
    <w:p w14:paraId="346D1E21" w14:textId="77777777" w:rsidR="0046206D" w:rsidRPr="0046206D" w:rsidRDefault="0046206D" w:rsidP="0046206D">
      <w:pPr>
        <w:numPr>
          <w:ilvl w:val="0"/>
          <w:numId w:val="3"/>
        </w:numPr>
      </w:pPr>
      <w:r w:rsidRPr="0046206D">
        <w:t>Local VCs execute aggressive, exclusive strategies, whereas foreign-experienced VCs adopt </w:t>
      </w:r>
      <w:r w:rsidRPr="0046206D">
        <w:rPr>
          <w:b/>
          <w:bCs/>
        </w:rPr>
        <w:t>Prudent Investing Strategies</w:t>
      </w:r>
      <w:r w:rsidRPr="0046206D">
        <w:t> (syndicated risk-sharing and multistage staging).</w:t>
      </w:r>
    </w:p>
    <w:p w14:paraId="5929A889" w14:textId="77777777" w:rsidR="0046206D" w:rsidRPr="0046206D" w:rsidRDefault="0046206D" w:rsidP="0046206D">
      <w:pPr>
        <w:numPr>
          <w:ilvl w:val="0"/>
          <w:numId w:val="3"/>
        </w:numPr>
      </w:pPr>
      <w:r w:rsidRPr="0046206D">
        <w:t>Post-investment corporate governance relies on active monitoring through formal </w:t>
      </w:r>
      <w:r w:rsidRPr="0046206D">
        <w:rPr>
          <w:b/>
          <w:bCs/>
        </w:rPr>
        <w:t>Board Participation</w:t>
      </w:r>
      <w:r w:rsidRPr="0046206D">
        <w:t> by holding a </w:t>
      </w:r>
      <w:proofErr w:type="gramStart"/>
      <w:r w:rsidRPr="0046206D">
        <w:rPr>
          <w:b/>
          <w:bCs/>
        </w:rPr>
        <w:t>Director</w:t>
      </w:r>
      <w:proofErr w:type="gramEnd"/>
      <w:r w:rsidRPr="0046206D">
        <w:t> seat on portfolio company boards.</w:t>
      </w:r>
    </w:p>
    <w:p w14:paraId="2E3373BA" w14:textId="77777777" w:rsidR="0046206D" w:rsidRPr="0046206D" w:rsidRDefault="0046206D" w:rsidP="0046206D">
      <w:pPr>
        <w:numPr>
          <w:ilvl w:val="0"/>
          <w:numId w:val="3"/>
        </w:numPr>
      </w:pPr>
      <w:r w:rsidRPr="0046206D">
        <w:rPr>
          <w:b/>
          <w:bCs/>
        </w:rPr>
        <w:t>Hypothesis 3 (H3)</w:t>
      </w:r>
      <w:r w:rsidRPr="0046206D">
        <w:t>: Ceteris paribus, VCs with foreign experience execute more prudent pre-investment strategies but exercise less post-investment supervision.</w:t>
      </w:r>
    </w:p>
    <w:p w14:paraId="06EB65E3" w14:textId="77777777" w:rsidR="0046206D" w:rsidRPr="0046206D" w:rsidRDefault="0046206D" w:rsidP="0046206D">
      <w:r w:rsidRPr="0046206D">
        <w:rPr>
          <w:b/>
          <w:bCs/>
        </w:rPr>
        <w:t>Takeaway:</w:t>
      </w:r>
      <w:r w:rsidRPr="0046206D">
        <w:t> Cross-border VCs substitute direct post-investment board governance with pre-investment contractual risk-hedging to mitigate cultural friction and informational asymmetries.</w:t>
      </w:r>
    </w:p>
    <w:p w14:paraId="0FB07B9A" w14:textId="77777777" w:rsidR="0046206D" w:rsidRPr="0046206D" w:rsidRDefault="0046206D" w:rsidP="0046206D">
      <w:r w:rsidRPr="0046206D">
        <w:t>To test these theoretical predictions, the authors assemble a multi-level transaction dataset.</w:t>
      </w:r>
    </w:p>
    <w:p w14:paraId="00827706" w14:textId="77777777" w:rsidR="0046206D" w:rsidRPr="0046206D" w:rsidRDefault="0046206D" w:rsidP="0046206D">
      <w:pPr>
        <w:rPr>
          <w:b/>
          <w:bCs/>
        </w:rPr>
      </w:pPr>
      <w:r w:rsidRPr="0046206D">
        <w:rPr>
          <w:b/>
          <w:bCs/>
        </w:rPr>
        <w:t>3. Materials and Methods</w:t>
      </w:r>
    </w:p>
    <w:p w14:paraId="281CDDE0" w14:textId="77777777" w:rsidR="0046206D" w:rsidRPr="0046206D" w:rsidRDefault="0046206D" w:rsidP="0046206D">
      <w:r w:rsidRPr="0046206D">
        <w:lastRenderedPageBreak/>
        <w:t>The empirical methodology pairs manager background data with transaction logs to evaluate performance across manager and deal units.</w:t>
      </w:r>
    </w:p>
    <w:p w14:paraId="767892CB" w14:textId="77777777" w:rsidR="0046206D" w:rsidRPr="0046206D" w:rsidRDefault="0046206D" w:rsidP="0046206D">
      <w:pPr>
        <w:rPr>
          <w:b/>
          <w:bCs/>
        </w:rPr>
      </w:pPr>
      <w:r w:rsidRPr="0046206D">
        <w:rPr>
          <w:b/>
          <w:bCs/>
        </w:rPr>
        <w:t>3.1 Data Sources, Sample Construction, and Variable Identification</w:t>
      </w:r>
    </w:p>
    <w:p w14:paraId="0AA478D6" w14:textId="77777777" w:rsidR="0046206D" w:rsidRPr="0046206D" w:rsidRDefault="0046206D" w:rsidP="0046206D">
      <w:pPr>
        <w:numPr>
          <w:ilvl w:val="0"/>
          <w:numId w:val="4"/>
        </w:numPr>
      </w:pPr>
      <w:r w:rsidRPr="0046206D">
        <w:t>Sourced from the </w:t>
      </w:r>
      <w:proofErr w:type="spellStart"/>
      <w:r w:rsidRPr="0046206D">
        <w:rPr>
          <w:b/>
          <w:bCs/>
        </w:rPr>
        <w:t>CVSource</w:t>
      </w:r>
      <w:proofErr w:type="spellEnd"/>
      <w:r w:rsidRPr="0046206D">
        <w:rPr>
          <w:b/>
          <w:bCs/>
        </w:rPr>
        <w:t xml:space="preserve"> database</w:t>
      </w:r>
      <w:r w:rsidRPr="0046206D">
        <w:t> (2001–2012 deal window; 5-year exit horizon), the sample yields 10,253 deal events, 4,671 portfolio firms, 859 VC institutions, and 2,133 unique VCs.</w:t>
      </w:r>
    </w:p>
    <w:p w14:paraId="62BC6801" w14:textId="77777777" w:rsidR="0046206D" w:rsidRPr="0046206D" w:rsidRDefault="0046206D" w:rsidP="0046206D">
      <w:pPr>
        <w:numPr>
          <w:ilvl w:val="0"/>
          <w:numId w:val="4"/>
        </w:numPr>
      </w:pPr>
      <w:r w:rsidRPr="0046206D">
        <w:t>Key binary variable </w:t>
      </w:r>
      <w:r w:rsidRPr="0046206D">
        <w:rPr>
          <w:b/>
          <w:bCs/>
        </w:rPr>
        <w:t>Overseas</w:t>
      </w:r>
      <w:r w:rsidRPr="0046206D">
        <w:t> equals 1 for VCs with foreign university education (</w:t>
      </w:r>
      <w:proofErr w:type="spellStart"/>
      <w:r w:rsidRPr="0046206D">
        <w:rPr>
          <w:b/>
          <w:bCs/>
        </w:rPr>
        <w:t>Overseas_study</w:t>
      </w:r>
      <w:proofErr w:type="spellEnd"/>
      <w:r w:rsidRPr="0046206D">
        <w:t>) or work experience (</w:t>
      </w:r>
      <w:proofErr w:type="spellStart"/>
      <w:r w:rsidRPr="0046206D">
        <w:rPr>
          <w:b/>
          <w:bCs/>
        </w:rPr>
        <w:t>Overseas_work</w:t>
      </w:r>
      <w:proofErr w:type="spellEnd"/>
      <w:r w:rsidRPr="0046206D">
        <w:t>), excluding domestic branches of foreign firms, and 0 otherwise.</w:t>
      </w:r>
    </w:p>
    <w:p w14:paraId="70EEEC64" w14:textId="77777777" w:rsidR="0046206D" w:rsidRPr="0046206D" w:rsidRDefault="0046206D" w:rsidP="0046206D">
      <w:pPr>
        <w:numPr>
          <w:ilvl w:val="0"/>
          <w:numId w:val="4"/>
        </w:numPr>
      </w:pPr>
      <w:r w:rsidRPr="0046206D">
        <w:t>Metrics include weighted average </w:t>
      </w:r>
      <w:proofErr w:type="spellStart"/>
      <w:r w:rsidRPr="0046206D">
        <w:rPr>
          <w:b/>
          <w:bCs/>
        </w:rPr>
        <w:t>IRR_Ave</w:t>
      </w:r>
      <w:proofErr w:type="spellEnd"/>
      <w:r w:rsidRPr="0046206D">
        <w:t>, weighted average </w:t>
      </w:r>
      <w:proofErr w:type="spellStart"/>
      <w:r w:rsidRPr="0046206D">
        <w:rPr>
          <w:b/>
          <w:bCs/>
        </w:rPr>
        <w:t>ROI_Ave</w:t>
      </w:r>
      <w:proofErr w:type="spellEnd"/>
      <w:r w:rsidRPr="0046206D">
        <w:t>, and </w:t>
      </w:r>
      <w:r w:rsidRPr="0046206D">
        <w:rPr>
          <w:b/>
          <w:bCs/>
        </w:rPr>
        <w:t>IPO Rate (</w:t>
      </w:r>
      <w:proofErr w:type="spellStart"/>
      <w:r w:rsidRPr="0046206D">
        <w:rPr>
          <w:b/>
          <w:bCs/>
        </w:rPr>
        <w:t>IPOrate</w:t>
      </w:r>
      <w:proofErr w:type="spellEnd"/>
      <w:r w:rsidRPr="0046206D">
        <w:rPr>
          <w:b/>
          <w:bCs/>
        </w:rPr>
        <w:t>)</w:t>
      </w:r>
      <w:r w:rsidRPr="0046206D">
        <w:t>, log-transformed as \</w:t>
      </w:r>
      <w:proofErr w:type="gramStart"/>
      <w:r w:rsidRPr="0046206D">
        <w:t>ln(</w:t>
      </w:r>
      <w:proofErr w:type="gramEnd"/>
      <w:r w:rsidRPr="0046206D">
        <w:t>1 + \</w:t>
      </w:r>
      <w:proofErr w:type="gramStart"/>
      <w:r w:rsidRPr="0046206D">
        <w:t>text{</w:t>
      </w:r>
      <w:proofErr w:type="gramEnd"/>
      <w:r w:rsidRPr="0046206D">
        <w:t>IRR\_Ave}) and \</w:t>
      </w:r>
      <w:proofErr w:type="gramStart"/>
      <w:r w:rsidRPr="0046206D">
        <w:t>ln(</w:t>
      </w:r>
      <w:proofErr w:type="gramEnd"/>
      <w:r w:rsidRPr="0046206D">
        <w:t>1 + \</w:t>
      </w:r>
      <w:proofErr w:type="gramStart"/>
      <w:r w:rsidRPr="0046206D">
        <w:t>text{</w:t>
      </w:r>
      <w:proofErr w:type="gramEnd"/>
      <w:r w:rsidRPr="0046206D">
        <w:t>ROI\_Ave}) where adding 1 prevents log-undefined values for zero or negative returns.</w:t>
      </w:r>
    </w:p>
    <w:p w14:paraId="18EFA61A" w14:textId="77777777" w:rsidR="0046206D" w:rsidRPr="0046206D" w:rsidRDefault="0046206D" w:rsidP="0046206D">
      <w:pPr>
        <w:numPr>
          <w:ilvl w:val="0"/>
          <w:numId w:val="4"/>
        </w:numPr>
      </w:pPr>
      <w:r w:rsidRPr="0046206D">
        <w:t>Controls include demographics, fund attributes, and deal traits: </w:t>
      </w:r>
      <w:r w:rsidRPr="0046206D">
        <w:rPr>
          <w:b/>
          <w:bCs/>
        </w:rPr>
        <w:t>Gender</w:t>
      </w:r>
      <w:r w:rsidRPr="0046206D">
        <w:t>, </w:t>
      </w:r>
      <w:proofErr w:type="spellStart"/>
      <w:r w:rsidRPr="0046206D">
        <w:rPr>
          <w:b/>
          <w:bCs/>
        </w:rPr>
        <w:t>Edu_Master</w:t>
      </w:r>
      <w:proofErr w:type="spellEnd"/>
      <w:r w:rsidRPr="0046206D">
        <w:t>, </w:t>
      </w:r>
      <w:proofErr w:type="spellStart"/>
      <w:r w:rsidRPr="0046206D">
        <w:rPr>
          <w:b/>
          <w:bCs/>
        </w:rPr>
        <w:t>Edu_Phd</w:t>
      </w:r>
      <w:proofErr w:type="spellEnd"/>
      <w:r w:rsidRPr="0046206D">
        <w:t>, deal count (</w:t>
      </w:r>
      <w:r w:rsidRPr="0046206D">
        <w:rPr>
          <w:b/>
          <w:bCs/>
        </w:rPr>
        <w:t>Experience</w:t>
      </w:r>
      <w:r w:rsidRPr="0046206D">
        <w:t>), mainland fund backing (</w:t>
      </w:r>
      <w:proofErr w:type="spellStart"/>
      <w:r w:rsidRPr="0046206D">
        <w:rPr>
          <w:b/>
          <w:bCs/>
        </w:rPr>
        <w:t>VC_Mainland</w:t>
      </w:r>
      <w:proofErr w:type="spellEnd"/>
      <w:r w:rsidRPr="0046206D">
        <w:t>), firm age (</w:t>
      </w:r>
      <w:proofErr w:type="spellStart"/>
      <w:r w:rsidRPr="0046206D">
        <w:rPr>
          <w:b/>
          <w:bCs/>
        </w:rPr>
        <w:t>Comp_Age</w:t>
      </w:r>
      <w:proofErr w:type="spellEnd"/>
      <w:r w:rsidRPr="0046206D">
        <w:t>), holding period (</w:t>
      </w:r>
      <w:proofErr w:type="gramStart"/>
      <w:r w:rsidRPr="0046206D">
        <w:rPr>
          <w:b/>
          <w:bCs/>
        </w:rPr>
        <w:t>Ln(</w:t>
      </w:r>
      <w:proofErr w:type="gramEnd"/>
      <w:r w:rsidRPr="0046206D">
        <w:rPr>
          <w:b/>
          <w:bCs/>
        </w:rPr>
        <w:t>Duration)</w:t>
      </w:r>
      <w:r w:rsidRPr="0046206D">
        <w:t>), </w:t>
      </w:r>
      <w:r w:rsidRPr="0046206D">
        <w:rPr>
          <w:b/>
          <w:bCs/>
        </w:rPr>
        <w:t>City</w:t>
      </w:r>
      <w:r w:rsidRPr="0046206D">
        <w:t>, and </w:t>
      </w:r>
      <w:r w:rsidRPr="0046206D">
        <w:rPr>
          <w:b/>
          <w:bCs/>
        </w:rPr>
        <w:t>Industry</w:t>
      </w:r>
      <w:r w:rsidRPr="0046206D">
        <w:t>.</w:t>
      </w:r>
    </w:p>
    <w:p w14:paraId="3CC3EAF8" w14:textId="77777777" w:rsidR="0046206D" w:rsidRPr="0046206D" w:rsidRDefault="0046206D" w:rsidP="0046206D">
      <w:r w:rsidRPr="0046206D">
        <w:rPr>
          <w:b/>
          <w:bCs/>
        </w:rPr>
        <w:t>Takeaway:</w:t>
      </w:r>
      <w:r w:rsidRPr="0046206D">
        <w:t> The empirical framework controls for manager demographics, fund attributes, and firm parameters to isolate the net performance effect of foreign experience.</w:t>
      </w:r>
    </w:p>
    <w:p w14:paraId="4319F66C" w14:textId="77777777" w:rsidR="0046206D" w:rsidRPr="0046206D" w:rsidRDefault="0046206D" w:rsidP="0046206D">
      <w:pPr>
        <w:rPr>
          <w:b/>
          <w:bCs/>
        </w:rPr>
      </w:pPr>
      <w:r w:rsidRPr="0046206D">
        <w:rPr>
          <w:b/>
          <w:bCs/>
        </w:rPr>
        <w:t>3.2 Descriptive Statistics</w:t>
      </w:r>
    </w:p>
    <w:p w14:paraId="560F6E44" w14:textId="77777777" w:rsidR="0046206D" w:rsidRPr="0046206D" w:rsidRDefault="0046206D" w:rsidP="0046206D">
      <w:pPr>
        <w:numPr>
          <w:ilvl w:val="0"/>
          <w:numId w:val="5"/>
        </w:numPr>
      </w:pPr>
      <w:r w:rsidRPr="0046206D">
        <w:t xml:space="preserve">Full-sample baseline averages report </w:t>
      </w:r>
      <w:proofErr w:type="gramStart"/>
      <w:r w:rsidRPr="0046206D">
        <w:t>mean</w:t>
      </w:r>
      <w:proofErr w:type="gramEnd"/>
      <w:r w:rsidRPr="0046206D">
        <w:t xml:space="preserve"> </w:t>
      </w:r>
      <w:proofErr w:type="spellStart"/>
      <w:r w:rsidRPr="0046206D">
        <w:t>IRR_Ave</w:t>
      </w:r>
      <w:proofErr w:type="spellEnd"/>
      <w:r w:rsidRPr="0046206D">
        <w:t xml:space="preserve"> of 50.28%, mean </w:t>
      </w:r>
      <w:proofErr w:type="spellStart"/>
      <w:r w:rsidRPr="0046206D">
        <w:t>ROI_Ave</w:t>
      </w:r>
      <w:proofErr w:type="spellEnd"/>
      <w:r w:rsidRPr="0046206D">
        <w:t xml:space="preserve"> of 70.84%, mean </w:t>
      </w:r>
      <w:proofErr w:type="spellStart"/>
      <w:r w:rsidRPr="0046206D">
        <w:t>IPOrate</w:t>
      </w:r>
      <w:proofErr w:type="spellEnd"/>
      <w:r w:rsidRPr="0046206D">
        <w:t xml:space="preserve"> of 32.33%, and an Overseas manager proportion of 46.23%.</w:t>
      </w:r>
    </w:p>
    <w:p w14:paraId="29060929" w14:textId="77777777" w:rsidR="0046206D" w:rsidRPr="0046206D" w:rsidRDefault="0046206D" w:rsidP="0046206D">
      <w:pPr>
        <w:numPr>
          <w:ilvl w:val="0"/>
          <w:numId w:val="5"/>
        </w:numPr>
      </w:pPr>
      <w:r w:rsidRPr="0046206D">
        <w:t>Sub-samples show foreign-experienced VCs generate lower average IRR (48.87% vs. 51.44%), lower average ROI (62.51% vs. 77.82%), and lower IPO rates (28.56% vs. 35.57%) than domestic VCs.</w:t>
      </w:r>
    </w:p>
    <w:p w14:paraId="679A374B" w14:textId="77777777" w:rsidR="0046206D" w:rsidRPr="0046206D" w:rsidRDefault="0046206D" w:rsidP="0046206D">
      <w:pPr>
        <w:numPr>
          <w:ilvl w:val="0"/>
          <w:numId w:val="5"/>
        </w:numPr>
      </w:pPr>
      <w:r w:rsidRPr="0046206D">
        <w:t>Baseline deal strategies show 31.59% use </w:t>
      </w:r>
      <w:r w:rsidRPr="0046206D">
        <w:rPr>
          <w:b/>
          <w:bCs/>
        </w:rPr>
        <w:t>Multistage Investment</w:t>
      </w:r>
      <w:r w:rsidRPr="0046206D">
        <w:t>, 49.49% use </w:t>
      </w:r>
      <w:r w:rsidRPr="0046206D">
        <w:rPr>
          <w:b/>
          <w:bCs/>
        </w:rPr>
        <w:t>Syndicated Investment</w:t>
      </w:r>
      <w:r w:rsidRPr="0046206D">
        <w:t>, 78.19% involve a </w:t>
      </w:r>
      <w:r w:rsidRPr="0046206D">
        <w:rPr>
          <w:b/>
          <w:bCs/>
        </w:rPr>
        <w:t>Lead Investor</w:t>
      </w:r>
      <w:r w:rsidRPr="0046206D">
        <w:t>, and 49.05% secure Board Participation (Director seats).</w:t>
      </w:r>
    </w:p>
    <w:p w14:paraId="22482A70" w14:textId="77777777" w:rsidR="0046206D" w:rsidRPr="0046206D" w:rsidRDefault="0046206D" w:rsidP="0046206D">
      <w:r w:rsidRPr="0046206D">
        <w:rPr>
          <w:b/>
          <w:bCs/>
        </w:rPr>
        <w:t>Takeaway:</w:t>
      </w:r>
      <w:r w:rsidRPr="0046206D">
        <w:t> Summary statistics consistently document an empirical underperformance deficit for foreign-experienced VCs across financial return and IPO exit benchmarks.</w:t>
      </w:r>
    </w:p>
    <w:p w14:paraId="4590DDA2" w14:textId="77777777" w:rsidR="0046206D" w:rsidRPr="0046206D" w:rsidRDefault="0046206D" w:rsidP="0046206D">
      <w:r w:rsidRPr="0046206D">
        <w:t>The analysis advances to econometric testing to verify statistical significance and causality.</w:t>
      </w:r>
    </w:p>
    <w:p w14:paraId="61936C9C" w14:textId="77777777" w:rsidR="0046206D" w:rsidRPr="0046206D" w:rsidRDefault="0046206D" w:rsidP="0046206D">
      <w:pPr>
        <w:rPr>
          <w:b/>
          <w:bCs/>
        </w:rPr>
      </w:pPr>
      <w:r w:rsidRPr="0046206D">
        <w:rPr>
          <w:b/>
          <w:bCs/>
        </w:rPr>
        <w:lastRenderedPageBreak/>
        <w:t>4. Empirical Results</w:t>
      </w:r>
    </w:p>
    <w:p w14:paraId="6FBA97ED" w14:textId="77777777" w:rsidR="0046206D" w:rsidRPr="0046206D" w:rsidRDefault="0046206D" w:rsidP="0046206D">
      <w:r w:rsidRPr="0046206D">
        <w:t>The empirical framework applies OLS regressions, matched samples, and strategy Probit models to eliminate econometric biases.</w:t>
      </w:r>
    </w:p>
    <w:p w14:paraId="64635795" w14:textId="77777777" w:rsidR="0046206D" w:rsidRPr="0046206D" w:rsidRDefault="0046206D" w:rsidP="0046206D">
      <w:pPr>
        <w:rPr>
          <w:b/>
          <w:bCs/>
        </w:rPr>
      </w:pPr>
      <w:r w:rsidRPr="0046206D">
        <w:rPr>
          <w:b/>
          <w:bCs/>
        </w:rPr>
        <w:t>4.1 Baseline Regressions and Robustness Checks</w:t>
      </w:r>
    </w:p>
    <w:p w14:paraId="5223CBF7" w14:textId="77777777" w:rsidR="0046206D" w:rsidRPr="0046206D" w:rsidRDefault="0046206D" w:rsidP="0046206D">
      <w:pPr>
        <w:numPr>
          <w:ilvl w:val="0"/>
          <w:numId w:val="6"/>
        </w:numPr>
      </w:pPr>
      <w:r w:rsidRPr="0046206D">
        <w:t>VC-level OLS regressions confirm Overseas is negative and statistically significant, yielding a 9.68% IRR reduction and 15.88% ROI reduction after applying </w:t>
      </w:r>
      <w:proofErr w:type="spellStart"/>
      <w:r w:rsidRPr="0046206D">
        <w:rPr>
          <w:b/>
          <w:bCs/>
        </w:rPr>
        <w:t>Winsorisation</w:t>
      </w:r>
      <w:proofErr w:type="spellEnd"/>
      <w:r w:rsidRPr="0046206D">
        <w:t xml:space="preserve"> (and 4.87–5.37% lower </w:t>
      </w:r>
      <w:proofErr w:type="spellStart"/>
      <w:r w:rsidRPr="0046206D">
        <w:t>IPOrate</w:t>
      </w:r>
      <w:proofErr w:type="spellEnd"/>
      <w:r w:rsidRPr="0046206D">
        <w:t>).</w:t>
      </w:r>
    </w:p>
    <w:p w14:paraId="42549E98" w14:textId="77777777" w:rsidR="0046206D" w:rsidRPr="0046206D" w:rsidRDefault="0046206D" w:rsidP="0046206D">
      <w:pPr>
        <w:numPr>
          <w:ilvl w:val="0"/>
          <w:numId w:val="6"/>
        </w:numPr>
      </w:pPr>
      <w:r w:rsidRPr="0046206D">
        <w:t>Deal-level regressions show foreign experience correlates with a 6.68% lower deal IRR, 11.48% lower deal ROI, and a statistically significant reduction in the log-odds of exiting via IPO (\beta = -0.2354 to -0.2551 in Probit specifications for </w:t>
      </w:r>
      <w:r w:rsidRPr="0046206D">
        <w:rPr>
          <w:b/>
          <w:bCs/>
        </w:rPr>
        <w:t>IPO</w:t>
      </w:r>
      <w:r w:rsidRPr="0046206D">
        <w:t>).</w:t>
      </w:r>
    </w:p>
    <w:p w14:paraId="4354FB38" w14:textId="77777777" w:rsidR="0046206D" w:rsidRPr="0046206D" w:rsidRDefault="0046206D" w:rsidP="0046206D">
      <w:pPr>
        <w:numPr>
          <w:ilvl w:val="0"/>
          <w:numId w:val="6"/>
        </w:numPr>
      </w:pPr>
      <w:r w:rsidRPr="0046206D">
        <w:t>Domestic fund testing (</w:t>
      </w:r>
      <w:proofErr w:type="spellStart"/>
      <w:r w:rsidRPr="0046206D">
        <w:t>VC_Mainland</w:t>
      </w:r>
      <w:proofErr w:type="spellEnd"/>
      <w:r w:rsidRPr="0046206D">
        <w:t>) confirms underperformance (13.40% IRR and 15.95% ROI reductions) is driven by partner human capital rather than fund-level organizational capital omissions.</w:t>
      </w:r>
    </w:p>
    <w:p w14:paraId="2E36708E" w14:textId="77777777" w:rsidR="0046206D" w:rsidRPr="0046206D" w:rsidRDefault="0046206D" w:rsidP="0046206D">
      <w:pPr>
        <w:numPr>
          <w:ilvl w:val="0"/>
          <w:numId w:val="6"/>
        </w:numPr>
      </w:pPr>
      <w:r w:rsidRPr="0046206D">
        <w:t xml:space="preserve">Experience disaggregation reveals </w:t>
      </w:r>
      <w:proofErr w:type="spellStart"/>
      <w:r w:rsidRPr="0046206D">
        <w:t>Overseas_work</w:t>
      </w:r>
      <w:proofErr w:type="spellEnd"/>
      <w:r w:rsidRPr="0046206D">
        <w:t xml:space="preserve"> exerts a statistically significant negative effect on performance, whereas </w:t>
      </w:r>
      <w:proofErr w:type="spellStart"/>
      <w:proofErr w:type="gramStart"/>
      <w:r w:rsidRPr="0046206D">
        <w:t>Overseas</w:t>
      </w:r>
      <w:proofErr w:type="gramEnd"/>
      <w:r w:rsidRPr="0046206D">
        <w:t>_study</w:t>
      </w:r>
      <w:proofErr w:type="spellEnd"/>
      <w:r w:rsidRPr="0046206D">
        <w:t xml:space="preserve"> is statistically insignificant; foreign work imprints rigid operational routines creating local friction, whereas foreign study is pedagogical.</w:t>
      </w:r>
    </w:p>
    <w:p w14:paraId="7988CFEC" w14:textId="77777777" w:rsidR="0046206D" w:rsidRPr="0046206D" w:rsidRDefault="0046206D" w:rsidP="0046206D">
      <w:r w:rsidRPr="0046206D">
        <w:rPr>
          <w:b/>
          <w:bCs/>
        </w:rPr>
        <w:t>Takeaway:</w:t>
      </w:r>
      <w:r w:rsidRPr="0046206D">
        <w:t> Baseline econometrics validate Hypothesis H1, proving that individual foreign professional work experience negatively impacts investment performance.</w:t>
      </w:r>
    </w:p>
    <w:p w14:paraId="109D96DC" w14:textId="77777777" w:rsidR="0046206D" w:rsidRPr="0046206D" w:rsidRDefault="0046206D" w:rsidP="0046206D">
      <w:pPr>
        <w:rPr>
          <w:b/>
          <w:bCs/>
        </w:rPr>
      </w:pPr>
      <w:r w:rsidRPr="0046206D">
        <w:rPr>
          <w:b/>
          <w:bCs/>
        </w:rPr>
        <w:t>4.2 Propensity Score Matching (PSM) Analysis</w:t>
      </w:r>
    </w:p>
    <w:p w14:paraId="08B12EA5" w14:textId="77777777" w:rsidR="0046206D" w:rsidRPr="0046206D" w:rsidRDefault="0046206D" w:rsidP="0046206D">
      <w:pPr>
        <w:numPr>
          <w:ilvl w:val="0"/>
          <w:numId w:val="7"/>
        </w:numPr>
      </w:pPr>
      <w:r w:rsidRPr="0046206D">
        <w:rPr>
          <w:b/>
          <w:bCs/>
        </w:rPr>
        <w:t>Propensity Score Matching (PSM)</w:t>
      </w:r>
      <w:r w:rsidRPr="0046206D">
        <w:t> controls for observable selection bias and potential </w:t>
      </w:r>
      <w:r w:rsidRPr="0046206D">
        <w:rPr>
          <w:b/>
          <w:bCs/>
        </w:rPr>
        <w:t>Survivorship Bias</w:t>
      </w:r>
      <w:r w:rsidRPr="0046206D">
        <w:t> from non-random background disclosure.</w:t>
      </w:r>
    </w:p>
    <w:p w14:paraId="105736AD" w14:textId="77777777" w:rsidR="0046206D" w:rsidRPr="0046206D" w:rsidRDefault="0046206D" w:rsidP="0046206D">
      <w:pPr>
        <w:numPr>
          <w:ilvl w:val="0"/>
          <w:numId w:val="7"/>
        </w:numPr>
      </w:pPr>
      <w:r w:rsidRPr="0046206D">
        <w:t>Propensity scores estimated via a Probit model are matched using 1:1, 1:3, and 1:5 nearest-neighbor matching with replacement.</w:t>
      </w:r>
    </w:p>
    <w:p w14:paraId="7CD9504E" w14:textId="77777777" w:rsidR="0046206D" w:rsidRPr="0046206D" w:rsidRDefault="0046206D" w:rsidP="0046206D">
      <w:pPr>
        <w:numPr>
          <w:ilvl w:val="0"/>
          <w:numId w:val="7"/>
        </w:numPr>
      </w:pPr>
      <w:r w:rsidRPr="0046206D">
        <w:t>Post-match results confirm persistent underperformance for foreign VCs across IRR (5–10% lower) and ROI (11–18% lower), visually verified by overlapping </w:t>
      </w:r>
      <w:r w:rsidRPr="0046206D">
        <w:rPr>
          <w:b/>
          <w:bCs/>
        </w:rPr>
        <w:t>Kernel Density Functions</w:t>
      </w:r>
      <w:r w:rsidRPr="0046206D">
        <w:t>.</w:t>
      </w:r>
    </w:p>
    <w:p w14:paraId="37EAA8C9" w14:textId="77777777" w:rsidR="0046206D" w:rsidRPr="0046206D" w:rsidRDefault="0046206D" w:rsidP="0046206D">
      <w:r w:rsidRPr="0046206D">
        <w:rPr>
          <w:b/>
          <w:bCs/>
        </w:rPr>
        <w:t>Takeaway:</w:t>
      </w:r>
      <w:r w:rsidRPr="0046206D">
        <w:t> PSM diagnostic tests confirm that foreign VC underperformance is econometrically robust and not driven by sample selection bias.</w:t>
      </w:r>
    </w:p>
    <w:p w14:paraId="405A08CD" w14:textId="77777777" w:rsidR="0046206D" w:rsidRPr="0046206D" w:rsidRDefault="0046206D" w:rsidP="0046206D">
      <w:pPr>
        <w:rPr>
          <w:b/>
          <w:bCs/>
        </w:rPr>
      </w:pPr>
      <w:r w:rsidRPr="0046206D">
        <w:rPr>
          <w:b/>
          <w:bCs/>
        </w:rPr>
        <w:t>4.3 Empirical Test of Investment Strategies</w:t>
      </w:r>
    </w:p>
    <w:p w14:paraId="59107BE2" w14:textId="77777777" w:rsidR="0046206D" w:rsidRPr="0046206D" w:rsidRDefault="0046206D" w:rsidP="0046206D">
      <w:pPr>
        <w:numPr>
          <w:ilvl w:val="0"/>
          <w:numId w:val="8"/>
        </w:numPr>
      </w:pPr>
      <w:r w:rsidRPr="0046206D">
        <w:lastRenderedPageBreak/>
        <w:t>Pre-investment Probit models reveal foreign-experienced VCs significantly favor Multistage Investment and Syndicated Investment while avoiding Lead Investor status (confirming H3).</w:t>
      </w:r>
    </w:p>
    <w:p w14:paraId="686D7E04" w14:textId="77777777" w:rsidR="0046206D" w:rsidRPr="0046206D" w:rsidRDefault="0046206D" w:rsidP="0046206D">
      <w:pPr>
        <w:numPr>
          <w:ilvl w:val="0"/>
          <w:numId w:val="8"/>
        </w:numPr>
      </w:pPr>
      <w:r w:rsidRPr="0046206D">
        <w:t>Post-investment regressions show foreign-experienced VCs secure significantly fewer Director seats and operate under shorter holding durations (</w:t>
      </w:r>
      <w:proofErr w:type="gramStart"/>
      <w:r w:rsidRPr="0046206D">
        <w:t>Ln(</w:t>
      </w:r>
      <w:proofErr w:type="gramEnd"/>
      <w:r w:rsidRPr="0046206D">
        <w:t>Duration)).</w:t>
      </w:r>
    </w:p>
    <w:p w14:paraId="4B885564" w14:textId="77777777" w:rsidR="0046206D" w:rsidRPr="0046206D" w:rsidRDefault="0046206D" w:rsidP="0046206D">
      <w:pPr>
        <w:numPr>
          <w:ilvl w:val="0"/>
          <w:numId w:val="8"/>
        </w:numPr>
      </w:pPr>
      <w:r w:rsidRPr="0046206D">
        <w:t>These patterns confirm a strategic risk-hedging substitution: facing high cultural friction during post-investment coaching, foreign VCs substitute active board governance with pre-investment contractual risk mitigation.</w:t>
      </w:r>
    </w:p>
    <w:p w14:paraId="4840B36C" w14:textId="77777777" w:rsidR="0046206D" w:rsidRPr="0046206D" w:rsidRDefault="0046206D" w:rsidP="0046206D">
      <w:r w:rsidRPr="0046206D">
        <w:rPr>
          <w:b/>
          <w:bCs/>
        </w:rPr>
        <w:t>Takeaway:</w:t>
      </w:r>
      <w:r w:rsidRPr="0046206D">
        <w:t> Strategy regressions support Hypothesis H3, proving foreign-experienced VCs hedge risk through prudent deal structuring rather than active post-investment governance.</w:t>
      </w:r>
    </w:p>
    <w:p w14:paraId="753004C2" w14:textId="77777777" w:rsidR="0046206D" w:rsidRPr="0046206D" w:rsidRDefault="0046206D" w:rsidP="0046206D">
      <w:r w:rsidRPr="0046206D">
        <w:t>Isolating the mechanisms behind this underperformance requires examining causal channels and cultural friction.</w:t>
      </w:r>
    </w:p>
    <w:p w14:paraId="4E336E1A" w14:textId="77777777" w:rsidR="0046206D" w:rsidRPr="0046206D" w:rsidRDefault="0046206D" w:rsidP="0046206D">
      <w:pPr>
        <w:rPr>
          <w:b/>
          <w:bCs/>
        </w:rPr>
      </w:pPr>
      <w:r w:rsidRPr="0046206D">
        <w:rPr>
          <w:b/>
          <w:bCs/>
        </w:rPr>
        <w:t>5. Mechanisms Analysis</w:t>
      </w:r>
    </w:p>
    <w:p w14:paraId="2613BD61" w14:textId="77777777" w:rsidR="0046206D" w:rsidRPr="0046206D" w:rsidRDefault="0046206D" w:rsidP="0046206D">
      <w:r w:rsidRPr="0046206D">
        <w:t>Isolating why foreign experience penalizes returns involves testing direct causal channels and quantifying socio-cultural friction.</w:t>
      </w:r>
    </w:p>
    <w:p w14:paraId="5E54F539" w14:textId="77777777" w:rsidR="0046206D" w:rsidRPr="0046206D" w:rsidRDefault="0046206D" w:rsidP="0046206D">
      <w:pPr>
        <w:rPr>
          <w:b/>
          <w:bCs/>
        </w:rPr>
      </w:pPr>
      <w:r w:rsidRPr="0046206D">
        <w:rPr>
          <w:b/>
          <w:bCs/>
        </w:rPr>
        <w:t>5.1 Treatment vs. Selection Effects</w:t>
      </w:r>
    </w:p>
    <w:p w14:paraId="7C507461" w14:textId="77777777" w:rsidR="0046206D" w:rsidRPr="0046206D" w:rsidRDefault="0046206D" w:rsidP="0046206D">
      <w:pPr>
        <w:numPr>
          <w:ilvl w:val="0"/>
          <w:numId w:val="9"/>
        </w:numPr>
      </w:pPr>
      <w:r w:rsidRPr="0046206D">
        <w:t>Causal ambiguity centers on whether underperformance stems from inferior startup coaching (Treatment Effect) or flawed deal screening (Selection Effect).</w:t>
      </w:r>
    </w:p>
    <w:p w14:paraId="358DA3ED" w14:textId="77777777" w:rsidR="0046206D" w:rsidRPr="0046206D" w:rsidRDefault="0046206D" w:rsidP="0046206D">
      <w:pPr>
        <w:numPr>
          <w:ilvl w:val="0"/>
          <w:numId w:val="9"/>
        </w:numPr>
      </w:pPr>
      <w:r w:rsidRPr="0046206D">
        <w:t xml:space="preserve">Because </w:t>
      </w:r>
      <w:proofErr w:type="gramStart"/>
      <w:r w:rsidRPr="0046206D">
        <w:t>Overseas</w:t>
      </w:r>
      <w:proofErr w:type="gramEnd"/>
      <w:r w:rsidRPr="0046206D">
        <w:t xml:space="preserve"> is binary, standard linear 2SLS is inefficient; the study employs Roodman's (2011) </w:t>
      </w:r>
      <w:r w:rsidRPr="0046206D">
        <w:rPr>
          <w:b/>
          <w:bCs/>
        </w:rPr>
        <w:t>Conditional Mixed-Process (CMP)</w:t>
      </w:r>
      <w:r w:rsidRPr="0046206D">
        <w:t> model using city-level density of foreign VCs (</w:t>
      </w:r>
      <w:r w:rsidRPr="0046206D">
        <w:rPr>
          <w:b/>
          <w:bCs/>
        </w:rPr>
        <w:t>IV_Overseas</w:t>
      </w:r>
      <w:r w:rsidRPr="0046206D">
        <w:t>) as an exogenous instrument.</w:t>
      </w:r>
    </w:p>
    <w:p w14:paraId="15D68A26" w14:textId="77777777" w:rsidR="0046206D" w:rsidRPr="0046206D" w:rsidRDefault="0046206D" w:rsidP="0046206D">
      <w:pPr>
        <w:numPr>
          <w:ilvl w:val="0"/>
          <w:numId w:val="9"/>
        </w:numPr>
      </w:pPr>
      <w:r w:rsidRPr="0046206D">
        <w:t>CMP instrumental variable regressions confirm that the negative impact of Overseas on returns and IPO rates remains statistically significant after correcting for endogeneity, isolating a dominant Treatment Effect.</w:t>
      </w:r>
    </w:p>
    <w:p w14:paraId="627E9F7B" w14:textId="77777777" w:rsidR="0046206D" w:rsidRPr="0046206D" w:rsidRDefault="0046206D" w:rsidP="0046206D">
      <w:r w:rsidRPr="0046206D">
        <w:rPr>
          <w:b/>
          <w:bCs/>
        </w:rPr>
        <w:t>Takeaway:</w:t>
      </w:r>
      <w:r w:rsidRPr="0046206D">
        <w:t> Instrumental variable estimation proves underperformance is driven by an ongoing treatment deficit during post-investment coaching rather than pre-investment deal selection bias.</w:t>
      </w:r>
    </w:p>
    <w:p w14:paraId="2EB91D0F" w14:textId="77777777" w:rsidR="0046206D" w:rsidRPr="0046206D" w:rsidRDefault="0046206D" w:rsidP="0046206D">
      <w:pPr>
        <w:rPr>
          <w:b/>
          <w:bCs/>
        </w:rPr>
      </w:pPr>
      <w:r w:rsidRPr="0046206D">
        <w:rPr>
          <w:b/>
          <w:bCs/>
        </w:rPr>
        <w:t>5.2 Cultural Distance as the Underlying Friction</w:t>
      </w:r>
    </w:p>
    <w:p w14:paraId="0E9C8718" w14:textId="77777777" w:rsidR="0046206D" w:rsidRPr="0046206D" w:rsidRDefault="0046206D" w:rsidP="0046206D">
      <w:pPr>
        <w:numPr>
          <w:ilvl w:val="0"/>
          <w:numId w:val="10"/>
        </w:numPr>
      </w:pPr>
      <w:r w:rsidRPr="0046206D">
        <w:t>Cultural friction is operationalized via </w:t>
      </w:r>
      <w:r w:rsidRPr="0046206D">
        <w:rPr>
          <w:b/>
          <w:bCs/>
        </w:rPr>
        <w:t>CD_4</w:t>
      </w:r>
      <w:r w:rsidRPr="0046206D">
        <w:t> (Power Distance, Individualism, Masculinity, Uncertainty Avoidance) and </w:t>
      </w:r>
      <w:r w:rsidRPr="0046206D">
        <w:rPr>
          <w:b/>
          <w:bCs/>
        </w:rPr>
        <w:t>CD_6</w:t>
      </w:r>
      <w:r w:rsidRPr="0046206D">
        <w:t> (adding Long-Term Orientation and Indulgence vs. Restraint) based on </w:t>
      </w:r>
      <w:r w:rsidRPr="0046206D">
        <w:rPr>
          <w:b/>
          <w:bCs/>
        </w:rPr>
        <w:t>Hofstede Cultural Dimensions</w:t>
      </w:r>
      <w:r w:rsidRPr="0046206D">
        <w:t>.</w:t>
      </w:r>
    </w:p>
    <w:p w14:paraId="25F75180" w14:textId="77777777" w:rsidR="0046206D" w:rsidRPr="0046206D" w:rsidRDefault="0046206D" w:rsidP="0046206D">
      <w:pPr>
        <w:numPr>
          <w:ilvl w:val="0"/>
          <w:numId w:val="10"/>
        </w:numPr>
      </w:pPr>
      <w:r w:rsidRPr="0046206D">
        <w:lastRenderedPageBreak/>
        <w:t>Within foreign-experienced VC deals, returns and IPO probabilities decrease significantly as cultural distance from China increases (validating H2).</w:t>
      </w:r>
    </w:p>
    <w:p w14:paraId="1BFE74AB" w14:textId="77777777" w:rsidR="0046206D" w:rsidRPr="0046206D" w:rsidRDefault="0046206D" w:rsidP="0046206D">
      <w:pPr>
        <w:numPr>
          <w:ilvl w:val="0"/>
          <w:numId w:val="10"/>
        </w:numPr>
      </w:pPr>
      <w:r w:rsidRPr="0046206D">
        <w:t>Grounded in </w:t>
      </w:r>
      <w:r w:rsidRPr="0046206D">
        <w:rPr>
          <w:b/>
          <w:bCs/>
        </w:rPr>
        <w:t>Imprinting Theory</w:t>
      </w:r>
      <w:r w:rsidRPr="0046206D">
        <w:t>, domestic VCs prefer domestic IPOs (</w:t>
      </w:r>
      <w:r w:rsidRPr="0046206D">
        <w:rPr>
          <w:b/>
          <w:bCs/>
        </w:rPr>
        <w:t>IPO_Native</w:t>
      </w:r>
      <w:r w:rsidRPr="0046206D">
        <w:t>), whereas foreign-experienced VCs favor overseas IPOs (</w:t>
      </w:r>
      <w:proofErr w:type="spellStart"/>
      <w:r w:rsidRPr="0046206D">
        <w:rPr>
          <w:b/>
          <w:bCs/>
        </w:rPr>
        <w:t>IPO_Oversea</w:t>
      </w:r>
      <w:proofErr w:type="spellEnd"/>
      <w:r w:rsidRPr="0046206D">
        <w:t>).</w:t>
      </w:r>
    </w:p>
    <w:p w14:paraId="0BCE7D72" w14:textId="77777777" w:rsidR="0046206D" w:rsidRPr="0046206D" w:rsidRDefault="0046206D" w:rsidP="0046206D">
      <w:pPr>
        <w:numPr>
          <w:ilvl w:val="0"/>
          <w:numId w:val="10"/>
        </w:numPr>
      </w:pPr>
      <w:r w:rsidRPr="0046206D">
        <w:t>Empirical exit premiums show domestic IPOs yield a higher return coefficient (\beta = 0.3361 for IRR) than overseas IPOs (\beta = 0.1658), proving imprinting-driven exit choices directly penalize foreign VC fund returns.</w:t>
      </w:r>
    </w:p>
    <w:p w14:paraId="0BAF302C" w14:textId="77777777" w:rsidR="0046206D" w:rsidRPr="0046206D" w:rsidRDefault="0046206D" w:rsidP="0046206D">
      <w:r w:rsidRPr="0046206D">
        <w:rPr>
          <w:b/>
          <w:bCs/>
        </w:rPr>
        <w:t>Takeaway:</w:t>
      </w:r>
      <w:r w:rsidRPr="0046206D">
        <w:t> Cultural distance generates operational friction and misaligned exit choices, directly reducing the investment returns and exit success of foreign-experienced VCs.</w:t>
      </w:r>
    </w:p>
    <w:p w14:paraId="5AD7AC79" w14:textId="77777777" w:rsidR="0046206D" w:rsidRPr="0046206D" w:rsidRDefault="0046206D" w:rsidP="0046206D">
      <w:r w:rsidRPr="0046206D">
        <w:t>These findings synthesize into core conclusions for academic study and private equity management.</w:t>
      </w:r>
    </w:p>
    <w:p w14:paraId="1F008968" w14:textId="77777777" w:rsidR="0046206D" w:rsidRPr="0046206D" w:rsidRDefault="0046206D" w:rsidP="0046206D">
      <w:pPr>
        <w:rPr>
          <w:b/>
          <w:bCs/>
        </w:rPr>
      </w:pPr>
      <w:r w:rsidRPr="0046206D">
        <w:rPr>
          <w:b/>
          <w:bCs/>
        </w:rPr>
        <w:t>6. Conclusion</w:t>
      </w:r>
    </w:p>
    <w:p w14:paraId="72A42063" w14:textId="77777777" w:rsidR="0046206D" w:rsidRPr="0046206D" w:rsidRDefault="0046206D" w:rsidP="0046206D">
      <w:pPr>
        <w:numPr>
          <w:ilvl w:val="0"/>
          <w:numId w:val="11"/>
        </w:numPr>
      </w:pPr>
      <w:r w:rsidRPr="0046206D">
        <w:t>Foreign human capital in emerging market VC generates statistically and economically significant underperformance driven by Cultural Distance and reduced post-investment governance.</w:t>
      </w:r>
    </w:p>
    <w:p w14:paraId="1D7B6C5B" w14:textId="77777777" w:rsidR="0046206D" w:rsidRPr="0046206D" w:rsidRDefault="0046206D" w:rsidP="0046206D">
      <w:pPr>
        <w:numPr>
          <w:ilvl w:val="0"/>
          <w:numId w:val="11"/>
        </w:numPr>
      </w:pPr>
      <w:r w:rsidRPr="0046206D">
        <w:t>Foreign-experienced VCs compensate for cultural friction by adopting Prudent Investing Strategies (syndication, staging, non-lead roles) and minimizing direct board management.</w:t>
      </w:r>
    </w:p>
    <w:p w14:paraId="22F8923D" w14:textId="77777777" w:rsidR="0046206D" w:rsidRPr="0046206D" w:rsidRDefault="0046206D" w:rsidP="0046206D">
      <w:pPr>
        <w:numPr>
          <w:ilvl w:val="0"/>
          <w:numId w:val="11"/>
        </w:numPr>
      </w:pPr>
      <w:r w:rsidRPr="0046206D">
        <w:t>Emerging market private equity funds must balance technical financial skillsets against local institutional fluency and cultural alignment during talent acquisition.</w:t>
      </w:r>
    </w:p>
    <w:p w14:paraId="350EE3F6" w14:textId="77777777" w:rsidR="0046206D" w:rsidRPr="0046206D" w:rsidRDefault="0046206D" w:rsidP="0046206D">
      <w:pPr>
        <w:numPr>
          <w:ilvl w:val="0"/>
          <w:numId w:val="11"/>
        </w:numPr>
      </w:pPr>
      <w:r w:rsidRPr="0046206D">
        <w:t>Underperformance represents a structural Treatment Effect rooted in operational friction rather than a pre-investment Selection Effect or fund-level capital bias.</w:t>
      </w:r>
    </w:p>
    <w:p w14:paraId="3A06C78F" w14:textId="54D62FC2" w:rsidR="0010283E" w:rsidRDefault="0046206D">
      <w:r w:rsidRPr="0046206D">
        <w:rPr>
          <w:b/>
          <w:bCs/>
        </w:rPr>
        <w:t>Takeaway:</w:t>
      </w:r>
      <w:r w:rsidRPr="0046206D">
        <w:t> In emerging venture capital markets, local cultural fluency and post-investment governance outweigh international human capital, rendering cultural distance a primary driver of fund performance persistence.</w:t>
      </w:r>
    </w:p>
    <w:sectPr w:rsidR="00102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7715A5"/>
    <w:multiLevelType w:val="multilevel"/>
    <w:tmpl w:val="24F6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D5F67"/>
    <w:multiLevelType w:val="multilevel"/>
    <w:tmpl w:val="9DD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E0794"/>
    <w:multiLevelType w:val="multilevel"/>
    <w:tmpl w:val="C7FC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A07E4"/>
    <w:multiLevelType w:val="multilevel"/>
    <w:tmpl w:val="B90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00F85"/>
    <w:multiLevelType w:val="multilevel"/>
    <w:tmpl w:val="15C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A6424"/>
    <w:multiLevelType w:val="multilevel"/>
    <w:tmpl w:val="1DF0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00213"/>
    <w:multiLevelType w:val="multilevel"/>
    <w:tmpl w:val="902A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372DD"/>
    <w:multiLevelType w:val="multilevel"/>
    <w:tmpl w:val="D13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71017"/>
    <w:multiLevelType w:val="multilevel"/>
    <w:tmpl w:val="090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D7246"/>
    <w:multiLevelType w:val="multilevel"/>
    <w:tmpl w:val="5B94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4120C"/>
    <w:multiLevelType w:val="multilevel"/>
    <w:tmpl w:val="33C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216782">
    <w:abstractNumId w:val="4"/>
  </w:num>
  <w:num w:numId="2" w16cid:durableId="1285576755">
    <w:abstractNumId w:val="6"/>
  </w:num>
  <w:num w:numId="3" w16cid:durableId="1556625093">
    <w:abstractNumId w:val="9"/>
  </w:num>
  <w:num w:numId="4" w16cid:durableId="1211957348">
    <w:abstractNumId w:val="10"/>
  </w:num>
  <w:num w:numId="5" w16cid:durableId="1981574028">
    <w:abstractNumId w:val="2"/>
  </w:num>
  <w:num w:numId="6" w16cid:durableId="1903441271">
    <w:abstractNumId w:val="3"/>
  </w:num>
  <w:num w:numId="7" w16cid:durableId="923296418">
    <w:abstractNumId w:val="8"/>
  </w:num>
  <w:num w:numId="8" w16cid:durableId="325325748">
    <w:abstractNumId w:val="5"/>
  </w:num>
  <w:num w:numId="9" w16cid:durableId="1749495043">
    <w:abstractNumId w:val="1"/>
  </w:num>
  <w:num w:numId="10" w16cid:durableId="2143226050">
    <w:abstractNumId w:val="0"/>
  </w:num>
  <w:num w:numId="11" w16cid:durableId="104302128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3E"/>
    <w:rsid w:val="0010283E"/>
    <w:rsid w:val="0046206D"/>
    <w:rsid w:val="00892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6D015D"/>
  <w15:chartTrackingRefBased/>
  <w15:docId w15:val="{F769CD9D-9ED0-9C42-80E1-CA9CD6005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83E"/>
    <w:rPr>
      <w:rFonts w:eastAsiaTheme="majorEastAsia" w:cstheme="majorBidi"/>
      <w:color w:val="272727" w:themeColor="text1" w:themeTint="D8"/>
    </w:rPr>
  </w:style>
  <w:style w:type="paragraph" w:styleId="Title">
    <w:name w:val="Title"/>
    <w:basedOn w:val="Normal"/>
    <w:next w:val="Normal"/>
    <w:link w:val="TitleChar"/>
    <w:uiPriority w:val="10"/>
    <w:qFormat/>
    <w:rsid w:val="00102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83E"/>
    <w:pPr>
      <w:spacing w:before="160"/>
      <w:jc w:val="center"/>
    </w:pPr>
    <w:rPr>
      <w:i/>
      <w:iCs/>
      <w:color w:val="404040" w:themeColor="text1" w:themeTint="BF"/>
    </w:rPr>
  </w:style>
  <w:style w:type="character" w:customStyle="1" w:styleId="QuoteChar">
    <w:name w:val="Quote Char"/>
    <w:basedOn w:val="DefaultParagraphFont"/>
    <w:link w:val="Quote"/>
    <w:uiPriority w:val="29"/>
    <w:rsid w:val="0010283E"/>
    <w:rPr>
      <w:i/>
      <w:iCs/>
      <w:color w:val="404040" w:themeColor="text1" w:themeTint="BF"/>
    </w:rPr>
  </w:style>
  <w:style w:type="paragraph" w:styleId="ListParagraph">
    <w:name w:val="List Paragraph"/>
    <w:basedOn w:val="Normal"/>
    <w:uiPriority w:val="34"/>
    <w:qFormat/>
    <w:rsid w:val="0010283E"/>
    <w:pPr>
      <w:ind w:left="720"/>
      <w:contextualSpacing/>
    </w:pPr>
  </w:style>
  <w:style w:type="character" w:styleId="IntenseEmphasis">
    <w:name w:val="Intense Emphasis"/>
    <w:basedOn w:val="DefaultParagraphFont"/>
    <w:uiPriority w:val="21"/>
    <w:qFormat/>
    <w:rsid w:val="0010283E"/>
    <w:rPr>
      <w:i/>
      <w:iCs/>
      <w:color w:val="0F4761" w:themeColor="accent1" w:themeShade="BF"/>
    </w:rPr>
  </w:style>
  <w:style w:type="paragraph" w:styleId="IntenseQuote">
    <w:name w:val="Intense Quote"/>
    <w:basedOn w:val="Normal"/>
    <w:next w:val="Normal"/>
    <w:link w:val="IntenseQuoteChar"/>
    <w:uiPriority w:val="30"/>
    <w:qFormat/>
    <w:rsid w:val="00102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83E"/>
    <w:rPr>
      <w:i/>
      <w:iCs/>
      <w:color w:val="0F4761" w:themeColor="accent1" w:themeShade="BF"/>
    </w:rPr>
  </w:style>
  <w:style w:type="character" w:styleId="IntenseReference">
    <w:name w:val="Intense Reference"/>
    <w:basedOn w:val="DefaultParagraphFont"/>
    <w:uiPriority w:val="32"/>
    <w:qFormat/>
    <w:rsid w:val="00102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1768</Words>
  <Characters>10078</Characters>
  <Application>Microsoft Office Word</Application>
  <DocSecurity>0</DocSecurity>
  <Lines>83</Lines>
  <Paragraphs>23</Paragraphs>
  <ScaleCrop>false</ScaleCrop>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2026-09-27T10:11:00Z</dcterms:created>
  <dcterms:modified xsi:type="dcterms:W3CDTF">2026-09-27T10:15:00Z</dcterms:modified>
</cp:coreProperties>
</file>