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3FB0C" w14:textId="77777777" w:rsidR="008859BB" w:rsidRPr="008859BB" w:rsidRDefault="008859BB" w:rsidP="008859BB">
      <w:pPr>
        <w:rPr>
          <w:b/>
          <w:bCs/>
        </w:rPr>
      </w:pPr>
      <w:r w:rsidRPr="008859BB">
        <w:rPr>
          <w:b/>
          <w:bCs/>
        </w:rPr>
        <w:t>Study Report: Foreign VCs and Venture Success — Evidence from China</w:t>
      </w:r>
    </w:p>
    <w:p w14:paraId="0FB2CB03" w14:textId="77777777" w:rsidR="008859BB" w:rsidRPr="008859BB" w:rsidRDefault="008859BB" w:rsidP="008859BB">
      <w:r w:rsidRPr="008859BB">
        <w:t>Humphery-Jenner, M., &amp; Suchard, J.-A. (2013). Foreign VCs and venture success: Evidence from China. </w:t>
      </w:r>
      <w:r w:rsidRPr="008859BB">
        <w:rPr>
          <w:i/>
          <w:iCs/>
        </w:rPr>
        <w:t>Journal of Corporate Finance</w:t>
      </w:r>
      <w:r w:rsidRPr="008859BB">
        <w:t>, 21, 16–35.</w:t>
      </w:r>
    </w:p>
    <w:p w14:paraId="5922E8C9" w14:textId="77777777" w:rsidR="008859BB" w:rsidRPr="008859BB" w:rsidRDefault="008859BB" w:rsidP="008859BB">
      <w:pPr>
        <w:rPr>
          <w:b/>
          <w:bCs/>
        </w:rPr>
      </w:pPr>
      <w:r w:rsidRPr="008859BB">
        <w:rPr>
          <w:b/>
          <w:bCs/>
        </w:rPr>
        <w:t>1. Introduction</w:t>
      </w:r>
    </w:p>
    <w:p w14:paraId="2B4957CA" w14:textId="77777777" w:rsidR="008859BB" w:rsidRPr="008859BB" w:rsidRDefault="008859BB" w:rsidP="008859BB">
      <w:r w:rsidRPr="008859BB">
        <w:t>The internationalization of venture capital (VC) into emerging markets presents a central empirical puzzle regarding geographic distance, monitoring capabilities, and local institutional knowledge. As cross-border private equity flows into emerging economies, evaluating whether international investors overcome informational frictions to drive firm performance is essential for understanding cross-border corporate governance and venture operations.</w:t>
      </w:r>
    </w:p>
    <w:p w14:paraId="37B9A205" w14:textId="77777777" w:rsidR="008859BB" w:rsidRPr="008859BB" w:rsidRDefault="008859BB" w:rsidP="008859BB">
      <w:pPr>
        <w:numPr>
          <w:ilvl w:val="0"/>
          <w:numId w:val="1"/>
        </w:numPr>
      </w:pPr>
      <w:r w:rsidRPr="008859BB">
        <w:t>Evaluate whether foreign VC backing increases venture success probability, defined as an exit via </w:t>
      </w:r>
      <w:r w:rsidRPr="008859BB">
        <w:rPr>
          <w:b/>
          <w:bCs/>
        </w:rPr>
        <w:t>Initial Public Offering (IPO)</w:t>
      </w:r>
      <w:r w:rsidRPr="008859BB">
        <w:t>, </w:t>
      </w:r>
      <w:r w:rsidRPr="008859BB">
        <w:rPr>
          <w:b/>
          <w:bCs/>
        </w:rPr>
        <w:t>Mergers and Acquisitions (M&amp;A)</w:t>
      </w:r>
      <w:r w:rsidRPr="008859BB">
        <w:t>, or </w:t>
      </w:r>
      <w:r w:rsidRPr="008859BB">
        <w:rPr>
          <w:b/>
          <w:bCs/>
        </w:rPr>
        <w:t>secondary buyout</w:t>
      </w:r>
      <w:r w:rsidRPr="008859BB">
        <w:t>.</w:t>
      </w:r>
    </w:p>
    <w:p w14:paraId="67897826" w14:textId="77777777" w:rsidR="008859BB" w:rsidRPr="008859BB" w:rsidRDefault="008859BB" w:rsidP="008859BB">
      <w:pPr>
        <w:numPr>
          <w:ilvl w:val="0"/>
          <w:numId w:val="1"/>
        </w:numPr>
      </w:pPr>
      <w:r w:rsidRPr="008859BB">
        <w:t>Analyze an empirical sample of </w:t>
      </w:r>
      <w:r w:rsidRPr="008859BB">
        <w:rPr>
          <w:b/>
          <w:bCs/>
        </w:rPr>
        <w:t>4,753 portfolio companies</w:t>
      </w:r>
      <w:r w:rsidRPr="008859BB">
        <w:t> in China receiving venture funding between 1988 and 2011, sourced from </w:t>
      </w:r>
      <w:proofErr w:type="spellStart"/>
      <w:r w:rsidRPr="008859BB">
        <w:rPr>
          <w:b/>
          <w:bCs/>
        </w:rPr>
        <w:t>ChinaVenture</w:t>
      </w:r>
      <w:proofErr w:type="spellEnd"/>
      <w:r w:rsidRPr="008859BB">
        <w:t>.</w:t>
      </w:r>
    </w:p>
    <w:p w14:paraId="1FD33DF2" w14:textId="77777777" w:rsidR="008859BB" w:rsidRPr="008859BB" w:rsidRDefault="008859BB" w:rsidP="008859BB">
      <w:pPr>
        <w:numPr>
          <w:ilvl w:val="0"/>
          <w:numId w:val="1"/>
        </w:numPr>
      </w:pPr>
      <w:r w:rsidRPr="008859BB">
        <w:t>Hold country-of-investment constant to eliminate cross-country legal heterogeneity and selection bias inherent in multi-country studies.</w:t>
      </w:r>
    </w:p>
    <w:p w14:paraId="05FC3539" w14:textId="77777777" w:rsidR="008859BB" w:rsidRPr="008859BB" w:rsidRDefault="008859BB" w:rsidP="008859BB">
      <w:pPr>
        <w:numPr>
          <w:ilvl w:val="0"/>
          <w:numId w:val="1"/>
        </w:numPr>
      </w:pPr>
      <w:r w:rsidRPr="008859BB">
        <w:t>Capture market expansion where Chinese venture capital grew from USD 1.2 billion in 1999 to USD 31.4 billion in 2010.</w:t>
      </w:r>
    </w:p>
    <w:p w14:paraId="37928A0C" w14:textId="77777777" w:rsidR="008859BB" w:rsidRPr="008859BB" w:rsidRDefault="008859BB" w:rsidP="008859BB">
      <w:pPr>
        <w:numPr>
          <w:ilvl w:val="0"/>
          <w:numId w:val="1"/>
        </w:numPr>
      </w:pPr>
      <w:r w:rsidRPr="008859BB">
        <w:t>Baseline finding establishes that foreign VCs do not </w:t>
      </w:r>
      <w:r w:rsidRPr="008859BB">
        <w:rPr>
          <w:i/>
          <w:iCs/>
        </w:rPr>
        <w:t>per se</w:t>
      </w:r>
      <w:r w:rsidRPr="008859BB">
        <w:t> increase exit success unless collaborating with a local </w:t>
      </w:r>
      <w:r w:rsidRPr="008859BB">
        <w:rPr>
          <w:b/>
          <w:bCs/>
        </w:rPr>
        <w:t>Joint Venture (JV)</w:t>
      </w:r>
      <w:r w:rsidRPr="008859BB">
        <w:t> partner or targeting mature, industry-diversified ventures.</w:t>
      </w:r>
    </w:p>
    <w:p w14:paraId="0BC6CCFF" w14:textId="77777777" w:rsidR="008859BB" w:rsidRPr="008859BB" w:rsidRDefault="008859BB" w:rsidP="008859BB">
      <w:r w:rsidRPr="008859BB">
        <w:rPr>
          <w:b/>
          <w:bCs/>
        </w:rPr>
        <w:t>Takeaway: Foreign VC backing alone is insufficient to enhance venture performance in emerging markets due to cross-border information asymmetries and regulatory barriers.</w:t>
      </w:r>
    </w:p>
    <w:p w14:paraId="64B315EC" w14:textId="77777777" w:rsidR="008859BB" w:rsidRPr="008859BB" w:rsidRDefault="008859BB" w:rsidP="008859BB">
      <w:r w:rsidRPr="008859BB">
        <w:t>Understanding these empirical baseline results requires examining China's evolving institutional and regulatory environment.</w:t>
      </w:r>
    </w:p>
    <w:p w14:paraId="455CDCEB" w14:textId="77777777" w:rsidR="008859BB" w:rsidRPr="008859BB" w:rsidRDefault="008859BB" w:rsidP="008859BB">
      <w:pPr>
        <w:rPr>
          <w:b/>
          <w:bCs/>
        </w:rPr>
      </w:pPr>
      <w:r w:rsidRPr="008859BB">
        <w:rPr>
          <w:b/>
          <w:bCs/>
        </w:rPr>
        <w:t>2. Institutional Background</w:t>
      </w:r>
    </w:p>
    <w:p w14:paraId="16940993" w14:textId="77777777" w:rsidR="008859BB" w:rsidRPr="008859BB" w:rsidRDefault="008859BB" w:rsidP="008859BB">
      <w:r w:rsidRPr="008859BB">
        <w:t>Evaluating private equity performance in China requires understanding the historical evolution of capital market regulations, stock exchanges, and state involvement. Regulatory legal frameworks generate institutional rents and dictate exit channels for foreign versus domestic funds.</w:t>
      </w:r>
    </w:p>
    <w:p w14:paraId="48401CF3" w14:textId="77777777" w:rsidR="008859BB" w:rsidRPr="008859BB" w:rsidRDefault="008859BB" w:rsidP="008859BB">
      <w:pPr>
        <w:numPr>
          <w:ilvl w:val="0"/>
          <w:numId w:val="2"/>
        </w:numPr>
      </w:pPr>
      <w:r w:rsidRPr="008859BB">
        <w:lastRenderedPageBreak/>
        <w:t>Early venture capital was dominated by state-sponsored </w:t>
      </w:r>
      <w:r w:rsidRPr="008859BB">
        <w:rPr>
          <w:b/>
          <w:bCs/>
        </w:rPr>
        <w:t>China Direct Investment Funds (CDIFs)</w:t>
      </w:r>
      <w:r w:rsidRPr="008859BB">
        <w:t> listed overseas, which underperformed due to mandatory investments in state-owned enterprises.</w:t>
      </w:r>
    </w:p>
    <w:p w14:paraId="5EA37A3B" w14:textId="77777777" w:rsidR="008859BB" w:rsidRPr="008859BB" w:rsidRDefault="008859BB" w:rsidP="008859BB">
      <w:pPr>
        <w:numPr>
          <w:ilvl w:val="0"/>
          <w:numId w:val="2"/>
        </w:numPr>
      </w:pPr>
      <w:r w:rsidRPr="008859BB">
        <w:t>Domestic IPOs require strict </w:t>
      </w:r>
      <w:r w:rsidRPr="008859BB">
        <w:rPr>
          <w:b/>
          <w:bCs/>
        </w:rPr>
        <w:t>China Securities Regulatory Commission (CSRC)</w:t>
      </w:r>
      <w:r w:rsidRPr="008859BB">
        <w:t> discretionary merits reviews, financial stability rules (RMB 30 million minimum capital, continuous profitability), and reliance on </w:t>
      </w:r>
      <w:r w:rsidRPr="008859BB">
        <w:rPr>
          <w:b/>
          <w:bCs/>
        </w:rPr>
        <w:t>guanxi</w:t>
      </w:r>
      <w:r w:rsidRPr="008859BB">
        <w:t> (local social networks).</w:t>
      </w:r>
    </w:p>
    <w:p w14:paraId="40950F1D" w14:textId="77777777" w:rsidR="008859BB" w:rsidRPr="008859BB" w:rsidRDefault="008859BB" w:rsidP="008859BB">
      <w:pPr>
        <w:numPr>
          <w:ilvl w:val="0"/>
          <w:numId w:val="2"/>
        </w:numPr>
      </w:pPr>
      <w:r w:rsidRPr="008859BB">
        <w:t>Domestic exit venues expanded through the launch of the </w:t>
      </w:r>
      <w:r w:rsidRPr="008859BB">
        <w:rPr>
          <w:b/>
          <w:bCs/>
        </w:rPr>
        <w:t>Small and Medium Enterprise Board (SME Board)</w:t>
      </w:r>
      <w:r w:rsidRPr="008859BB">
        <w:t> in 2004 and the </w:t>
      </w:r>
      <w:proofErr w:type="spellStart"/>
      <w:r w:rsidRPr="008859BB">
        <w:rPr>
          <w:b/>
          <w:bCs/>
        </w:rPr>
        <w:t>Chinext</w:t>
      </w:r>
      <w:proofErr w:type="spellEnd"/>
      <w:r w:rsidRPr="008859BB">
        <w:rPr>
          <w:b/>
          <w:bCs/>
        </w:rPr>
        <w:t>/Venture Board</w:t>
      </w:r>
      <w:r w:rsidRPr="008859BB">
        <w:t> in 2009.</w:t>
      </w:r>
    </w:p>
    <w:p w14:paraId="317191AB" w14:textId="77777777" w:rsidR="008859BB" w:rsidRPr="008859BB" w:rsidRDefault="008859BB" w:rsidP="008859BB">
      <w:pPr>
        <w:numPr>
          <w:ilvl w:val="0"/>
          <w:numId w:val="2"/>
        </w:numPr>
      </w:pPr>
      <w:r w:rsidRPr="008859BB">
        <w:t>Overseas listing dynamics shifted: a 2003 waiver of domestic approval for overseas listings favored foreign funds, but 2005/2006 CSRC regulations reinstated approval mandates, restricting foreign exits.</w:t>
      </w:r>
    </w:p>
    <w:p w14:paraId="6CEE278F" w14:textId="77777777" w:rsidR="008859BB" w:rsidRPr="008859BB" w:rsidRDefault="008859BB" w:rsidP="008859BB">
      <w:pPr>
        <w:numPr>
          <w:ilvl w:val="0"/>
          <w:numId w:val="2"/>
        </w:numPr>
      </w:pPr>
      <w:r w:rsidRPr="008859BB">
        <w:t>Regulatory authorities reduced the mandatory VC-backed IPO </w:t>
      </w:r>
      <w:r w:rsidRPr="008859BB">
        <w:rPr>
          <w:b/>
          <w:bCs/>
        </w:rPr>
        <w:t>lock-up period</w:t>
      </w:r>
      <w:r w:rsidRPr="008859BB">
        <w:t> from 3 years to 1 year in 2008, lowering holding risk for international investors.</w:t>
      </w:r>
    </w:p>
    <w:p w14:paraId="07707C02" w14:textId="77777777" w:rsidR="008859BB" w:rsidRPr="008859BB" w:rsidRDefault="008859BB" w:rsidP="008859BB">
      <w:r w:rsidRPr="008859BB">
        <w:rPr>
          <w:b/>
          <w:bCs/>
        </w:rPr>
        <w:t>Takeaway: China's regulatory evolution created structural entry and exit barriers that favor investors possessing local regulatory networks and political capital.</w:t>
      </w:r>
    </w:p>
    <w:p w14:paraId="01521127" w14:textId="77777777" w:rsidR="008859BB" w:rsidRPr="008859BB" w:rsidRDefault="008859BB" w:rsidP="008859BB">
      <w:r w:rsidRPr="008859BB">
        <w:t>These legal and structural frictions directly inform formal hypotheses regarding fund performance and exit preferences.</w:t>
      </w:r>
    </w:p>
    <w:p w14:paraId="4468B007" w14:textId="77777777" w:rsidR="008859BB" w:rsidRPr="008859BB" w:rsidRDefault="008859BB" w:rsidP="008859BB">
      <w:pPr>
        <w:rPr>
          <w:b/>
          <w:bCs/>
        </w:rPr>
      </w:pPr>
      <w:r w:rsidRPr="008859BB">
        <w:rPr>
          <w:b/>
          <w:bCs/>
        </w:rPr>
        <w:t>3. Hypotheses Development</w:t>
      </w:r>
    </w:p>
    <w:p w14:paraId="7F35D27C" w14:textId="77777777" w:rsidR="008859BB" w:rsidRPr="008859BB" w:rsidRDefault="008859BB" w:rsidP="008859BB">
      <w:r w:rsidRPr="008859BB">
        <w:t>Theoretical framework formulation relies on agency theory, information asymmetry, and resource-based views of the firm to predict how geographic distance and institutional barriers affect investment outcomes.</w:t>
      </w:r>
    </w:p>
    <w:p w14:paraId="4ED8D176" w14:textId="77777777" w:rsidR="008859BB" w:rsidRPr="008859BB" w:rsidRDefault="008859BB" w:rsidP="008859BB">
      <w:pPr>
        <w:rPr>
          <w:b/>
          <w:bCs/>
        </w:rPr>
      </w:pPr>
      <w:r w:rsidRPr="008859BB">
        <w:rPr>
          <w:b/>
          <w:bCs/>
        </w:rPr>
        <w:t>3.1 Foreign Funds and Exit Likelihood</w:t>
      </w:r>
    </w:p>
    <w:p w14:paraId="6EE883CA" w14:textId="77777777" w:rsidR="008859BB" w:rsidRPr="008859BB" w:rsidRDefault="008859BB" w:rsidP="008859BB">
      <w:r w:rsidRPr="008859BB">
        <w:t>Geographic distance and regulatory disconnect generate distinct operational constraints for international venture capital funds operating in emerging markets.</w:t>
      </w:r>
    </w:p>
    <w:p w14:paraId="6914DA1C" w14:textId="77777777" w:rsidR="008859BB" w:rsidRPr="008859BB" w:rsidRDefault="008859BB" w:rsidP="008859BB">
      <w:pPr>
        <w:numPr>
          <w:ilvl w:val="0"/>
          <w:numId w:val="3"/>
        </w:numPr>
      </w:pPr>
      <w:r w:rsidRPr="008859BB">
        <w:t>Hypothesis 1 (Baseline): Foreign VC backing does not </w:t>
      </w:r>
      <w:r w:rsidRPr="008859BB">
        <w:rPr>
          <w:i/>
          <w:iCs/>
        </w:rPr>
        <w:t>per se</w:t>
      </w:r>
      <w:r w:rsidRPr="008859BB">
        <w:t> increase successful exit likelihood due to geographic distance, elevated monitoring costs, and a lack of local regulatory networks.</w:t>
      </w:r>
    </w:p>
    <w:p w14:paraId="60005C6E" w14:textId="77777777" w:rsidR="008859BB" w:rsidRPr="008859BB" w:rsidRDefault="008859BB" w:rsidP="008859BB">
      <w:pPr>
        <w:numPr>
          <w:ilvl w:val="0"/>
          <w:numId w:val="3"/>
        </w:numPr>
      </w:pPr>
      <w:r w:rsidRPr="008859BB">
        <w:t>Hypothesis 2 (Syndication/JVs): Collaborations with domestic VCs or JV funds significantly increase exit success by bridging local knowledge gaps and mitigating political risk.</w:t>
      </w:r>
    </w:p>
    <w:p w14:paraId="08E6D642" w14:textId="77777777" w:rsidR="008859BB" w:rsidRPr="008859BB" w:rsidRDefault="008859BB" w:rsidP="008859BB">
      <w:pPr>
        <w:numPr>
          <w:ilvl w:val="0"/>
          <w:numId w:val="3"/>
        </w:numPr>
      </w:pPr>
      <w:r w:rsidRPr="008859BB">
        <w:lastRenderedPageBreak/>
        <w:t>Hypotheses 3a &amp; 3b (Stage &amp; Diversification): Foreign VCs achieve greater success in </w:t>
      </w:r>
      <w:r w:rsidRPr="008859BB">
        <w:rPr>
          <w:b/>
          <w:bCs/>
        </w:rPr>
        <w:t xml:space="preserve">late-stage </w:t>
      </w:r>
      <w:proofErr w:type="gramStart"/>
      <w:r w:rsidRPr="008859BB">
        <w:rPr>
          <w:b/>
          <w:bCs/>
        </w:rPr>
        <w:t>investments</w:t>
      </w:r>
      <w:r w:rsidRPr="008859BB">
        <w:t>(</w:t>
      </w:r>
      <w:proofErr w:type="gramEnd"/>
      <w:r w:rsidRPr="008859BB">
        <w:t>lower information asymmetry) and when </w:t>
      </w:r>
      <w:r w:rsidRPr="008859BB">
        <w:rPr>
          <w:b/>
          <w:bCs/>
        </w:rPr>
        <w:t>industry-diversified</w:t>
      </w:r>
      <w:r w:rsidRPr="008859BB">
        <w:t> (cross-industry knowledge transfer).</w:t>
      </w:r>
    </w:p>
    <w:p w14:paraId="1AB663D7" w14:textId="77777777" w:rsidR="008859BB" w:rsidRPr="008859BB" w:rsidRDefault="008859BB" w:rsidP="008859BB">
      <w:pPr>
        <w:numPr>
          <w:ilvl w:val="0"/>
          <w:numId w:val="3"/>
        </w:numPr>
      </w:pPr>
      <w:r w:rsidRPr="008859BB">
        <w:t>Hypotheses 3c &amp; 3d (Scale &amp; Experience): </w:t>
      </w:r>
      <w:r w:rsidRPr="008859BB">
        <w:rPr>
          <w:b/>
          <w:bCs/>
        </w:rPr>
        <w:t>Diseconomies of scale</w:t>
      </w:r>
      <w:r w:rsidRPr="008859BB">
        <w:t> and </w:t>
      </w:r>
      <w:r w:rsidRPr="008859BB">
        <w:rPr>
          <w:b/>
          <w:bCs/>
        </w:rPr>
        <w:t>limited attention</w:t>
      </w:r>
      <w:r w:rsidRPr="008859BB">
        <w:t> hamper large foreign funds, whereas prior fund exit experience increases success probability.</w:t>
      </w:r>
    </w:p>
    <w:p w14:paraId="6220FBFB" w14:textId="77777777" w:rsidR="008859BB" w:rsidRPr="008859BB" w:rsidRDefault="008859BB" w:rsidP="008859BB">
      <w:pPr>
        <w:numPr>
          <w:ilvl w:val="0"/>
          <w:numId w:val="3"/>
        </w:numPr>
      </w:pPr>
      <w:r w:rsidRPr="008859BB">
        <w:t>Hypothesis 3e (Syndicate Gain): Foreign VCs benefit less from pure syndicate size expansions than domestic VCs due to higher monitoring and free-rider costs within multi-investor groups.</w:t>
      </w:r>
    </w:p>
    <w:p w14:paraId="266FB3F6" w14:textId="77777777" w:rsidR="008859BB" w:rsidRPr="008859BB" w:rsidRDefault="008859BB" w:rsidP="008859BB">
      <w:r w:rsidRPr="008859BB">
        <w:rPr>
          <w:b/>
          <w:bCs/>
        </w:rPr>
        <w:t>Takeaway: Foreign VC success is highly conditional, requiring late-stage deal positioning, industry diversification, and local joint-venture partnerships.</w:t>
      </w:r>
    </w:p>
    <w:p w14:paraId="2657ADCC" w14:textId="77777777" w:rsidR="008859BB" w:rsidRPr="008859BB" w:rsidRDefault="008859BB" w:rsidP="008859BB">
      <w:pPr>
        <w:rPr>
          <w:b/>
          <w:bCs/>
        </w:rPr>
      </w:pPr>
      <w:r w:rsidRPr="008859BB">
        <w:rPr>
          <w:b/>
          <w:bCs/>
        </w:rPr>
        <w:t>3.2 Overseas Funds and Exit Types</w:t>
      </w:r>
    </w:p>
    <w:p w14:paraId="0CB34540" w14:textId="77777777" w:rsidR="008859BB" w:rsidRPr="008859BB" w:rsidRDefault="008859BB" w:rsidP="008859BB">
      <w:r w:rsidRPr="008859BB">
        <w:t>International financial institutions face divergent incentive structures when selecting exit routes for mature portfolio companies.</w:t>
      </w:r>
    </w:p>
    <w:p w14:paraId="54746F6E" w14:textId="77777777" w:rsidR="008859BB" w:rsidRPr="008859BB" w:rsidRDefault="008859BB" w:rsidP="008859BB">
      <w:pPr>
        <w:numPr>
          <w:ilvl w:val="0"/>
          <w:numId w:val="4"/>
        </w:numPr>
      </w:pPr>
      <w:r w:rsidRPr="008859BB">
        <w:t>Hypothesis 4 (Exit Channel Preference): Foreign VCs prefer exiting via M&amp;A or secondary buyouts over IPOs compared to domestic VCs.</w:t>
      </w:r>
    </w:p>
    <w:p w14:paraId="11E3BE3C" w14:textId="77777777" w:rsidR="008859BB" w:rsidRPr="008859BB" w:rsidRDefault="008859BB" w:rsidP="008859BB">
      <w:pPr>
        <w:numPr>
          <w:ilvl w:val="0"/>
          <w:numId w:val="4"/>
        </w:numPr>
      </w:pPr>
      <w:r w:rsidRPr="008859BB">
        <w:t>Foreign VCs exhibit heightened concern over weak minority shareholder protections and trading rules in domestic Chinese exchanges.</w:t>
      </w:r>
    </w:p>
    <w:p w14:paraId="6905AD28" w14:textId="77777777" w:rsidR="008859BB" w:rsidRPr="008859BB" w:rsidRDefault="008859BB" w:rsidP="008859BB">
      <w:pPr>
        <w:numPr>
          <w:ilvl w:val="0"/>
          <w:numId w:val="4"/>
        </w:numPr>
      </w:pPr>
      <w:r w:rsidRPr="008859BB">
        <w:t>Discretionary CSRC merits reviews and RMB 30 million capital thresholds create disproportionate hurdles for foreign funds lacking political connections.</w:t>
      </w:r>
    </w:p>
    <w:p w14:paraId="19D0BB90" w14:textId="77777777" w:rsidR="008859BB" w:rsidRPr="008859BB" w:rsidRDefault="008859BB" w:rsidP="008859BB">
      <w:pPr>
        <w:numPr>
          <w:ilvl w:val="0"/>
          <w:numId w:val="4"/>
        </w:numPr>
      </w:pPr>
      <w:r w:rsidRPr="008859BB">
        <w:t>Exposure to post-IPO lock-up periods increases international market risk for foreign investors relative to trade sales.</w:t>
      </w:r>
    </w:p>
    <w:p w14:paraId="77B84998" w14:textId="77777777" w:rsidR="008859BB" w:rsidRPr="008859BB" w:rsidRDefault="008859BB" w:rsidP="008859BB">
      <w:r w:rsidRPr="008859BB">
        <w:rPr>
          <w:b/>
          <w:bCs/>
        </w:rPr>
        <w:t>Takeaway: Foreign VCs systematically prefer trade sales and M&amp;A over domestic public listings to avoid regulatory opacity and lock-up exposure.</w:t>
      </w:r>
    </w:p>
    <w:p w14:paraId="73EC3497" w14:textId="77777777" w:rsidR="008859BB" w:rsidRPr="008859BB" w:rsidRDefault="008859BB" w:rsidP="008859BB">
      <w:pPr>
        <w:rPr>
          <w:b/>
          <w:bCs/>
        </w:rPr>
      </w:pPr>
      <w:r w:rsidRPr="008859BB">
        <w:rPr>
          <w:b/>
          <w:bCs/>
        </w:rPr>
        <w:t>3.3 Exit Preferences Over Time</w:t>
      </w:r>
    </w:p>
    <w:p w14:paraId="47AA861B" w14:textId="77777777" w:rsidR="008859BB" w:rsidRPr="008859BB" w:rsidRDefault="008859BB" w:rsidP="008859BB">
      <w:r w:rsidRPr="008859BB">
        <w:t>Capital market maturation and statutory reforms dynamically alter the relative attractiveness of exit mechanisms over time.</w:t>
      </w:r>
    </w:p>
    <w:p w14:paraId="73E7A062" w14:textId="77777777" w:rsidR="008859BB" w:rsidRPr="008859BB" w:rsidRDefault="008859BB" w:rsidP="008859BB">
      <w:pPr>
        <w:numPr>
          <w:ilvl w:val="0"/>
          <w:numId w:val="5"/>
        </w:numPr>
      </w:pPr>
      <w:r w:rsidRPr="008859BB">
        <w:t>Hypothesis 5 (Temporal Shift): The proportion of exits occurring via IPO increases over time for both domestic and foreign-backed ventures.</w:t>
      </w:r>
    </w:p>
    <w:p w14:paraId="1800C2FE" w14:textId="77777777" w:rsidR="008859BB" w:rsidRPr="008859BB" w:rsidRDefault="008859BB" w:rsidP="008859BB">
      <w:pPr>
        <w:numPr>
          <w:ilvl w:val="0"/>
          <w:numId w:val="5"/>
        </w:numPr>
      </w:pPr>
      <w:r w:rsidRPr="008859BB">
        <w:t>Improvements in capital market quality, statutory accounting enforcement, and trading rules enhanced public listing efficiency.</w:t>
      </w:r>
    </w:p>
    <w:p w14:paraId="7045599F" w14:textId="77777777" w:rsidR="008859BB" w:rsidRPr="008859BB" w:rsidRDefault="008859BB" w:rsidP="008859BB">
      <w:pPr>
        <w:numPr>
          <w:ilvl w:val="0"/>
          <w:numId w:val="5"/>
        </w:numPr>
      </w:pPr>
      <w:r w:rsidRPr="008859BB">
        <w:lastRenderedPageBreak/>
        <w:t xml:space="preserve">Launch of the SME Board (2004) and </w:t>
      </w:r>
      <w:proofErr w:type="spellStart"/>
      <w:r w:rsidRPr="008859BB">
        <w:t>Chinext</w:t>
      </w:r>
      <w:proofErr w:type="spellEnd"/>
      <w:r w:rsidRPr="008859BB">
        <w:t xml:space="preserve"> (2009), alongside the 2008 lock-up reduction to 1 year, significantly lowered listing hurdles.</w:t>
      </w:r>
    </w:p>
    <w:p w14:paraId="2F8C1050" w14:textId="77777777" w:rsidR="008859BB" w:rsidRPr="008859BB" w:rsidRDefault="008859BB" w:rsidP="008859BB">
      <w:pPr>
        <w:numPr>
          <w:ilvl w:val="0"/>
          <w:numId w:val="5"/>
        </w:numPr>
      </w:pPr>
      <w:r w:rsidRPr="008859BB">
        <w:t>Relaxation of mandatory IPO underpricing restrictions increased expected listing proceeds for exiting funds.</w:t>
      </w:r>
    </w:p>
    <w:p w14:paraId="2B5AA7F4" w14:textId="77777777" w:rsidR="008859BB" w:rsidRPr="008859BB" w:rsidRDefault="008859BB" w:rsidP="008859BB">
      <w:r w:rsidRPr="008859BB">
        <w:rPr>
          <w:b/>
          <w:bCs/>
        </w:rPr>
        <w:t>Takeaway: Capital market reforms in China have progressively increased the structural propensity for venture exits via public listing over time.</w:t>
      </w:r>
    </w:p>
    <w:p w14:paraId="4FE9FBC7" w14:textId="77777777" w:rsidR="008859BB" w:rsidRPr="008859BB" w:rsidRDefault="008859BB" w:rsidP="008859BB">
      <w:r w:rsidRPr="008859BB">
        <w:t>Testing these theoretical propositions requires precise operationalization of variable constructs within the empirical dataset.</w:t>
      </w:r>
    </w:p>
    <w:p w14:paraId="5E6CEDB6" w14:textId="77777777" w:rsidR="008859BB" w:rsidRPr="008859BB" w:rsidRDefault="008859BB" w:rsidP="008859BB">
      <w:pPr>
        <w:rPr>
          <w:b/>
          <w:bCs/>
        </w:rPr>
      </w:pPr>
      <w:r w:rsidRPr="008859BB">
        <w:rPr>
          <w:b/>
          <w:bCs/>
        </w:rPr>
        <w:t>4. Data and Sample Description</w:t>
      </w:r>
    </w:p>
    <w:p w14:paraId="13E858F4" w14:textId="77777777" w:rsidR="008859BB" w:rsidRPr="008859BB" w:rsidRDefault="008859BB" w:rsidP="008859BB">
      <w:r w:rsidRPr="008859BB">
        <w:t>Empirical validation utilizes a comprehensive database of Chinese private equity transactions, controlling for fund-level, firm-level, and deal-level characteristics.</w:t>
      </w:r>
    </w:p>
    <w:p w14:paraId="53A94974" w14:textId="77777777" w:rsidR="008859BB" w:rsidRPr="008859BB" w:rsidRDefault="008859BB" w:rsidP="008859BB">
      <w:pPr>
        <w:numPr>
          <w:ilvl w:val="0"/>
          <w:numId w:val="6"/>
        </w:numPr>
      </w:pPr>
      <w:r w:rsidRPr="008859BB">
        <w:t>Sample comprises 4,753 portfolio companies in mainland China (and 116 in Hong Kong) receiving funding between 1988 and 2011.</w:t>
      </w:r>
    </w:p>
    <w:p w14:paraId="2073C58D" w14:textId="77777777" w:rsidR="008859BB" w:rsidRPr="008859BB" w:rsidRDefault="008859BB" w:rsidP="008859BB">
      <w:pPr>
        <w:numPr>
          <w:ilvl w:val="0"/>
          <w:numId w:val="6"/>
        </w:numPr>
      </w:pPr>
      <w:r w:rsidRPr="008859BB">
        <w:t>Sourcing metrics include categorical ownership indicators: </w:t>
      </w:r>
      <w:proofErr w:type="gramStart"/>
      <w:r w:rsidRPr="008859BB">
        <w:rPr>
          <w:b/>
          <w:bCs/>
        </w:rPr>
        <w:t>I(</w:t>
      </w:r>
      <w:proofErr w:type="gramEnd"/>
      <w:r w:rsidRPr="008859BB">
        <w:rPr>
          <w:b/>
          <w:bCs/>
        </w:rPr>
        <w:t>At least one foreign VC)</w:t>
      </w:r>
      <w:r w:rsidRPr="008859BB">
        <w:t>, </w:t>
      </w:r>
      <w:proofErr w:type="gramStart"/>
      <w:r w:rsidRPr="008859BB">
        <w:rPr>
          <w:b/>
          <w:bCs/>
        </w:rPr>
        <w:t>I(</w:t>
      </w:r>
      <w:proofErr w:type="gramEnd"/>
      <w:r w:rsidRPr="008859BB">
        <w:rPr>
          <w:b/>
          <w:bCs/>
        </w:rPr>
        <w:t>Only Foreign)</w:t>
      </w:r>
      <w:r w:rsidRPr="008859BB">
        <w:t>, </w:t>
      </w:r>
      <w:proofErr w:type="gramStart"/>
      <w:r w:rsidRPr="008859BB">
        <w:rPr>
          <w:b/>
          <w:bCs/>
        </w:rPr>
        <w:t>I(</w:t>
      </w:r>
      <w:proofErr w:type="gramEnd"/>
      <w:r w:rsidRPr="008859BB">
        <w:rPr>
          <w:b/>
          <w:bCs/>
        </w:rPr>
        <w:t>Only JV)</w:t>
      </w:r>
      <w:r w:rsidRPr="008859BB">
        <w:t>, and </w:t>
      </w:r>
      <w:proofErr w:type="gramStart"/>
      <w:r w:rsidRPr="008859BB">
        <w:rPr>
          <w:b/>
          <w:bCs/>
        </w:rPr>
        <w:t>I(</w:t>
      </w:r>
      <w:proofErr w:type="gramEnd"/>
      <w:r w:rsidRPr="008859BB">
        <w:rPr>
          <w:b/>
          <w:bCs/>
        </w:rPr>
        <w:t>Only Domestic)</w:t>
      </w:r>
      <w:r w:rsidRPr="008859BB">
        <w:t>.</w:t>
      </w:r>
    </w:p>
    <w:p w14:paraId="146E86F8" w14:textId="77777777" w:rsidR="008859BB" w:rsidRPr="008859BB" w:rsidRDefault="008859BB" w:rsidP="008859BB">
      <w:pPr>
        <w:numPr>
          <w:ilvl w:val="0"/>
          <w:numId w:val="6"/>
        </w:numPr>
      </w:pPr>
      <w:r w:rsidRPr="008859BB">
        <w:t>Dependent exit variables track status: </w:t>
      </w:r>
      <w:r w:rsidRPr="008859BB">
        <w:rPr>
          <w:b/>
          <w:bCs/>
        </w:rPr>
        <w:t>I(Successful)</w:t>
      </w:r>
      <w:r w:rsidRPr="008859BB">
        <w:t> (exit via IPO, M&amp;A, or trade sale), </w:t>
      </w:r>
      <w:r w:rsidRPr="008859BB">
        <w:rPr>
          <w:b/>
          <w:bCs/>
        </w:rPr>
        <w:t>I(</w:t>
      </w:r>
      <w:proofErr w:type="spellStart"/>
      <w:r w:rsidRPr="008859BB">
        <w:rPr>
          <w:b/>
          <w:bCs/>
        </w:rPr>
        <w:t>IPO|Successful</w:t>
      </w:r>
      <w:proofErr w:type="spellEnd"/>
      <w:r w:rsidRPr="008859BB">
        <w:rPr>
          <w:b/>
          <w:bCs/>
        </w:rPr>
        <w:t>)</w:t>
      </w:r>
      <w:r w:rsidRPr="008859BB">
        <w:t>, </w:t>
      </w:r>
      <w:r w:rsidRPr="008859BB">
        <w:rPr>
          <w:b/>
          <w:bCs/>
        </w:rPr>
        <w:t>I(</w:t>
      </w:r>
      <w:proofErr w:type="spellStart"/>
      <w:r w:rsidRPr="008859BB">
        <w:rPr>
          <w:b/>
          <w:bCs/>
        </w:rPr>
        <w:t>M&amp;A|Successful</w:t>
      </w:r>
      <w:proofErr w:type="spellEnd"/>
      <w:r w:rsidRPr="008859BB">
        <w:rPr>
          <w:b/>
          <w:bCs/>
        </w:rPr>
        <w:t>)</w:t>
      </w:r>
      <w:r w:rsidRPr="008859BB">
        <w:t>, and </w:t>
      </w:r>
      <w:r w:rsidRPr="008859BB">
        <w:rPr>
          <w:b/>
          <w:bCs/>
        </w:rPr>
        <w:t>I(</w:t>
      </w:r>
      <w:proofErr w:type="spellStart"/>
      <w:r w:rsidRPr="008859BB">
        <w:rPr>
          <w:b/>
          <w:bCs/>
        </w:rPr>
        <w:t>Secondary|Successful</w:t>
      </w:r>
      <w:proofErr w:type="spellEnd"/>
      <w:r w:rsidRPr="008859BB">
        <w:rPr>
          <w:b/>
          <w:bCs/>
        </w:rPr>
        <w:t>)</w:t>
      </w:r>
      <w:r w:rsidRPr="008859BB">
        <w:t>.</w:t>
      </w:r>
    </w:p>
    <w:p w14:paraId="6F3C9C47" w14:textId="77777777" w:rsidR="008859BB" w:rsidRPr="008859BB" w:rsidRDefault="008859BB" w:rsidP="008859BB">
      <w:pPr>
        <w:numPr>
          <w:ilvl w:val="0"/>
          <w:numId w:val="6"/>
        </w:numPr>
      </w:pPr>
      <w:r w:rsidRPr="008859BB">
        <w:t>Investment stage controls are captured by static binary indicators: </w:t>
      </w:r>
      <w:r w:rsidRPr="008859BB">
        <w:rPr>
          <w:b/>
          <w:bCs/>
        </w:rPr>
        <w:t>I(Startup)</w:t>
      </w:r>
      <w:r w:rsidRPr="008859BB">
        <w:t> and </w:t>
      </w:r>
      <w:proofErr w:type="gramStart"/>
      <w:r w:rsidRPr="008859BB">
        <w:rPr>
          <w:b/>
          <w:bCs/>
        </w:rPr>
        <w:t>I(</w:t>
      </w:r>
      <w:proofErr w:type="gramEnd"/>
      <w:r w:rsidRPr="008859BB">
        <w:rPr>
          <w:b/>
          <w:bCs/>
        </w:rPr>
        <w:t>Late Stage)</w:t>
      </w:r>
      <w:r w:rsidRPr="008859BB">
        <w:t>.</w:t>
      </w:r>
    </w:p>
    <w:p w14:paraId="034434E0" w14:textId="77777777" w:rsidR="008859BB" w:rsidRPr="008859BB" w:rsidRDefault="008859BB" w:rsidP="008859BB">
      <w:pPr>
        <w:numPr>
          <w:ilvl w:val="0"/>
          <w:numId w:val="6"/>
        </w:numPr>
      </w:pPr>
      <w:r w:rsidRPr="008859BB">
        <w:t>Organizational controls include </w:t>
      </w:r>
      <w:proofErr w:type="gramStart"/>
      <w:r w:rsidRPr="008859BB">
        <w:rPr>
          <w:b/>
          <w:bCs/>
        </w:rPr>
        <w:t>ln(</w:t>
      </w:r>
      <w:proofErr w:type="gramEnd"/>
      <w:r w:rsidRPr="008859BB">
        <w:rPr>
          <w:b/>
          <w:bCs/>
        </w:rPr>
        <w:t>Maximum Fund Size)</w:t>
      </w:r>
      <w:r w:rsidRPr="008859BB">
        <w:t>, </w:t>
      </w:r>
      <w:r w:rsidRPr="008859BB">
        <w:rPr>
          <w:b/>
          <w:bCs/>
        </w:rPr>
        <w:t>Max Fund Exits</w:t>
      </w:r>
      <w:r w:rsidRPr="008859BB">
        <w:t>, </w:t>
      </w:r>
      <w:r w:rsidRPr="008859BB">
        <w:rPr>
          <w:b/>
          <w:bCs/>
        </w:rPr>
        <w:t>Max Num Fund Investments</w:t>
      </w:r>
      <w:r w:rsidRPr="008859BB">
        <w:t>, </w:t>
      </w:r>
      <w:r w:rsidRPr="008859BB">
        <w:rPr>
          <w:b/>
          <w:bCs/>
        </w:rPr>
        <w:t>Max Num Fund Regions</w:t>
      </w:r>
      <w:r w:rsidRPr="008859BB">
        <w:t>, </w:t>
      </w:r>
      <w:r w:rsidRPr="008859BB">
        <w:rPr>
          <w:b/>
          <w:bCs/>
        </w:rPr>
        <w:t>Max Num Industries</w:t>
      </w:r>
      <w:r w:rsidRPr="008859BB">
        <w:t>, </w:t>
      </w:r>
      <w:proofErr w:type="gramStart"/>
      <w:r w:rsidRPr="008859BB">
        <w:rPr>
          <w:b/>
          <w:bCs/>
        </w:rPr>
        <w:t>ln(</w:t>
      </w:r>
      <w:proofErr w:type="gramEnd"/>
      <w:r w:rsidRPr="008859BB">
        <w:rPr>
          <w:b/>
          <w:bCs/>
        </w:rPr>
        <w:t>Maximum Average Fund Investment Size)</w:t>
      </w:r>
      <w:r w:rsidRPr="008859BB">
        <w:t>, </w:t>
      </w:r>
      <w:r w:rsidRPr="008859BB">
        <w:rPr>
          <w:b/>
          <w:bCs/>
        </w:rPr>
        <w:t>Total Disclosed Stake</w:t>
      </w:r>
      <w:r w:rsidRPr="008859BB">
        <w:t>, and </w:t>
      </w:r>
      <w:proofErr w:type="gramStart"/>
      <w:r w:rsidRPr="008859BB">
        <w:rPr>
          <w:b/>
          <w:bCs/>
        </w:rPr>
        <w:t>ln(</w:t>
      </w:r>
      <w:proofErr w:type="gramEnd"/>
      <w:r w:rsidRPr="008859BB">
        <w:rPr>
          <w:b/>
          <w:bCs/>
        </w:rPr>
        <w:t>Total Invested Amount)</w:t>
      </w:r>
      <w:r w:rsidRPr="008859BB">
        <w:t>.</w:t>
      </w:r>
    </w:p>
    <w:p w14:paraId="6AAD2A32" w14:textId="77777777" w:rsidR="008859BB" w:rsidRPr="008859BB" w:rsidRDefault="008859BB" w:rsidP="008859BB">
      <w:r w:rsidRPr="008859BB">
        <w:rPr>
          <w:b/>
          <w:bCs/>
        </w:rPr>
        <w:t>Takeaway: The empirical design isolates venture ownership structures while controlling for fund capacity, stage maturity, and geographic scope.</w:t>
      </w:r>
    </w:p>
    <w:p w14:paraId="1038C28B" w14:textId="77777777" w:rsidR="008859BB" w:rsidRPr="008859BB" w:rsidRDefault="008859BB" w:rsidP="008859BB">
      <w:r w:rsidRPr="008859BB">
        <w:t>These variables are deployed across advanced econometric models to evaluate causal relationships.</w:t>
      </w:r>
    </w:p>
    <w:p w14:paraId="6C8C1B12" w14:textId="77777777" w:rsidR="008859BB" w:rsidRPr="008859BB" w:rsidRDefault="008859BB" w:rsidP="008859BB">
      <w:pPr>
        <w:rPr>
          <w:b/>
          <w:bCs/>
        </w:rPr>
      </w:pPr>
      <w:r w:rsidRPr="008859BB">
        <w:rPr>
          <w:b/>
          <w:bCs/>
        </w:rPr>
        <w:t>5. Empirical Results &amp; Analysis</w:t>
      </w:r>
    </w:p>
    <w:p w14:paraId="55F773CE" w14:textId="77777777" w:rsidR="008859BB" w:rsidRPr="008859BB" w:rsidRDefault="008859BB" w:rsidP="008859BB">
      <w:r w:rsidRPr="008859BB">
        <w:t>The study employs </w:t>
      </w:r>
      <w:r w:rsidRPr="008859BB">
        <w:rPr>
          <w:b/>
          <w:bCs/>
        </w:rPr>
        <w:t>Logit</w:t>
      </w:r>
      <w:r w:rsidRPr="008859BB">
        <w:t>, </w:t>
      </w:r>
      <w:r w:rsidRPr="008859BB">
        <w:rPr>
          <w:b/>
          <w:bCs/>
        </w:rPr>
        <w:t>Tobit</w:t>
      </w:r>
      <w:r w:rsidRPr="008859BB">
        <w:t>, </w:t>
      </w:r>
      <w:r w:rsidRPr="008859BB">
        <w:rPr>
          <w:b/>
          <w:bCs/>
        </w:rPr>
        <w:t>Cox Hazard Models</w:t>
      </w:r>
      <w:r w:rsidRPr="008859BB">
        <w:t>, and </w:t>
      </w:r>
      <w:r w:rsidRPr="008859BB">
        <w:rPr>
          <w:b/>
          <w:bCs/>
        </w:rPr>
        <w:t>Two-Stage Instrumental Variables</w:t>
      </w:r>
      <w:r w:rsidRPr="008859BB">
        <w:t> to analyze venture investment, exit speed, and exit channel selection.</w:t>
      </w:r>
    </w:p>
    <w:p w14:paraId="11227FD4" w14:textId="77777777" w:rsidR="008859BB" w:rsidRPr="008859BB" w:rsidRDefault="008859BB" w:rsidP="008859BB">
      <w:pPr>
        <w:rPr>
          <w:b/>
          <w:bCs/>
        </w:rPr>
      </w:pPr>
      <w:r w:rsidRPr="008859BB">
        <w:rPr>
          <w:b/>
          <w:bCs/>
        </w:rPr>
        <w:t>5.1 Determinants of Foreign VC Investment</w:t>
      </w:r>
    </w:p>
    <w:p w14:paraId="738EA142" w14:textId="77777777" w:rsidR="008859BB" w:rsidRPr="008859BB" w:rsidRDefault="008859BB" w:rsidP="008859BB">
      <w:r w:rsidRPr="008859BB">
        <w:lastRenderedPageBreak/>
        <w:t>Logit and Tobit selection models establish that foreign funds exhibit clear preferences based on deal stage, sector, and geography.</w:t>
      </w:r>
    </w:p>
    <w:p w14:paraId="41CD587D" w14:textId="77777777" w:rsidR="008859BB" w:rsidRPr="008859BB" w:rsidRDefault="008859BB" w:rsidP="008859BB">
      <w:pPr>
        <w:numPr>
          <w:ilvl w:val="0"/>
          <w:numId w:val="7"/>
        </w:numPr>
      </w:pPr>
      <w:r w:rsidRPr="008859BB">
        <w:t>Foreign funds avoid startups (</w:t>
      </w:r>
      <w:proofErr w:type="gramStart"/>
      <w:r w:rsidRPr="008859BB">
        <w:t>I(</w:t>
      </w:r>
      <w:proofErr w:type="gramEnd"/>
      <w:r w:rsidRPr="008859BB">
        <w:t>Only Foreign) coefficient = -0.383</w:t>
      </w:r>
      <w:proofErr w:type="gramStart"/>
      <w:r w:rsidRPr="008859BB">
        <w:t>^{</w:t>
      </w:r>
      <w:proofErr w:type="gramEnd"/>
      <w:r w:rsidRPr="008859BB">
        <w:t>***}) and favor late-stage deals (</w:t>
      </w:r>
      <w:proofErr w:type="gramStart"/>
      <w:r w:rsidRPr="008859BB">
        <w:t>I(</w:t>
      </w:r>
      <w:proofErr w:type="gramEnd"/>
      <w:r w:rsidRPr="008859BB">
        <w:t>At least one foreign VC) = +0.535</w:t>
      </w:r>
      <w:proofErr w:type="gramStart"/>
      <w:r w:rsidRPr="008859BB">
        <w:t>^{</w:t>
      </w:r>
      <w:proofErr w:type="gramEnd"/>
      <w:r w:rsidRPr="008859BB">
        <w:t>***}), though funds with any foreign/JV presence show minor startup entry propensity (</w:t>
      </w:r>
      <w:proofErr w:type="gramStart"/>
      <w:r w:rsidRPr="008859BB">
        <w:rPr>
          <w:b/>
          <w:bCs/>
        </w:rPr>
        <w:t>I(</w:t>
      </w:r>
      <w:proofErr w:type="gramEnd"/>
      <w:r w:rsidRPr="008859BB">
        <w:rPr>
          <w:b/>
          <w:bCs/>
        </w:rPr>
        <w:t>At least one foreign/JV)</w:t>
      </w:r>
      <w:r w:rsidRPr="008859BB">
        <w:t> = +0.151</w:t>
      </w:r>
      <w:proofErr w:type="gramStart"/>
      <w:r w:rsidRPr="008859BB">
        <w:t>^{</w:t>
      </w:r>
      <w:proofErr w:type="gramEnd"/>
      <w:r w:rsidRPr="008859BB">
        <w:t>*}).</w:t>
      </w:r>
    </w:p>
    <w:p w14:paraId="7DC88275" w14:textId="77777777" w:rsidR="008859BB" w:rsidRPr="008859BB" w:rsidRDefault="008859BB" w:rsidP="008859BB">
      <w:pPr>
        <w:numPr>
          <w:ilvl w:val="0"/>
          <w:numId w:val="7"/>
        </w:numPr>
      </w:pPr>
      <w:r w:rsidRPr="008859BB">
        <w:t>Geographic concentration strongly favors major tier-1 hubs (</w:t>
      </w:r>
      <w:r w:rsidRPr="008859BB">
        <w:rPr>
          <w:b/>
          <w:bCs/>
        </w:rPr>
        <w:t>Region: City</w:t>
      </w:r>
      <w:r w:rsidRPr="008859BB">
        <w:t>, e.g., Shanghai, Beijing; +1.184</w:t>
      </w:r>
      <w:proofErr w:type="gramStart"/>
      <w:r w:rsidRPr="008859BB">
        <w:t>^{</w:t>
      </w:r>
      <w:proofErr w:type="gramEnd"/>
      <w:r w:rsidRPr="008859BB">
        <w:t>***}) due to branch proximity and lower monitoring costs.</w:t>
      </w:r>
    </w:p>
    <w:p w14:paraId="1041B48C" w14:textId="77777777" w:rsidR="008859BB" w:rsidRPr="008859BB" w:rsidRDefault="008859BB" w:rsidP="008859BB">
      <w:pPr>
        <w:numPr>
          <w:ilvl w:val="0"/>
          <w:numId w:val="7"/>
        </w:numPr>
      </w:pPr>
      <w:r w:rsidRPr="008859BB">
        <w:t>Foreign VCs avoid state-sensitive sectors (</w:t>
      </w:r>
      <w:r w:rsidRPr="008859BB">
        <w:rPr>
          <w:b/>
          <w:bCs/>
        </w:rPr>
        <w:t>Resources</w:t>
      </w:r>
      <w:r w:rsidRPr="008859BB">
        <w:t>: -0.881</w:t>
      </w:r>
      <w:proofErr w:type="gramStart"/>
      <w:r w:rsidRPr="008859BB">
        <w:t>^{</w:t>
      </w:r>
      <w:proofErr w:type="gramEnd"/>
      <w:r w:rsidRPr="008859BB">
        <w:t>**}) and high-asymmetry sectors (</w:t>
      </w:r>
      <w:r w:rsidRPr="008859BB">
        <w:rPr>
          <w:b/>
          <w:bCs/>
        </w:rPr>
        <w:t>Medical/Biotech</w:t>
      </w:r>
      <w:r w:rsidRPr="008859BB">
        <w:t>: -0.329</w:t>
      </w:r>
      <w:proofErr w:type="gramStart"/>
      <w:r w:rsidRPr="008859BB">
        <w:t>^{</w:t>
      </w:r>
      <w:proofErr w:type="gramEnd"/>
      <w:r w:rsidRPr="008859BB">
        <w:t>***}), preferring </w:t>
      </w:r>
      <w:r w:rsidRPr="008859BB">
        <w:rPr>
          <w:b/>
          <w:bCs/>
        </w:rPr>
        <w:t>Tech</w:t>
      </w:r>
      <w:r w:rsidRPr="008859BB">
        <w:t> (+0.382</w:t>
      </w:r>
      <w:proofErr w:type="gramStart"/>
      <w:r w:rsidRPr="008859BB">
        <w:t>^{</w:t>
      </w:r>
      <w:proofErr w:type="gramEnd"/>
      <w:r w:rsidRPr="008859BB">
        <w:t>**}), </w:t>
      </w:r>
      <w:r w:rsidRPr="008859BB">
        <w:rPr>
          <w:b/>
          <w:bCs/>
        </w:rPr>
        <w:t>Media/Communications</w:t>
      </w:r>
      <w:r w:rsidRPr="008859BB">
        <w:t> (+0.353</w:t>
      </w:r>
      <w:proofErr w:type="gramStart"/>
      <w:r w:rsidRPr="008859BB">
        <w:t>^{</w:t>
      </w:r>
      <w:proofErr w:type="gramEnd"/>
      <w:r w:rsidRPr="008859BB">
        <w:t>***}), and </w:t>
      </w:r>
      <w:r w:rsidRPr="008859BB">
        <w:rPr>
          <w:b/>
          <w:bCs/>
        </w:rPr>
        <w:t>Financials</w:t>
      </w:r>
      <w:r w:rsidRPr="008859BB">
        <w:t> (+0.410</w:t>
      </w:r>
      <w:proofErr w:type="gramStart"/>
      <w:r w:rsidRPr="008859BB">
        <w:t>^{</w:t>
      </w:r>
      <w:proofErr w:type="gramEnd"/>
      <w:r w:rsidRPr="008859BB">
        <w:t>**} in Logit; +0.548</w:t>
      </w:r>
      <w:proofErr w:type="gramStart"/>
      <w:r w:rsidRPr="008859BB">
        <w:t>^{</w:t>
      </w:r>
      <w:proofErr w:type="gramEnd"/>
      <w:r w:rsidRPr="008859BB">
        <w:t>**} in Tobit).</w:t>
      </w:r>
    </w:p>
    <w:p w14:paraId="43B823DE" w14:textId="77777777" w:rsidR="008859BB" w:rsidRPr="008859BB" w:rsidRDefault="008859BB" w:rsidP="008859BB">
      <w:pPr>
        <w:numPr>
          <w:ilvl w:val="0"/>
          <w:numId w:val="7"/>
        </w:numPr>
      </w:pPr>
      <w:r w:rsidRPr="008859BB">
        <w:t>Foreign VCs invest in deals with a larger </w:t>
      </w:r>
      <w:r w:rsidRPr="008859BB">
        <w:rPr>
          <w:b/>
          <w:bCs/>
        </w:rPr>
        <w:t>Total Num Investors</w:t>
      </w:r>
      <w:r w:rsidRPr="008859BB">
        <w:t>, using syndication to split capital commitments and leverage partner networks.</w:t>
      </w:r>
    </w:p>
    <w:p w14:paraId="0A44E0A8" w14:textId="77777777" w:rsidR="008859BB" w:rsidRPr="008859BB" w:rsidRDefault="008859BB" w:rsidP="008859BB">
      <w:r w:rsidRPr="008859BB">
        <w:rPr>
          <w:b/>
          <w:bCs/>
        </w:rPr>
        <w:t>Takeaway: Foreign VCs mitigate information asymmetry by selecting late-stage, urban, technology, and financial targets with syndicated capital.</w:t>
      </w:r>
    </w:p>
    <w:p w14:paraId="0F6B3AD1" w14:textId="77777777" w:rsidR="008859BB" w:rsidRPr="008859BB" w:rsidRDefault="008859BB" w:rsidP="008859BB">
      <w:pPr>
        <w:rPr>
          <w:b/>
          <w:bCs/>
        </w:rPr>
      </w:pPr>
      <w:r w:rsidRPr="008859BB">
        <w:rPr>
          <w:b/>
          <w:bCs/>
        </w:rPr>
        <w:t>5.2 Foreign VCs and Exit Likelihood</w:t>
      </w:r>
    </w:p>
    <w:p w14:paraId="1FBC16BB" w14:textId="77777777" w:rsidR="008859BB" w:rsidRPr="008859BB" w:rsidRDefault="008859BB" w:rsidP="008859BB">
      <w:r w:rsidRPr="008859BB">
        <w:t>Cox hazard models evaluate survival times from initial investment to exit, capturing how fund types and operational scope impact exit speed and overall success rates.</w:t>
      </w:r>
    </w:p>
    <w:p w14:paraId="0DC0BD42" w14:textId="77777777" w:rsidR="008859BB" w:rsidRPr="008859BB" w:rsidRDefault="008859BB" w:rsidP="008859BB">
      <w:pPr>
        <w:numPr>
          <w:ilvl w:val="0"/>
          <w:numId w:val="8"/>
        </w:numPr>
      </w:pPr>
      <w:r w:rsidRPr="008859BB">
        <w:t xml:space="preserve">Baseline hazard models show </w:t>
      </w:r>
      <w:proofErr w:type="gramStart"/>
      <w:r w:rsidRPr="008859BB">
        <w:t>I(</w:t>
      </w:r>
      <w:proofErr w:type="gramEnd"/>
      <w:r w:rsidRPr="008859BB">
        <w:t>Only Foreign) (-0.346</w:t>
      </w:r>
      <w:proofErr w:type="gramStart"/>
      <w:r w:rsidRPr="008859BB">
        <w:t>^{</w:t>
      </w:r>
      <w:proofErr w:type="gramEnd"/>
      <w:r w:rsidRPr="008859BB">
        <w:t>***}), </w:t>
      </w:r>
      <w:proofErr w:type="gramStart"/>
      <w:r w:rsidRPr="008859BB">
        <w:rPr>
          <w:b/>
          <w:bCs/>
        </w:rPr>
        <w:t>Prop(</w:t>
      </w:r>
      <w:proofErr w:type="gramEnd"/>
      <w:r w:rsidRPr="008859BB">
        <w:rPr>
          <w:b/>
          <w:bCs/>
        </w:rPr>
        <w:t>Foreign)</w:t>
      </w:r>
      <w:r w:rsidRPr="008859BB">
        <w:t> (-0.459</w:t>
      </w:r>
      <w:proofErr w:type="gramStart"/>
      <w:r w:rsidRPr="008859BB">
        <w:t>^{</w:t>
      </w:r>
      <w:proofErr w:type="gramEnd"/>
      <w:r w:rsidRPr="008859BB">
        <w:t xml:space="preserve">***}), and </w:t>
      </w:r>
      <w:proofErr w:type="gramStart"/>
      <w:r w:rsidRPr="008859BB">
        <w:t>I(</w:t>
      </w:r>
      <w:proofErr w:type="gramEnd"/>
      <w:r w:rsidRPr="008859BB">
        <w:t>At least one foreign VC) (-0.423</w:t>
      </w:r>
      <w:proofErr w:type="gramStart"/>
      <w:r w:rsidRPr="008859BB">
        <w:t>^{</w:t>
      </w:r>
      <w:proofErr w:type="gramEnd"/>
      <w:r w:rsidRPr="008859BB">
        <w:t xml:space="preserve">***}) are negative and significant, confirming foreign backing alone slows exit speed, whereas </w:t>
      </w:r>
      <w:proofErr w:type="gramStart"/>
      <w:r w:rsidRPr="008859BB">
        <w:t>I(</w:t>
      </w:r>
      <w:proofErr w:type="gramEnd"/>
      <w:r w:rsidRPr="008859BB">
        <w:t>Only Domestic) (+0.287</w:t>
      </w:r>
      <w:proofErr w:type="gramStart"/>
      <w:r w:rsidRPr="008859BB">
        <w:t>^{</w:t>
      </w:r>
      <w:proofErr w:type="gramEnd"/>
      <w:r w:rsidRPr="008859BB">
        <w:t>***}) accelerates exits.</w:t>
      </w:r>
    </w:p>
    <w:p w14:paraId="36293EBB" w14:textId="77777777" w:rsidR="008859BB" w:rsidRPr="008859BB" w:rsidRDefault="008859BB" w:rsidP="008859BB">
      <w:pPr>
        <w:numPr>
          <w:ilvl w:val="0"/>
          <w:numId w:val="8"/>
        </w:numPr>
      </w:pPr>
      <w:r w:rsidRPr="008859BB">
        <w:t>For foreign-backed deals, adding a JV partner accelerates exit speed (</w:t>
      </w:r>
      <w:proofErr w:type="gramStart"/>
      <w:r w:rsidRPr="008859BB">
        <w:rPr>
          <w:b/>
          <w:bCs/>
        </w:rPr>
        <w:t>I(</w:t>
      </w:r>
      <w:proofErr w:type="gramEnd"/>
      <w:r w:rsidRPr="008859BB">
        <w:rPr>
          <w:b/>
          <w:bCs/>
        </w:rPr>
        <w:t>At least one JV)</w:t>
      </w:r>
      <w:r w:rsidRPr="008859BB">
        <w:t> = +0.376</w:t>
      </w:r>
      <w:proofErr w:type="gramStart"/>
      <w:r w:rsidRPr="008859BB">
        <w:t>^{</w:t>
      </w:r>
      <w:proofErr w:type="gramEnd"/>
      <w:r w:rsidRPr="008859BB">
        <w:t>***}, p=0.002), whereas adding a pure domestic VC yields no significant effect (-0.037, p=0.774); conversely, for JV-backed deals, adding a domestic partner accelerates exit (+0.324</w:t>
      </w:r>
      <w:proofErr w:type="gramStart"/>
      <w:r w:rsidRPr="008859BB">
        <w:t>^{</w:t>
      </w:r>
      <w:proofErr w:type="gramEnd"/>
      <w:r w:rsidRPr="008859BB">
        <w:t>**}, p=0.013).</w:t>
      </w:r>
    </w:p>
    <w:p w14:paraId="675856C9" w14:textId="77777777" w:rsidR="008859BB" w:rsidRPr="008859BB" w:rsidRDefault="008859BB" w:rsidP="008859BB">
      <w:pPr>
        <w:numPr>
          <w:ilvl w:val="0"/>
          <w:numId w:val="8"/>
        </w:numPr>
      </w:pPr>
      <w:r w:rsidRPr="008859BB">
        <w:t xml:space="preserve">Interacting foreign VC backing with </w:t>
      </w:r>
      <w:proofErr w:type="gramStart"/>
      <w:r w:rsidRPr="008859BB">
        <w:t>I(</w:t>
      </w:r>
      <w:proofErr w:type="gramEnd"/>
      <w:r w:rsidRPr="008859BB">
        <w:t>Late Stage) produces positive hazard coefficients (+0.944</w:t>
      </w:r>
      <w:proofErr w:type="gramStart"/>
      <w:r w:rsidRPr="008859BB">
        <w:t>^{</w:t>
      </w:r>
      <w:proofErr w:type="gramEnd"/>
      <w:r w:rsidRPr="008859BB">
        <w:t>***}), confirming foreign value-add occurs in mature growth phases.</w:t>
      </w:r>
    </w:p>
    <w:p w14:paraId="43064878" w14:textId="77777777" w:rsidR="008859BB" w:rsidRPr="008859BB" w:rsidRDefault="008859BB" w:rsidP="008859BB">
      <w:pPr>
        <w:numPr>
          <w:ilvl w:val="0"/>
          <w:numId w:val="8"/>
        </w:numPr>
      </w:pPr>
      <w:r w:rsidRPr="008859BB">
        <w:t>Baseline hazard models show full-sample main effects where Max Num Fund Regions is positive (+0.036</w:t>
      </w:r>
      <w:proofErr w:type="gramStart"/>
      <w:r w:rsidRPr="008859BB">
        <w:t>^{</w:t>
      </w:r>
      <w:proofErr w:type="gramEnd"/>
      <w:r w:rsidRPr="008859BB">
        <w:t>***}) and Max Num Industries is negative (-0.030</w:t>
      </w:r>
      <w:proofErr w:type="gramStart"/>
      <w:r w:rsidRPr="008859BB">
        <w:t>^{</w:t>
      </w:r>
      <w:proofErr w:type="gramEnd"/>
      <w:r w:rsidRPr="008859BB">
        <w:t xml:space="preserve">***}); </w:t>
      </w:r>
      <w:r w:rsidRPr="008859BB">
        <w:lastRenderedPageBreak/>
        <w:t>however, interaction models show foreign VCs specifically suffer from regional spread (\</w:t>
      </w:r>
      <w:proofErr w:type="gramStart"/>
      <w:r w:rsidRPr="008859BB">
        <w:t>text{</w:t>
      </w:r>
      <w:proofErr w:type="gramEnd"/>
      <w:r w:rsidRPr="008859BB">
        <w:t>Foreign} \times \</w:t>
      </w:r>
      <w:proofErr w:type="gramStart"/>
      <w:r w:rsidRPr="008859BB">
        <w:t>text{</w:t>
      </w:r>
      <w:proofErr w:type="gramEnd"/>
      <w:r w:rsidRPr="008859BB">
        <w:t>Max Num Fund Regions} = -0.113</w:t>
      </w:r>
      <w:proofErr w:type="gramStart"/>
      <w:r w:rsidRPr="008859BB">
        <w:t>^{</w:t>
      </w:r>
      <w:proofErr w:type="gramEnd"/>
      <w:r w:rsidRPr="008859BB">
        <w:t>***}) due to limited attention and benefit from industry diversification (\</w:t>
      </w:r>
      <w:proofErr w:type="gramStart"/>
      <w:r w:rsidRPr="008859BB">
        <w:t>text{</w:t>
      </w:r>
      <w:proofErr w:type="gramEnd"/>
      <w:r w:rsidRPr="008859BB">
        <w:t>Foreign} \times \</w:t>
      </w:r>
      <w:proofErr w:type="gramStart"/>
      <w:r w:rsidRPr="008859BB">
        <w:t>text{</w:t>
      </w:r>
      <w:proofErr w:type="gramEnd"/>
      <w:r w:rsidRPr="008859BB">
        <w:t>Max Num Fund Industries} = +0.048</w:t>
      </w:r>
      <w:proofErr w:type="gramStart"/>
      <w:r w:rsidRPr="008859BB">
        <w:t>^{</w:t>
      </w:r>
      <w:proofErr w:type="gramEnd"/>
      <w:r w:rsidRPr="008859BB">
        <w:t>***}).</w:t>
      </w:r>
    </w:p>
    <w:p w14:paraId="6316E933" w14:textId="77777777" w:rsidR="008859BB" w:rsidRPr="008859BB" w:rsidRDefault="008859BB" w:rsidP="008859BB">
      <w:pPr>
        <w:numPr>
          <w:ilvl w:val="0"/>
          <w:numId w:val="8"/>
        </w:numPr>
      </w:pPr>
      <w:r w:rsidRPr="008859BB">
        <w:t>Controls show Max Fund Exits drives exit speed (+0.062</w:t>
      </w:r>
      <w:proofErr w:type="gramStart"/>
      <w:r w:rsidRPr="008859BB">
        <w:t>^{</w:t>
      </w:r>
      <w:proofErr w:type="gramEnd"/>
      <w:r w:rsidRPr="008859BB">
        <w:t>***}), while I(Startup) status (-1.102</w:t>
      </w:r>
      <w:proofErr w:type="gramStart"/>
      <w:r w:rsidRPr="008859BB">
        <w:t>^{</w:t>
      </w:r>
      <w:proofErr w:type="gramEnd"/>
      <w:r w:rsidRPr="008859BB">
        <w:t>***}) and Max Num Fund Investments (-0.012</w:t>
      </w:r>
      <w:proofErr w:type="gramStart"/>
      <w:r w:rsidRPr="008859BB">
        <w:t>^{</w:t>
      </w:r>
      <w:proofErr w:type="gramEnd"/>
      <w:r w:rsidRPr="008859BB">
        <w:t>***}) delay exits.</w:t>
      </w:r>
    </w:p>
    <w:p w14:paraId="00FD3FEB" w14:textId="77777777" w:rsidR="008859BB" w:rsidRPr="008859BB" w:rsidRDefault="008859BB" w:rsidP="008859BB">
      <w:r w:rsidRPr="008859BB">
        <w:rPr>
          <w:b/>
          <w:bCs/>
        </w:rPr>
        <w:t>Takeaway: Foreign backing alone slows exit velocity; accelerated exits require foreign funds to leverage JV partnerships and target late-stage, industry-diversified ventures.</w:t>
      </w:r>
    </w:p>
    <w:p w14:paraId="0E89CD8D" w14:textId="77777777" w:rsidR="008859BB" w:rsidRPr="008859BB" w:rsidRDefault="008859BB" w:rsidP="008859BB">
      <w:pPr>
        <w:rPr>
          <w:b/>
          <w:bCs/>
        </w:rPr>
      </w:pPr>
      <w:r w:rsidRPr="008859BB">
        <w:rPr>
          <w:b/>
          <w:bCs/>
        </w:rPr>
        <w:t>5.3 Exit Preferences: M&amp;A vs. IPO</w:t>
      </w:r>
    </w:p>
    <w:p w14:paraId="579F5005" w14:textId="77777777" w:rsidR="008859BB" w:rsidRPr="008859BB" w:rsidRDefault="008859BB" w:rsidP="008859BB">
      <w:r w:rsidRPr="008859BB">
        <w:t>Conditional logit models on successfully exited firms isolate the structural determinants of exit route selection.</w:t>
      </w:r>
    </w:p>
    <w:p w14:paraId="15CDC532" w14:textId="77777777" w:rsidR="008859BB" w:rsidRPr="008859BB" w:rsidRDefault="008859BB" w:rsidP="008859BB">
      <w:pPr>
        <w:numPr>
          <w:ilvl w:val="0"/>
          <w:numId w:val="9"/>
        </w:numPr>
      </w:pPr>
      <w:r w:rsidRPr="008859BB">
        <w:t xml:space="preserve">Conditional on success, </w:t>
      </w:r>
      <w:proofErr w:type="gramStart"/>
      <w:r w:rsidRPr="008859BB">
        <w:t>I(</w:t>
      </w:r>
      <w:proofErr w:type="gramEnd"/>
      <w:r w:rsidRPr="008859BB">
        <w:t>At least one foreign VC) (-0.765</w:t>
      </w:r>
      <w:proofErr w:type="gramStart"/>
      <w:r w:rsidRPr="008859BB">
        <w:t>^{</w:t>
      </w:r>
      <w:proofErr w:type="gramEnd"/>
      <w:r w:rsidRPr="008859BB">
        <w:t>***}, p=0.010) and </w:t>
      </w:r>
      <w:proofErr w:type="gramStart"/>
      <w:r w:rsidRPr="008859BB">
        <w:rPr>
          <w:b/>
          <w:bCs/>
        </w:rPr>
        <w:t>Prop(</w:t>
      </w:r>
      <w:proofErr w:type="gramEnd"/>
      <w:r w:rsidRPr="008859BB">
        <w:rPr>
          <w:b/>
          <w:bCs/>
        </w:rPr>
        <w:t xml:space="preserve">Foreign </w:t>
      </w:r>
      <w:proofErr w:type="gramStart"/>
      <w:r w:rsidRPr="008859BB">
        <w:rPr>
          <w:b/>
          <w:bCs/>
        </w:rPr>
        <w:t>Funds)</w:t>
      </w:r>
      <w:r w:rsidRPr="008859BB">
        <w:t>(</w:t>
      </w:r>
      <w:proofErr w:type="gramEnd"/>
      <w:r w:rsidRPr="008859BB">
        <w:t>-0.744</w:t>
      </w:r>
      <w:proofErr w:type="gramStart"/>
      <w:r w:rsidRPr="008859BB">
        <w:t>^{</w:t>
      </w:r>
      <w:proofErr w:type="gramEnd"/>
      <w:r w:rsidRPr="008859BB">
        <w:t>**}, p=0.027) significantly reduce the probability of an </w:t>
      </w:r>
      <w:proofErr w:type="gramStart"/>
      <w:r w:rsidRPr="008859BB">
        <w:rPr>
          <w:b/>
          <w:bCs/>
        </w:rPr>
        <w:t>I(</w:t>
      </w:r>
      <w:proofErr w:type="gramEnd"/>
      <w:r w:rsidRPr="008859BB">
        <w:rPr>
          <w:b/>
          <w:bCs/>
        </w:rPr>
        <w:t>IPO exit)</w:t>
      </w:r>
      <w:r w:rsidRPr="008859BB">
        <w:t>.</w:t>
      </w:r>
    </w:p>
    <w:p w14:paraId="1212C437" w14:textId="77777777" w:rsidR="008859BB" w:rsidRPr="008859BB" w:rsidRDefault="008859BB" w:rsidP="008859BB">
      <w:pPr>
        <w:numPr>
          <w:ilvl w:val="0"/>
          <w:numId w:val="9"/>
        </w:numPr>
      </w:pPr>
      <w:r w:rsidRPr="008859BB">
        <w:t>Exited foreign-backed deals achieve a 26.7% M&amp;A rate versus 15.2% for domestic deals; domestic VCs realize an 82% IPO rate compared to 68.3% for foreign VCs.</w:t>
      </w:r>
    </w:p>
    <w:p w14:paraId="74FE3C88" w14:textId="77777777" w:rsidR="008859BB" w:rsidRPr="008859BB" w:rsidRDefault="008859BB" w:rsidP="008859BB">
      <w:pPr>
        <w:numPr>
          <w:ilvl w:val="0"/>
          <w:numId w:val="9"/>
        </w:numPr>
      </w:pPr>
      <w:r w:rsidRPr="008859BB">
        <w:t>M&amp;A preference stems from CSRC merits review opacity, 1-to-</w:t>
      </w:r>
      <w:proofErr w:type="gramStart"/>
      <w:r w:rsidRPr="008859BB">
        <w:t>3 year</w:t>
      </w:r>
      <w:proofErr w:type="gramEnd"/>
      <w:r w:rsidRPr="008859BB">
        <w:t xml:space="preserve"> lock-up risks, foreign ownership limits, and IPO underpricing losses.</w:t>
      </w:r>
    </w:p>
    <w:p w14:paraId="58652358" w14:textId="77777777" w:rsidR="008859BB" w:rsidRPr="008859BB" w:rsidRDefault="008859BB" w:rsidP="008859BB">
      <w:pPr>
        <w:numPr>
          <w:ilvl w:val="0"/>
          <w:numId w:val="9"/>
        </w:numPr>
      </w:pPr>
      <w:r w:rsidRPr="008859BB">
        <w:rPr>
          <w:b/>
          <w:bCs/>
        </w:rPr>
        <w:t>Num Rounds</w:t>
      </w:r>
      <w:r w:rsidRPr="008859BB">
        <w:t> strongly increases IPO probability (+0.708</w:t>
      </w:r>
      <w:proofErr w:type="gramStart"/>
      <w:r w:rsidRPr="008859BB">
        <w:t>^{</w:t>
      </w:r>
      <w:proofErr w:type="gramEnd"/>
      <w:r w:rsidRPr="008859BB">
        <w:t>***}), while I(Startup) status pushes firms toward M&amp;A exits (-1.608</w:t>
      </w:r>
      <w:proofErr w:type="gramStart"/>
      <w:r w:rsidRPr="008859BB">
        <w:t>^{</w:t>
      </w:r>
      <w:proofErr w:type="gramEnd"/>
      <w:r w:rsidRPr="008859BB">
        <w:t>***}).</w:t>
      </w:r>
    </w:p>
    <w:p w14:paraId="3B09BD10" w14:textId="77777777" w:rsidR="008859BB" w:rsidRPr="008859BB" w:rsidRDefault="008859BB" w:rsidP="008859BB">
      <w:r w:rsidRPr="008859BB">
        <w:rPr>
          <w:b/>
          <w:bCs/>
        </w:rPr>
        <w:t>Takeaway: Foreign VCs systematically shift successful exits toward M&amp;A to bypass Chinese public listing frictions and institutional opacity.</w:t>
      </w:r>
    </w:p>
    <w:p w14:paraId="7FA6DD55" w14:textId="77777777" w:rsidR="008859BB" w:rsidRPr="008859BB" w:rsidRDefault="008859BB" w:rsidP="008859BB">
      <w:pPr>
        <w:rPr>
          <w:b/>
          <w:bCs/>
        </w:rPr>
      </w:pPr>
      <w:r w:rsidRPr="008859BB">
        <w:rPr>
          <w:b/>
          <w:bCs/>
        </w:rPr>
        <w:t>5.4 Exit Trends Over Time &amp; Robustness</w:t>
      </w:r>
    </w:p>
    <w:p w14:paraId="3F8613DE" w14:textId="77777777" w:rsidR="008859BB" w:rsidRPr="008859BB" w:rsidRDefault="008859BB" w:rsidP="008859BB">
      <w:r w:rsidRPr="008859BB">
        <w:t>Time-trend models and econometric checks confirm the temporal evolution and endogeneity-free stability of the core empirical findings.</w:t>
      </w:r>
    </w:p>
    <w:p w14:paraId="15B50D95" w14:textId="77777777" w:rsidR="008859BB" w:rsidRPr="008859BB" w:rsidRDefault="008859BB" w:rsidP="008859BB">
      <w:pPr>
        <w:numPr>
          <w:ilvl w:val="0"/>
          <w:numId w:val="10"/>
        </w:numPr>
      </w:pPr>
      <w:r w:rsidRPr="008859BB">
        <w:rPr>
          <w:b/>
          <w:bCs/>
        </w:rPr>
        <w:t>Investment Year Trend</w:t>
      </w:r>
      <w:r w:rsidRPr="008859BB">
        <w:t> (+0.126</w:t>
      </w:r>
      <w:proofErr w:type="gramStart"/>
      <w:r w:rsidRPr="008859BB">
        <w:t>^{</w:t>
      </w:r>
      <w:proofErr w:type="gramEnd"/>
      <w:r w:rsidRPr="008859BB">
        <w:t>***}) and </w:t>
      </w:r>
      <w:r w:rsidRPr="008859BB">
        <w:rPr>
          <w:b/>
          <w:bCs/>
        </w:rPr>
        <w:t>Exit Year Trend</w:t>
      </w:r>
      <w:r w:rsidRPr="008859BB">
        <w:t> (+0.147</w:t>
      </w:r>
      <w:proofErr w:type="gramStart"/>
      <w:r w:rsidRPr="008859BB">
        <w:t>^{</w:t>
      </w:r>
      <w:proofErr w:type="gramEnd"/>
      <w:r w:rsidRPr="008859BB">
        <w:t>***}) are positive and statistically significant, confirming IPO propensity increased over time due to SME/</w:t>
      </w:r>
      <w:proofErr w:type="spellStart"/>
      <w:r w:rsidRPr="008859BB">
        <w:t>Chinext</w:t>
      </w:r>
      <w:proofErr w:type="spellEnd"/>
      <w:r w:rsidRPr="008859BB">
        <w:t xml:space="preserve"> board launches and lock-up reductions.</w:t>
      </w:r>
    </w:p>
    <w:p w14:paraId="5DD6D01D" w14:textId="77777777" w:rsidR="008859BB" w:rsidRPr="008859BB" w:rsidRDefault="008859BB" w:rsidP="008859BB">
      <w:pPr>
        <w:numPr>
          <w:ilvl w:val="0"/>
          <w:numId w:val="10"/>
        </w:numPr>
      </w:pPr>
      <w:r w:rsidRPr="008859BB">
        <w:t>Endogeneity is addressed using Two-Stage Instrumental Variables; Stage 1 uses regional banking metrics (deposits, loans to financial, industrial, commercial, agricultural firms, fixed assets) and foreign/JV regional herding intensity.</w:t>
      </w:r>
    </w:p>
    <w:p w14:paraId="14FAD137" w14:textId="77777777" w:rsidR="008859BB" w:rsidRPr="008859BB" w:rsidRDefault="008859BB" w:rsidP="008859BB">
      <w:pPr>
        <w:numPr>
          <w:ilvl w:val="0"/>
          <w:numId w:val="10"/>
        </w:numPr>
      </w:pPr>
      <w:r w:rsidRPr="008859BB">
        <w:lastRenderedPageBreak/>
        <w:t>Results remain robust under Busso et al. (2011) </w:t>
      </w:r>
      <w:r w:rsidRPr="008859BB">
        <w:rPr>
          <w:b/>
          <w:bCs/>
        </w:rPr>
        <w:t>covariance weighting</w:t>
      </w:r>
      <w:r w:rsidRPr="008859BB">
        <w:t> using \</w:t>
      </w:r>
      <w:proofErr w:type="gramStart"/>
      <w:r w:rsidRPr="008859BB">
        <w:t>text{</w:t>
      </w:r>
      <w:proofErr w:type="gramEnd"/>
      <w:r w:rsidRPr="008859BB">
        <w:t>Weight} = I + (1 - I) \times \frac{\</w:t>
      </w:r>
      <w:proofErr w:type="gramStart"/>
      <w:r w:rsidRPr="008859BB">
        <w:t>text{</w:t>
      </w:r>
      <w:proofErr w:type="gramEnd"/>
      <w:r w:rsidRPr="008859BB">
        <w:t>Propensity</w:t>
      </w:r>
      <w:proofErr w:type="gramStart"/>
      <w:r w:rsidRPr="008859BB">
        <w:t>}}{</w:t>
      </w:r>
      <w:proofErr w:type="gramEnd"/>
      <w:r w:rsidRPr="008859BB">
        <w:t>1 - \</w:t>
      </w:r>
      <w:proofErr w:type="gramStart"/>
      <w:r w:rsidRPr="008859BB">
        <w:t>text{</w:t>
      </w:r>
      <w:proofErr w:type="gramEnd"/>
      <w:r w:rsidRPr="008859BB">
        <w:t>Propensity}} and </w:t>
      </w:r>
      <w:r w:rsidRPr="008859BB">
        <w:rPr>
          <w:b/>
          <w:bCs/>
        </w:rPr>
        <w:t>propensity score matching</w:t>
      </w:r>
      <w:r w:rsidRPr="008859BB">
        <w:t> trimming the top/bottom 5% propensity tails.</w:t>
      </w:r>
    </w:p>
    <w:p w14:paraId="7538D4F0" w14:textId="77777777" w:rsidR="008859BB" w:rsidRPr="008859BB" w:rsidRDefault="008859BB" w:rsidP="008859BB">
      <w:pPr>
        <w:numPr>
          <w:ilvl w:val="0"/>
          <w:numId w:val="10"/>
        </w:numPr>
      </w:pPr>
      <w:r w:rsidRPr="008859BB">
        <w:t>Findings are invariant to year, industry, and province fixed effects, with standard errors robust to clustering by lead fund.</w:t>
      </w:r>
    </w:p>
    <w:p w14:paraId="204DF09A" w14:textId="77777777" w:rsidR="008859BB" w:rsidRPr="008859BB" w:rsidRDefault="008859BB" w:rsidP="008859BB">
      <w:r w:rsidRPr="008859BB">
        <w:rPr>
          <w:b/>
          <w:bCs/>
        </w:rPr>
        <w:t>Takeaway: Structural market reforms have permanently increased Chinese IPO propensity over time, and empirical findings remain robust under rigorous endogeneity controls.</w:t>
      </w:r>
    </w:p>
    <w:p w14:paraId="69140FB2" w14:textId="77777777" w:rsidR="008859BB" w:rsidRPr="008859BB" w:rsidRDefault="008859BB" w:rsidP="008859BB">
      <w:r w:rsidRPr="008859BB">
        <w:t>These empirical results synthesize into broad implications for cross-border private equity strategy and financial regulation.</w:t>
      </w:r>
    </w:p>
    <w:p w14:paraId="41AB1201" w14:textId="77777777" w:rsidR="008859BB" w:rsidRPr="008859BB" w:rsidRDefault="008859BB" w:rsidP="008859BB">
      <w:pPr>
        <w:rPr>
          <w:b/>
          <w:bCs/>
        </w:rPr>
      </w:pPr>
      <w:r w:rsidRPr="008859BB">
        <w:rPr>
          <w:b/>
          <w:bCs/>
        </w:rPr>
        <w:t>6. Conclusion</w:t>
      </w:r>
    </w:p>
    <w:p w14:paraId="5ADE913F" w14:textId="77777777" w:rsidR="008859BB" w:rsidRPr="008859BB" w:rsidRDefault="008859BB" w:rsidP="008859BB">
      <w:r w:rsidRPr="008859BB">
        <w:t>This paper provides empirical evidence on foreign venture capital efficacy within emerging market institutional frameworks.</w:t>
      </w:r>
    </w:p>
    <w:p w14:paraId="2776F268" w14:textId="77777777" w:rsidR="008859BB" w:rsidRPr="008859BB" w:rsidRDefault="008859BB" w:rsidP="008859BB">
      <w:pPr>
        <w:numPr>
          <w:ilvl w:val="0"/>
          <w:numId w:val="11"/>
        </w:numPr>
      </w:pPr>
      <w:r w:rsidRPr="008859BB">
        <w:t>Foreign VCs suffer from geographic and regulatory distance, preventing them from independently driving superior venture exit rates.</w:t>
      </w:r>
    </w:p>
    <w:p w14:paraId="193E556D" w14:textId="77777777" w:rsidR="008859BB" w:rsidRPr="008859BB" w:rsidRDefault="008859BB" w:rsidP="008859BB">
      <w:pPr>
        <w:numPr>
          <w:ilvl w:val="0"/>
          <w:numId w:val="11"/>
        </w:numPr>
      </w:pPr>
      <w:r w:rsidRPr="008859BB">
        <w:t>Partnering with JV funds bridges institutional voids, enabling foreign capital to navigate local regulatory regimes and guanxi networks.</w:t>
      </w:r>
    </w:p>
    <w:p w14:paraId="076001AE" w14:textId="77777777" w:rsidR="008859BB" w:rsidRPr="008859BB" w:rsidRDefault="008859BB" w:rsidP="008859BB">
      <w:pPr>
        <w:numPr>
          <w:ilvl w:val="0"/>
          <w:numId w:val="11"/>
        </w:numPr>
      </w:pPr>
      <w:r w:rsidRPr="008859BB">
        <w:t>International VCs add maximum value to late-stage, industry-diversified companies rather than early-stage startups.</w:t>
      </w:r>
    </w:p>
    <w:p w14:paraId="092D23D7" w14:textId="77777777" w:rsidR="008859BB" w:rsidRPr="008859BB" w:rsidRDefault="008859BB" w:rsidP="008859BB">
      <w:pPr>
        <w:numPr>
          <w:ilvl w:val="0"/>
          <w:numId w:val="11"/>
        </w:numPr>
      </w:pPr>
      <w:r w:rsidRPr="008859BB">
        <w:t>Exit modes reflect local regulatory frictions, pushing foreign VCs toward M&amp;A exits, though market reforms have increased overall IPO propensity over time.</w:t>
      </w:r>
    </w:p>
    <w:p w14:paraId="63B80638" w14:textId="3CFC8010" w:rsidR="00B97C49" w:rsidRDefault="008859BB">
      <w:r w:rsidRPr="008859BB">
        <w:rPr>
          <w:b/>
          <w:bCs/>
        </w:rPr>
        <w:t>Takeaway: Master's candidates must recognize that cross-border VC success in emerging markets depends on local joint ventures, late-stage targeting, and institutional adaptation rather than fund size or capital alone.</w:t>
      </w:r>
    </w:p>
    <w:sectPr w:rsidR="00B97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2612A"/>
    <w:multiLevelType w:val="multilevel"/>
    <w:tmpl w:val="A6B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75CE"/>
    <w:multiLevelType w:val="multilevel"/>
    <w:tmpl w:val="45B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436E6"/>
    <w:multiLevelType w:val="multilevel"/>
    <w:tmpl w:val="8E3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B7F23"/>
    <w:multiLevelType w:val="multilevel"/>
    <w:tmpl w:val="6664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4020A"/>
    <w:multiLevelType w:val="multilevel"/>
    <w:tmpl w:val="EC2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D6B51"/>
    <w:multiLevelType w:val="multilevel"/>
    <w:tmpl w:val="8ACC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C1605"/>
    <w:multiLevelType w:val="multilevel"/>
    <w:tmpl w:val="CCB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6DEE"/>
    <w:multiLevelType w:val="multilevel"/>
    <w:tmpl w:val="452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7283E"/>
    <w:multiLevelType w:val="multilevel"/>
    <w:tmpl w:val="F3E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B4E42"/>
    <w:multiLevelType w:val="multilevel"/>
    <w:tmpl w:val="F4A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246F7"/>
    <w:multiLevelType w:val="multilevel"/>
    <w:tmpl w:val="7F7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33815">
    <w:abstractNumId w:val="4"/>
  </w:num>
  <w:num w:numId="2" w16cid:durableId="537737188">
    <w:abstractNumId w:val="5"/>
  </w:num>
  <w:num w:numId="3" w16cid:durableId="718549981">
    <w:abstractNumId w:val="8"/>
  </w:num>
  <w:num w:numId="4" w16cid:durableId="1851328851">
    <w:abstractNumId w:val="10"/>
  </w:num>
  <w:num w:numId="5" w16cid:durableId="1775786575">
    <w:abstractNumId w:val="9"/>
  </w:num>
  <w:num w:numId="6" w16cid:durableId="222832636">
    <w:abstractNumId w:val="6"/>
  </w:num>
  <w:num w:numId="7" w16cid:durableId="16086615">
    <w:abstractNumId w:val="2"/>
  </w:num>
  <w:num w:numId="8" w16cid:durableId="222832384">
    <w:abstractNumId w:val="3"/>
  </w:num>
  <w:num w:numId="9" w16cid:durableId="397174366">
    <w:abstractNumId w:val="7"/>
  </w:num>
  <w:num w:numId="10" w16cid:durableId="1844586475">
    <w:abstractNumId w:val="0"/>
  </w:num>
  <w:num w:numId="11" w16cid:durableId="445270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49"/>
    <w:rsid w:val="008859BB"/>
    <w:rsid w:val="0089238A"/>
    <w:rsid w:val="00B9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3FD86"/>
  <w15:chartTrackingRefBased/>
  <w15:docId w15:val="{BE3C6E47-AC45-6845-826D-C7EFED0DD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C49"/>
    <w:rPr>
      <w:rFonts w:eastAsiaTheme="majorEastAsia" w:cstheme="majorBidi"/>
      <w:color w:val="272727" w:themeColor="text1" w:themeTint="D8"/>
    </w:rPr>
  </w:style>
  <w:style w:type="paragraph" w:styleId="Title">
    <w:name w:val="Title"/>
    <w:basedOn w:val="Normal"/>
    <w:next w:val="Normal"/>
    <w:link w:val="TitleChar"/>
    <w:uiPriority w:val="10"/>
    <w:qFormat/>
    <w:rsid w:val="00B9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C49"/>
    <w:pPr>
      <w:spacing w:before="160"/>
      <w:jc w:val="center"/>
    </w:pPr>
    <w:rPr>
      <w:i/>
      <w:iCs/>
      <w:color w:val="404040" w:themeColor="text1" w:themeTint="BF"/>
    </w:rPr>
  </w:style>
  <w:style w:type="character" w:customStyle="1" w:styleId="QuoteChar">
    <w:name w:val="Quote Char"/>
    <w:basedOn w:val="DefaultParagraphFont"/>
    <w:link w:val="Quote"/>
    <w:uiPriority w:val="29"/>
    <w:rsid w:val="00B97C49"/>
    <w:rPr>
      <w:i/>
      <w:iCs/>
      <w:color w:val="404040" w:themeColor="text1" w:themeTint="BF"/>
    </w:rPr>
  </w:style>
  <w:style w:type="paragraph" w:styleId="ListParagraph">
    <w:name w:val="List Paragraph"/>
    <w:basedOn w:val="Normal"/>
    <w:uiPriority w:val="34"/>
    <w:qFormat/>
    <w:rsid w:val="00B97C49"/>
    <w:pPr>
      <w:ind w:left="720"/>
      <w:contextualSpacing/>
    </w:pPr>
  </w:style>
  <w:style w:type="character" w:styleId="IntenseEmphasis">
    <w:name w:val="Intense Emphasis"/>
    <w:basedOn w:val="DefaultParagraphFont"/>
    <w:uiPriority w:val="21"/>
    <w:qFormat/>
    <w:rsid w:val="00B97C49"/>
    <w:rPr>
      <w:i/>
      <w:iCs/>
      <w:color w:val="0F4761" w:themeColor="accent1" w:themeShade="BF"/>
    </w:rPr>
  </w:style>
  <w:style w:type="paragraph" w:styleId="IntenseQuote">
    <w:name w:val="Intense Quote"/>
    <w:basedOn w:val="Normal"/>
    <w:next w:val="Normal"/>
    <w:link w:val="IntenseQuoteChar"/>
    <w:uiPriority w:val="30"/>
    <w:qFormat/>
    <w:rsid w:val="00B9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C49"/>
    <w:rPr>
      <w:i/>
      <w:iCs/>
      <w:color w:val="0F4761" w:themeColor="accent1" w:themeShade="BF"/>
    </w:rPr>
  </w:style>
  <w:style w:type="character" w:styleId="IntenseReference">
    <w:name w:val="Intense Reference"/>
    <w:basedOn w:val="DefaultParagraphFont"/>
    <w:uiPriority w:val="32"/>
    <w:qFormat/>
    <w:rsid w:val="00B97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2077</Words>
  <Characters>11844</Characters>
  <Application>Microsoft Office Word</Application>
  <DocSecurity>0</DocSecurity>
  <Lines>98</Lines>
  <Paragraphs>27</Paragraphs>
  <ScaleCrop>false</ScaleCrop>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2026-09-27T10:15:00Z</dcterms:created>
  <dcterms:modified xsi:type="dcterms:W3CDTF">2026-09-27T10:25:00Z</dcterms:modified>
</cp:coreProperties>
</file>