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378512E" w14:textId="77777777" w:rsidR="00BC1D4F" w:rsidRPr="00BC1D4F" w:rsidRDefault="00BC1D4F" w:rsidP="00BC1D4F">
      <w:r w:rsidRPr="00BC1D4F">
        <w:t>Buchner, A., Espenlaub, S., Khurshed, A., &amp; Mohamed, A. (2018). Cross-border venture capital investments: The impact of foreignness on returns. </w:t>
      </w:r>
      <w:r w:rsidRPr="00BC1D4F">
        <w:rPr>
          <w:i/>
          <w:iCs/>
        </w:rPr>
        <w:t>Journal of International Business Studies</w:t>
      </w:r>
      <w:r w:rsidRPr="00BC1D4F">
        <w:t>, 49(5), 575–604. https://doi.org/10.1057/s41267-017-0116-6</w:t>
      </w:r>
    </w:p>
    <w:p w14:paraId="79CF38F5" w14:textId="77777777" w:rsidR="00BC1D4F" w:rsidRPr="00BC1D4F" w:rsidRDefault="00BC1D4F" w:rsidP="00BC1D4F">
      <w:pPr>
        <w:rPr>
          <w:b/>
          <w:bCs/>
        </w:rPr>
      </w:pPr>
      <w:r w:rsidRPr="00BC1D4F">
        <w:rPr>
          <w:b/>
          <w:bCs/>
        </w:rPr>
        <w:t>Study Guide: Cross-Border Venture Capital Investments &amp; The Impact of Foreignness on Returns</w:t>
      </w:r>
    </w:p>
    <w:p w14:paraId="1DC91ABF" w14:textId="77777777" w:rsidR="00BC1D4F" w:rsidRPr="00BC1D4F" w:rsidRDefault="00BC1D4F" w:rsidP="00BC1D4F">
      <w:pPr>
        <w:rPr>
          <w:b/>
          <w:bCs/>
        </w:rPr>
      </w:pPr>
      <w:r w:rsidRPr="00BC1D4F">
        <w:rPr>
          <w:b/>
          <w:bCs/>
        </w:rPr>
        <w:t>1. Introduction and Research Context</w:t>
      </w:r>
    </w:p>
    <w:p w14:paraId="4713E216" w14:textId="77777777" w:rsidR="00BC1D4F" w:rsidRPr="00BC1D4F" w:rsidRDefault="00BC1D4F" w:rsidP="00BC1D4F">
      <w:r w:rsidRPr="00BC1D4F">
        <w:t>Venture capital (VC) has traditionally operated as a localized asset class. Standard theory dictates that mitigating adverse selection and agency conflicts in opaque start-ups requires intensive screening, due diligence, and spatial proximity. However, rapid globalization has driven VC firms to expand internationally, challenging classic local-bias paradigms. Evaluating whether cross-border performance yields superior returns or structural underperformance requires analyzing deal-level cash flow dynamics rather than coarse exit proxies.</w:t>
      </w:r>
    </w:p>
    <w:p w14:paraId="60D53185" w14:textId="77777777" w:rsidR="00BC1D4F" w:rsidRPr="00BC1D4F" w:rsidRDefault="00BC1D4F" w:rsidP="00BC1D4F">
      <w:pPr>
        <w:numPr>
          <w:ilvl w:val="0"/>
          <w:numId w:val="1"/>
        </w:numPr>
      </w:pPr>
      <w:r w:rsidRPr="00BC1D4F">
        <w:t>A </w:t>
      </w:r>
      <w:r w:rsidRPr="00BC1D4F">
        <w:rPr>
          <w:b/>
          <w:bCs/>
        </w:rPr>
        <w:t>domestic deal</w:t>
      </w:r>
      <w:r w:rsidRPr="00BC1D4F">
        <w:t> involves a VC firm investing in its home country, whereas a </w:t>
      </w:r>
      <w:r w:rsidRPr="00BC1D4F">
        <w:rPr>
          <w:b/>
          <w:bCs/>
        </w:rPr>
        <w:t>cross-border deal</w:t>
      </w:r>
      <w:r w:rsidRPr="00BC1D4F">
        <w:t> involves investing outside its home country.</w:t>
      </w:r>
    </w:p>
    <w:p w14:paraId="6DD998C0" w14:textId="77777777" w:rsidR="00BC1D4F" w:rsidRPr="00BC1D4F" w:rsidRDefault="00BC1D4F" w:rsidP="00BC1D4F">
      <w:pPr>
        <w:numPr>
          <w:ilvl w:val="0"/>
          <w:numId w:val="1"/>
        </w:numPr>
      </w:pPr>
      <w:r w:rsidRPr="00BC1D4F">
        <w:t>Traditional VC theory stresses local market familiarity, network access, and spatial proximity to lower monitoring costs and mitigate information asymmetries.</w:t>
      </w:r>
    </w:p>
    <w:p w14:paraId="4FC5EAFF" w14:textId="77777777" w:rsidR="00BC1D4F" w:rsidRPr="00BC1D4F" w:rsidRDefault="00BC1D4F" w:rsidP="00BC1D4F">
      <w:pPr>
        <w:numPr>
          <w:ilvl w:val="0"/>
          <w:numId w:val="1"/>
        </w:numPr>
      </w:pPr>
      <w:r w:rsidRPr="00BC1D4F">
        <w:t>Global VC activity underwent a major shift, growing from cross-border deals representing 15% of global investments in the early 1990s to over 40% by 2007 (with foreign VCs funding over 70% of Asian deals).</w:t>
      </w:r>
    </w:p>
    <w:p w14:paraId="76D50C07" w14:textId="77777777" w:rsidR="00BC1D4F" w:rsidRPr="00BC1D4F" w:rsidRDefault="00BC1D4F" w:rsidP="00BC1D4F">
      <w:pPr>
        <w:numPr>
          <w:ilvl w:val="0"/>
          <w:numId w:val="1"/>
        </w:numPr>
      </w:pPr>
      <w:r w:rsidRPr="00BC1D4F">
        <w:t>International expansion creates theoretical tension: </w:t>
      </w:r>
      <w:r w:rsidRPr="00BC1D4F">
        <w:rPr>
          <w:b/>
          <w:bCs/>
        </w:rPr>
        <w:t>liability of foreignness</w:t>
      </w:r>
      <w:r w:rsidRPr="00BC1D4F">
        <w:t> (demanding higher returns due to foreign transaction costs) versus </w:t>
      </w:r>
      <w:r w:rsidRPr="00BC1D4F">
        <w:rPr>
          <w:b/>
          <w:bCs/>
        </w:rPr>
        <w:t>portfolio diversification</w:t>
      </w:r>
      <w:r w:rsidRPr="00BC1D4F">
        <w:t> and domestic market saturation (accepting lower returns).</w:t>
      </w:r>
    </w:p>
    <w:p w14:paraId="663B6F1D" w14:textId="77777777" w:rsidR="00BC1D4F" w:rsidRPr="00BC1D4F" w:rsidRDefault="00BC1D4F" w:rsidP="00BC1D4F">
      <w:pPr>
        <w:numPr>
          <w:ilvl w:val="0"/>
          <w:numId w:val="1"/>
        </w:numPr>
      </w:pPr>
      <w:r w:rsidRPr="00BC1D4F">
        <w:t>This study advances prior literature by analyzing deal-level cash flow metrics—</w:t>
      </w:r>
      <w:r w:rsidRPr="00BC1D4F">
        <w:rPr>
          <w:b/>
          <w:bCs/>
        </w:rPr>
        <w:t>Internal Rate of Return (IRR)</w:t>
      </w:r>
      <w:r w:rsidRPr="00BC1D4F">
        <w:t>and </w:t>
      </w:r>
      <w:r w:rsidRPr="00BC1D4F">
        <w:rPr>
          <w:b/>
          <w:bCs/>
        </w:rPr>
        <w:t>Public Market Equivalent (PME)</w:t>
      </w:r>
      <w:r w:rsidRPr="00BC1D4F">
        <w:t>—from actual distributions rather than coarse IPO exit proxies.</w:t>
      </w:r>
    </w:p>
    <w:p w14:paraId="11228E12" w14:textId="77777777" w:rsidR="00BC1D4F" w:rsidRPr="00BC1D4F" w:rsidRDefault="00BC1D4F" w:rsidP="00BC1D4F">
      <w:r w:rsidRPr="00BC1D4F">
        <w:t>Evaluating this global expansion requires examining theoretical constructs governing foreign performance.</w:t>
      </w:r>
    </w:p>
    <w:p w14:paraId="75B0F68B" w14:textId="77777777" w:rsidR="00BC1D4F" w:rsidRPr="00BC1D4F" w:rsidRDefault="00BC1D4F" w:rsidP="00BC1D4F">
      <w:r w:rsidRPr="00BC1D4F">
        <w:rPr>
          <w:b/>
          <w:bCs/>
        </w:rPr>
        <w:t>Takeaway:</w:t>
      </w:r>
      <w:r w:rsidRPr="00BC1D4F">
        <w:t> Although venture capital was historically constrained by spatial proximity, global deal flow expanded rapidly cross-border despite theoretical tradeoffs between foreign friction costs and portfolio diversification benefits.</w:t>
      </w:r>
    </w:p>
    <w:p w14:paraId="20EF2091" w14:textId="77777777" w:rsidR="00BC1D4F" w:rsidRPr="00BC1D4F" w:rsidRDefault="00BC1D4F" w:rsidP="00BC1D4F">
      <w:pPr>
        <w:rPr>
          <w:b/>
          <w:bCs/>
        </w:rPr>
      </w:pPr>
      <w:r w:rsidRPr="00BC1D4F">
        <w:rPr>
          <w:b/>
          <w:bCs/>
        </w:rPr>
        <w:t>2. Theoretical Framework and Hypotheses</w:t>
      </w:r>
    </w:p>
    <w:p w14:paraId="10C12E13" w14:textId="77777777" w:rsidR="00BC1D4F" w:rsidRPr="00BC1D4F" w:rsidRDefault="00BC1D4F" w:rsidP="00BC1D4F">
      <w:r w:rsidRPr="00BC1D4F">
        <w:lastRenderedPageBreak/>
        <w:t>The conceptual foundation of international entrepreneurial finance draws upon agency theory, transaction cost economics, and institutional economics. Foreign VC firms face localized disadvantages relative to domestic incumbents. Physical distance elevates travel costs and delays human capital deployment, while cultural and institutional disparities complicate contracting and governance. Consequently, theoretical models establish explicit hypotheses regarding foreignness and distance metrics.</w:t>
      </w:r>
    </w:p>
    <w:p w14:paraId="5E1148BF" w14:textId="77777777" w:rsidR="00BC1D4F" w:rsidRPr="00BC1D4F" w:rsidRDefault="00BC1D4F" w:rsidP="00BC1D4F">
      <w:pPr>
        <w:numPr>
          <w:ilvl w:val="0"/>
          <w:numId w:val="2"/>
        </w:numPr>
      </w:pPr>
      <w:r w:rsidRPr="00BC1D4F">
        <w:t>The </w:t>
      </w:r>
      <w:r w:rsidRPr="00BC1D4F">
        <w:rPr>
          <w:b/>
          <w:bCs/>
        </w:rPr>
        <w:t>liability of foreignness</w:t>
      </w:r>
      <w:r w:rsidRPr="00BC1D4F">
        <w:t> framework posits that spatial, cultural, and institutional barriers elevate screening and monitoring costs, generating persistent </w:t>
      </w:r>
      <w:r w:rsidRPr="00BC1D4F">
        <w:rPr>
          <w:b/>
          <w:bCs/>
        </w:rPr>
        <w:t>home bias</w:t>
      </w:r>
      <w:r w:rsidRPr="00BC1D4F">
        <w:t> in asset allocation.</w:t>
      </w:r>
    </w:p>
    <w:p w14:paraId="5820A9EB" w14:textId="77777777" w:rsidR="00BC1D4F" w:rsidRPr="00BC1D4F" w:rsidRDefault="00BC1D4F" w:rsidP="00BC1D4F">
      <w:pPr>
        <w:numPr>
          <w:ilvl w:val="0"/>
          <w:numId w:val="2"/>
        </w:numPr>
      </w:pPr>
      <w:r w:rsidRPr="00BC1D4F">
        <w:rPr>
          <w:b/>
          <w:bCs/>
        </w:rPr>
        <w:t>Hypothesis 1 (H1):</w:t>
      </w:r>
      <w:r w:rsidRPr="00BC1D4F">
        <w:t> All else equal, there is no difference in performance between domestic and cross-border VC investments.</w:t>
      </w:r>
    </w:p>
    <w:p w14:paraId="782370BD" w14:textId="77777777" w:rsidR="00BC1D4F" w:rsidRPr="00BC1D4F" w:rsidRDefault="00BC1D4F" w:rsidP="00BC1D4F">
      <w:pPr>
        <w:numPr>
          <w:ilvl w:val="0"/>
          <w:numId w:val="2"/>
        </w:numPr>
      </w:pPr>
      <w:r w:rsidRPr="00BC1D4F">
        <w:rPr>
          <w:b/>
          <w:bCs/>
        </w:rPr>
        <w:t>Hypothesis 2a (H2a):</w:t>
      </w:r>
      <w:r w:rsidRPr="00BC1D4F">
        <w:t> A VC firm's cross-border performance is unrelated to the </w:t>
      </w:r>
      <w:r w:rsidRPr="00BC1D4F">
        <w:rPr>
          <w:b/>
          <w:bCs/>
        </w:rPr>
        <w:t>geographic distance</w:t>
      </w:r>
      <w:r w:rsidRPr="00BC1D4F">
        <w:t> between home and host countries (controlling for other distance measures).</w:t>
      </w:r>
    </w:p>
    <w:p w14:paraId="02A8F0BC" w14:textId="77777777" w:rsidR="00BC1D4F" w:rsidRPr="00BC1D4F" w:rsidRDefault="00BC1D4F" w:rsidP="00BC1D4F">
      <w:pPr>
        <w:numPr>
          <w:ilvl w:val="0"/>
          <w:numId w:val="2"/>
        </w:numPr>
      </w:pPr>
      <w:r w:rsidRPr="00BC1D4F">
        <w:rPr>
          <w:b/>
          <w:bCs/>
        </w:rPr>
        <w:t>Hypothesis 2b (H2b):</w:t>
      </w:r>
      <w:r w:rsidRPr="00BC1D4F">
        <w:t> A VC firm's cross-border performance is negatively related to greater </w:t>
      </w:r>
      <w:r w:rsidRPr="00BC1D4F">
        <w:rPr>
          <w:b/>
          <w:bCs/>
        </w:rPr>
        <w:t xml:space="preserve">cultural </w:t>
      </w:r>
      <w:proofErr w:type="gramStart"/>
      <w:r w:rsidRPr="00BC1D4F">
        <w:rPr>
          <w:b/>
          <w:bCs/>
        </w:rPr>
        <w:t>disparity</w:t>
      </w:r>
      <w:r w:rsidRPr="00BC1D4F">
        <w:t>(</w:t>
      </w:r>
      <w:proofErr w:type="gramEnd"/>
      <w:r w:rsidRPr="00BC1D4F">
        <w:t>calculated via Hofstede's dimensions: power distance, individualism, masculinity, uncertainty avoidance) between home and host countries.</w:t>
      </w:r>
    </w:p>
    <w:p w14:paraId="26280955" w14:textId="77777777" w:rsidR="00BC1D4F" w:rsidRPr="00BC1D4F" w:rsidRDefault="00BC1D4F" w:rsidP="00BC1D4F">
      <w:pPr>
        <w:numPr>
          <w:ilvl w:val="0"/>
          <w:numId w:val="2"/>
        </w:numPr>
      </w:pPr>
      <w:r w:rsidRPr="00BC1D4F">
        <w:rPr>
          <w:b/>
          <w:bCs/>
        </w:rPr>
        <w:t>Hypothesis 2c (H2c):</w:t>
      </w:r>
      <w:r w:rsidRPr="00BC1D4F">
        <w:t> A VC firm's cross-border performance is negatively related to pronounced institutional differences (specifically </w:t>
      </w:r>
      <w:r w:rsidRPr="00BC1D4F">
        <w:rPr>
          <w:b/>
          <w:bCs/>
        </w:rPr>
        <w:t>regulatory quality</w:t>
      </w:r>
      <w:r w:rsidRPr="00BC1D4F">
        <w:t>, </w:t>
      </w:r>
      <w:r w:rsidRPr="00BC1D4F">
        <w:rPr>
          <w:b/>
          <w:bCs/>
        </w:rPr>
        <w:t>political stability</w:t>
      </w:r>
      <w:r w:rsidRPr="00BC1D4F">
        <w:t>, and </w:t>
      </w:r>
      <w:r w:rsidRPr="00BC1D4F">
        <w:rPr>
          <w:b/>
          <w:bCs/>
        </w:rPr>
        <w:t>legal systems</w:t>
      </w:r>
      <w:r w:rsidRPr="00BC1D4F">
        <w:t> origins) between home and host countries.</w:t>
      </w:r>
    </w:p>
    <w:p w14:paraId="68FABBB9" w14:textId="77777777" w:rsidR="00BC1D4F" w:rsidRPr="00BC1D4F" w:rsidRDefault="00BC1D4F" w:rsidP="00BC1D4F">
      <w:r w:rsidRPr="00BC1D4F">
        <w:t>These theoretical constructs are empirically tested using a multi-decade global dataset.</w:t>
      </w:r>
    </w:p>
    <w:p w14:paraId="7600A1BD" w14:textId="77777777" w:rsidR="00BC1D4F" w:rsidRPr="00BC1D4F" w:rsidRDefault="00BC1D4F" w:rsidP="00BC1D4F">
      <w:r w:rsidRPr="00BC1D4F">
        <w:rPr>
          <w:b/>
          <w:bCs/>
        </w:rPr>
        <w:t>Takeaway:</w:t>
      </w:r>
      <w:r w:rsidRPr="00BC1D4F">
        <w:t> Theoretical friction hypotheses predict that cross-border VC investments incur severe performance discounts driven by compounding geographic, cultural, and institutional barriers.</w:t>
      </w:r>
    </w:p>
    <w:p w14:paraId="1149C154" w14:textId="77777777" w:rsidR="00BC1D4F" w:rsidRPr="00BC1D4F" w:rsidRDefault="00BC1D4F" w:rsidP="00BC1D4F">
      <w:pPr>
        <w:rPr>
          <w:b/>
          <w:bCs/>
        </w:rPr>
      </w:pPr>
      <w:r w:rsidRPr="00BC1D4F">
        <w:rPr>
          <w:b/>
          <w:bCs/>
        </w:rPr>
        <w:t>3. Data and Empirical Methodology</w:t>
      </w:r>
    </w:p>
    <w:p w14:paraId="558A7C1F" w14:textId="77777777" w:rsidR="00BC1D4F" w:rsidRPr="00BC1D4F" w:rsidRDefault="00BC1D4F" w:rsidP="00BC1D4F">
      <w:r w:rsidRPr="00BC1D4F">
        <w:t>Accurately assessing venture capital returns requires moving beyond self-reported fund metrics or binary exit proxies. Utilizing granular deal-level cash flow data eliminates reporting bias and enables precise risk adjustment. To isolate the true return impact of foreignness, empirical models must control for non-random deal selection, investor self-selection, and macroeconomic conditions across investment holding periods.</w:t>
      </w:r>
    </w:p>
    <w:p w14:paraId="3CC88B7A" w14:textId="77777777" w:rsidR="00BC1D4F" w:rsidRPr="00BC1D4F" w:rsidRDefault="00BC1D4F" w:rsidP="00BC1D4F">
      <w:pPr>
        <w:numPr>
          <w:ilvl w:val="0"/>
          <w:numId w:val="3"/>
        </w:numPr>
      </w:pPr>
      <w:r w:rsidRPr="00BC1D4F">
        <w:lastRenderedPageBreak/>
        <w:t>The dataset contains 6,529 fully realized VC investments (1971–2009) from the </w:t>
      </w:r>
      <w:r w:rsidRPr="00BC1D4F">
        <w:rPr>
          <w:b/>
          <w:bCs/>
        </w:rPr>
        <w:t>Centre of Private Equity Research (CEPRES)</w:t>
      </w:r>
      <w:r w:rsidRPr="00BC1D4F">
        <w:t> database across North America, Europe (ex-UK), UK, and Rest of World (ROW).</w:t>
      </w:r>
    </w:p>
    <w:p w14:paraId="749B9578" w14:textId="77777777" w:rsidR="00BC1D4F" w:rsidRPr="00BC1D4F" w:rsidRDefault="00BC1D4F" w:rsidP="00BC1D4F">
      <w:pPr>
        <w:numPr>
          <w:ilvl w:val="0"/>
          <w:numId w:val="3"/>
        </w:numPr>
      </w:pPr>
      <w:r w:rsidRPr="00BC1D4F">
        <w:rPr>
          <w:b/>
          <w:bCs/>
        </w:rPr>
        <w:t>Internal Rate of Return (IRR)</w:t>
      </w:r>
      <w:r w:rsidRPr="00BC1D4F">
        <w:t xml:space="preserve"> measures absolute performance as the discount rate (r) equating net present value of cash flows to zero (where CF_0 = initial outlay, </w:t>
      </w:r>
      <w:proofErr w:type="spellStart"/>
      <w:r w:rsidRPr="00BC1D4F">
        <w:t>CF_t</w:t>
      </w:r>
      <w:proofErr w:type="spellEnd"/>
      <w:r w:rsidRPr="00BC1D4F">
        <w:t xml:space="preserve"> = cash distributions, t = holding period in years).</w:t>
      </w:r>
    </w:p>
    <w:p w14:paraId="0FC207BF" w14:textId="77777777" w:rsidR="00BC1D4F" w:rsidRPr="00BC1D4F" w:rsidRDefault="00BC1D4F" w:rsidP="00BC1D4F">
      <w:pPr>
        <w:numPr>
          <w:ilvl w:val="0"/>
          <w:numId w:val="3"/>
        </w:numPr>
      </w:pPr>
      <w:r w:rsidRPr="00BC1D4F">
        <w:rPr>
          <w:b/>
          <w:bCs/>
        </w:rPr>
        <w:t>Public Market Equivalent (PME)</w:t>
      </w:r>
      <w:r w:rsidRPr="00BC1D4F">
        <w:t> measures relative, risk-adjusted performance as the ratio of discounted cash inflows to outflows using local market indices (S&amp;P 500 for US deals).</w:t>
      </w:r>
    </w:p>
    <w:p w14:paraId="21AFD420" w14:textId="77777777" w:rsidR="00BC1D4F" w:rsidRPr="00BC1D4F" w:rsidRDefault="00BC1D4F" w:rsidP="00BC1D4F">
      <w:pPr>
        <w:numPr>
          <w:ilvl w:val="0"/>
          <w:numId w:val="3"/>
        </w:numPr>
      </w:pPr>
      <w:r w:rsidRPr="00BC1D4F">
        <w:t>A </w:t>
      </w:r>
      <w:r w:rsidRPr="00BC1D4F">
        <w:rPr>
          <w:b/>
          <w:bCs/>
        </w:rPr>
        <w:t>Heckman Two-Stage Model</w:t>
      </w:r>
      <w:r w:rsidRPr="00BC1D4F">
        <w:t> corrects for selection bias and endogeneity: Stage 1 estimates probit selection using aggregate domestic </w:t>
      </w:r>
      <w:r w:rsidRPr="00BC1D4F">
        <w:rPr>
          <w:b/>
          <w:bCs/>
        </w:rPr>
        <w:t>capital inflow</w:t>
      </w:r>
      <w:r w:rsidRPr="00BC1D4F">
        <w:t> as an instrumental variable; Stage 2 estimates performance incorporating the </w:t>
      </w:r>
      <w:r w:rsidRPr="00BC1D4F">
        <w:rPr>
          <w:b/>
          <w:bCs/>
        </w:rPr>
        <w:t>Inverse Mills Ratio (Lambda)</w:t>
      </w:r>
      <w:r w:rsidRPr="00BC1D4F">
        <w:t>.</w:t>
      </w:r>
    </w:p>
    <w:p w14:paraId="716989C4" w14:textId="77777777" w:rsidR="00BC1D4F" w:rsidRPr="00BC1D4F" w:rsidRDefault="00BC1D4F" w:rsidP="00BC1D4F">
      <w:pPr>
        <w:numPr>
          <w:ilvl w:val="0"/>
          <w:numId w:val="3"/>
        </w:numPr>
      </w:pPr>
      <w:r w:rsidRPr="00BC1D4F">
        <w:t>Key control variables include </w:t>
      </w:r>
      <w:r w:rsidRPr="00BC1D4F">
        <w:rPr>
          <w:b/>
          <w:bCs/>
        </w:rPr>
        <w:t>VC age</w:t>
      </w:r>
      <w:r w:rsidRPr="00BC1D4F">
        <w:t> (experience), </w:t>
      </w:r>
      <w:r w:rsidRPr="00BC1D4F">
        <w:rPr>
          <w:b/>
          <w:bCs/>
        </w:rPr>
        <w:t>fund age</w:t>
      </w:r>
      <w:r w:rsidRPr="00BC1D4F">
        <w:t>, </w:t>
      </w:r>
      <w:r w:rsidRPr="00BC1D4F">
        <w:rPr>
          <w:b/>
          <w:bCs/>
        </w:rPr>
        <w:t>investment size</w:t>
      </w:r>
      <w:r w:rsidRPr="00BC1D4F">
        <w:t>, </w:t>
      </w:r>
      <w:r w:rsidRPr="00BC1D4F">
        <w:rPr>
          <w:b/>
          <w:bCs/>
        </w:rPr>
        <w:t>investment duration</w:t>
      </w:r>
      <w:r w:rsidRPr="00BC1D4F">
        <w:t>, market </w:t>
      </w:r>
      <w:r w:rsidRPr="00BC1D4F">
        <w:rPr>
          <w:b/>
          <w:bCs/>
        </w:rPr>
        <w:t>liquidity</w:t>
      </w:r>
      <w:r w:rsidRPr="00BC1D4F">
        <w:t>, </w:t>
      </w:r>
      <w:r w:rsidRPr="00BC1D4F">
        <w:rPr>
          <w:b/>
          <w:bCs/>
        </w:rPr>
        <w:t>syndication</w:t>
      </w:r>
      <w:r w:rsidRPr="00BC1D4F">
        <w:t>, financing stage, investment year, and industry sector.</w:t>
      </w:r>
    </w:p>
    <w:p w14:paraId="78D7229B" w14:textId="77777777" w:rsidR="00BC1D4F" w:rsidRPr="00BC1D4F" w:rsidRDefault="00BC1D4F" w:rsidP="00BC1D4F">
      <w:r w:rsidRPr="00BC1D4F">
        <w:t>Applying this quantitative methodology reveals significant baseline return differentials and exit dynamics.</w:t>
      </w:r>
    </w:p>
    <w:p w14:paraId="70577EA1" w14:textId="77777777" w:rsidR="00BC1D4F" w:rsidRPr="00BC1D4F" w:rsidRDefault="00BC1D4F" w:rsidP="00BC1D4F">
      <w:r w:rsidRPr="00BC1D4F">
        <w:rPr>
          <w:b/>
          <w:bCs/>
        </w:rPr>
        <w:t>Takeaway:</w:t>
      </w:r>
      <w:r w:rsidRPr="00BC1D4F">
        <w:t> The utilization of CEPRES deal-level cash flow data combined with two-stage selection models provides robust quantitative control over selection biases and macroeconomic conditions.</w:t>
      </w:r>
    </w:p>
    <w:p w14:paraId="67A1DD19" w14:textId="77777777" w:rsidR="00BC1D4F" w:rsidRPr="00BC1D4F" w:rsidRDefault="00BC1D4F" w:rsidP="00BC1D4F">
      <w:pPr>
        <w:rPr>
          <w:b/>
          <w:bCs/>
        </w:rPr>
      </w:pPr>
      <w:r w:rsidRPr="00BC1D4F">
        <w:rPr>
          <w:b/>
          <w:bCs/>
        </w:rPr>
        <w:t>4. Empirical Findings: Performance and Exit Dynamics</w:t>
      </w:r>
    </w:p>
    <w:p w14:paraId="47ABF69A" w14:textId="77777777" w:rsidR="00BC1D4F" w:rsidRPr="00BC1D4F" w:rsidRDefault="00BC1D4F" w:rsidP="00BC1D4F">
      <w:r w:rsidRPr="00BC1D4F">
        <w:t>The empirical results reject baseline return neutrality, proving that cross-border VC investments underperform equivalent domestic deals globally. This return penalty is accompanied by structural differences in investor experience, deal size, and holding period velocity. Rather than holding foreign portfolio companies longer to resolve operational friction, foreign VCs execute accelerated exits due to elevated monitoring costs and fund life cycle constraints.</w:t>
      </w:r>
    </w:p>
    <w:p w14:paraId="2B2048B7" w14:textId="77777777" w:rsidR="00BC1D4F" w:rsidRPr="00BC1D4F" w:rsidRDefault="00BC1D4F" w:rsidP="00BC1D4F">
      <w:pPr>
        <w:numPr>
          <w:ilvl w:val="0"/>
          <w:numId w:val="4"/>
        </w:numPr>
      </w:pPr>
      <w:r w:rsidRPr="00BC1D4F">
        <w:t>Cross-border deals systematically underperform domestic deals, generating 12% to 28% lower annualized IRRs across regions (North America: -19.2%; Europe ex-UK: -23.2%; UK: -27.0%; ROW: -15.6%), rejecting Hypothesis 1.</w:t>
      </w:r>
    </w:p>
    <w:p w14:paraId="109254FF" w14:textId="77777777" w:rsidR="00BC1D4F" w:rsidRPr="00BC1D4F" w:rsidRDefault="00BC1D4F" w:rsidP="00BC1D4F">
      <w:pPr>
        <w:numPr>
          <w:ilvl w:val="0"/>
          <w:numId w:val="4"/>
        </w:numPr>
      </w:pPr>
      <w:r w:rsidRPr="00BC1D4F">
        <w:lastRenderedPageBreak/>
        <w:t>Mean domestic PMEs in Western regions (2.02 to 2.86) significantly exceed cross-border PMEs (1.40 to 1.74), proving domestic deals in these markets generate over double the wealth relative to public benchmarks compared to foreign deals.</w:t>
      </w:r>
    </w:p>
    <w:p w14:paraId="58D37D2C" w14:textId="77777777" w:rsidR="00BC1D4F" w:rsidRPr="00BC1D4F" w:rsidRDefault="00BC1D4F" w:rsidP="00BC1D4F">
      <w:pPr>
        <w:numPr>
          <w:ilvl w:val="0"/>
          <w:numId w:val="4"/>
        </w:numPr>
      </w:pPr>
      <w:r w:rsidRPr="00BC1D4F">
        <w:t>The </w:t>
      </w:r>
      <w:r w:rsidRPr="00BC1D4F">
        <w:rPr>
          <w:b/>
          <w:bCs/>
        </w:rPr>
        <w:t>Cox Proportional Hazard Model</w:t>
      </w:r>
      <w:r w:rsidRPr="00BC1D4F">
        <w:t> demonstrates that cross-border deals exhibit significantly higher exit hazard rates across all regions, confirming accelerated exits driven by high monitoring costs.</w:t>
      </w:r>
    </w:p>
    <w:p w14:paraId="4475E636" w14:textId="77777777" w:rsidR="00BC1D4F" w:rsidRPr="00BC1D4F" w:rsidRDefault="00BC1D4F" w:rsidP="00BC1D4F">
      <w:pPr>
        <w:numPr>
          <w:ilvl w:val="0"/>
          <w:numId w:val="4"/>
        </w:numPr>
      </w:pPr>
      <w:r w:rsidRPr="00BC1D4F">
        <w:t>Following the late-1990s structural shift, overall VC returns declined, but the cross-border underperformance gap remained constant, establishing foreign underperformance as a permanent structural feature.</w:t>
      </w:r>
    </w:p>
    <w:p w14:paraId="7A0D8EAA" w14:textId="77777777" w:rsidR="00BC1D4F" w:rsidRPr="00BC1D4F" w:rsidRDefault="00BC1D4F" w:rsidP="00BC1D4F">
      <w:pPr>
        <w:numPr>
          <w:ilvl w:val="0"/>
          <w:numId w:val="4"/>
        </w:numPr>
      </w:pPr>
      <w:r w:rsidRPr="00BC1D4F">
        <w:t>Cross-border deals display investor self-selection: executed by older, experienced VC firms (North American cross-border mean </w:t>
      </w:r>
      <w:r w:rsidRPr="00BC1D4F">
        <w:rPr>
          <w:b/>
          <w:bCs/>
        </w:rPr>
        <w:t>VC age</w:t>
      </w:r>
      <w:r w:rsidRPr="00BC1D4F">
        <w:t> = 13.65 years vs. domestic = 4.64 years), featuring larger sizes and higher </w:t>
      </w:r>
      <w:r w:rsidRPr="00BC1D4F">
        <w:rPr>
          <w:b/>
          <w:bCs/>
        </w:rPr>
        <w:t>syndication</w:t>
      </w:r>
      <w:r w:rsidRPr="00BC1D4F">
        <w:t> rates.</w:t>
      </w:r>
    </w:p>
    <w:p w14:paraId="752702EB" w14:textId="77777777" w:rsidR="00BC1D4F" w:rsidRPr="00BC1D4F" w:rsidRDefault="00BC1D4F" w:rsidP="00BC1D4F">
      <w:r w:rsidRPr="00BC1D4F">
        <w:t>To uncover the mechanisms driving this return deficit, foreignness must be deconstructed into distance metrics.</w:t>
      </w:r>
    </w:p>
    <w:p w14:paraId="74A7F89D" w14:textId="77777777" w:rsidR="00BC1D4F" w:rsidRPr="00BC1D4F" w:rsidRDefault="00BC1D4F" w:rsidP="00BC1D4F">
      <w:r w:rsidRPr="00BC1D4F">
        <w:rPr>
          <w:b/>
          <w:bCs/>
        </w:rPr>
        <w:t>Takeaway:</w:t>
      </w:r>
      <w:r w:rsidRPr="00BC1D4F">
        <w:t> Cross-border venture investments systematically underperform domestic deals on absolute (IRR) and risk-adjusted (PME) metrics while displaying accelerated exit timelines.</w:t>
      </w:r>
    </w:p>
    <w:p w14:paraId="6AF999FD" w14:textId="77777777" w:rsidR="00BC1D4F" w:rsidRPr="00BC1D4F" w:rsidRDefault="00BC1D4F" w:rsidP="00BC1D4F">
      <w:pPr>
        <w:rPr>
          <w:b/>
          <w:bCs/>
        </w:rPr>
      </w:pPr>
      <w:r w:rsidRPr="00BC1D4F">
        <w:rPr>
          <w:b/>
          <w:bCs/>
        </w:rPr>
        <w:t>5. Deconstructing Foreignness: Distance and Disparity Drivers</w:t>
      </w:r>
    </w:p>
    <w:p w14:paraId="049581F7" w14:textId="77777777" w:rsidR="00BC1D4F" w:rsidRPr="00BC1D4F" w:rsidRDefault="00BC1D4F" w:rsidP="00BC1D4F">
      <w:r w:rsidRPr="00BC1D4F">
        <w:t>Foreignness is not a monolithic binary state; its return discounts are driven by specific physical, cultural, and legal friction points. Disaggregating deal destinations demonstrates that geographic distance, cultural incongruence, and mismatched regulatory environments incrementally depress deal-level performance. Even after controlling for explicit distance dimensions, an unobservable baseline foreignness penalty persists.</w:t>
      </w:r>
    </w:p>
    <w:p w14:paraId="76A7885D" w14:textId="77777777" w:rsidR="00BC1D4F" w:rsidRPr="00BC1D4F" w:rsidRDefault="00BC1D4F" w:rsidP="00BC1D4F">
      <w:pPr>
        <w:numPr>
          <w:ilvl w:val="0"/>
          <w:numId w:val="5"/>
        </w:numPr>
      </w:pPr>
      <w:r w:rsidRPr="00BC1D4F">
        <w:t>Cross-border investments in non-</w:t>
      </w:r>
      <w:proofErr w:type="spellStart"/>
      <w:r w:rsidRPr="00BC1D4F">
        <w:t>neighbouring</w:t>
      </w:r>
      <w:proofErr w:type="spellEnd"/>
      <w:r w:rsidRPr="00BC1D4F">
        <w:t xml:space="preserve"> countries (lacking a shared land border) suffer a negative return penalty nearly three times larger than deals in contiguous </w:t>
      </w:r>
      <w:proofErr w:type="spellStart"/>
      <w:r w:rsidRPr="00BC1D4F">
        <w:t>neighbouring</w:t>
      </w:r>
      <w:proofErr w:type="spellEnd"/>
      <w:r w:rsidRPr="00BC1D4F">
        <w:t xml:space="preserve"> nations.</w:t>
      </w:r>
    </w:p>
    <w:p w14:paraId="14275B5D" w14:textId="77777777" w:rsidR="00BC1D4F" w:rsidRPr="00BC1D4F" w:rsidRDefault="00BC1D4F" w:rsidP="00BC1D4F">
      <w:pPr>
        <w:numPr>
          <w:ilvl w:val="0"/>
          <w:numId w:val="5"/>
        </w:numPr>
      </w:pPr>
      <w:r w:rsidRPr="00BC1D4F">
        <w:t>Greater physical </w:t>
      </w:r>
      <w:r w:rsidRPr="00BC1D4F">
        <w:rPr>
          <w:b/>
          <w:bCs/>
        </w:rPr>
        <w:t>geographic distance</w:t>
      </w:r>
      <w:r w:rsidRPr="00BC1D4F">
        <w:t> between capital cities negatively impacts deal IRR (rejecting Hypothesis 2a), reflecting increased travel time and restricted transferability of general partner human capital.</w:t>
      </w:r>
    </w:p>
    <w:p w14:paraId="44E8B0C3" w14:textId="77777777" w:rsidR="00BC1D4F" w:rsidRPr="00BC1D4F" w:rsidRDefault="00BC1D4F" w:rsidP="00BC1D4F">
      <w:pPr>
        <w:numPr>
          <w:ilvl w:val="0"/>
          <w:numId w:val="5"/>
        </w:numPr>
      </w:pPr>
      <w:r w:rsidRPr="00BC1D4F">
        <w:rPr>
          <w:b/>
          <w:bCs/>
        </w:rPr>
        <w:t>Cultural disparity</w:t>
      </w:r>
      <w:r w:rsidRPr="00BC1D4F">
        <w:t> (calculated via Kogut &amp; Singh Cartesian index of Hofstede scores) significantly depresses deal IRR (supporting Hypothesis 2b) by increasing communication conflicts and agency costs.</w:t>
      </w:r>
    </w:p>
    <w:p w14:paraId="2DD2089A" w14:textId="77777777" w:rsidR="00BC1D4F" w:rsidRPr="00BC1D4F" w:rsidRDefault="00BC1D4F" w:rsidP="00BC1D4F">
      <w:pPr>
        <w:numPr>
          <w:ilvl w:val="0"/>
          <w:numId w:val="5"/>
        </w:numPr>
      </w:pPr>
      <w:r w:rsidRPr="00BC1D4F">
        <w:lastRenderedPageBreak/>
        <w:t>Institutional distance across regulatory quality, political stability, and legal system origins (common vs. civil law) significantly depresses returns (supporting Hypothesis 2c) due to contracting mismatches and enforcement hurdles.</w:t>
      </w:r>
    </w:p>
    <w:p w14:paraId="6DA0B4AA" w14:textId="77777777" w:rsidR="00BC1D4F" w:rsidRPr="00BC1D4F" w:rsidRDefault="00BC1D4F" w:rsidP="00BC1D4F">
      <w:pPr>
        <w:numPr>
          <w:ilvl w:val="0"/>
          <w:numId w:val="5"/>
        </w:numPr>
      </w:pPr>
      <w:r w:rsidRPr="00BC1D4F">
        <w:t>A negative, statistically significant coefficient on the cross-border binary indicator remains present after controlling for all distance dimensions, confirming residual, unobservable liability of foreignness.</w:t>
      </w:r>
    </w:p>
    <w:p w14:paraId="493FCADA" w14:textId="77777777" w:rsidR="00BC1D4F" w:rsidRPr="00BC1D4F" w:rsidRDefault="00BC1D4F" w:rsidP="00BC1D4F">
      <w:r w:rsidRPr="00BC1D4F">
        <w:t>Despite compounding friction costs, rational VC firms continue allocating capital internationally.</w:t>
      </w:r>
    </w:p>
    <w:p w14:paraId="2F55F905" w14:textId="77777777" w:rsidR="00BC1D4F" w:rsidRPr="00BC1D4F" w:rsidRDefault="00BC1D4F" w:rsidP="00BC1D4F">
      <w:r w:rsidRPr="00BC1D4F">
        <w:rPr>
          <w:b/>
          <w:bCs/>
        </w:rPr>
        <w:t>Takeaway:</w:t>
      </w:r>
      <w:r w:rsidRPr="00BC1D4F">
        <w:t> Multi-dimensional empirical metrics confirm that geographic distance, cultural disparity, and institutional divergence directly drive down cross-border deal returns.</w:t>
      </w:r>
    </w:p>
    <w:p w14:paraId="103EF6E8" w14:textId="77777777" w:rsidR="00BC1D4F" w:rsidRPr="00BC1D4F" w:rsidRDefault="00BC1D4F" w:rsidP="00BC1D4F">
      <w:pPr>
        <w:rPr>
          <w:b/>
          <w:bCs/>
        </w:rPr>
      </w:pPr>
      <w:r w:rsidRPr="00BC1D4F">
        <w:rPr>
          <w:b/>
          <w:bCs/>
        </w:rPr>
        <w:t>6. Investor Motives, Risk Profiles, and Robustness</w:t>
      </w:r>
    </w:p>
    <w:p w14:paraId="5A92DDB3" w14:textId="77777777" w:rsidR="00BC1D4F" w:rsidRPr="00BC1D4F" w:rsidRDefault="00BC1D4F" w:rsidP="00BC1D4F">
      <w:r w:rsidRPr="00BC1D4F">
        <w:t>Synthesizing why VC firms pursue lower-yielding foreign investments requires evaluating risk profiles and fund management objectives. Cross-border deals do not suffer from elevated default rates; instead, they deliver vital international risk diversification and serve as a relief mechanism when home markets experience capital saturation.</w:t>
      </w:r>
    </w:p>
    <w:p w14:paraId="4F4FF770" w14:textId="77777777" w:rsidR="00BC1D4F" w:rsidRPr="00BC1D4F" w:rsidRDefault="00BC1D4F" w:rsidP="00BC1D4F">
      <w:pPr>
        <w:numPr>
          <w:ilvl w:val="0"/>
          <w:numId w:val="6"/>
        </w:numPr>
      </w:pPr>
      <w:r w:rsidRPr="00BC1D4F">
        <w:t>Domestic and cross-border deals exhibit no statistically significant differences in default risk, maintaining comparable </w:t>
      </w:r>
      <w:r w:rsidRPr="00BC1D4F">
        <w:rPr>
          <w:b/>
          <w:bCs/>
        </w:rPr>
        <w:t>bankruptcy rate</w:t>
      </w:r>
      <w:r w:rsidRPr="00BC1D4F">
        <w:t> metrics (investment multiple = 0; ~15–23%) and </w:t>
      </w:r>
      <w:r w:rsidRPr="00BC1D4F">
        <w:rPr>
          <w:b/>
          <w:bCs/>
        </w:rPr>
        <w:t>capital loss rate</w:t>
      </w:r>
      <w:r w:rsidRPr="00BC1D4F">
        <w:t> metrics (multiple &lt; 1; ~22–33%).</w:t>
      </w:r>
    </w:p>
    <w:p w14:paraId="49D4749B" w14:textId="77777777" w:rsidR="00BC1D4F" w:rsidRPr="00BC1D4F" w:rsidRDefault="00BC1D4F" w:rsidP="00BC1D4F">
      <w:pPr>
        <w:numPr>
          <w:ilvl w:val="0"/>
          <w:numId w:val="6"/>
        </w:numPr>
      </w:pPr>
      <w:r w:rsidRPr="00BC1D4F">
        <w:t>Cross-border deals exhibit lower systematic risk relative to the VC's home market index (</w:t>
      </w:r>
      <w:r w:rsidRPr="00BC1D4F">
        <w:rPr>
          <w:b/>
          <w:bCs/>
        </w:rPr>
        <w:t>home beta</w:t>
      </w:r>
      <w:r w:rsidRPr="00BC1D4F">
        <w:t>: 1.2–1.4) than to the host market index (</w:t>
      </w:r>
      <w:r w:rsidRPr="00BC1D4F">
        <w:rPr>
          <w:b/>
          <w:bCs/>
        </w:rPr>
        <w:t>host beta</w:t>
      </w:r>
      <w:r w:rsidRPr="00BC1D4F">
        <w:t>: 2.5–2.8), proving cross-border deals provide substantial </w:t>
      </w:r>
      <w:r w:rsidRPr="00BC1D4F">
        <w:rPr>
          <w:b/>
          <w:bCs/>
        </w:rPr>
        <w:t>portfolio diversification</w:t>
      </w:r>
      <w:r w:rsidRPr="00BC1D4F">
        <w:t>.</w:t>
      </w:r>
    </w:p>
    <w:p w14:paraId="768A2DE1" w14:textId="77777777" w:rsidR="00BC1D4F" w:rsidRPr="00BC1D4F" w:rsidRDefault="00BC1D4F" w:rsidP="00BC1D4F">
      <w:pPr>
        <w:numPr>
          <w:ilvl w:val="0"/>
          <w:numId w:val="6"/>
        </w:numPr>
      </w:pPr>
      <w:r w:rsidRPr="00BC1D4F">
        <w:t>Domestic </w:t>
      </w:r>
      <w:r w:rsidRPr="00BC1D4F">
        <w:rPr>
          <w:b/>
          <w:bCs/>
        </w:rPr>
        <w:t>market saturation</w:t>
      </w:r>
      <w:r w:rsidRPr="00BC1D4F">
        <w:t> drives international expansion: high aggregate domestic </w:t>
      </w:r>
      <w:r w:rsidRPr="00BC1D4F">
        <w:rPr>
          <w:b/>
          <w:bCs/>
        </w:rPr>
        <w:t>capital inflow</w:t>
      </w:r>
      <w:r w:rsidRPr="00BC1D4F">
        <w:t> intensifies local competition ("money chasing deals"), compelling VCs to accept lower-yielding foreign deals to deploy excess capital.</w:t>
      </w:r>
    </w:p>
    <w:p w14:paraId="2E0F0D32" w14:textId="77777777" w:rsidR="00BC1D4F" w:rsidRPr="00BC1D4F" w:rsidRDefault="00BC1D4F" w:rsidP="00BC1D4F">
      <w:pPr>
        <w:numPr>
          <w:ilvl w:val="0"/>
          <w:numId w:val="6"/>
        </w:numPr>
      </w:pPr>
      <w:r w:rsidRPr="00BC1D4F">
        <w:t>Sensitivity analyses confirm return underperformance across three-stage Heckman models (controlling for full-exit decisions), instrumental variable models for syndication, manager </w:t>
      </w:r>
      <w:r w:rsidRPr="00BC1D4F">
        <w:rPr>
          <w:b/>
          <w:bCs/>
        </w:rPr>
        <w:t>busyness</w:t>
      </w:r>
      <w:r w:rsidRPr="00BC1D4F">
        <w:t> controls (fund size per manager), and propensity score matching.</w:t>
      </w:r>
    </w:p>
    <w:p w14:paraId="127A05C4" w14:textId="77777777" w:rsidR="00BC1D4F" w:rsidRPr="00BC1D4F" w:rsidRDefault="00BC1D4F" w:rsidP="00BC1D4F">
      <w:pPr>
        <w:numPr>
          <w:ilvl w:val="0"/>
          <w:numId w:val="6"/>
        </w:numPr>
      </w:pPr>
      <w:r w:rsidRPr="00BC1D4F">
        <w:t>Example: [Propensity score matching pairs cross-border deals with identical domestic deals on firm age and deal size, confirming a persistent 12–20% IRR underperformance penalty in North America.]</w:t>
      </w:r>
    </w:p>
    <w:p w14:paraId="6E3BF86E" w14:textId="77777777" w:rsidR="00BC1D4F" w:rsidRPr="00BC1D4F" w:rsidRDefault="00BC1D4F" w:rsidP="00BC1D4F">
      <w:r w:rsidRPr="00BC1D4F">
        <w:t>Understanding these strategic trade-offs allows institutional investors to balance portfolio risk diversification benefits against expected foreign return discounts.</w:t>
      </w:r>
    </w:p>
    <w:p w14:paraId="2275C3BC" w14:textId="30C76113" w:rsidR="000248FC" w:rsidRDefault="00BC1D4F">
      <w:r w:rsidRPr="00BC1D4F">
        <w:rPr>
          <w:b/>
          <w:bCs/>
        </w:rPr>
        <w:lastRenderedPageBreak/>
        <w:t>Takeaway:</w:t>
      </w:r>
      <w:r w:rsidRPr="00BC1D4F">
        <w:t> Capital saturation in domestic markets and international portfolio risk reduction explain why venture capital firms strategically engage in cross-border investing despite persistent return penalties.</w:t>
      </w:r>
    </w:p>
    <w:sectPr w:rsidR="000248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7192E8B"/>
    <w:multiLevelType w:val="multilevel"/>
    <w:tmpl w:val="7AB4C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5F7CE3"/>
    <w:multiLevelType w:val="multilevel"/>
    <w:tmpl w:val="EE40A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326989"/>
    <w:multiLevelType w:val="multilevel"/>
    <w:tmpl w:val="F4B8E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3731CC"/>
    <w:multiLevelType w:val="multilevel"/>
    <w:tmpl w:val="58F8B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536030"/>
    <w:multiLevelType w:val="multilevel"/>
    <w:tmpl w:val="AAA85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A71C6C"/>
    <w:multiLevelType w:val="multilevel"/>
    <w:tmpl w:val="093E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5720315">
    <w:abstractNumId w:val="5"/>
  </w:num>
  <w:num w:numId="2" w16cid:durableId="569079641">
    <w:abstractNumId w:val="3"/>
  </w:num>
  <w:num w:numId="3" w16cid:durableId="1710836394">
    <w:abstractNumId w:val="4"/>
  </w:num>
  <w:num w:numId="4" w16cid:durableId="1507211658">
    <w:abstractNumId w:val="0"/>
  </w:num>
  <w:num w:numId="5" w16cid:durableId="2004355474">
    <w:abstractNumId w:val="1"/>
  </w:num>
  <w:num w:numId="6" w16cid:durableId="2012173371">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48FC"/>
    <w:rsid w:val="000248FC"/>
    <w:rsid w:val="0089238A"/>
    <w:rsid w:val="00BC1D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6B88323"/>
  <w15:chartTrackingRefBased/>
  <w15:docId w15:val="{0E337905-A1B9-F646-92ED-880BE91D0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48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48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48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48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48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48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48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48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48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48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48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48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48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48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48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48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48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48FC"/>
    <w:rPr>
      <w:rFonts w:eastAsiaTheme="majorEastAsia" w:cstheme="majorBidi"/>
      <w:color w:val="272727" w:themeColor="text1" w:themeTint="D8"/>
    </w:rPr>
  </w:style>
  <w:style w:type="paragraph" w:styleId="Title">
    <w:name w:val="Title"/>
    <w:basedOn w:val="Normal"/>
    <w:next w:val="Normal"/>
    <w:link w:val="TitleChar"/>
    <w:uiPriority w:val="10"/>
    <w:qFormat/>
    <w:rsid w:val="000248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48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48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48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48FC"/>
    <w:pPr>
      <w:spacing w:before="160"/>
      <w:jc w:val="center"/>
    </w:pPr>
    <w:rPr>
      <w:i/>
      <w:iCs/>
      <w:color w:val="404040" w:themeColor="text1" w:themeTint="BF"/>
    </w:rPr>
  </w:style>
  <w:style w:type="character" w:customStyle="1" w:styleId="QuoteChar">
    <w:name w:val="Quote Char"/>
    <w:basedOn w:val="DefaultParagraphFont"/>
    <w:link w:val="Quote"/>
    <w:uiPriority w:val="29"/>
    <w:rsid w:val="000248FC"/>
    <w:rPr>
      <w:i/>
      <w:iCs/>
      <w:color w:val="404040" w:themeColor="text1" w:themeTint="BF"/>
    </w:rPr>
  </w:style>
  <w:style w:type="paragraph" w:styleId="ListParagraph">
    <w:name w:val="List Paragraph"/>
    <w:basedOn w:val="Normal"/>
    <w:uiPriority w:val="34"/>
    <w:qFormat/>
    <w:rsid w:val="000248FC"/>
    <w:pPr>
      <w:ind w:left="720"/>
      <w:contextualSpacing/>
    </w:pPr>
  </w:style>
  <w:style w:type="character" w:styleId="IntenseEmphasis">
    <w:name w:val="Intense Emphasis"/>
    <w:basedOn w:val="DefaultParagraphFont"/>
    <w:uiPriority w:val="21"/>
    <w:qFormat/>
    <w:rsid w:val="000248FC"/>
    <w:rPr>
      <w:i/>
      <w:iCs/>
      <w:color w:val="0F4761" w:themeColor="accent1" w:themeShade="BF"/>
    </w:rPr>
  </w:style>
  <w:style w:type="paragraph" w:styleId="IntenseQuote">
    <w:name w:val="Intense Quote"/>
    <w:basedOn w:val="Normal"/>
    <w:next w:val="Normal"/>
    <w:link w:val="IntenseQuoteChar"/>
    <w:uiPriority w:val="30"/>
    <w:qFormat/>
    <w:rsid w:val="000248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48FC"/>
    <w:rPr>
      <w:i/>
      <w:iCs/>
      <w:color w:val="0F4761" w:themeColor="accent1" w:themeShade="BF"/>
    </w:rPr>
  </w:style>
  <w:style w:type="character" w:styleId="IntenseReference">
    <w:name w:val="Intense Reference"/>
    <w:basedOn w:val="DefaultParagraphFont"/>
    <w:uiPriority w:val="32"/>
    <w:qFormat/>
    <w:rsid w:val="000248F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1703</Words>
  <Characters>9710</Characters>
  <Application>Microsoft Office Word</Application>
  <DocSecurity>0</DocSecurity>
  <Lines>80</Lines>
  <Paragraphs>22</Paragraphs>
  <ScaleCrop>false</ScaleCrop>
  <Company/>
  <LinksUpToDate>false</LinksUpToDate>
  <CharactersWithSpaces>11391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Sarman</dc:creator>
  <cp:keywords/>
  <dc:description/>
  <cp:lastModifiedBy>Mark Sarman</cp:lastModifiedBy>
  <cp:revision>2</cp:revision>
  <dcterms:created xsi:type="dcterms:W3CDTF">2026-09-27T13:44:00Z</dcterms:created>
  <dcterms:modified xsi:type="dcterms:W3CDTF">2026-09-27T14:06:00Z</dcterms:modified>
</cp:coreProperties>
</file>