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DCFC16" w14:textId="77777777" w:rsidR="00D854E1" w:rsidRPr="00D854E1" w:rsidRDefault="00D854E1" w:rsidP="00D854E1">
      <w:pPr>
        <w:rPr>
          <w:b/>
          <w:bCs/>
        </w:rPr>
      </w:pPr>
      <w:r w:rsidRPr="00D854E1">
        <w:rPr>
          <w:b/>
          <w:bCs/>
        </w:rPr>
        <w:t>Study Report: Distant VCs and IPO Performance</w:t>
      </w:r>
    </w:p>
    <w:p w14:paraId="5CBFDB44" w14:textId="77777777" w:rsidR="00D854E1" w:rsidRPr="00D854E1" w:rsidRDefault="00D854E1" w:rsidP="00D854E1">
      <w:r w:rsidRPr="00D854E1">
        <w:rPr>
          <w:lang w:val="de-DE"/>
        </w:rPr>
        <w:t xml:space="preserve">Wu, J., Chen, C. R., &amp; Huang, Y. S. (2026). </w:t>
      </w:r>
      <w:r w:rsidRPr="00D854E1">
        <w:t>Distant VCs and IPO performance. </w:t>
      </w:r>
      <w:r w:rsidRPr="00D854E1">
        <w:rPr>
          <w:i/>
          <w:iCs/>
        </w:rPr>
        <w:t>Applied Economics</w:t>
      </w:r>
      <w:r w:rsidRPr="00D854E1">
        <w:t>, 58(30), 5955–5976. https://doi.org/10.1080/00036846.2025.2514086</w:t>
      </w:r>
    </w:p>
    <w:p w14:paraId="474BA289" w14:textId="77777777" w:rsidR="00D854E1" w:rsidRPr="00D854E1" w:rsidRDefault="00D854E1" w:rsidP="00D854E1">
      <w:pPr>
        <w:rPr>
          <w:b/>
          <w:bCs/>
        </w:rPr>
      </w:pPr>
      <w:r w:rsidRPr="00D854E1">
        <w:rPr>
          <w:b/>
          <w:bCs/>
        </w:rPr>
        <w:t>Section I: Introduction</w:t>
      </w:r>
    </w:p>
    <w:p w14:paraId="3BA72BA6" w14:textId="77777777" w:rsidR="00D854E1" w:rsidRPr="00D854E1" w:rsidRDefault="00D854E1" w:rsidP="00D854E1">
      <w:r w:rsidRPr="00D854E1">
        <w:t>Evaluating initial public offering (IPO) pricing in emerging markets requires analyzing how multi-dimensional distances between venture capital (VC) firms and portfolio companies affect corporate governance. In transitional economies like China, institutional, cultural, and geographical frictions disrupt information flow and monitoring efficiency. Examining these distinct distance dimensions clarifies how spatial and relational frictions drive equity underpricing.</w:t>
      </w:r>
    </w:p>
    <w:p w14:paraId="17425CE5" w14:textId="77777777" w:rsidR="00D854E1" w:rsidRPr="00D854E1" w:rsidRDefault="00D854E1" w:rsidP="00D854E1">
      <w:pPr>
        <w:numPr>
          <w:ilvl w:val="0"/>
          <w:numId w:val="1"/>
        </w:numPr>
      </w:pPr>
      <w:r w:rsidRPr="00D854E1">
        <w:rPr>
          <w:b/>
          <w:bCs/>
        </w:rPr>
        <w:t>Venture capital</w:t>
      </w:r>
      <w:r w:rsidRPr="00D854E1">
        <w:t> (</w:t>
      </w:r>
      <w:r w:rsidRPr="00D854E1">
        <w:rPr>
          <w:b/>
          <w:bCs/>
        </w:rPr>
        <w:t>VC</w:t>
      </w:r>
      <w:r w:rsidRPr="00D854E1">
        <w:t>) fulfills three vital functions: </w:t>
      </w:r>
      <w:r w:rsidRPr="00D854E1">
        <w:rPr>
          <w:b/>
          <w:bCs/>
        </w:rPr>
        <w:t>screening</w:t>
      </w:r>
      <w:r w:rsidRPr="00D854E1">
        <w:t> viable target firms, </w:t>
      </w:r>
      <w:r w:rsidRPr="00D854E1">
        <w:rPr>
          <w:b/>
          <w:bCs/>
        </w:rPr>
        <w:t>monitoring</w:t>
      </w:r>
      <w:r w:rsidRPr="00D854E1">
        <w:t> ongoing management, and offering strategic </w:t>
      </w:r>
      <w:r w:rsidRPr="00D854E1">
        <w:rPr>
          <w:b/>
          <w:bCs/>
        </w:rPr>
        <w:t>advisory services</w:t>
      </w:r>
      <w:r w:rsidRPr="00D854E1">
        <w:t> to maximize growth.</w:t>
      </w:r>
    </w:p>
    <w:p w14:paraId="67F26BA5" w14:textId="77777777" w:rsidR="00D854E1" w:rsidRPr="00D854E1" w:rsidRDefault="00D854E1" w:rsidP="00D854E1">
      <w:pPr>
        <w:numPr>
          <w:ilvl w:val="0"/>
          <w:numId w:val="1"/>
        </w:numPr>
      </w:pPr>
      <w:r w:rsidRPr="00D854E1">
        <w:t>Grounded in </w:t>
      </w:r>
      <w:r w:rsidRPr="00D854E1">
        <w:rPr>
          <w:b/>
          <w:bCs/>
        </w:rPr>
        <w:t>information asymmetry theory</w:t>
      </w:r>
      <w:r w:rsidRPr="00D854E1">
        <w:t>, the core thesis posits that VC-investee distances elevate information gathering costs and diminish monitoring efficacy, heightening market uncertainty during IPOs.</w:t>
      </w:r>
    </w:p>
    <w:p w14:paraId="5A188A75" w14:textId="77777777" w:rsidR="00D854E1" w:rsidRPr="00D854E1" w:rsidRDefault="00D854E1" w:rsidP="00D854E1">
      <w:pPr>
        <w:numPr>
          <w:ilvl w:val="0"/>
          <w:numId w:val="1"/>
        </w:numPr>
      </w:pPr>
      <w:r w:rsidRPr="00D854E1">
        <w:t>While </w:t>
      </w:r>
      <w:r w:rsidRPr="00D854E1">
        <w:rPr>
          <w:b/>
          <w:bCs/>
        </w:rPr>
        <w:t>geographical distance</w:t>
      </w:r>
      <w:r w:rsidRPr="00D854E1">
        <w:t> creates physical oversight barriers, non-physical dimensions—specifically </w:t>
      </w:r>
      <w:r w:rsidRPr="00D854E1">
        <w:rPr>
          <w:b/>
          <w:bCs/>
        </w:rPr>
        <w:t>institutional distance</w:t>
      </w:r>
      <w:r w:rsidRPr="00D854E1">
        <w:t> and </w:t>
      </w:r>
      <w:r w:rsidRPr="00D854E1">
        <w:rPr>
          <w:b/>
          <w:bCs/>
        </w:rPr>
        <w:t>cultural distance</w:t>
      </w:r>
      <w:r w:rsidRPr="00D854E1">
        <w:t>—exert a significantly stronger positive impact on IPO underpricing.</w:t>
      </w:r>
    </w:p>
    <w:p w14:paraId="7A848B75" w14:textId="77777777" w:rsidR="00D854E1" w:rsidRPr="00D854E1" w:rsidRDefault="00D854E1" w:rsidP="00D854E1">
      <w:pPr>
        <w:numPr>
          <w:ilvl w:val="0"/>
          <w:numId w:val="1"/>
        </w:numPr>
      </w:pPr>
      <w:r w:rsidRPr="00D854E1">
        <w:t>The empirical framework utilizes a dataset of 690 VC-backed domestic A-share IPOs listed in China between 2007 and 2018.</w:t>
      </w:r>
    </w:p>
    <w:p w14:paraId="49E7095B" w14:textId="77777777" w:rsidR="00D854E1" w:rsidRPr="00D854E1" w:rsidRDefault="00D854E1" w:rsidP="00D854E1">
      <w:pPr>
        <w:numPr>
          <w:ilvl w:val="0"/>
          <w:numId w:val="1"/>
        </w:numPr>
      </w:pPr>
      <w:r w:rsidRPr="00D854E1">
        <w:t>Example: A VC headquartered in Beijing investing in a firm in a lower-marketization province faces institutional and cultural barriers that increase first-day underpricing.</w:t>
      </w:r>
    </w:p>
    <w:p w14:paraId="3F5EB9A8" w14:textId="77777777" w:rsidR="00D854E1" w:rsidRPr="00D854E1" w:rsidRDefault="00D854E1" w:rsidP="00D854E1">
      <w:r w:rsidRPr="00D854E1">
        <w:rPr>
          <w:b/>
          <w:bCs/>
        </w:rPr>
        <w:t>Takeaway:</w:t>
      </w:r>
      <w:r w:rsidRPr="00D854E1">
        <w:t> Multi-dimensional VC-investee distances impair monitoring and advisory efficiency, exacerbating information asymmetry and driving higher IPO underpricing.</w:t>
      </w:r>
    </w:p>
    <w:p w14:paraId="30053474" w14:textId="77777777" w:rsidR="00D854E1" w:rsidRPr="00D854E1" w:rsidRDefault="00D854E1" w:rsidP="00D854E1">
      <w:r w:rsidRPr="00D854E1">
        <w:t>To contextualize these spatial frictions within corporate finance theory, it is necessary to examine foundational literature on venture capital certification and market friction mechanisms.</w:t>
      </w:r>
    </w:p>
    <w:p w14:paraId="52BA187C" w14:textId="77777777" w:rsidR="00D854E1" w:rsidRPr="00D854E1" w:rsidRDefault="00D854E1" w:rsidP="00D854E1">
      <w:pPr>
        <w:rPr>
          <w:b/>
          <w:bCs/>
        </w:rPr>
      </w:pPr>
      <w:r w:rsidRPr="00D854E1">
        <w:rPr>
          <w:b/>
          <w:bCs/>
        </w:rPr>
        <w:t>Section II: Related Literature and Hypothesis Development</w:t>
      </w:r>
    </w:p>
    <w:p w14:paraId="484A3ECA" w14:textId="77777777" w:rsidR="00D854E1" w:rsidRPr="00D854E1" w:rsidRDefault="00D854E1" w:rsidP="00D854E1">
      <w:r w:rsidRPr="00D854E1">
        <w:t xml:space="preserve">Prior literature conceptualizes venture capitalists as financial intermediaries who reduce capital market frictions by certifying firm quality and monitoring management. However, </w:t>
      </w:r>
      <w:r w:rsidRPr="00D854E1">
        <w:lastRenderedPageBreak/>
        <w:t>the governance efficacy of venture capital depends heavily on institutional, cultural, and physical proximity to investee firms.</w:t>
      </w:r>
    </w:p>
    <w:p w14:paraId="63579AE1" w14:textId="77777777" w:rsidR="00D854E1" w:rsidRPr="00D854E1" w:rsidRDefault="00D854E1" w:rsidP="00D854E1">
      <w:pPr>
        <w:numPr>
          <w:ilvl w:val="0"/>
          <w:numId w:val="2"/>
        </w:numPr>
      </w:pPr>
      <w:r w:rsidRPr="00D854E1">
        <w:t>Foundational theories present divergent views: </w:t>
      </w:r>
      <w:r w:rsidRPr="00D854E1">
        <w:rPr>
          <w:b/>
          <w:bCs/>
        </w:rPr>
        <w:t>selective screening/monitoring</w:t>
      </w:r>
      <w:r w:rsidRPr="00D854E1">
        <w:t> improves venture management (Barry et al., 1990); the </w:t>
      </w:r>
      <w:r w:rsidRPr="00D854E1">
        <w:rPr>
          <w:b/>
          <w:bCs/>
        </w:rPr>
        <w:t>reputational certification effect</w:t>
      </w:r>
      <w:r w:rsidRPr="00D854E1">
        <w:t> uses VC prestige to signal quality (Megginson &amp; Weiss, 1991); the </w:t>
      </w:r>
      <w:r w:rsidRPr="00D854E1">
        <w:rPr>
          <w:b/>
          <w:bCs/>
        </w:rPr>
        <w:t>grandstanding hypothesis</w:t>
      </w:r>
      <w:r w:rsidRPr="00D854E1">
        <w:t> suggests young VCs underprice IPOs to build public reputation (Gompers, 1996); and the </w:t>
      </w:r>
      <w:r w:rsidRPr="00D854E1">
        <w:rPr>
          <w:b/>
          <w:bCs/>
        </w:rPr>
        <w:t>market power hypothesis</w:t>
      </w:r>
      <w:r w:rsidRPr="00D854E1">
        <w:t> argues VCs leverage network ties to secure top underwriters (</w:t>
      </w:r>
      <w:proofErr w:type="spellStart"/>
      <w:r w:rsidRPr="00D854E1">
        <w:t>Chemmanur</w:t>
      </w:r>
      <w:proofErr w:type="spellEnd"/>
      <w:r w:rsidRPr="00D854E1">
        <w:t xml:space="preserve"> &amp; </w:t>
      </w:r>
      <w:proofErr w:type="spellStart"/>
      <w:r w:rsidRPr="00D854E1">
        <w:t>Loutskina</w:t>
      </w:r>
      <w:proofErr w:type="spellEnd"/>
      <w:r w:rsidRPr="00D854E1">
        <w:t>, 2006).</w:t>
      </w:r>
    </w:p>
    <w:p w14:paraId="32DD9F3A" w14:textId="77777777" w:rsidR="00D854E1" w:rsidRPr="00D854E1" w:rsidRDefault="00D854E1" w:rsidP="00D854E1">
      <w:pPr>
        <w:numPr>
          <w:ilvl w:val="0"/>
          <w:numId w:val="2"/>
        </w:numPr>
      </w:pPr>
      <w:r w:rsidRPr="00D854E1">
        <w:rPr>
          <w:b/>
          <w:bCs/>
        </w:rPr>
        <w:t>Institutional distance</w:t>
      </w:r>
      <w:r w:rsidRPr="00D854E1">
        <w:t> (</w:t>
      </w:r>
      <w:r w:rsidRPr="00D854E1">
        <w:rPr>
          <w:b/>
          <w:bCs/>
        </w:rPr>
        <w:t>ID</w:t>
      </w:r>
      <w:r w:rsidRPr="00D854E1">
        <w:t>) measures variances in legal quality and marketization across regions, where regulatory divergence impairs formal contract enforcement and VC oversight.</w:t>
      </w:r>
    </w:p>
    <w:p w14:paraId="7B3246B7" w14:textId="77777777" w:rsidR="00D854E1" w:rsidRPr="00D854E1" w:rsidRDefault="00D854E1" w:rsidP="00D854E1">
      <w:pPr>
        <w:numPr>
          <w:ilvl w:val="0"/>
          <w:numId w:val="2"/>
        </w:numPr>
      </w:pPr>
      <w:r w:rsidRPr="00D854E1">
        <w:rPr>
          <w:b/>
          <w:bCs/>
        </w:rPr>
        <w:t>Cultural distance</w:t>
      </w:r>
      <w:r w:rsidRPr="00D854E1">
        <w:t> (</w:t>
      </w:r>
      <w:r w:rsidRPr="00D854E1">
        <w:rPr>
          <w:b/>
          <w:bCs/>
        </w:rPr>
        <w:t>CD</w:t>
      </w:r>
      <w:r w:rsidRPr="00D854E1">
        <w:t>) captures discrepancies in social values and norms, where high variance disrupts communication, weakens trust, and reduces advisory effectiveness.</w:t>
      </w:r>
    </w:p>
    <w:p w14:paraId="52CFC1BB" w14:textId="77777777" w:rsidR="00D854E1" w:rsidRPr="00D854E1" w:rsidRDefault="00D854E1" w:rsidP="00D854E1">
      <w:pPr>
        <w:numPr>
          <w:ilvl w:val="0"/>
          <w:numId w:val="2"/>
        </w:numPr>
      </w:pPr>
      <w:r w:rsidRPr="00D854E1">
        <w:rPr>
          <w:b/>
          <w:bCs/>
        </w:rPr>
        <w:t>Geographical distance</w:t>
      </w:r>
      <w:r w:rsidRPr="00D854E1">
        <w:t> (</w:t>
      </w:r>
      <w:r w:rsidRPr="00D854E1">
        <w:rPr>
          <w:b/>
          <w:bCs/>
        </w:rPr>
        <w:t>GD</w:t>
      </w:r>
      <w:r w:rsidRPr="00D854E1">
        <w:t>) reflects physical separation, which hampers face-to-face contact, restricts soft tacit knowledge collection, and increases oversight costs.</w:t>
      </w:r>
    </w:p>
    <w:p w14:paraId="07480851" w14:textId="77777777" w:rsidR="00D854E1" w:rsidRPr="00D854E1" w:rsidRDefault="00D854E1" w:rsidP="00D854E1">
      <w:pPr>
        <w:numPr>
          <w:ilvl w:val="0"/>
          <w:numId w:val="2"/>
        </w:numPr>
      </w:pPr>
      <w:r w:rsidRPr="00D854E1">
        <w:t>Formal </w:t>
      </w:r>
      <w:r w:rsidRPr="00D854E1">
        <w:rPr>
          <w:b/>
          <w:bCs/>
        </w:rPr>
        <w:t>Hypothesis</w:t>
      </w:r>
      <w:r w:rsidRPr="00D854E1">
        <w:t>: The larger the institutional, cultural, and geographical distances between VCs and investee firms, the higher the level of IPO underpricing.</w:t>
      </w:r>
    </w:p>
    <w:p w14:paraId="7173B5AF" w14:textId="77777777" w:rsidR="00D854E1" w:rsidRPr="00D854E1" w:rsidRDefault="00D854E1" w:rsidP="00D854E1">
      <w:r w:rsidRPr="00D854E1">
        <w:rPr>
          <w:b/>
          <w:bCs/>
        </w:rPr>
        <w:t>Takeaway:</w:t>
      </w:r>
      <w:r w:rsidRPr="00D854E1">
        <w:t> Institutional, cultural, and physical distances restrict information transmission and oversight capability, preventing VCs from effectively mitigating IPO underpricing.</w:t>
      </w:r>
    </w:p>
    <w:p w14:paraId="7F0DE57E" w14:textId="77777777" w:rsidR="00D854E1" w:rsidRPr="00D854E1" w:rsidRDefault="00D854E1" w:rsidP="00D854E1">
      <w:r w:rsidRPr="00D854E1">
        <w:t>Testing this hypothesis requires operationalizing multi-dimensional distance metrics and detailing the dataset of Chinese A-share equity issuances.</w:t>
      </w:r>
    </w:p>
    <w:p w14:paraId="532A1AC4" w14:textId="77777777" w:rsidR="00D854E1" w:rsidRPr="00D854E1" w:rsidRDefault="00D854E1" w:rsidP="00D854E1">
      <w:pPr>
        <w:rPr>
          <w:b/>
          <w:bCs/>
        </w:rPr>
      </w:pPr>
      <w:r w:rsidRPr="00D854E1">
        <w:rPr>
          <w:b/>
          <w:bCs/>
        </w:rPr>
        <w:t>Section III: Data and Variables</w:t>
      </w:r>
    </w:p>
    <w:p w14:paraId="1151C51F" w14:textId="77777777" w:rsidR="00D854E1" w:rsidRPr="00D854E1" w:rsidRDefault="00D854E1" w:rsidP="00D854E1">
      <w:r w:rsidRPr="00D854E1">
        <w:t>The study combines issue-level financial data with regional institutional and cultural indices to evaluate spatial and contextual distance metrics across Chinese domestic venture capital transactions.</w:t>
      </w:r>
    </w:p>
    <w:p w14:paraId="0903E9AB" w14:textId="77777777" w:rsidR="00D854E1" w:rsidRPr="00D854E1" w:rsidRDefault="00D854E1" w:rsidP="00D854E1">
      <w:pPr>
        <w:rPr>
          <w:b/>
          <w:bCs/>
        </w:rPr>
      </w:pPr>
      <w:r w:rsidRPr="00D854E1">
        <w:rPr>
          <w:b/>
          <w:bCs/>
        </w:rPr>
        <w:t>3.1 Sample Construction and Dependent Variable</w:t>
      </w:r>
    </w:p>
    <w:p w14:paraId="7627E975" w14:textId="77777777" w:rsidR="00D854E1" w:rsidRPr="00D854E1" w:rsidRDefault="00D854E1" w:rsidP="00D854E1">
      <w:pPr>
        <w:numPr>
          <w:ilvl w:val="0"/>
          <w:numId w:val="3"/>
        </w:numPr>
      </w:pPr>
      <w:r w:rsidRPr="00D854E1">
        <w:t>The sample comprises 690 domestic VC-backed Chinese A-share IPOs listed from 2007 to 2018, constructed by merging CSMAR and Zero2IPO databases (regressions involving </w:t>
      </w:r>
      <w:r w:rsidRPr="00D854E1">
        <w:rPr>
          <w:b/>
          <w:bCs/>
        </w:rPr>
        <w:t>ID</w:t>
      </w:r>
      <w:r w:rsidRPr="00D854E1">
        <w:t> comprise 675 observations due to Chinese Provincial Marketization Index data availability spanning 2008–2016).</w:t>
      </w:r>
    </w:p>
    <w:p w14:paraId="74343160" w14:textId="77777777" w:rsidR="00D854E1" w:rsidRPr="00D854E1" w:rsidRDefault="00D854E1" w:rsidP="00D854E1">
      <w:pPr>
        <w:numPr>
          <w:ilvl w:val="0"/>
          <w:numId w:val="3"/>
        </w:numPr>
      </w:pPr>
      <w:r w:rsidRPr="00D854E1">
        <w:lastRenderedPageBreak/>
        <w:t>The dependent variable, </w:t>
      </w:r>
      <w:r w:rsidRPr="00D854E1">
        <w:rPr>
          <w:b/>
          <w:bCs/>
        </w:rPr>
        <w:t>IPO underpricing</w:t>
      </w:r>
      <w:r w:rsidRPr="00D854E1">
        <w:t> (</w:t>
      </w:r>
      <w:r w:rsidRPr="00D854E1">
        <w:rPr>
          <w:b/>
          <w:bCs/>
        </w:rPr>
        <w:t>Underpricing</w:t>
      </w:r>
      <w:r w:rsidRPr="00D854E1">
        <w:t>), is operationalized as: (\</w:t>
      </w:r>
      <w:proofErr w:type="gramStart"/>
      <w:r w:rsidRPr="00D854E1">
        <w:t>text{First-day</w:t>
      </w:r>
      <w:proofErr w:type="gramEnd"/>
      <w:r w:rsidRPr="00D854E1">
        <w:t xml:space="preserve"> closing price} - \</w:t>
      </w:r>
      <w:proofErr w:type="gramStart"/>
      <w:r w:rsidRPr="00D854E1">
        <w:t>text{</w:t>
      </w:r>
      <w:proofErr w:type="gramEnd"/>
      <w:r w:rsidRPr="00D854E1">
        <w:t>Offer price}) / \</w:t>
      </w:r>
      <w:proofErr w:type="gramStart"/>
      <w:r w:rsidRPr="00D854E1">
        <w:t>text{</w:t>
      </w:r>
      <w:proofErr w:type="gramEnd"/>
      <w:r w:rsidRPr="00D854E1">
        <w:t>Offer price}.</w:t>
      </w:r>
    </w:p>
    <w:p w14:paraId="11572418" w14:textId="77777777" w:rsidR="00D854E1" w:rsidRPr="00D854E1" w:rsidRDefault="00D854E1" w:rsidP="00D854E1">
      <w:pPr>
        <w:numPr>
          <w:ilvl w:val="0"/>
          <w:numId w:val="3"/>
        </w:numPr>
      </w:pPr>
      <w:r w:rsidRPr="00D854E1">
        <w:t>The </w:t>
      </w:r>
      <w:r w:rsidRPr="00D854E1">
        <w:rPr>
          <w:b/>
          <w:bCs/>
        </w:rPr>
        <w:t>lead VC</w:t>
      </w:r>
      <w:r w:rsidRPr="00D854E1">
        <w:t> is defined as the venture firm with the largest cumulative investment or, in cases of a tie, the earliest investor, as lead VCs execute primary due diligence and oversight.</w:t>
      </w:r>
    </w:p>
    <w:p w14:paraId="571055B4" w14:textId="77777777" w:rsidR="00D854E1" w:rsidRPr="00D854E1" w:rsidRDefault="00D854E1" w:rsidP="00D854E1">
      <w:pPr>
        <w:numPr>
          <w:ilvl w:val="0"/>
          <w:numId w:val="3"/>
        </w:numPr>
      </w:pPr>
      <w:r w:rsidRPr="00D854E1">
        <w:t>Cross-provincial VC investments dominate the sample, representing 62.9% (434 out of 690) of total observed deals.</w:t>
      </w:r>
    </w:p>
    <w:p w14:paraId="28B4C1F1" w14:textId="77777777" w:rsidR="00D854E1" w:rsidRPr="00D854E1" w:rsidRDefault="00D854E1" w:rsidP="00D854E1">
      <w:r w:rsidRPr="00D854E1">
        <w:rPr>
          <w:b/>
          <w:bCs/>
        </w:rPr>
        <w:t>Takeaway:</w:t>
      </w:r>
      <w:r w:rsidRPr="00D854E1">
        <w:t xml:space="preserve"> Cross-provincial investments represent </w:t>
      </w:r>
      <w:proofErr w:type="gramStart"/>
      <w:r w:rsidRPr="00D854E1">
        <w:t>the majority of</w:t>
      </w:r>
      <w:proofErr w:type="gramEnd"/>
      <w:r w:rsidRPr="00D854E1">
        <w:t xml:space="preserve"> Chinese VC-backed IPOs, providing a robust empirical sample to evaluate distance frictions.</w:t>
      </w:r>
    </w:p>
    <w:p w14:paraId="39811571" w14:textId="77777777" w:rsidR="00D854E1" w:rsidRPr="00D854E1" w:rsidRDefault="00D854E1" w:rsidP="00D854E1">
      <w:pPr>
        <w:rPr>
          <w:b/>
          <w:bCs/>
        </w:rPr>
      </w:pPr>
      <w:r w:rsidRPr="00D854E1">
        <w:rPr>
          <w:b/>
          <w:bCs/>
        </w:rPr>
        <w:t>3.2 Independent and Control Variables</w:t>
      </w:r>
    </w:p>
    <w:p w14:paraId="28205031" w14:textId="77777777" w:rsidR="00D854E1" w:rsidRPr="00D854E1" w:rsidRDefault="00D854E1" w:rsidP="00D854E1">
      <w:pPr>
        <w:numPr>
          <w:ilvl w:val="0"/>
          <w:numId w:val="4"/>
        </w:numPr>
      </w:pPr>
      <w:r w:rsidRPr="00D854E1">
        <w:rPr>
          <w:b/>
          <w:bCs/>
        </w:rPr>
        <w:t>Institutional Distance</w:t>
      </w:r>
      <w:r w:rsidRPr="00D854E1">
        <w:t> (</w:t>
      </w:r>
      <w:r w:rsidRPr="00D854E1">
        <w:rPr>
          <w:b/>
          <w:bCs/>
        </w:rPr>
        <w:t>ID</w:t>
      </w:r>
      <w:r w:rsidRPr="00D854E1">
        <w:t>) measures the absolute difference in </w:t>
      </w:r>
      <w:r w:rsidRPr="00D854E1">
        <w:rPr>
          <w:b/>
          <w:bCs/>
        </w:rPr>
        <w:t>Chinese Provincial Marketization Index</w:t>
      </w:r>
      <w:r w:rsidRPr="00D854E1">
        <w:t> (</w:t>
      </w:r>
      <w:r w:rsidRPr="00D854E1">
        <w:rPr>
          <w:b/>
          <w:bCs/>
        </w:rPr>
        <w:t>CPMI</w:t>
      </w:r>
      <w:r w:rsidRPr="00D854E1">
        <w:t>) scores between the VC's and investee's provinces.</w:t>
      </w:r>
    </w:p>
    <w:p w14:paraId="7AB12DDB" w14:textId="77777777" w:rsidR="00D854E1" w:rsidRPr="00D854E1" w:rsidRDefault="00D854E1" w:rsidP="00D854E1">
      <w:pPr>
        <w:numPr>
          <w:ilvl w:val="0"/>
          <w:numId w:val="4"/>
        </w:numPr>
      </w:pPr>
      <w:r w:rsidRPr="00D854E1">
        <w:rPr>
          <w:b/>
          <w:bCs/>
        </w:rPr>
        <w:t>Cultural Distance</w:t>
      </w:r>
      <w:r w:rsidRPr="00D854E1">
        <w:t> (</w:t>
      </w:r>
      <w:r w:rsidRPr="00D854E1">
        <w:rPr>
          <w:b/>
          <w:bCs/>
        </w:rPr>
        <w:t>CD</w:t>
      </w:r>
      <w:r w:rsidRPr="00D854E1">
        <w:t>) is calculated via Kogut &amp; Singh (1988) methodology using provincial scores across </w:t>
      </w:r>
      <w:r w:rsidRPr="00D854E1">
        <w:rPr>
          <w:b/>
          <w:bCs/>
        </w:rPr>
        <w:t>GLOBE cultural dimensions</w:t>
      </w:r>
      <w:r w:rsidRPr="00D854E1">
        <w:t> (Zhao et al., 2015).</w:t>
      </w:r>
    </w:p>
    <w:p w14:paraId="7A392464" w14:textId="77777777" w:rsidR="00D854E1" w:rsidRPr="00D854E1" w:rsidRDefault="00D854E1" w:rsidP="00D854E1">
      <w:pPr>
        <w:numPr>
          <w:ilvl w:val="0"/>
          <w:numId w:val="4"/>
        </w:numPr>
      </w:pPr>
      <w:r w:rsidRPr="00D854E1">
        <w:rPr>
          <w:b/>
          <w:bCs/>
        </w:rPr>
        <w:t>Geographical Distance</w:t>
      </w:r>
      <w:r w:rsidRPr="00D854E1">
        <w:t> (</w:t>
      </w:r>
      <w:r w:rsidRPr="00D854E1">
        <w:rPr>
          <w:b/>
          <w:bCs/>
        </w:rPr>
        <w:t>GD</w:t>
      </w:r>
      <w:r w:rsidRPr="00D854E1">
        <w:t>) is calculated as the spherical distance using the Haversine formula based on city coordinates.</w:t>
      </w:r>
    </w:p>
    <w:p w14:paraId="7D35F780" w14:textId="77777777" w:rsidR="00D854E1" w:rsidRPr="00D854E1" w:rsidRDefault="00D854E1" w:rsidP="00D854E1">
      <w:pPr>
        <w:numPr>
          <w:ilvl w:val="0"/>
          <w:numId w:val="4"/>
        </w:numPr>
      </w:pPr>
      <w:r w:rsidRPr="00D854E1">
        <w:rPr>
          <w:b/>
          <w:bCs/>
        </w:rPr>
        <w:t>DIST_PCA</w:t>
      </w:r>
      <w:r w:rsidRPr="00D854E1">
        <w:t> captures the common variance (73% explained) across distances via principal component analysis, while orthogonalized distances isolate decoupled marginal effects.</w:t>
      </w:r>
    </w:p>
    <w:p w14:paraId="1A64EE5A" w14:textId="77777777" w:rsidR="00D854E1" w:rsidRPr="00D854E1" w:rsidRDefault="00D854E1" w:rsidP="00D854E1">
      <w:pPr>
        <w:numPr>
          <w:ilvl w:val="0"/>
          <w:numId w:val="4"/>
        </w:numPr>
      </w:pPr>
      <w:r w:rsidRPr="00D854E1">
        <w:t>Controls include firm age, size, leverage, ROA, B/M, P/E, SOE status, board size, CEO duality, offer size, underwriter reputation, analyst coverage, CSI 300 return, hot market dummy, and VC syndication.</w:t>
      </w:r>
    </w:p>
    <w:p w14:paraId="2D18A81F" w14:textId="77777777" w:rsidR="00D854E1" w:rsidRPr="00D854E1" w:rsidRDefault="00D854E1" w:rsidP="00D854E1">
      <w:r w:rsidRPr="00D854E1">
        <w:rPr>
          <w:b/>
          <w:bCs/>
        </w:rPr>
        <w:t>Takeaway:</w:t>
      </w:r>
      <w:r w:rsidRPr="00D854E1">
        <w:t> Granular operationalization of ID, CD, and GD isolates specific regulatory, cultural, and physical frictions while controlling for governance and market factors.</w:t>
      </w:r>
    </w:p>
    <w:p w14:paraId="25F6744C" w14:textId="77777777" w:rsidR="00D854E1" w:rsidRPr="00D854E1" w:rsidRDefault="00D854E1" w:rsidP="00D854E1">
      <w:r w:rsidRPr="00D854E1">
        <w:t>These variable specifications facilitate baseline econometric estimation, identification testing, and market channel decompositions.</w:t>
      </w:r>
    </w:p>
    <w:p w14:paraId="7AD84293" w14:textId="77777777" w:rsidR="00D854E1" w:rsidRPr="00D854E1" w:rsidRDefault="00D854E1" w:rsidP="00D854E1">
      <w:pPr>
        <w:rPr>
          <w:b/>
          <w:bCs/>
        </w:rPr>
      </w:pPr>
      <w:r w:rsidRPr="00D854E1">
        <w:rPr>
          <w:b/>
          <w:bCs/>
        </w:rPr>
        <w:t>Section IV: Empirical Results</w:t>
      </w:r>
    </w:p>
    <w:p w14:paraId="557EFFBB" w14:textId="77777777" w:rsidR="00D854E1" w:rsidRPr="00D854E1" w:rsidRDefault="00D854E1" w:rsidP="00D854E1">
      <w:r w:rsidRPr="00D854E1">
        <w:t>The empirical framework establishes baseline OLS relationships, executes identification strategies to address endogeneity, isolates information asymmetry channels, and decomposes initial returns.</w:t>
      </w:r>
    </w:p>
    <w:p w14:paraId="04258C38" w14:textId="77777777" w:rsidR="00D854E1" w:rsidRPr="00D854E1" w:rsidRDefault="00D854E1" w:rsidP="00D854E1">
      <w:pPr>
        <w:rPr>
          <w:b/>
          <w:bCs/>
        </w:rPr>
      </w:pPr>
      <w:r w:rsidRPr="00D854E1">
        <w:rPr>
          <w:b/>
          <w:bCs/>
        </w:rPr>
        <w:t>4.1 Baseline Regression Analysis</w:t>
      </w:r>
    </w:p>
    <w:p w14:paraId="2F80E74F" w14:textId="77777777" w:rsidR="00D854E1" w:rsidRPr="00D854E1" w:rsidRDefault="00D854E1" w:rsidP="00D854E1">
      <w:pPr>
        <w:numPr>
          <w:ilvl w:val="0"/>
          <w:numId w:val="5"/>
        </w:numPr>
      </w:pPr>
      <w:r w:rsidRPr="00D854E1">
        <w:lastRenderedPageBreak/>
        <w:t>Baseline OLS regressions confirm statistically significant positive relationships for </w:t>
      </w:r>
      <w:r w:rsidRPr="00D854E1">
        <w:rPr>
          <w:b/>
          <w:bCs/>
        </w:rPr>
        <w:t>ID</w:t>
      </w:r>
      <w:r w:rsidRPr="00D854E1">
        <w:t> (+0.018, p&lt;0.01), </w:t>
      </w:r>
      <w:proofErr w:type="gramStart"/>
      <w:r w:rsidRPr="00D854E1">
        <w:rPr>
          <w:b/>
          <w:bCs/>
        </w:rPr>
        <w:t>CD</w:t>
      </w:r>
      <w:r w:rsidRPr="00D854E1">
        <w:t>(</w:t>
      </w:r>
      <w:proofErr w:type="gramEnd"/>
      <w:r w:rsidRPr="00D854E1">
        <w:t>+0.020, p&lt;0.01), and </w:t>
      </w:r>
      <w:r w:rsidRPr="00D854E1">
        <w:rPr>
          <w:b/>
          <w:bCs/>
        </w:rPr>
        <w:t>GD</w:t>
      </w:r>
      <w:r w:rsidRPr="00D854E1">
        <w:t> (+0.004, p&lt;0.05) with IPO underpricing.</w:t>
      </w:r>
    </w:p>
    <w:p w14:paraId="7F36868E" w14:textId="77777777" w:rsidR="00D854E1" w:rsidRPr="00D854E1" w:rsidRDefault="00D854E1" w:rsidP="00D854E1">
      <w:pPr>
        <w:numPr>
          <w:ilvl w:val="0"/>
          <w:numId w:val="5"/>
        </w:numPr>
      </w:pPr>
      <w:r w:rsidRPr="00D854E1">
        <w:t>Comparative economic significance using standardized variables demonstrates that cultural distance (</w:t>
      </w:r>
      <w:proofErr w:type="spellStart"/>
      <w:r w:rsidRPr="00D854E1">
        <w:rPr>
          <w:b/>
          <w:bCs/>
        </w:rPr>
        <w:t>std_CD</w:t>
      </w:r>
      <w:proofErr w:type="spellEnd"/>
      <w:r w:rsidRPr="00D854E1">
        <w:t> = +0.025, p&lt;0.01) and institutional distance (</w:t>
      </w:r>
      <w:proofErr w:type="spellStart"/>
      <w:r w:rsidRPr="00D854E1">
        <w:rPr>
          <w:b/>
          <w:bCs/>
        </w:rPr>
        <w:t>std_ID</w:t>
      </w:r>
      <w:proofErr w:type="spellEnd"/>
      <w:r w:rsidRPr="00D854E1">
        <w:t> = +0.024, p&lt;0.01) exert a substantially stronger impact on underpricing than traditional physical geographical distance (</w:t>
      </w:r>
      <w:proofErr w:type="spellStart"/>
      <w:r w:rsidRPr="00D854E1">
        <w:rPr>
          <w:b/>
          <w:bCs/>
        </w:rPr>
        <w:t>std_GD</w:t>
      </w:r>
      <w:proofErr w:type="spellEnd"/>
      <w:r w:rsidRPr="00D854E1">
        <w:t> = +0.011, p&lt;0.05).</w:t>
      </w:r>
    </w:p>
    <w:p w14:paraId="69D4F303" w14:textId="77777777" w:rsidR="00D854E1" w:rsidRPr="00D854E1" w:rsidRDefault="00D854E1" w:rsidP="00D854E1">
      <w:pPr>
        <w:numPr>
          <w:ilvl w:val="0"/>
          <w:numId w:val="5"/>
        </w:numPr>
      </w:pPr>
      <w:r w:rsidRPr="00D854E1">
        <w:t>The composite metric </w:t>
      </w:r>
      <w:r w:rsidRPr="00D854E1">
        <w:rPr>
          <w:b/>
          <w:bCs/>
        </w:rPr>
        <w:t>DIST_PCA</w:t>
      </w:r>
      <w:r w:rsidRPr="00D854E1">
        <w:t> is positive and significant (+0.014, p&lt;0.05), while orthogonalized models confirm independent explanatory power for each distance dimension.</w:t>
      </w:r>
    </w:p>
    <w:p w14:paraId="297BBCD7" w14:textId="77777777" w:rsidR="00D854E1" w:rsidRPr="00D854E1" w:rsidRDefault="00D854E1" w:rsidP="00D854E1">
      <w:pPr>
        <w:numPr>
          <w:ilvl w:val="0"/>
          <w:numId w:val="5"/>
        </w:numPr>
      </w:pPr>
      <w:r w:rsidRPr="00D854E1">
        <w:t>Economic significance is notable: a one-unit increase in institutional, cultural, and geographical distance increases underpricing by 1.8%, 2.0%, and 0.4%, respectively.</w:t>
      </w:r>
    </w:p>
    <w:p w14:paraId="0B085C86" w14:textId="77777777" w:rsidR="00D854E1" w:rsidRPr="00D854E1" w:rsidRDefault="00D854E1" w:rsidP="00D854E1">
      <w:r w:rsidRPr="00D854E1">
        <w:rPr>
          <w:b/>
          <w:bCs/>
        </w:rPr>
        <w:t>Takeaway:</w:t>
      </w:r>
      <w:r w:rsidRPr="00D854E1">
        <w:t> Institutional and cultural divergences between VCs and portfolio firms drive first-day IPO underpricing to a greater degree than physical separation.</w:t>
      </w:r>
    </w:p>
    <w:p w14:paraId="5AD2410B" w14:textId="77777777" w:rsidR="00D854E1" w:rsidRPr="00D854E1" w:rsidRDefault="00D854E1" w:rsidP="00D854E1">
      <w:pPr>
        <w:rPr>
          <w:b/>
          <w:bCs/>
        </w:rPr>
      </w:pPr>
      <w:r w:rsidRPr="00D854E1">
        <w:rPr>
          <w:b/>
          <w:bCs/>
        </w:rPr>
        <w:t>4.2 Endogeneity and Mechanism Identification (2SLS &amp; Information Asymmetry)</w:t>
      </w:r>
    </w:p>
    <w:p w14:paraId="4F161DF5" w14:textId="77777777" w:rsidR="00D854E1" w:rsidRPr="00D854E1" w:rsidRDefault="00D854E1" w:rsidP="00D854E1">
      <w:pPr>
        <w:numPr>
          <w:ilvl w:val="0"/>
          <w:numId w:val="6"/>
        </w:numPr>
      </w:pPr>
      <w:r w:rsidRPr="00D854E1">
        <w:t>Two-stage least squares (2SLS) models using </w:t>
      </w:r>
      <w:r w:rsidRPr="00D854E1">
        <w:rPr>
          <w:b/>
          <w:bCs/>
        </w:rPr>
        <w:t>Hub VC</w:t>
      </w:r>
      <w:r w:rsidRPr="00D854E1">
        <w:t> (VC located in Beijing, Shanghai, or Shenzhen) and </w:t>
      </w:r>
      <w:r w:rsidRPr="00D854E1">
        <w:rPr>
          <w:b/>
          <w:bCs/>
        </w:rPr>
        <w:t>Cross-prov Exp</w:t>
      </w:r>
      <w:r w:rsidRPr="00D854E1">
        <w:t> (log cross-province investment experience) as instruments confirm distance significantly increases underpricing.</w:t>
      </w:r>
    </w:p>
    <w:p w14:paraId="1E882D7A" w14:textId="77777777" w:rsidR="00D854E1" w:rsidRPr="00D854E1" w:rsidRDefault="00D854E1" w:rsidP="00D854E1">
      <w:pPr>
        <w:numPr>
          <w:ilvl w:val="0"/>
          <w:numId w:val="6"/>
        </w:numPr>
      </w:pPr>
      <w:r w:rsidRPr="00D854E1">
        <w:t xml:space="preserve">First-stage robust F-statistics (6.88 to 114.27; </w:t>
      </w:r>
      <w:proofErr w:type="gramStart"/>
      <w:r w:rsidRPr="00D854E1">
        <w:t>specifically</w:t>
      </w:r>
      <w:proofErr w:type="gramEnd"/>
      <w:r w:rsidRPr="00D854E1">
        <w:t xml:space="preserve"> GD: 6.88, ID: 7.77, DIST_PCA: 25.26, CD: 114.27) and Hansen J-test p-values (&gt;0.10) confirm instrument strength and exogeneity.</w:t>
      </w:r>
    </w:p>
    <w:p w14:paraId="69456341" w14:textId="77777777" w:rsidR="00D854E1" w:rsidRPr="00D854E1" w:rsidRDefault="00D854E1" w:rsidP="00D854E1">
      <w:pPr>
        <w:numPr>
          <w:ilvl w:val="0"/>
          <w:numId w:val="6"/>
        </w:numPr>
      </w:pPr>
      <w:r w:rsidRPr="00D854E1">
        <w:t>High VC network centrality attenuates distance frictions; interaction terms with </w:t>
      </w:r>
      <w:r w:rsidRPr="00D854E1">
        <w:rPr>
          <w:b/>
          <w:bCs/>
        </w:rPr>
        <w:t>Low Degree</w:t>
      </w:r>
      <w:r w:rsidRPr="00D854E1">
        <w:t> centrality (below sample mean) are positive and significant (p&lt;0.05), showing network connections mitigate information asymmetry.</w:t>
      </w:r>
    </w:p>
    <w:p w14:paraId="25FDAED3" w14:textId="77777777" w:rsidR="00D854E1" w:rsidRPr="00D854E1" w:rsidRDefault="00D854E1" w:rsidP="00D854E1">
      <w:pPr>
        <w:numPr>
          <w:ilvl w:val="0"/>
          <w:numId w:val="6"/>
        </w:numPr>
      </w:pPr>
      <w:r w:rsidRPr="00D854E1">
        <w:t>Distance effects are amplified for IPO firms in regions with greater information limitations, indicated by positive and significant interaction terms for </w:t>
      </w:r>
      <w:r w:rsidRPr="00D854E1">
        <w:rPr>
          <w:b/>
          <w:bCs/>
        </w:rPr>
        <w:t>Less Developed</w:t>
      </w:r>
      <w:r w:rsidRPr="00D854E1">
        <w:t> (identifying firms outside the top 5 marketized provinces: Jiangsu, Shanghai, Zhejiang, Guangdong, and Beijing) and </w:t>
      </w:r>
      <w:r w:rsidRPr="00D854E1">
        <w:rPr>
          <w:b/>
          <w:bCs/>
        </w:rPr>
        <w:t>Low Marketization</w:t>
      </w:r>
      <w:r w:rsidRPr="00D854E1">
        <w:t> (provincial marketization below the annual sample mean).</w:t>
      </w:r>
    </w:p>
    <w:p w14:paraId="102891F2" w14:textId="77777777" w:rsidR="00D854E1" w:rsidRPr="00D854E1" w:rsidRDefault="00D854E1" w:rsidP="00D854E1">
      <w:pPr>
        <w:numPr>
          <w:ilvl w:val="0"/>
          <w:numId w:val="6"/>
        </w:numPr>
      </w:pPr>
      <w:r w:rsidRPr="00D854E1">
        <w:rPr>
          <w:b/>
          <w:bCs/>
        </w:rPr>
        <w:t>Propensity Score Matching</w:t>
      </w:r>
      <w:r w:rsidRPr="00D854E1">
        <w:t> (</w:t>
      </w:r>
      <w:r w:rsidRPr="00D854E1">
        <w:rPr>
          <w:b/>
          <w:bCs/>
        </w:rPr>
        <w:t>PSM</w:t>
      </w:r>
      <w:r w:rsidRPr="00D854E1">
        <w:t>) across 302 matched pairs confirms distance effects stem from reduced VC oversight capacity (</w:t>
      </w:r>
      <w:r w:rsidRPr="00D854E1">
        <w:rPr>
          <w:b/>
          <w:bCs/>
        </w:rPr>
        <w:t>treatment effect</w:t>
      </w:r>
      <w:r w:rsidRPr="00D854E1">
        <w:t>) rather than initial firm selection bias.</w:t>
      </w:r>
    </w:p>
    <w:p w14:paraId="7F73BAB7" w14:textId="77777777" w:rsidR="00D854E1" w:rsidRPr="00D854E1" w:rsidRDefault="00D854E1" w:rsidP="00D854E1">
      <w:r w:rsidRPr="00D854E1">
        <w:rPr>
          <w:b/>
          <w:bCs/>
        </w:rPr>
        <w:lastRenderedPageBreak/>
        <w:t>Takeaway:</w:t>
      </w:r>
      <w:r w:rsidRPr="00D854E1">
        <w:t> Distance increases underpricing through information asymmetry channels, operating as a treatment effect that network centrality and regional marketization moderate.</w:t>
      </w:r>
    </w:p>
    <w:p w14:paraId="15CEFB77" w14:textId="77777777" w:rsidR="00D854E1" w:rsidRPr="00D854E1" w:rsidRDefault="00D854E1" w:rsidP="00D854E1">
      <w:pPr>
        <w:rPr>
          <w:b/>
          <w:bCs/>
        </w:rPr>
      </w:pPr>
      <w:r w:rsidRPr="00D854E1">
        <w:rPr>
          <w:b/>
          <w:bCs/>
        </w:rPr>
        <w:t>4.3 Market Decomposition: Primary vs. Secondary Market</w:t>
      </w:r>
    </w:p>
    <w:p w14:paraId="4091B6CF" w14:textId="77777777" w:rsidR="00D854E1" w:rsidRPr="00D854E1" w:rsidRDefault="00D854E1" w:rsidP="00D854E1">
      <w:pPr>
        <w:numPr>
          <w:ilvl w:val="0"/>
          <w:numId w:val="7"/>
        </w:numPr>
      </w:pPr>
      <w:r w:rsidRPr="00D854E1">
        <w:t xml:space="preserve">Following </w:t>
      </w:r>
      <w:proofErr w:type="spellStart"/>
      <w:r w:rsidRPr="00D854E1">
        <w:t>Purnanandam</w:t>
      </w:r>
      <w:proofErr w:type="spellEnd"/>
      <w:r w:rsidRPr="00D854E1">
        <w:t xml:space="preserve"> &amp; Swaminathan (2004), underpricing is split into </w:t>
      </w:r>
      <w:r w:rsidRPr="00D854E1">
        <w:rPr>
          <w:b/>
          <w:bCs/>
        </w:rPr>
        <w:t xml:space="preserve">primary market </w:t>
      </w:r>
      <w:proofErr w:type="gramStart"/>
      <w:r w:rsidRPr="00D854E1">
        <w:rPr>
          <w:b/>
          <w:bCs/>
        </w:rPr>
        <w:t>underpricing</w:t>
      </w:r>
      <w:r w:rsidRPr="00D854E1">
        <w:t>(</w:t>
      </w:r>
      <w:proofErr w:type="gramEnd"/>
      <w:r w:rsidRPr="00D854E1">
        <w:t>\</w:t>
      </w:r>
      <w:proofErr w:type="gramStart"/>
      <w:r w:rsidRPr="00D854E1">
        <w:t>text{</w:t>
      </w:r>
      <w:proofErr w:type="gramEnd"/>
      <w:r w:rsidRPr="00D854E1">
        <w:t>Intrinsic Value} / \</w:t>
      </w:r>
      <w:proofErr w:type="gramStart"/>
      <w:r w:rsidRPr="00D854E1">
        <w:t>text{</w:t>
      </w:r>
      <w:proofErr w:type="gramEnd"/>
      <w:r w:rsidRPr="00D854E1">
        <w:t>Offer Price}) and </w:t>
      </w:r>
      <w:r w:rsidRPr="00D854E1">
        <w:rPr>
          <w:b/>
          <w:bCs/>
        </w:rPr>
        <w:t>secondary market overvaluation</w:t>
      </w:r>
      <w:r w:rsidRPr="00D854E1">
        <w:t> (\</w:t>
      </w:r>
      <w:proofErr w:type="gramStart"/>
      <w:r w:rsidRPr="00D854E1">
        <w:t>text{</w:t>
      </w:r>
      <w:proofErr w:type="gramEnd"/>
      <w:r w:rsidRPr="00D854E1">
        <w:t>Closing Price} / \</w:t>
      </w:r>
      <w:proofErr w:type="gramStart"/>
      <w:r w:rsidRPr="00D854E1">
        <w:t>text{</w:t>
      </w:r>
      <w:proofErr w:type="gramEnd"/>
      <w:r w:rsidRPr="00D854E1">
        <w:t>Intrinsic Value}) using a benchmark sample reduced to 448 comparable firms (438 for ID) matched on industry, sales, and EBITDA.</w:t>
      </w:r>
    </w:p>
    <w:p w14:paraId="311EEDFB" w14:textId="77777777" w:rsidR="00D854E1" w:rsidRPr="00D854E1" w:rsidRDefault="00D854E1" w:rsidP="00D854E1">
      <w:pPr>
        <w:numPr>
          <w:ilvl w:val="0"/>
          <w:numId w:val="7"/>
        </w:numPr>
      </w:pPr>
      <w:r w:rsidRPr="00D854E1">
        <w:t>Distance factors significantly increase primary market underpricing (</w:t>
      </w:r>
      <w:r w:rsidRPr="00D854E1">
        <w:rPr>
          <w:b/>
          <w:bCs/>
        </w:rPr>
        <w:t>ID</w:t>
      </w:r>
      <w:r w:rsidRPr="00D854E1">
        <w:t> +0.181, </w:t>
      </w:r>
      <w:r w:rsidRPr="00D854E1">
        <w:rPr>
          <w:b/>
          <w:bCs/>
        </w:rPr>
        <w:t>CD</w:t>
      </w:r>
      <w:r w:rsidRPr="00D854E1">
        <w:t> +0.200, </w:t>
      </w:r>
      <w:r w:rsidRPr="00D854E1">
        <w:rPr>
          <w:b/>
          <w:bCs/>
        </w:rPr>
        <w:t>GD</w:t>
      </w:r>
      <w:r w:rsidRPr="00D854E1">
        <w:t> +0.063, all p&lt;0.05).</w:t>
      </w:r>
    </w:p>
    <w:p w14:paraId="0A9C744E" w14:textId="77777777" w:rsidR="00D854E1" w:rsidRPr="00D854E1" w:rsidRDefault="00D854E1" w:rsidP="00D854E1">
      <w:pPr>
        <w:numPr>
          <w:ilvl w:val="0"/>
          <w:numId w:val="7"/>
        </w:numPr>
      </w:pPr>
      <w:r w:rsidRPr="00D854E1">
        <w:t>Distance metrics show no statistically significant relationship with secondary market investor overvaluation.</w:t>
      </w:r>
    </w:p>
    <w:p w14:paraId="2F2677B4" w14:textId="77777777" w:rsidR="00D854E1" w:rsidRPr="00D854E1" w:rsidRDefault="00D854E1" w:rsidP="00D854E1">
      <w:r w:rsidRPr="00D854E1">
        <w:rPr>
          <w:b/>
          <w:bCs/>
        </w:rPr>
        <w:t>Takeaway:</w:t>
      </w:r>
      <w:r w:rsidRPr="00D854E1">
        <w:t> Distance frictions affect first-day returns entirely within the primary market setting through pre-IPO offer pricing inefficiencies.</w:t>
      </w:r>
    </w:p>
    <w:p w14:paraId="71CB0409" w14:textId="77777777" w:rsidR="00D854E1" w:rsidRPr="00D854E1" w:rsidRDefault="00D854E1" w:rsidP="00D854E1">
      <w:r w:rsidRPr="00D854E1">
        <w:t>To confirm these findings, the empirical strategy executes several robustness checks against regulatory shifts and alternative metrics.</w:t>
      </w:r>
    </w:p>
    <w:p w14:paraId="1466D0B2" w14:textId="77777777" w:rsidR="00D854E1" w:rsidRPr="00D854E1" w:rsidRDefault="00D854E1" w:rsidP="00D854E1">
      <w:pPr>
        <w:rPr>
          <w:b/>
          <w:bCs/>
        </w:rPr>
      </w:pPr>
      <w:r w:rsidRPr="00D854E1">
        <w:rPr>
          <w:b/>
          <w:bCs/>
        </w:rPr>
        <w:t>Section V: Robustness Checks</w:t>
      </w:r>
    </w:p>
    <w:p w14:paraId="47610711" w14:textId="77777777" w:rsidR="00D854E1" w:rsidRPr="00D854E1" w:rsidRDefault="00D854E1" w:rsidP="00D854E1">
      <w:r w:rsidRPr="00D854E1">
        <w:t>Robustness verification assesses empirical stability across regulatory environment changes, alternative metric definitions, sample splits, and underwriter proximity.</w:t>
      </w:r>
    </w:p>
    <w:p w14:paraId="7058FF2C" w14:textId="77777777" w:rsidR="00D854E1" w:rsidRPr="00D854E1" w:rsidRDefault="00D854E1" w:rsidP="00D854E1">
      <w:pPr>
        <w:numPr>
          <w:ilvl w:val="0"/>
          <w:numId w:val="8"/>
        </w:numPr>
      </w:pPr>
      <w:r w:rsidRPr="00D854E1">
        <w:t>Excluding IPOs listed after December 13, 2013 (which implemented a 144% first-day price cap) leaves core baseline conclusions unchanged.</w:t>
      </w:r>
    </w:p>
    <w:p w14:paraId="21423FAF" w14:textId="77777777" w:rsidR="00D854E1" w:rsidRPr="00D854E1" w:rsidRDefault="00D854E1" w:rsidP="00D854E1">
      <w:pPr>
        <w:numPr>
          <w:ilvl w:val="0"/>
          <w:numId w:val="8"/>
        </w:numPr>
      </w:pPr>
      <w:r w:rsidRPr="00D854E1">
        <w:t xml:space="preserve">Subsample analysis restricted strictly to cross-provincial VC investments (434 observations) </w:t>
      </w:r>
      <w:proofErr w:type="gramStart"/>
      <w:r w:rsidRPr="00D854E1">
        <w:t>confirms</w:t>
      </w:r>
      <w:proofErr w:type="gramEnd"/>
      <w:r w:rsidRPr="00D854E1">
        <w:t xml:space="preserve"> results are not driven by local VC concentration.</w:t>
      </w:r>
    </w:p>
    <w:p w14:paraId="0591EA6E" w14:textId="77777777" w:rsidR="00D854E1" w:rsidRPr="00D854E1" w:rsidRDefault="00D854E1" w:rsidP="00D854E1">
      <w:pPr>
        <w:numPr>
          <w:ilvl w:val="0"/>
          <w:numId w:val="8"/>
        </w:numPr>
      </w:pPr>
      <w:r w:rsidRPr="00D854E1">
        <w:t>Controlling for underwriter physical proximity via </w:t>
      </w:r>
      <w:r w:rsidRPr="00D854E1">
        <w:rPr>
          <w:b/>
          <w:bCs/>
        </w:rPr>
        <w:t>Local Underwriter</w:t>
      </w:r>
      <w:r w:rsidRPr="00D854E1">
        <w:t> status (city-level match) does not alter the positive relation between VC distance and underpricing.</w:t>
      </w:r>
    </w:p>
    <w:p w14:paraId="49DB26DF" w14:textId="77777777" w:rsidR="00D854E1" w:rsidRPr="00D854E1" w:rsidRDefault="00D854E1" w:rsidP="00D854E1">
      <w:pPr>
        <w:numPr>
          <w:ilvl w:val="0"/>
          <w:numId w:val="8"/>
        </w:numPr>
      </w:pPr>
      <w:r w:rsidRPr="00D854E1">
        <w:t>Results remain robust when substituting alternative return metrics, including market-adjusted returns (</w:t>
      </w:r>
      <w:proofErr w:type="spellStart"/>
      <w:r w:rsidRPr="00D854E1">
        <w:rPr>
          <w:b/>
          <w:bCs/>
        </w:rPr>
        <w:t>Underpricing_Adj</w:t>
      </w:r>
      <w:proofErr w:type="spellEnd"/>
      <w:r w:rsidRPr="00D854E1">
        <w:t>) and logarithmic price ratios (\ln(\</w:t>
      </w:r>
      <w:proofErr w:type="gramStart"/>
      <w:r w:rsidRPr="00D854E1">
        <w:t>text{</w:t>
      </w:r>
      <w:proofErr w:type="gramEnd"/>
      <w:r w:rsidRPr="00D854E1">
        <w:t>Closing}/\</w:t>
      </w:r>
      <w:proofErr w:type="gramStart"/>
      <w:r w:rsidRPr="00D854E1">
        <w:t>text{</w:t>
      </w:r>
      <w:proofErr w:type="gramEnd"/>
      <w:r w:rsidRPr="00D854E1">
        <w:t>Offer})).</w:t>
      </w:r>
    </w:p>
    <w:p w14:paraId="776F1997" w14:textId="77777777" w:rsidR="00D854E1" w:rsidRPr="00D854E1" w:rsidRDefault="00D854E1" w:rsidP="00D854E1">
      <w:pPr>
        <w:numPr>
          <w:ilvl w:val="0"/>
          <w:numId w:val="8"/>
        </w:numPr>
      </w:pPr>
      <w:r w:rsidRPr="00D854E1">
        <w:lastRenderedPageBreak/>
        <w:t>Results hold using legal environment distance (</w:t>
      </w:r>
      <w:proofErr w:type="spellStart"/>
      <w:r w:rsidRPr="00D854E1">
        <w:rPr>
          <w:b/>
          <w:bCs/>
        </w:rPr>
        <w:t>LegalDist</w:t>
      </w:r>
      <w:proofErr w:type="spellEnd"/>
      <w:r w:rsidRPr="00D854E1">
        <w:t>), directional institutional distance (</w:t>
      </w:r>
      <w:r w:rsidRPr="00D854E1">
        <w:rPr>
          <w:b/>
          <w:bCs/>
        </w:rPr>
        <w:t>ID_D</w:t>
      </w:r>
      <w:r w:rsidRPr="00D854E1">
        <w:t>), Schwartz cultural values (</w:t>
      </w:r>
      <w:r w:rsidRPr="00D854E1">
        <w:rPr>
          <w:b/>
          <w:bCs/>
        </w:rPr>
        <w:t>CD_S</w:t>
      </w:r>
      <w:r w:rsidRPr="00D854E1">
        <w:t>), and city dialect distance (</w:t>
      </w:r>
      <w:proofErr w:type="spellStart"/>
      <w:r w:rsidRPr="00D854E1">
        <w:rPr>
          <w:b/>
          <w:bCs/>
        </w:rPr>
        <w:t>DialectDist</w:t>
      </w:r>
      <w:proofErr w:type="spellEnd"/>
      <w:r w:rsidRPr="00D854E1">
        <w:t>).</w:t>
      </w:r>
    </w:p>
    <w:p w14:paraId="7C35BB39" w14:textId="77777777" w:rsidR="00D854E1" w:rsidRPr="00D854E1" w:rsidRDefault="00D854E1" w:rsidP="00D854E1">
      <w:r w:rsidRPr="00D854E1">
        <w:rPr>
          <w:b/>
          <w:bCs/>
        </w:rPr>
        <w:t>Takeaway:</w:t>
      </w:r>
      <w:r w:rsidRPr="00D854E1">
        <w:t> The positive relationship between multi-dimensional VC distances and IPO underpricing is consistent across structural policy shifts, sample restrictions, and metric variations.</w:t>
      </w:r>
    </w:p>
    <w:p w14:paraId="345C8633" w14:textId="77777777" w:rsidR="00D854E1" w:rsidRPr="00D854E1" w:rsidRDefault="00D854E1" w:rsidP="00D854E1">
      <w:r w:rsidRPr="00D854E1">
        <w:t>Moving beyond initial listing dynamics, it is crucial to analyze whether distance-induced governance deficits impair long-run post-IPO firm performance.</w:t>
      </w:r>
    </w:p>
    <w:p w14:paraId="5C951C2E" w14:textId="77777777" w:rsidR="00D854E1" w:rsidRPr="00D854E1" w:rsidRDefault="00D854E1" w:rsidP="00D854E1">
      <w:pPr>
        <w:rPr>
          <w:b/>
          <w:bCs/>
        </w:rPr>
      </w:pPr>
      <w:r w:rsidRPr="00D854E1">
        <w:rPr>
          <w:b/>
          <w:bCs/>
        </w:rPr>
        <w:t>Section VI: Distances and Post-IPO Market Performance</w:t>
      </w:r>
    </w:p>
    <w:p w14:paraId="5F66FFC1" w14:textId="77777777" w:rsidR="00D854E1" w:rsidRPr="00D854E1" w:rsidRDefault="00D854E1" w:rsidP="00D854E1">
      <w:r w:rsidRPr="00D854E1">
        <w:t>Long-run post-IPO stock performance tests whether distant VCs exhibit persistent governance deficits that weaken value creation after public listing.</w:t>
      </w:r>
    </w:p>
    <w:p w14:paraId="0D6E704C" w14:textId="77777777" w:rsidR="00D854E1" w:rsidRPr="00D854E1" w:rsidRDefault="00D854E1" w:rsidP="00D854E1">
      <w:pPr>
        <w:numPr>
          <w:ilvl w:val="0"/>
          <w:numId w:val="9"/>
        </w:numPr>
      </w:pPr>
      <w:r w:rsidRPr="00D854E1">
        <w:t>Post-IPO market performance is measured using 12-, 24-, and 36-month market-adjusted </w:t>
      </w:r>
      <w:r w:rsidRPr="00D854E1">
        <w:rPr>
          <w:b/>
          <w:bCs/>
        </w:rPr>
        <w:t>Buy-and-Hold Abnormal Returns</w:t>
      </w:r>
      <w:r w:rsidRPr="00D854E1">
        <w:t> (</w:t>
      </w:r>
      <w:r w:rsidRPr="00D854E1">
        <w:rPr>
          <w:b/>
          <w:bCs/>
        </w:rPr>
        <w:t>BHAR1</w:t>
      </w:r>
      <w:r w:rsidRPr="00D854E1">
        <w:t>, </w:t>
      </w:r>
      <w:r w:rsidRPr="00D854E1">
        <w:rPr>
          <w:b/>
          <w:bCs/>
        </w:rPr>
        <w:t>BHAR2</w:t>
      </w:r>
      <w:r w:rsidRPr="00D854E1">
        <w:t>, </w:t>
      </w:r>
      <w:r w:rsidRPr="00D854E1">
        <w:rPr>
          <w:b/>
          <w:bCs/>
        </w:rPr>
        <w:t>BHAR3</w:t>
      </w:r>
      <w:r w:rsidRPr="00D854E1">
        <w:t>).</w:t>
      </w:r>
    </w:p>
    <w:p w14:paraId="60D6DDA3" w14:textId="77777777" w:rsidR="00D854E1" w:rsidRPr="00D854E1" w:rsidRDefault="00D854E1" w:rsidP="00D854E1">
      <w:pPr>
        <w:numPr>
          <w:ilvl w:val="0"/>
          <w:numId w:val="9"/>
        </w:numPr>
      </w:pPr>
      <w:r w:rsidRPr="00D854E1">
        <w:t>All distance measures display negative coefficients across horizons, but formal </w:t>
      </w:r>
      <w:r w:rsidRPr="00D854E1">
        <w:rPr>
          <w:b/>
          <w:bCs/>
        </w:rPr>
        <w:t>institutional distance</w:t>
      </w:r>
      <w:r w:rsidRPr="00D854E1">
        <w:t> (</w:t>
      </w:r>
      <w:r w:rsidRPr="00D854E1">
        <w:rPr>
          <w:b/>
          <w:bCs/>
        </w:rPr>
        <w:t>ID</w:t>
      </w:r>
      <w:r w:rsidRPr="00D854E1">
        <w:t>) exerts a persistent, statistically significant negative impact on </w:t>
      </w:r>
      <w:r w:rsidRPr="00D854E1">
        <w:rPr>
          <w:b/>
          <w:bCs/>
        </w:rPr>
        <w:t>BHAR2</w:t>
      </w:r>
      <w:r w:rsidRPr="00D854E1">
        <w:t> (-0.042, p&lt;0.01) and </w:t>
      </w:r>
      <w:r w:rsidRPr="00D854E1">
        <w:rPr>
          <w:b/>
          <w:bCs/>
        </w:rPr>
        <w:t>BHAR3</w:t>
      </w:r>
      <w:r w:rsidRPr="00D854E1">
        <w:t> (-0.075, p&lt;0.01).</w:t>
      </w:r>
    </w:p>
    <w:p w14:paraId="2E01A1BD" w14:textId="77777777" w:rsidR="00D854E1" w:rsidRPr="00D854E1" w:rsidRDefault="00D854E1" w:rsidP="00D854E1">
      <w:pPr>
        <w:numPr>
          <w:ilvl w:val="0"/>
          <w:numId w:val="9"/>
        </w:numPr>
      </w:pPr>
      <w:r w:rsidRPr="00D854E1">
        <w:t>Institutional frictions (regulatory quality, legal enforcement, contract standards) permanently impair post-IPO VC governance in ways aftermarket disclosures cannot offset.</w:t>
      </w:r>
    </w:p>
    <w:p w14:paraId="0FA69C3D" w14:textId="77777777" w:rsidR="00D854E1" w:rsidRPr="00D854E1" w:rsidRDefault="00D854E1" w:rsidP="00D854E1">
      <w:pPr>
        <w:numPr>
          <w:ilvl w:val="0"/>
          <w:numId w:val="9"/>
        </w:numPr>
      </w:pPr>
      <w:r w:rsidRPr="00D854E1">
        <w:t>Unlike institutional distance, performance drags from informal cultural and geographical distances attenuate over longer post-listing horizons.</w:t>
      </w:r>
    </w:p>
    <w:p w14:paraId="05C49C11" w14:textId="77777777" w:rsidR="00D854E1" w:rsidRPr="00D854E1" w:rsidRDefault="00D854E1" w:rsidP="00D854E1">
      <w:r w:rsidRPr="00D854E1">
        <w:rPr>
          <w:b/>
          <w:bCs/>
        </w:rPr>
        <w:t>Takeaway:</w:t>
      </w:r>
      <w:r w:rsidRPr="00D854E1">
        <w:t> Institutional distance generates persistent long-run post-IPO market underperformance, showing that formal institutional barriers permanently restrict VC value-added governance.</w:t>
      </w:r>
    </w:p>
    <w:p w14:paraId="62A3EBBA" w14:textId="77777777" w:rsidR="00D854E1" w:rsidRPr="00D854E1" w:rsidRDefault="00D854E1" w:rsidP="00D854E1">
      <w:r w:rsidRPr="00D854E1">
        <w:t>Synthesizing these empirical insights provides key summary conclusions for academic evaluation and practical investment strategy.</w:t>
      </w:r>
    </w:p>
    <w:p w14:paraId="45971736" w14:textId="77777777" w:rsidR="00D854E1" w:rsidRPr="00D854E1" w:rsidRDefault="00D854E1" w:rsidP="00D854E1">
      <w:pPr>
        <w:rPr>
          <w:b/>
          <w:bCs/>
        </w:rPr>
      </w:pPr>
      <w:r w:rsidRPr="00D854E1">
        <w:rPr>
          <w:b/>
          <w:bCs/>
        </w:rPr>
        <w:t>Section VII: Conclusions and Exam Takeaways</w:t>
      </w:r>
    </w:p>
    <w:p w14:paraId="506247E3" w14:textId="77777777" w:rsidR="00D854E1" w:rsidRPr="00D854E1" w:rsidRDefault="00D854E1" w:rsidP="00D854E1">
      <w:r w:rsidRPr="00D854E1">
        <w:t>This research establishes that multi-dimensional distances between VC investors and portfolio firms create governance and information frictions, inflating primary market IPO underpricing and depressing long-run performance.</w:t>
      </w:r>
    </w:p>
    <w:p w14:paraId="656C9E10" w14:textId="77777777" w:rsidR="00D854E1" w:rsidRPr="00D854E1" w:rsidRDefault="00D854E1" w:rsidP="00D854E1">
      <w:pPr>
        <w:numPr>
          <w:ilvl w:val="0"/>
          <w:numId w:val="10"/>
        </w:numPr>
      </w:pPr>
      <w:r w:rsidRPr="00D854E1">
        <w:lastRenderedPageBreak/>
        <w:t>Core Finding: Institutional, cultural, and geographical distances between VCs and startups significantly increase </w:t>
      </w:r>
      <w:r w:rsidRPr="00D854E1">
        <w:rPr>
          <w:b/>
          <w:bCs/>
        </w:rPr>
        <w:t>IPO underpricing</w:t>
      </w:r>
      <w:r w:rsidRPr="00D854E1">
        <w:t> and diminish post-IPO abnormal returns.</w:t>
      </w:r>
    </w:p>
    <w:p w14:paraId="12F8BA69" w14:textId="77777777" w:rsidR="00D854E1" w:rsidRPr="00D854E1" w:rsidRDefault="00D854E1" w:rsidP="00D854E1">
      <w:pPr>
        <w:numPr>
          <w:ilvl w:val="0"/>
          <w:numId w:val="10"/>
        </w:numPr>
      </w:pPr>
      <w:r w:rsidRPr="00D854E1">
        <w:t>Relative Importance: Formal </w:t>
      </w:r>
      <w:r w:rsidRPr="00D854E1">
        <w:rPr>
          <w:b/>
          <w:bCs/>
        </w:rPr>
        <w:t>institutional distance</w:t>
      </w:r>
      <w:r w:rsidRPr="00D854E1">
        <w:t> and informal </w:t>
      </w:r>
      <w:r w:rsidRPr="00D854E1">
        <w:rPr>
          <w:b/>
          <w:bCs/>
        </w:rPr>
        <w:t>cultural distance</w:t>
      </w:r>
      <w:r w:rsidRPr="00D854E1">
        <w:t> impose greater economic frictions on VC governance efficacy than physical </w:t>
      </w:r>
      <w:r w:rsidRPr="00D854E1">
        <w:rPr>
          <w:b/>
          <w:bCs/>
        </w:rPr>
        <w:t>geographical distance</w:t>
      </w:r>
      <w:r w:rsidRPr="00D854E1">
        <w:t>.</w:t>
      </w:r>
    </w:p>
    <w:p w14:paraId="6B140584" w14:textId="77777777" w:rsidR="00D854E1" w:rsidRPr="00D854E1" w:rsidRDefault="00D854E1" w:rsidP="00D854E1">
      <w:pPr>
        <w:numPr>
          <w:ilvl w:val="0"/>
          <w:numId w:val="10"/>
        </w:numPr>
      </w:pPr>
      <w:r w:rsidRPr="00D854E1">
        <w:t>Primary Channel: Distances exacerbate </w:t>
      </w:r>
      <w:r w:rsidRPr="00D854E1">
        <w:rPr>
          <w:b/>
          <w:bCs/>
        </w:rPr>
        <w:t>information asymmetry</w:t>
      </w:r>
      <w:r w:rsidRPr="00D854E1">
        <w:t>, degrading VC </w:t>
      </w:r>
      <w:r w:rsidRPr="00D854E1">
        <w:rPr>
          <w:b/>
          <w:bCs/>
        </w:rPr>
        <w:t>screening</w:t>
      </w:r>
      <w:r w:rsidRPr="00D854E1">
        <w:t>, </w:t>
      </w:r>
      <w:r w:rsidRPr="00D854E1">
        <w:rPr>
          <w:b/>
          <w:bCs/>
        </w:rPr>
        <w:t>monitoring</w:t>
      </w:r>
      <w:r w:rsidRPr="00D854E1">
        <w:t>, and </w:t>
      </w:r>
      <w:r w:rsidRPr="00D854E1">
        <w:rPr>
          <w:b/>
          <w:bCs/>
        </w:rPr>
        <w:t>advisory</w:t>
      </w:r>
      <w:r w:rsidRPr="00D854E1">
        <w:t> capabilities, resulting in inefficiencies concentrated in the </w:t>
      </w:r>
      <w:r w:rsidRPr="00D854E1">
        <w:rPr>
          <w:b/>
          <w:bCs/>
        </w:rPr>
        <w:t>primary market</w:t>
      </w:r>
      <w:r w:rsidRPr="00D854E1">
        <w:t>.</w:t>
      </w:r>
    </w:p>
    <w:p w14:paraId="7A247BB5" w14:textId="6554DEDF" w:rsidR="00D854E1" w:rsidRPr="00D854E1" w:rsidRDefault="00D854E1" w:rsidP="00D854E1">
      <w:pPr>
        <w:numPr>
          <w:ilvl w:val="0"/>
          <w:numId w:val="10"/>
        </w:numPr>
      </w:pPr>
      <w:r w:rsidRPr="00D854E1">
        <w:t>Mitigating Factors: Strong VC </w:t>
      </w:r>
      <w:r w:rsidRPr="00D854E1">
        <w:rPr>
          <w:b/>
          <w:bCs/>
        </w:rPr>
        <w:t>network centrality</w:t>
      </w:r>
      <w:r w:rsidRPr="00D854E1">
        <w:t> (high degree centrality) and host-region </w:t>
      </w:r>
      <w:r w:rsidRPr="00D854E1">
        <w:rPr>
          <w:b/>
          <w:bCs/>
        </w:rPr>
        <w:t>marketization</w:t>
      </w:r>
      <w:r>
        <w:rPr>
          <w:b/>
          <w:bCs/>
        </w:rPr>
        <w:t xml:space="preserve"> </w:t>
      </w:r>
      <w:r w:rsidRPr="00D854E1">
        <w:t>significantly alleviate distance-induced frictions.</w:t>
      </w:r>
    </w:p>
    <w:p w14:paraId="64AAB807" w14:textId="77777777" w:rsidR="00D854E1" w:rsidRPr="00D854E1" w:rsidRDefault="00D854E1" w:rsidP="00D854E1">
      <w:pPr>
        <w:numPr>
          <w:ilvl w:val="0"/>
          <w:numId w:val="10"/>
        </w:numPr>
      </w:pPr>
      <w:r w:rsidRPr="00D854E1">
        <w:t>Policy &amp; Management Implication: Entrepreneurial firms and VC syndicates must evaluate formal institutional and informal cultural compatibility alongside physical proximity when structuring financing deals.</w:t>
      </w:r>
    </w:p>
    <w:p w14:paraId="4754AC2A" w14:textId="076268A3" w:rsidR="00D854E1" w:rsidRDefault="00D854E1">
      <w:r w:rsidRPr="00D854E1">
        <w:rPr>
          <w:b/>
          <w:bCs/>
        </w:rPr>
        <w:t>Takeaway:</w:t>
      </w:r>
      <w:r w:rsidRPr="00D854E1">
        <w:t> Multi-dimensional VC-investee distances systematically elevate primary market IPO underpricing and depress long-term stock performance by impairing pre-listing oversight and post-listing governance.</w:t>
      </w:r>
    </w:p>
    <w:sectPr w:rsidR="00D854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F2531E"/>
    <w:multiLevelType w:val="multilevel"/>
    <w:tmpl w:val="C720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253523"/>
    <w:multiLevelType w:val="multilevel"/>
    <w:tmpl w:val="7D74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9702D8"/>
    <w:multiLevelType w:val="multilevel"/>
    <w:tmpl w:val="9FCE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3640A3"/>
    <w:multiLevelType w:val="multilevel"/>
    <w:tmpl w:val="F65E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19555E"/>
    <w:multiLevelType w:val="multilevel"/>
    <w:tmpl w:val="84D2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F85AAA"/>
    <w:multiLevelType w:val="multilevel"/>
    <w:tmpl w:val="C8FC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3C4B7C"/>
    <w:multiLevelType w:val="multilevel"/>
    <w:tmpl w:val="4502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E119AB"/>
    <w:multiLevelType w:val="multilevel"/>
    <w:tmpl w:val="FA54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BB0AB9"/>
    <w:multiLevelType w:val="multilevel"/>
    <w:tmpl w:val="11DE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B10F0F"/>
    <w:multiLevelType w:val="multilevel"/>
    <w:tmpl w:val="C0D0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156715">
    <w:abstractNumId w:val="1"/>
  </w:num>
  <w:num w:numId="2" w16cid:durableId="852652393">
    <w:abstractNumId w:val="6"/>
  </w:num>
  <w:num w:numId="3" w16cid:durableId="258222871">
    <w:abstractNumId w:val="0"/>
  </w:num>
  <w:num w:numId="4" w16cid:durableId="480389693">
    <w:abstractNumId w:val="7"/>
  </w:num>
  <w:num w:numId="5" w16cid:durableId="1990284147">
    <w:abstractNumId w:val="3"/>
  </w:num>
  <w:num w:numId="6" w16cid:durableId="1985232300">
    <w:abstractNumId w:val="2"/>
  </w:num>
  <w:num w:numId="7" w16cid:durableId="823394811">
    <w:abstractNumId w:val="4"/>
  </w:num>
  <w:num w:numId="8" w16cid:durableId="606890633">
    <w:abstractNumId w:val="5"/>
  </w:num>
  <w:num w:numId="9" w16cid:durableId="672685972">
    <w:abstractNumId w:val="8"/>
  </w:num>
  <w:num w:numId="10" w16cid:durableId="942491214">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4E1"/>
    <w:rsid w:val="00D22A89"/>
    <w:rsid w:val="00D854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9E23E7"/>
  <w15:chartTrackingRefBased/>
  <w15:docId w15:val="{96008081-FCC0-AE49-AFD0-9E4AD5A4D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54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54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54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54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54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54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54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54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54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4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54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54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54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54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54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54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54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54E1"/>
    <w:rPr>
      <w:rFonts w:eastAsiaTheme="majorEastAsia" w:cstheme="majorBidi"/>
      <w:color w:val="272727" w:themeColor="text1" w:themeTint="D8"/>
    </w:rPr>
  </w:style>
  <w:style w:type="paragraph" w:styleId="Title">
    <w:name w:val="Title"/>
    <w:basedOn w:val="Normal"/>
    <w:next w:val="Normal"/>
    <w:link w:val="TitleChar"/>
    <w:uiPriority w:val="10"/>
    <w:qFormat/>
    <w:rsid w:val="00D854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4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4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4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54E1"/>
    <w:pPr>
      <w:spacing w:before="160"/>
      <w:jc w:val="center"/>
    </w:pPr>
    <w:rPr>
      <w:i/>
      <w:iCs/>
      <w:color w:val="404040" w:themeColor="text1" w:themeTint="BF"/>
    </w:rPr>
  </w:style>
  <w:style w:type="character" w:customStyle="1" w:styleId="QuoteChar">
    <w:name w:val="Quote Char"/>
    <w:basedOn w:val="DefaultParagraphFont"/>
    <w:link w:val="Quote"/>
    <w:uiPriority w:val="29"/>
    <w:rsid w:val="00D854E1"/>
    <w:rPr>
      <w:i/>
      <w:iCs/>
      <w:color w:val="404040" w:themeColor="text1" w:themeTint="BF"/>
    </w:rPr>
  </w:style>
  <w:style w:type="paragraph" w:styleId="ListParagraph">
    <w:name w:val="List Paragraph"/>
    <w:basedOn w:val="Normal"/>
    <w:uiPriority w:val="34"/>
    <w:qFormat/>
    <w:rsid w:val="00D854E1"/>
    <w:pPr>
      <w:ind w:left="720"/>
      <w:contextualSpacing/>
    </w:pPr>
  </w:style>
  <w:style w:type="character" w:styleId="IntenseEmphasis">
    <w:name w:val="Intense Emphasis"/>
    <w:basedOn w:val="DefaultParagraphFont"/>
    <w:uiPriority w:val="21"/>
    <w:qFormat/>
    <w:rsid w:val="00D854E1"/>
    <w:rPr>
      <w:i/>
      <w:iCs/>
      <w:color w:val="0F4761" w:themeColor="accent1" w:themeShade="BF"/>
    </w:rPr>
  </w:style>
  <w:style w:type="paragraph" w:styleId="IntenseQuote">
    <w:name w:val="Intense Quote"/>
    <w:basedOn w:val="Normal"/>
    <w:next w:val="Normal"/>
    <w:link w:val="IntenseQuoteChar"/>
    <w:uiPriority w:val="30"/>
    <w:qFormat/>
    <w:rsid w:val="00D854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54E1"/>
    <w:rPr>
      <w:i/>
      <w:iCs/>
      <w:color w:val="0F4761" w:themeColor="accent1" w:themeShade="BF"/>
    </w:rPr>
  </w:style>
  <w:style w:type="character" w:styleId="IntenseReference">
    <w:name w:val="Intense Reference"/>
    <w:basedOn w:val="DefaultParagraphFont"/>
    <w:uiPriority w:val="32"/>
    <w:qFormat/>
    <w:rsid w:val="00D854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2030</Words>
  <Characters>11577</Characters>
  <Application>Microsoft Office Word</Application>
  <DocSecurity>0</DocSecurity>
  <Lines>96</Lines>
  <Paragraphs>27</Paragraphs>
  <ScaleCrop>false</ScaleCrop>
  <Company/>
  <LinksUpToDate>false</LinksUpToDate>
  <CharactersWithSpaces>13580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Sarman</dc:creator>
  <cp:keywords/>
  <dc:description/>
  <cp:lastModifiedBy>Mark Sarman</cp:lastModifiedBy>
  <cp:revision>1</cp:revision>
  <dcterms:created xsi:type="dcterms:W3CDTF">2026-09-30T08:32:00Z</dcterms:created>
  <dcterms:modified xsi:type="dcterms:W3CDTF">2026-09-30T08:36:00Z</dcterms:modified>
</cp:coreProperties>
</file>