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EEAE6" w14:textId="77777777" w:rsidR="002132E3" w:rsidRPr="002132E3" w:rsidRDefault="002132E3" w:rsidP="002132E3">
      <w:r w:rsidRPr="002132E3">
        <w:t>Liu, Y., &amp; Maula, M. (2021). Contextual status effects: The performance effects of host-country network status and regulatory institutions in cross-border venture capital. </w:t>
      </w:r>
      <w:r w:rsidRPr="002132E3">
        <w:rPr>
          <w:i/>
          <w:iCs/>
        </w:rPr>
        <w:t>Research Policy</w:t>
      </w:r>
      <w:r w:rsidRPr="002132E3">
        <w:t>, 50(4), 104216.</w:t>
      </w:r>
    </w:p>
    <w:p w14:paraId="08364DB4" w14:textId="77777777" w:rsidR="002132E3" w:rsidRPr="002132E3" w:rsidRDefault="002132E3" w:rsidP="002132E3">
      <w:pPr>
        <w:rPr>
          <w:b/>
          <w:bCs/>
        </w:rPr>
      </w:pPr>
      <w:r w:rsidRPr="002132E3">
        <w:rPr>
          <w:b/>
          <w:bCs/>
        </w:rPr>
        <w:t>Study Report: Contextual Status Effects in Cross-Border Venture Capital</w:t>
      </w:r>
    </w:p>
    <w:p w14:paraId="264FA532" w14:textId="77777777" w:rsidR="002132E3" w:rsidRPr="002132E3" w:rsidRDefault="002132E3" w:rsidP="002132E3">
      <w:pPr>
        <w:rPr>
          <w:b/>
          <w:bCs/>
        </w:rPr>
      </w:pPr>
      <w:r w:rsidRPr="002132E3">
        <w:rPr>
          <w:b/>
          <w:bCs/>
        </w:rPr>
        <w:t>1. Introduction and Core Theoretical Foundations</w:t>
      </w:r>
    </w:p>
    <w:p w14:paraId="5881287C" w14:textId="77777777" w:rsidR="002132E3" w:rsidRPr="002132E3" w:rsidRDefault="002132E3" w:rsidP="002132E3">
      <w:r w:rsidRPr="002132E3">
        <w:t>Venture capital (VC) firms expanding across national borders operate within dynamic, heterogeneous entrepreneurial ecosystems separated by distinct legal and relational boundaries. Traditional economic and sociological models of organizational status, alongside classic internalization theories in international business (e.g., Rugman &amp; Verbeke's firm-specific advantage framework), have implicitly assumed that an actor's status and capabilities are non-location-bound and can transfer across borders without structural friction. However, cross-border investments fundamentally challenge this assumption: venture capital firms operate across discrete national jurisdictions and localized syndication networks where domestic reputation does not automatically yield foreign market standing. In international financial markets, a VC firm's status in its home market does not seamlessly travel abroad, creating a significant theoretical disconnect between global organizational prestige and localized investment outcomes.</w:t>
      </w:r>
    </w:p>
    <w:p w14:paraId="6DFAF529" w14:textId="77777777" w:rsidR="002132E3" w:rsidRPr="002132E3" w:rsidRDefault="002132E3" w:rsidP="002132E3">
      <w:pPr>
        <w:numPr>
          <w:ilvl w:val="0"/>
          <w:numId w:val="1"/>
        </w:numPr>
      </w:pPr>
      <w:r w:rsidRPr="002132E3">
        <w:rPr>
          <w:b/>
          <w:bCs/>
        </w:rPr>
        <w:t>Status Multiplicity:</w:t>
      </w:r>
      <w:r w:rsidRPr="002132E3">
        <w:t> Building on Kovács &amp; Liu (2016), status multiplicity is defined as "situations in which the status of actors differs across audience members" or geographic networks, directly opposing traditional sociological models that assume an actor maintains a single, globally uniform status across all market contexts.</w:t>
      </w:r>
    </w:p>
    <w:p w14:paraId="4F9C171C" w14:textId="2D77B3C0" w:rsidR="002132E3" w:rsidRPr="002132E3" w:rsidRDefault="002132E3" w:rsidP="002132E3">
      <w:pPr>
        <w:numPr>
          <w:ilvl w:val="0"/>
          <w:numId w:val="1"/>
        </w:numPr>
      </w:pPr>
      <w:r w:rsidRPr="002132E3">
        <w:rPr>
          <w:b/>
          <w:bCs/>
        </w:rPr>
        <w:t>Central Research Question:</w:t>
      </w:r>
      <w:r w:rsidRPr="002132E3">
        <w:t> The study investigates how a foreign VC firm's </w:t>
      </w:r>
      <w:r w:rsidRPr="002132E3">
        <w:rPr>
          <w:b/>
          <w:bCs/>
        </w:rPr>
        <w:t>host-country network status</w:t>
      </w:r>
      <w:r w:rsidR="00171D88">
        <w:rPr>
          <w:b/>
          <w:bCs/>
        </w:rPr>
        <w:t xml:space="preserve"> </w:t>
      </w:r>
      <w:r w:rsidRPr="002132E3">
        <w:t xml:space="preserve">influences its cross-border exit </w:t>
      </w:r>
      <w:proofErr w:type="gramStart"/>
      <w:r w:rsidRPr="002132E3">
        <w:t>performance, and</w:t>
      </w:r>
      <w:proofErr w:type="gramEnd"/>
      <w:r w:rsidRPr="002132E3">
        <w:t xml:space="preserve"> evaluates how this relationship is moderated by the quality of host-country </w:t>
      </w:r>
      <w:r w:rsidRPr="002132E3">
        <w:rPr>
          <w:b/>
          <w:bCs/>
        </w:rPr>
        <w:t>regulatory institutions</w:t>
      </w:r>
      <w:r w:rsidRPr="002132E3">
        <w:t>.</w:t>
      </w:r>
    </w:p>
    <w:p w14:paraId="322F78B2" w14:textId="77777777" w:rsidR="002132E3" w:rsidRPr="002132E3" w:rsidRDefault="002132E3" w:rsidP="002132E3">
      <w:pPr>
        <w:numPr>
          <w:ilvl w:val="0"/>
          <w:numId w:val="1"/>
        </w:numPr>
      </w:pPr>
      <w:r w:rsidRPr="002132E3">
        <w:rPr>
          <w:b/>
          <w:bCs/>
        </w:rPr>
        <w:t>Theoretical Mechanisms of Status:</w:t>
      </w:r>
      <w:r w:rsidRPr="002132E3">
        <w:t> Synthesizing literature at the intersection of economic sociology and financial economics, the paper identifies three core mechanisms through which status yields competitive advantages: </w:t>
      </w:r>
      <w:r w:rsidRPr="002132E3">
        <w:rPr>
          <w:b/>
          <w:bCs/>
        </w:rPr>
        <w:t>information advantage</w:t>
      </w:r>
      <w:r w:rsidRPr="002132E3">
        <w:t> (securing lower-cost access to deal sourcing and screening), </w:t>
      </w:r>
      <w:r w:rsidRPr="002132E3">
        <w:rPr>
          <w:b/>
          <w:bCs/>
        </w:rPr>
        <w:t>cooperation advantage</w:t>
      </w:r>
      <w:r w:rsidRPr="002132E3">
        <w:t>(increasing attractiveness as a syndicate partner to access high-quality deals), and </w:t>
      </w:r>
      <w:r w:rsidRPr="002132E3">
        <w:rPr>
          <w:b/>
          <w:bCs/>
        </w:rPr>
        <w:t>power advantage</w:t>
      </w:r>
      <w:r w:rsidRPr="002132E3">
        <w:t> (enhancing authority to enforce contracts and monitor portfolio companies).</w:t>
      </w:r>
    </w:p>
    <w:p w14:paraId="6236113D" w14:textId="77777777" w:rsidR="002132E3" w:rsidRPr="002132E3" w:rsidRDefault="002132E3" w:rsidP="002132E3">
      <w:pPr>
        <w:numPr>
          <w:ilvl w:val="0"/>
          <w:numId w:val="1"/>
        </w:numPr>
      </w:pPr>
      <w:r w:rsidRPr="002132E3">
        <w:rPr>
          <w:b/>
          <w:bCs/>
        </w:rPr>
        <w:t>Location-Bound Firm-Specific Advantage:</w:t>
      </w:r>
      <w:r w:rsidRPr="002132E3">
        <w:t> The analysis distinguishes between home-country network status and host-country network status, conceptualizing host-country status as a location-bound </w:t>
      </w:r>
      <w:r w:rsidRPr="002132E3">
        <w:rPr>
          <w:b/>
          <w:bCs/>
        </w:rPr>
        <w:t>firm-specific advantage (FSA)</w:t>
      </w:r>
      <w:r w:rsidRPr="002132E3">
        <w:t xml:space="preserve"> that is </w:t>
      </w:r>
      <w:r w:rsidRPr="002132E3">
        <w:lastRenderedPageBreak/>
        <w:t>constrained by, and built within, local syndication ties rather than transferred effortlessly from domestic markets.</w:t>
      </w:r>
    </w:p>
    <w:p w14:paraId="4F40436D" w14:textId="77777777" w:rsidR="002132E3" w:rsidRPr="002132E3" w:rsidRDefault="002132E3" w:rsidP="002132E3">
      <w:pPr>
        <w:numPr>
          <w:ilvl w:val="0"/>
          <w:numId w:val="1"/>
        </w:numPr>
      </w:pPr>
      <w:r w:rsidRPr="002132E3">
        <w:rPr>
          <w:b/>
          <w:bCs/>
        </w:rPr>
        <w:t>Empirical Scope and Core Finding:</w:t>
      </w:r>
      <w:r w:rsidRPr="002132E3">
        <w:t> Analyzing 8,748 cross-border investments across 39 home countries and 38 host countries from 1996 to 2016, the study reveals that host-country network status enhances investment performance primarily as a functional substitute for weak formal regulatory institutions.</w:t>
      </w:r>
    </w:p>
    <w:p w14:paraId="6F678682" w14:textId="77777777" w:rsidR="002132E3" w:rsidRPr="002132E3" w:rsidRDefault="002132E3" w:rsidP="002132E3">
      <w:r w:rsidRPr="002132E3">
        <w:t>This theoretical gap in the cross-border portability of network status directly necessitates a formal re-examination of how localized relational capital governs investment performance in international markets.</w:t>
      </w:r>
    </w:p>
    <w:p w14:paraId="71A0283A" w14:textId="77777777" w:rsidR="002132E3" w:rsidRPr="002132E3" w:rsidRDefault="002132E3" w:rsidP="002132E3">
      <w:r w:rsidRPr="002132E3">
        <w:rPr>
          <w:b/>
          <w:bCs/>
        </w:rPr>
        <w:t>Takeaway:</w:t>
      </w:r>
      <w:r w:rsidRPr="002132E3">
        <w:t> Organizational status is not a globally transferable monolith; rather, foreign VC firms experience status multiplicity, making local host-country network positions the primary driver of international deal performance.</w:t>
      </w:r>
    </w:p>
    <w:p w14:paraId="283434C7" w14:textId="77777777" w:rsidR="002132E3" w:rsidRPr="002132E3" w:rsidRDefault="002132E3" w:rsidP="002132E3">
      <w:pPr>
        <w:rPr>
          <w:b/>
          <w:bCs/>
        </w:rPr>
      </w:pPr>
      <w:r w:rsidRPr="002132E3">
        <w:rPr>
          <w:b/>
          <w:bCs/>
        </w:rPr>
        <w:t>2. Theoretical Background and Hypotheses Development</w:t>
      </w:r>
    </w:p>
    <w:p w14:paraId="75D98BEF" w14:textId="77777777" w:rsidR="002132E3" w:rsidRPr="002132E3" w:rsidRDefault="002132E3" w:rsidP="002132E3">
      <w:r w:rsidRPr="002132E3">
        <w:t>In international financial markets, network status functions as an informal governance structure that mitigates market frictions, behavioral uncertainty, and severe information asymmetries. When venture capital firms make cross-border investments, they confront heightened liabilities of foreignness and acute information gaps regarding private target ventures in unfamiliar jurisdictions. Interfirm syndication networks provide structural mechanisms to navigate these market frictions, but the ultimate efficacy of these informal relational ties is fundamentally conditioned by the surrounding formal legal environment.</w:t>
      </w:r>
    </w:p>
    <w:p w14:paraId="35DA4144" w14:textId="77777777" w:rsidR="002132E3" w:rsidRPr="002132E3" w:rsidRDefault="002132E3" w:rsidP="002132E3">
      <w:pPr>
        <w:numPr>
          <w:ilvl w:val="0"/>
          <w:numId w:val="2"/>
        </w:numPr>
      </w:pPr>
      <w:r w:rsidRPr="002132E3">
        <w:rPr>
          <w:b/>
          <w:bCs/>
        </w:rPr>
        <w:t>Host-Country Status Advantages (Hypothesis 1):</w:t>
      </w:r>
      <w:r w:rsidRPr="002132E3">
        <w:t> High status in the host country's syndication network mitigates cross-border information asymmetry and the liability of foreignness across all investment stages, driving superior deal access during sourcing, superior partner selection during screening, and superior governance during monitoring. State explicitly: </w:t>
      </w:r>
      <w:r w:rsidRPr="002132E3">
        <w:rPr>
          <w:i/>
          <w:iCs/>
        </w:rPr>
        <w:t>Hypothesis 1: The greater the network status of a foreign VC firm in the host country's interfirm network, the better its investment performance in the host country.</w:t>
      </w:r>
    </w:p>
    <w:p w14:paraId="1106A7B2" w14:textId="77777777" w:rsidR="002132E3" w:rsidRPr="002132E3" w:rsidRDefault="002132E3" w:rsidP="002132E3">
      <w:pPr>
        <w:numPr>
          <w:ilvl w:val="0"/>
          <w:numId w:val="2"/>
        </w:numPr>
      </w:pPr>
      <w:r w:rsidRPr="002132E3">
        <w:rPr>
          <w:b/>
          <w:bCs/>
        </w:rPr>
        <w:t>Institutional Moderation and Substitution (Hypothesis 2):</w:t>
      </w:r>
      <w:r w:rsidRPr="002132E3">
        <w:t> Strong host-country </w:t>
      </w:r>
      <w:r w:rsidRPr="002132E3">
        <w:rPr>
          <w:b/>
          <w:bCs/>
        </w:rPr>
        <w:t xml:space="preserve">regulatory </w:t>
      </w:r>
      <w:proofErr w:type="gramStart"/>
      <w:r w:rsidRPr="002132E3">
        <w:rPr>
          <w:b/>
          <w:bCs/>
        </w:rPr>
        <w:t>institutions</w:t>
      </w:r>
      <w:r w:rsidRPr="002132E3">
        <w:t>(</w:t>
      </w:r>
      <w:proofErr w:type="gramEnd"/>
      <w:r w:rsidRPr="002132E3">
        <w:t>measured via legal enforcement and rule of law) provide formal legal safeguards for contract enforcement and investor protection, reducing reliance on informal relational mechanisms; conversely, weak institutions heighten the reliance on local network power. State explicitly: </w:t>
      </w:r>
      <w:r w:rsidRPr="002132E3">
        <w:rPr>
          <w:i/>
          <w:iCs/>
        </w:rPr>
        <w:t>Hypothesis 2: The quality of host-country regulatory institutions negatively moderates the positive effect of a VC firm's network status in the host country on its investment performance in the host country.</w:t>
      </w:r>
    </w:p>
    <w:p w14:paraId="475C10E9" w14:textId="77777777" w:rsidR="002132E3" w:rsidRPr="002132E3" w:rsidRDefault="002132E3" w:rsidP="002132E3">
      <w:pPr>
        <w:numPr>
          <w:ilvl w:val="0"/>
          <w:numId w:val="2"/>
        </w:numPr>
      </w:pPr>
      <w:r w:rsidRPr="002132E3">
        <w:rPr>
          <w:b/>
          <w:bCs/>
        </w:rPr>
        <w:lastRenderedPageBreak/>
        <w:t>Power Advantage under Institutional Frictions:</w:t>
      </w:r>
      <w:r w:rsidRPr="002132E3">
        <w:t> In host countries characterized by weak formal legal enforcement where court proceedings are inefficient or uncertain, high local network status provides foreign VCs with essential power advantages, allowing them to exercise informal authority, enforce contractual covenants, monitor entrepreneurs, and resolve disputes out-of-court.</w:t>
      </w:r>
    </w:p>
    <w:p w14:paraId="32018BCB" w14:textId="77777777" w:rsidR="002132E3" w:rsidRPr="002132E3" w:rsidRDefault="002132E3" w:rsidP="002132E3">
      <w:pPr>
        <w:numPr>
          <w:ilvl w:val="0"/>
          <w:numId w:val="2"/>
        </w:numPr>
      </w:pPr>
      <w:r w:rsidRPr="002132E3">
        <w:rPr>
          <w:b/>
          <w:bCs/>
        </w:rPr>
        <w:t>Temporal Decay of Status Transfer:</w:t>
      </w:r>
      <w:r w:rsidRPr="002132E3">
        <w:t> While a foreign firm's home-country status or initial market-entry partnerships may assist in initial local status building, this transferability is temporally constrained to initial market entry, after which host-country status is overwhelmingly dictated by ongoing local syndication actions within the foreign network.</w:t>
      </w:r>
    </w:p>
    <w:p w14:paraId="005CB9BA" w14:textId="77777777" w:rsidR="002132E3" w:rsidRPr="002132E3" w:rsidRDefault="002132E3" w:rsidP="002132E3">
      <w:r w:rsidRPr="002132E3">
        <w:t>These theoretical relationships dictated an empirical research design capable of evaluating multi-level interaction effects across dynamic global syndication networks over two decades.</w:t>
      </w:r>
    </w:p>
    <w:p w14:paraId="004DB2EC" w14:textId="77777777" w:rsidR="002132E3" w:rsidRPr="002132E3" w:rsidRDefault="002132E3" w:rsidP="002132E3">
      <w:r w:rsidRPr="002132E3">
        <w:rPr>
          <w:b/>
          <w:bCs/>
        </w:rPr>
        <w:t>Takeaway:</w:t>
      </w:r>
      <w:r w:rsidRPr="002132E3">
        <w:t> Network status and regulatory institutions operate as functional substitutes, meaning the performance value of a foreign VC's local network position is magnified in institutionally weak host countries.</w:t>
      </w:r>
    </w:p>
    <w:p w14:paraId="3FD5AA81" w14:textId="77777777" w:rsidR="002132E3" w:rsidRPr="002132E3" w:rsidRDefault="002132E3" w:rsidP="002132E3">
      <w:pPr>
        <w:rPr>
          <w:b/>
          <w:bCs/>
        </w:rPr>
      </w:pPr>
      <w:r w:rsidRPr="002132E3">
        <w:rPr>
          <w:b/>
          <w:bCs/>
        </w:rPr>
        <w:t>3. Methodology, Operationalization, and Data Structure</w:t>
      </w:r>
    </w:p>
    <w:p w14:paraId="02FAE382" w14:textId="77777777" w:rsidR="002132E3" w:rsidRPr="002132E3" w:rsidRDefault="002132E3" w:rsidP="002132E3">
      <w:r w:rsidRPr="002132E3">
        <w:t>To empirically evaluate these contextual status dynamics, the study constructs a longitudinal, multi-level dataset capturing dynamic interfirm syndication networks alongside macro-level legal environments across two decades of cross-border private equity investments.</w:t>
      </w:r>
    </w:p>
    <w:p w14:paraId="6DF6991D" w14:textId="77777777" w:rsidR="002132E3" w:rsidRPr="002132E3" w:rsidRDefault="002132E3" w:rsidP="002132E3">
      <w:pPr>
        <w:numPr>
          <w:ilvl w:val="0"/>
          <w:numId w:val="3"/>
        </w:numPr>
      </w:pPr>
      <w:r w:rsidRPr="002132E3">
        <w:rPr>
          <w:b/>
          <w:bCs/>
        </w:rPr>
        <w:t>Dataset &amp; Sample Filters:</w:t>
      </w:r>
      <w:r w:rsidRPr="002132E3">
        <w:t> Data were extracted from Refinitiv </w:t>
      </w:r>
      <w:proofErr w:type="spellStart"/>
      <w:r w:rsidRPr="002132E3">
        <w:rPr>
          <w:b/>
          <w:bCs/>
        </w:rPr>
        <w:t>VentureXpert</w:t>
      </w:r>
      <w:proofErr w:type="spellEnd"/>
      <w:r w:rsidRPr="002132E3">
        <w:t> matched with Refinitiv's Global New Issues and M&amp;A databases. The finalized sample includes 8,748 cross-border investments (VC firm–venture dyads) spanning 1,281 VC firms, 6,275 portfolio ventures, 39 home countries, and 38 host countries from 1996 to 2016 (tracking ventures initially funded between 1996 and 2011). Filters restricted the sample to independent VCs, seed to later-stage investments, host countries with at least 10 investments, and each VC firm's initial investment in a focal venture to isolate deal access effects without follow-on confounding.</w:t>
      </w:r>
    </w:p>
    <w:p w14:paraId="285CD1CB" w14:textId="77777777" w:rsidR="002132E3" w:rsidRPr="002132E3" w:rsidRDefault="002132E3" w:rsidP="002132E3">
      <w:pPr>
        <w:numPr>
          <w:ilvl w:val="0"/>
          <w:numId w:val="3"/>
        </w:numPr>
      </w:pPr>
      <w:r w:rsidRPr="002132E3">
        <w:rPr>
          <w:b/>
          <w:bCs/>
        </w:rPr>
        <w:t>Dependent Variable:</w:t>
      </w:r>
      <w:r w:rsidRPr="002132E3">
        <w:t> </w:t>
      </w:r>
      <w:r w:rsidRPr="002132E3">
        <w:rPr>
          <w:b/>
          <w:bCs/>
        </w:rPr>
        <w:t>VC exit performance</w:t>
      </w:r>
      <w:r w:rsidRPr="002132E3">
        <w:t> was measured as a deal-level binary variable (1 = successful exit via </w:t>
      </w:r>
      <w:r w:rsidRPr="002132E3">
        <w:rPr>
          <w:b/>
          <w:bCs/>
        </w:rPr>
        <w:t>IPO</w:t>
      </w:r>
      <w:r w:rsidRPr="002132E3">
        <w:t> or M&amp;A acquisition; 0 = otherwise), reflecting the reality that venture capital financial gains are realized on a transaction-by-transaction basis under investment-specific institutional conditions.</w:t>
      </w:r>
    </w:p>
    <w:p w14:paraId="0BE92481" w14:textId="77777777" w:rsidR="002132E3" w:rsidRPr="002132E3" w:rsidRDefault="002132E3" w:rsidP="002132E3">
      <w:pPr>
        <w:numPr>
          <w:ilvl w:val="0"/>
          <w:numId w:val="3"/>
        </w:numPr>
      </w:pPr>
      <w:r w:rsidRPr="002132E3">
        <w:rPr>
          <w:b/>
          <w:bCs/>
        </w:rPr>
        <w:lastRenderedPageBreak/>
        <w:t>Primary Independent Variables:</w:t>
      </w:r>
      <w:r w:rsidRPr="002132E3">
        <w:t> </w:t>
      </w:r>
      <w:r w:rsidRPr="002132E3">
        <w:rPr>
          <w:b/>
          <w:bCs/>
        </w:rPr>
        <w:t>Status in the host country</w:t>
      </w:r>
      <w:r w:rsidRPr="002132E3">
        <w:t> was operationalized using </w:t>
      </w:r>
      <w:proofErr w:type="spellStart"/>
      <w:r w:rsidRPr="002132E3">
        <w:rPr>
          <w:b/>
          <w:bCs/>
        </w:rPr>
        <w:t>Bonacich</w:t>
      </w:r>
      <w:proofErr w:type="spellEnd"/>
      <w:r w:rsidRPr="002132E3">
        <w:rPr>
          <w:b/>
          <w:bCs/>
        </w:rPr>
        <w:t xml:space="preserve"> </w:t>
      </w:r>
      <w:proofErr w:type="gramStart"/>
      <w:r w:rsidRPr="002132E3">
        <w:rPr>
          <w:b/>
          <w:bCs/>
        </w:rPr>
        <w:t>centrality</w:t>
      </w:r>
      <w:r w:rsidRPr="002132E3">
        <w:t>(</w:t>
      </w:r>
      <w:proofErr w:type="gramEnd"/>
      <w:r w:rsidRPr="002132E3">
        <w:t>normalized from 0 to 1) calculated over 5-year rolling windows (t-5 to t-1) across 608 constructed host-country syndication networks. </w:t>
      </w:r>
      <w:r w:rsidRPr="002132E3">
        <w:rPr>
          <w:b/>
          <w:bCs/>
        </w:rPr>
        <w:t>Quality of host-country regulatory institutions</w:t>
      </w:r>
      <w:r w:rsidRPr="002132E3">
        <w:t> was operationalized via the annual, time-variant </w:t>
      </w:r>
      <w:r w:rsidRPr="002132E3">
        <w:rPr>
          <w:b/>
          <w:bCs/>
        </w:rPr>
        <w:t>Law and Order index</w:t>
      </w:r>
      <w:r w:rsidRPr="002132E3">
        <w:t> from the International Country Risk Guide (ICRG, scale 0 to 6; sample range 1.5 to 6.0).</w:t>
      </w:r>
    </w:p>
    <w:p w14:paraId="0A2A0E7B" w14:textId="77777777" w:rsidR="002132E3" w:rsidRPr="002132E3" w:rsidRDefault="002132E3" w:rsidP="002132E3">
      <w:pPr>
        <w:numPr>
          <w:ilvl w:val="0"/>
          <w:numId w:val="3"/>
        </w:numPr>
      </w:pPr>
      <w:r w:rsidRPr="002132E3">
        <w:rPr>
          <w:b/>
          <w:bCs/>
        </w:rPr>
        <w:t>Core Controls &amp; Endogeneity Instrument Rationale:</w:t>
      </w:r>
      <w:r w:rsidRPr="002132E3">
        <w:t> Models controlled for </w:t>
      </w:r>
      <w:r w:rsidRPr="002132E3">
        <w:rPr>
          <w:b/>
          <w:bCs/>
        </w:rPr>
        <w:t>status in the home country</w:t>
      </w:r>
      <w:r w:rsidRPr="002132E3">
        <w:t xml:space="preserve"> (5-year rolling </w:t>
      </w:r>
      <w:proofErr w:type="spellStart"/>
      <w:r w:rsidRPr="002132E3">
        <w:t>Bonacich</w:t>
      </w:r>
      <w:proofErr w:type="spellEnd"/>
      <w:r w:rsidRPr="002132E3">
        <w:t xml:space="preserve"> centrality across 624 home networks), VC experience, VC size, </w:t>
      </w:r>
      <w:r w:rsidRPr="002132E3">
        <w:rPr>
          <w:b/>
          <w:bCs/>
        </w:rPr>
        <w:t>syndicate size</w:t>
      </w:r>
      <w:r w:rsidRPr="002132E3">
        <w:t>, </w:t>
      </w:r>
      <w:r w:rsidRPr="002132E3">
        <w:rPr>
          <w:b/>
          <w:bCs/>
        </w:rPr>
        <w:t>investment round size</w:t>
      </w:r>
      <w:r w:rsidRPr="002132E3">
        <w:t>, </w:t>
      </w:r>
      <w:r w:rsidRPr="002132E3">
        <w:rPr>
          <w:b/>
          <w:bCs/>
        </w:rPr>
        <w:t>venture stage</w:t>
      </w:r>
      <w:r w:rsidRPr="002132E3">
        <w:t>, </w:t>
      </w:r>
      <w:r w:rsidRPr="002132E3">
        <w:rPr>
          <w:b/>
          <w:bCs/>
        </w:rPr>
        <w:t>local VC firm participation</w:t>
      </w:r>
      <w:r w:rsidRPr="002132E3">
        <w:t>, </w:t>
      </w:r>
      <w:r w:rsidRPr="002132E3">
        <w:rPr>
          <w:b/>
          <w:bCs/>
        </w:rPr>
        <w:t>geographic distance</w:t>
      </w:r>
      <w:r w:rsidRPr="002132E3">
        <w:t>, </w:t>
      </w:r>
      <w:r w:rsidRPr="002132E3">
        <w:rPr>
          <w:b/>
          <w:bCs/>
        </w:rPr>
        <w:t>cultural distance</w:t>
      </w:r>
      <w:r w:rsidRPr="002132E3">
        <w:t>, </w:t>
      </w:r>
      <w:r w:rsidRPr="002132E3">
        <w:rPr>
          <w:b/>
          <w:bCs/>
        </w:rPr>
        <w:t>common official language</w:t>
      </w:r>
      <w:r w:rsidRPr="002132E3">
        <w:t>, </w:t>
      </w:r>
      <w:r w:rsidRPr="002132E3">
        <w:rPr>
          <w:b/>
          <w:bCs/>
        </w:rPr>
        <w:t>GDP growth</w:t>
      </w:r>
      <w:r w:rsidRPr="002132E3">
        <w:t>, and </w:t>
      </w:r>
      <w:r w:rsidRPr="002132E3">
        <w:rPr>
          <w:b/>
          <w:bCs/>
        </w:rPr>
        <w:t>stock market development</w:t>
      </w:r>
      <w:r w:rsidRPr="002132E3">
        <w:t>. Endogeneity was tested via two-stage extended probit (</w:t>
      </w:r>
      <w:proofErr w:type="spellStart"/>
      <w:r w:rsidRPr="002132E3">
        <w:rPr>
          <w:b/>
          <w:bCs/>
        </w:rPr>
        <w:t>eprobit</w:t>
      </w:r>
      <w:proofErr w:type="spellEnd"/>
      <w:r w:rsidRPr="002132E3">
        <w:t>) using </w:t>
      </w:r>
      <w:r w:rsidRPr="002132E3">
        <w:rPr>
          <w:b/>
          <w:bCs/>
        </w:rPr>
        <w:t>city-level mean status of VCs</w:t>
      </w:r>
      <w:r w:rsidRPr="002132E3">
        <w:t> as an instrumental variable; this instrument satisfies the exclusion restriction because local partner availability and city status spillovers drive local status acquisition without directly influencing deal-level exit performance (F\text{-statistic} = 916.51).</w:t>
      </w:r>
    </w:p>
    <w:p w14:paraId="0A7A3F35" w14:textId="77777777" w:rsidR="002132E3" w:rsidRPr="002132E3" w:rsidRDefault="002132E3" w:rsidP="002132E3">
      <w:pPr>
        <w:numPr>
          <w:ilvl w:val="0"/>
          <w:numId w:val="3"/>
        </w:numPr>
      </w:pPr>
      <w:r w:rsidRPr="002132E3">
        <w:rPr>
          <w:b/>
          <w:bCs/>
        </w:rPr>
        <w:t>Analytical Model:</w:t>
      </w:r>
      <w:r w:rsidRPr="002132E3">
        <w:t> Primary estimation was executed via a </w:t>
      </w:r>
      <w:r w:rsidRPr="002132E3">
        <w:rPr>
          <w:b/>
          <w:bCs/>
        </w:rPr>
        <w:t>probit regression</w:t>
      </w:r>
      <w:r w:rsidRPr="002132E3">
        <w:t> model with robust standard errors clustered at the portfolio venture level. Diagnostic exogeneity tests (Wald test p=0.55, error correlation \rho=-0.02) confirmed host status exogeneity, validating standard probit over extended instrumental variable specifications for the main analyses.</w:t>
      </w:r>
    </w:p>
    <w:p w14:paraId="0ED7826A" w14:textId="77777777" w:rsidR="002132E3" w:rsidRPr="002132E3" w:rsidRDefault="002132E3" w:rsidP="002132E3">
      <w:r w:rsidRPr="002132E3">
        <w:t>+-----------------------------------------------------------------------------------+</w:t>
      </w:r>
    </w:p>
    <w:p w14:paraId="7CB2CBC9" w14:textId="77777777" w:rsidR="002132E3" w:rsidRPr="002132E3" w:rsidRDefault="002132E3" w:rsidP="002132E3">
      <w:r w:rsidRPr="002132E3">
        <w:t>|                            EMPIRICAL DATA ARCHITECTURE                            |</w:t>
      </w:r>
    </w:p>
    <w:p w14:paraId="7240CF75" w14:textId="77777777" w:rsidR="002132E3" w:rsidRPr="002132E3" w:rsidRDefault="002132E3" w:rsidP="002132E3">
      <w:r w:rsidRPr="002132E3">
        <w:t>+-----------------------------------------------------------------------------------+</w:t>
      </w:r>
    </w:p>
    <w:p w14:paraId="3B63BBDB" w14:textId="77777777" w:rsidR="002132E3" w:rsidRPr="002132E3" w:rsidRDefault="002132E3" w:rsidP="002132E3">
      <w:proofErr w:type="gramStart"/>
      <w:r w:rsidRPr="002132E3">
        <w:t>|  Sample</w:t>
      </w:r>
      <w:proofErr w:type="gramEnd"/>
      <w:r w:rsidRPr="002132E3">
        <w:t xml:space="preserve"> Scope: 8,748 Cross-Border Deals | 1,281 VCs | 6,275 Portfolio Ventures      |</w:t>
      </w:r>
    </w:p>
    <w:p w14:paraId="7C2AA03D" w14:textId="77777777" w:rsidR="002132E3" w:rsidRPr="002132E3" w:rsidRDefault="002132E3" w:rsidP="002132E3">
      <w:r w:rsidRPr="002132E3">
        <w:t>|                39 Home Countries | 38 Host Countries | Timeframe: 1996-2016       |</w:t>
      </w:r>
    </w:p>
    <w:p w14:paraId="0A5242A5" w14:textId="77777777" w:rsidR="002132E3" w:rsidRPr="002132E3" w:rsidRDefault="002132E3" w:rsidP="002132E3">
      <w:r w:rsidRPr="002132E3">
        <w:t>+-----------------------------------------------------------------------------------+</w:t>
      </w:r>
    </w:p>
    <w:p w14:paraId="10D3586F" w14:textId="77777777" w:rsidR="002132E3" w:rsidRPr="002132E3" w:rsidRDefault="002132E3" w:rsidP="002132E3">
      <w:r w:rsidRPr="002132E3">
        <w:t xml:space="preserve">                                         |</w:t>
      </w:r>
    </w:p>
    <w:p w14:paraId="16F45F69" w14:textId="77777777" w:rsidR="002132E3" w:rsidRPr="002132E3" w:rsidRDefault="002132E3" w:rsidP="002132E3">
      <w:r w:rsidRPr="002132E3">
        <w:t xml:space="preserve">            +----------------------------+----------------------------+</w:t>
      </w:r>
    </w:p>
    <w:p w14:paraId="37FD04C1" w14:textId="77777777" w:rsidR="002132E3" w:rsidRPr="002132E3" w:rsidRDefault="002132E3" w:rsidP="002132E3">
      <w:r w:rsidRPr="002132E3">
        <w:t xml:space="preserve">            |                            |                            |</w:t>
      </w:r>
    </w:p>
    <w:p w14:paraId="00AC3024" w14:textId="77777777" w:rsidR="002132E3" w:rsidRPr="002132E3" w:rsidRDefault="002132E3" w:rsidP="002132E3">
      <w:r w:rsidRPr="002132E3">
        <w:t xml:space="preserve">            v                            </w:t>
      </w:r>
      <w:proofErr w:type="spellStart"/>
      <w:r w:rsidRPr="002132E3">
        <w:t>v</w:t>
      </w:r>
      <w:proofErr w:type="spellEnd"/>
      <w:r w:rsidRPr="002132E3">
        <w:t xml:space="preserve">                            </w:t>
      </w:r>
      <w:proofErr w:type="spellStart"/>
      <w:r w:rsidRPr="002132E3">
        <w:t>v</w:t>
      </w:r>
      <w:proofErr w:type="spellEnd"/>
    </w:p>
    <w:p w14:paraId="68BF8841" w14:textId="77777777" w:rsidR="002132E3" w:rsidRPr="002132E3" w:rsidRDefault="002132E3" w:rsidP="002132E3">
      <w:r w:rsidRPr="002132E3">
        <w:t>+-----------------------+    +-----------------------+    +-------------------------+</w:t>
      </w:r>
    </w:p>
    <w:p w14:paraId="16DB01C7" w14:textId="77777777" w:rsidR="002132E3" w:rsidRPr="002132E3" w:rsidRDefault="002132E3" w:rsidP="002132E3">
      <w:r w:rsidRPr="002132E3">
        <w:lastRenderedPageBreak/>
        <w:t xml:space="preserve">| LOCAL NETWORK </w:t>
      </w:r>
      <w:proofErr w:type="gramStart"/>
      <w:r w:rsidRPr="002132E3">
        <w:t>STATUS  |</w:t>
      </w:r>
      <w:proofErr w:type="gramEnd"/>
      <w:r w:rsidRPr="002132E3">
        <w:t xml:space="preserve">    | HOME STATUS CONTROL   |    | REGULATORY INSTITUTIONS |</w:t>
      </w:r>
    </w:p>
    <w:p w14:paraId="6ADFFE44" w14:textId="77777777" w:rsidR="002132E3" w:rsidRPr="002132E3" w:rsidRDefault="002132E3" w:rsidP="002132E3">
      <w:r w:rsidRPr="002132E3">
        <w:t xml:space="preserve">|     </w:t>
      </w:r>
      <w:proofErr w:type="gramStart"/>
      <w:r w:rsidRPr="002132E3">
        <w:t xml:space="preserve">   (</w:t>
      </w:r>
      <w:proofErr w:type="gramEnd"/>
      <w:r w:rsidRPr="002132E3">
        <w:t xml:space="preserve">IV 1)         |    </w:t>
      </w:r>
      <w:proofErr w:type="gramStart"/>
      <w:r w:rsidRPr="002132E3">
        <w:t>|  (</w:t>
      </w:r>
      <w:proofErr w:type="gramEnd"/>
      <w:r w:rsidRPr="002132E3">
        <w:t xml:space="preserve">Baseline </w:t>
      </w:r>
      <w:proofErr w:type="gramStart"/>
      <w:r w:rsidRPr="002132E3">
        <w:t>Baseline)  |</w:t>
      </w:r>
      <w:proofErr w:type="gramEnd"/>
      <w:r w:rsidRPr="002132E3">
        <w:t xml:space="preserve">    |      </w:t>
      </w:r>
      <w:proofErr w:type="gramStart"/>
      <w:r w:rsidRPr="002132E3">
        <w:t xml:space="preserve">   (</w:t>
      </w:r>
      <w:proofErr w:type="gramEnd"/>
      <w:r w:rsidRPr="002132E3">
        <w:t>IV 2)          |</w:t>
      </w:r>
    </w:p>
    <w:p w14:paraId="2E2A61C7" w14:textId="77777777" w:rsidR="002132E3" w:rsidRPr="002132E3" w:rsidRDefault="002132E3" w:rsidP="002132E3">
      <w:r w:rsidRPr="002132E3">
        <w:t>+-----------------------+    +-----------------------+    +-------------------------+</w:t>
      </w:r>
    </w:p>
    <w:p w14:paraId="2AF5D880" w14:textId="77777777" w:rsidR="002132E3" w:rsidRPr="002132E3" w:rsidRDefault="002132E3" w:rsidP="002132E3">
      <w:r w:rsidRPr="002132E3">
        <w:t xml:space="preserve">| • </w:t>
      </w:r>
      <w:proofErr w:type="spellStart"/>
      <w:r w:rsidRPr="002132E3">
        <w:t>Bonacich</w:t>
      </w:r>
      <w:proofErr w:type="spellEnd"/>
      <w:r w:rsidRPr="002132E3">
        <w:t xml:space="preserve"> Centrality |    | • </w:t>
      </w:r>
      <w:proofErr w:type="spellStart"/>
      <w:r w:rsidRPr="002132E3">
        <w:t>Bonacich</w:t>
      </w:r>
      <w:proofErr w:type="spellEnd"/>
      <w:r w:rsidRPr="002132E3">
        <w:t xml:space="preserve"> Centrality |    | • ICRG Law &amp; Order      |</w:t>
      </w:r>
    </w:p>
    <w:p w14:paraId="347F6BBC" w14:textId="77777777" w:rsidR="002132E3" w:rsidRPr="002132E3" w:rsidRDefault="002132E3" w:rsidP="002132E3">
      <w:r w:rsidRPr="002132E3">
        <w:t>|</w:t>
      </w:r>
      <w:proofErr w:type="gramStart"/>
      <w:r w:rsidRPr="002132E3">
        <w:t xml:space="preserve">   (</w:t>
      </w:r>
      <w:proofErr w:type="gramEnd"/>
      <w:r w:rsidRPr="002132E3">
        <w:t>0.0 to 1.0)        |    |   across 624 Home     |    |   Index (1.5 to 6.0)    |</w:t>
      </w:r>
    </w:p>
    <w:p w14:paraId="1754DED8" w14:textId="77777777" w:rsidR="002132E3" w:rsidRPr="002132E3" w:rsidRDefault="002132E3" w:rsidP="002132E3">
      <w:r w:rsidRPr="002132E3">
        <w:t>| • 5-Year Rolling      |    |   Networks            |    | • Annual Time-Variant   |</w:t>
      </w:r>
    </w:p>
    <w:p w14:paraId="2DF5CC40" w14:textId="77777777" w:rsidR="002132E3" w:rsidRPr="002132E3" w:rsidRDefault="002132E3" w:rsidP="002132E3">
      <w:r w:rsidRPr="002132E3">
        <w:t>|   Windows (t-</w:t>
      </w:r>
      <w:proofErr w:type="gramStart"/>
      <w:r w:rsidRPr="002132E3">
        <w:t>5..</w:t>
      </w:r>
      <w:proofErr w:type="gramEnd"/>
      <w:r w:rsidRPr="002132E3">
        <w:t>t-1</w:t>
      </w:r>
      <w:proofErr w:type="gramStart"/>
      <w:r w:rsidRPr="002132E3">
        <w:t>)  |</w:t>
      </w:r>
      <w:proofErr w:type="gramEnd"/>
      <w:r w:rsidRPr="002132E3">
        <w:t xml:space="preserve">    | • Isolates Domestic   |    |   Measurement           |</w:t>
      </w:r>
    </w:p>
    <w:p w14:paraId="49A98D8A" w14:textId="77777777" w:rsidR="002132E3" w:rsidRPr="002132E3" w:rsidRDefault="002132E3" w:rsidP="002132E3">
      <w:r w:rsidRPr="002132E3">
        <w:t xml:space="preserve">| • 608 Host Networks   |    |   Prestige            |    | • Formal Legal </w:t>
      </w:r>
      <w:proofErr w:type="gramStart"/>
      <w:r w:rsidRPr="002132E3">
        <w:t>Quality  |</w:t>
      </w:r>
      <w:proofErr w:type="gramEnd"/>
    </w:p>
    <w:p w14:paraId="08A7BC41" w14:textId="77777777" w:rsidR="002132E3" w:rsidRPr="002132E3" w:rsidRDefault="002132E3" w:rsidP="002132E3">
      <w:r w:rsidRPr="002132E3">
        <w:t>+-----------------------+    +-----------------------+    +-------------------------+</w:t>
      </w:r>
    </w:p>
    <w:p w14:paraId="25EDCA47" w14:textId="77777777" w:rsidR="002132E3" w:rsidRPr="002132E3" w:rsidRDefault="002132E3" w:rsidP="002132E3">
      <w:r w:rsidRPr="002132E3">
        <w:t xml:space="preserve">            |                            |                            |</w:t>
      </w:r>
    </w:p>
    <w:p w14:paraId="2E75D644" w14:textId="77777777" w:rsidR="002132E3" w:rsidRPr="002132E3" w:rsidRDefault="002132E3" w:rsidP="002132E3">
      <w:r w:rsidRPr="002132E3">
        <w:t xml:space="preserve">            +----------------------------+----------------------------+</w:t>
      </w:r>
    </w:p>
    <w:p w14:paraId="79A9CBB0" w14:textId="77777777" w:rsidR="002132E3" w:rsidRPr="002132E3" w:rsidRDefault="002132E3" w:rsidP="002132E3">
      <w:r w:rsidRPr="002132E3">
        <w:t xml:space="preserve">                                         |</w:t>
      </w:r>
    </w:p>
    <w:p w14:paraId="01F808BE" w14:textId="77777777" w:rsidR="002132E3" w:rsidRPr="002132E3" w:rsidRDefault="002132E3" w:rsidP="002132E3">
      <w:r w:rsidRPr="002132E3">
        <w:t xml:space="preserve">                                         v</w:t>
      </w:r>
    </w:p>
    <w:p w14:paraId="2374006C" w14:textId="77777777" w:rsidR="002132E3" w:rsidRPr="002132E3" w:rsidRDefault="002132E3" w:rsidP="002132E3">
      <w:r w:rsidRPr="002132E3">
        <w:t>+-----------------------------------------------------------------------------------+</w:t>
      </w:r>
    </w:p>
    <w:p w14:paraId="3440E6D6" w14:textId="77777777" w:rsidR="002132E3" w:rsidRPr="002132E3" w:rsidRDefault="002132E3" w:rsidP="002132E3">
      <w:r w:rsidRPr="002132E3">
        <w:t>|                       PRIMARY MODEL: PROBIT REGRESSION                            |</w:t>
      </w:r>
    </w:p>
    <w:p w14:paraId="38E461AE" w14:textId="77777777" w:rsidR="002132E3" w:rsidRPr="002132E3" w:rsidRDefault="002132E3" w:rsidP="002132E3">
      <w:r w:rsidRPr="002132E3">
        <w:t xml:space="preserve">| Dependent Variable: VC Exit Performance (1 = IPO / M&amp;A Acquisition; 0 = </w:t>
      </w:r>
      <w:proofErr w:type="gramStart"/>
      <w:r w:rsidRPr="002132E3">
        <w:t>Otherwise)|</w:t>
      </w:r>
      <w:proofErr w:type="gramEnd"/>
    </w:p>
    <w:p w14:paraId="2C84240F" w14:textId="77777777" w:rsidR="002132E3" w:rsidRPr="002132E3" w:rsidRDefault="002132E3" w:rsidP="002132E3">
      <w:r w:rsidRPr="002132E3">
        <w:t xml:space="preserve">| Standard Errors: Clustered at Venture Level | Endogeneity Checked via 2SLS </w:t>
      </w:r>
      <w:proofErr w:type="spellStart"/>
      <w:r w:rsidRPr="002132E3">
        <w:t>Eprobit</w:t>
      </w:r>
      <w:proofErr w:type="spellEnd"/>
      <w:r w:rsidRPr="002132E3">
        <w:t>|</w:t>
      </w:r>
    </w:p>
    <w:p w14:paraId="646810BD" w14:textId="77777777" w:rsidR="002132E3" w:rsidRPr="002132E3" w:rsidRDefault="002132E3" w:rsidP="002132E3">
      <w:r w:rsidRPr="002132E3">
        <w:t>+-----------------------------------------------------------------------------------+</w:t>
      </w:r>
    </w:p>
    <w:p w14:paraId="075712D5" w14:textId="77777777" w:rsidR="002132E3" w:rsidRPr="002132E3" w:rsidRDefault="002132E3" w:rsidP="002132E3">
      <w:r w:rsidRPr="002132E3">
        <w:t>This multi-level quantitative architecture provided the methodological rigor required to test the conditional regression outcomes.</w:t>
      </w:r>
    </w:p>
    <w:p w14:paraId="327A25A2" w14:textId="77777777" w:rsidR="002132E3" w:rsidRPr="002132E3" w:rsidRDefault="002132E3" w:rsidP="002132E3">
      <w:r w:rsidRPr="002132E3">
        <w:rPr>
          <w:b/>
          <w:bCs/>
        </w:rPr>
        <w:t>Takeaway:</w:t>
      </w:r>
      <w:r w:rsidRPr="002132E3">
        <w:t> Combining dynamic 5-year rolling centrality metrics across 1,232 total networks with time-varying legal indices provides a highly robust empirical design that isolates local network effects from home-country spillover.</w:t>
      </w:r>
    </w:p>
    <w:p w14:paraId="130290CB" w14:textId="77777777" w:rsidR="002132E3" w:rsidRPr="002132E3" w:rsidRDefault="002132E3" w:rsidP="002132E3">
      <w:pPr>
        <w:rPr>
          <w:b/>
          <w:bCs/>
        </w:rPr>
      </w:pPr>
      <w:r w:rsidRPr="002132E3">
        <w:rPr>
          <w:b/>
          <w:bCs/>
        </w:rPr>
        <w:t>4. Empirical Findings and Sensitivity Analyses</w:t>
      </w:r>
    </w:p>
    <w:p w14:paraId="64798686" w14:textId="77777777" w:rsidR="002132E3" w:rsidRPr="002132E3" w:rsidRDefault="002132E3" w:rsidP="002132E3">
      <w:r w:rsidRPr="002132E3">
        <w:t>The statistical estimation demonstrates that host-country network status does not exert a uniform linear benefit on investment outcomes; instead, its performance value is strictly contingent upon the surrounding institutional climate.</w:t>
      </w:r>
    </w:p>
    <w:p w14:paraId="252AA729" w14:textId="77777777" w:rsidR="002132E3" w:rsidRPr="002132E3" w:rsidRDefault="002132E3" w:rsidP="002132E3">
      <w:pPr>
        <w:numPr>
          <w:ilvl w:val="0"/>
          <w:numId w:val="4"/>
        </w:numPr>
      </w:pPr>
      <w:r w:rsidRPr="002132E3">
        <w:rPr>
          <w:b/>
          <w:bCs/>
        </w:rPr>
        <w:lastRenderedPageBreak/>
        <w:t>Hypothesis Testing Results:</w:t>
      </w:r>
      <w:r w:rsidRPr="002132E3">
        <w:t> In baseline models without interaction terms (Model 2), direct host-country status is non-significant (\beta = -0.02, p = 0.81). In the full interaction model (Model 3), the direct effect of host-country status becomes positive and significant (\beta = 0.99, p = 0.03), while the interaction term (\</w:t>
      </w:r>
      <w:proofErr w:type="gramStart"/>
      <w:r w:rsidRPr="002132E3">
        <w:t>text{</w:t>
      </w:r>
      <w:proofErr w:type="gramEnd"/>
      <w:r w:rsidRPr="002132E3">
        <w:t>Status} \times \</w:t>
      </w:r>
      <w:proofErr w:type="gramStart"/>
      <w:r w:rsidRPr="002132E3">
        <w:t>text{</w:t>
      </w:r>
      <w:proofErr w:type="gramEnd"/>
      <w:r w:rsidRPr="002132E3">
        <w:t>Regulatory Institutions}) is negative and statistically significant (\beta = -0.21, p = 0.02), offering conditional support for H1 and complete support for H2.</w:t>
      </w:r>
    </w:p>
    <w:p w14:paraId="705B999F" w14:textId="77777777" w:rsidR="002132E3" w:rsidRPr="002132E3" w:rsidRDefault="002132E3" w:rsidP="002132E3">
      <w:pPr>
        <w:numPr>
          <w:ilvl w:val="0"/>
          <w:numId w:val="4"/>
        </w:numPr>
      </w:pPr>
      <w:r w:rsidRPr="002132E3">
        <w:rPr>
          <w:b/>
          <w:bCs/>
        </w:rPr>
        <w:t>Marginal Effects &amp; Predictive Probabilities:</w:t>
      </w:r>
      <w:r w:rsidRPr="002132E3">
        <w:t> Average marginal effect calculations show that local status offers positive performance returns only when host-country regulatory institutional quality is below 5.0. Predicted successful exit probabilities range from approximately 30% (low status in weak institutional environments) to 60% (high status in weak institutional environments).</w:t>
      </w:r>
    </w:p>
    <w:p w14:paraId="05215EC7" w14:textId="77777777" w:rsidR="002132E3" w:rsidRPr="002132E3" w:rsidRDefault="002132E3" w:rsidP="002132E3">
      <w:pPr>
        <w:numPr>
          <w:ilvl w:val="0"/>
          <w:numId w:val="4"/>
        </w:numPr>
      </w:pPr>
      <w:r w:rsidRPr="002132E3">
        <w:rPr>
          <w:b/>
          <w:bCs/>
        </w:rPr>
        <w:t>Non-Transferability of Home Status:</w:t>
      </w:r>
      <w:r w:rsidRPr="002132E3">
        <w:t> Across all specifications, </w:t>
      </w:r>
      <w:r w:rsidRPr="002132E3">
        <w:rPr>
          <w:b/>
          <w:bCs/>
        </w:rPr>
        <w:t>status in the home country</w:t>
      </w:r>
      <w:r w:rsidRPr="002132E3">
        <w:t> exhibited no statistically significant relationship with cross-border exit performance (\beta = 0.02, p = 0.70), confirming that domestic network status is a non-transferable capability in foreign markets.</w:t>
      </w:r>
    </w:p>
    <w:p w14:paraId="6C3DAF10" w14:textId="77777777" w:rsidR="002132E3" w:rsidRPr="002132E3" w:rsidRDefault="002132E3" w:rsidP="002132E3">
      <w:pPr>
        <w:numPr>
          <w:ilvl w:val="0"/>
          <w:numId w:val="4"/>
        </w:numPr>
      </w:pPr>
      <w:r w:rsidRPr="002132E3">
        <w:rPr>
          <w:b/>
          <w:bCs/>
        </w:rPr>
        <w:t>Robustness Checks &amp; Methodological Stability:</w:t>
      </w:r>
      <w:r w:rsidRPr="002132E3">
        <w:t> Results remained highly stable across alternative models, including </w:t>
      </w:r>
      <w:r w:rsidRPr="002132E3">
        <w:rPr>
          <w:b/>
          <w:bCs/>
        </w:rPr>
        <w:t>Linear Probability Models (LPM)</w:t>
      </w:r>
      <w:r w:rsidRPr="002132E3">
        <w:t> (\beta = -0.08, p = 0.03), </w:t>
      </w:r>
      <w:r w:rsidRPr="002132E3">
        <w:rPr>
          <w:b/>
          <w:bCs/>
        </w:rPr>
        <w:t>logit regression</w:t>
      </w:r>
      <w:r w:rsidRPr="002132E3">
        <w:t> (\beta = -0.34, p = 0.03), an alternative static </w:t>
      </w:r>
      <w:r w:rsidRPr="002132E3">
        <w:rPr>
          <w:b/>
          <w:bCs/>
        </w:rPr>
        <w:t>legality index</w:t>
      </w:r>
      <w:r w:rsidRPr="002132E3">
        <w:t> (\beta = -0.05, p = 0.05), </w:t>
      </w:r>
      <w:r w:rsidRPr="002132E3">
        <w:rPr>
          <w:b/>
          <w:bCs/>
        </w:rPr>
        <w:t>Cox proportional hazards survival models</w:t>
      </w:r>
      <w:r w:rsidRPr="002132E3">
        <w:t> (\beta = -0.22, p = 0.05), parametric exponential survival models, competing risks models, multi-level probit (</w:t>
      </w:r>
      <w:proofErr w:type="spellStart"/>
      <w:r w:rsidRPr="002132E3">
        <w:rPr>
          <w:b/>
          <w:bCs/>
        </w:rPr>
        <w:t>meprobit</w:t>
      </w:r>
      <w:proofErr w:type="spellEnd"/>
      <w:r w:rsidRPr="002132E3">
        <w:t>) (\beta = -0.20, p = 0.03), and 2SLS extended probit (</w:t>
      </w:r>
      <w:proofErr w:type="spellStart"/>
      <w:r w:rsidRPr="002132E3">
        <w:rPr>
          <w:b/>
          <w:bCs/>
        </w:rPr>
        <w:t>eprobit</w:t>
      </w:r>
      <w:proofErr w:type="spellEnd"/>
      <w:r w:rsidRPr="002132E3">
        <w:t>) (\beta = -0.21, p = 0.02) utilizing city-level mean VC status as an instrument.</w:t>
      </w:r>
    </w:p>
    <w:p w14:paraId="1571F08D" w14:textId="77777777" w:rsidR="002132E3" w:rsidRPr="002132E3" w:rsidRDefault="002132E3" w:rsidP="002132E3">
      <w:pPr>
        <w:numPr>
          <w:ilvl w:val="0"/>
          <w:numId w:val="4"/>
        </w:numPr>
      </w:pPr>
      <w:r w:rsidRPr="002132E3">
        <w:rPr>
          <w:b/>
          <w:bCs/>
        </w:rPr>
        <w:t>Subsample Anomaly &amp; Theoretical Mechanism:</w:t>
      </w:r>
      <w:r w:rsidRPr="002132E3">
        <w:t xml:space="preserve"> In </w:t>
      </w:r>
      <w:proofErr w:type="gramStart"/>
      <w:r w:rsidRPr="002132E3">
        <w:t>top-10</w:t>
      </w:r>
      <w:proofErr w:type="gramEnd"/>
      <w:r w:rsidRPr="002132E3">
        <w:t>% regulatory environments (e.g., Austria, Finland, Germany, Singapore, Sweden), high host-country status yielded a statistically significant negative coefficient (\beta = -0.39, p = 0.03). Sociologically, high status in hyper-regulated, mature markets can induce status-related liabilities—such as strategic distraction, overconfidence, complacency, or status-based constraints—as exemplified by British firm 3i, which accounted for 53% (92 of 174) of such high-status deals in top-tier institutional markets before shuttering its underperforming early-stage European VC operations.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70"/>
        <w:gridCol w:w="2021"/>
        <w:gridCol w:w="2083"/>
        <w:gridCol w:w="1890"/>
        <w:gridCol w:w="2796"/>
      </w:tblGrid>
      <w:tr w:rsidR="002132E3" w:rsidRPr="002132E3" w14:paraId="1CA540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260EBD" w14:textId="77777777" w:rsidR="002132E3" w:rsidRPr="002132E3" w:rsidRDefault="002132E3" w:rsidP="002132E3">
            <w:r w:rsidRPr="002132E3">
              <w:t>Model / 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04760" w14:textId="77777777" w:rsidR="002132E3" w:rsidRPr="002132E3" w:rsidRDefault="002132E3" w:rsidP="002132E3">
            <w:r w:rsidRPr="002132E3">
              <w:t>Host Status Main (\beta)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ED1C4" w14:textId="77777777" w:rsidR="002132E3" w:rsidRPr="002132E3" w:rsidRDefault="002132E3" w:rsidP="002132E3">
            <w:r w:rsidRPr="002132E3">
              <w:t>Interaction Term (\beta)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22646" w14:textId="77777777" w:rsidR="002132E3" w:rsidRPr="002132E3" w:rsidRDefault="002132E3" w:rsidP="002132E3">
            <w:r w:rsidRPr="002132E3">
              <w:t>p-value (Interaction)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2FC49" w14:textId="77777777" w:rsidR="002132E3" w:rsidRPr="002132E3" w:rsidRDefault="002132E3" w:rsidP="002132E3">
            <w:r w:rsidRPr="002132E3">
              <w:t>Hypothesis Confirmation</w:t>
            </w:r>
          </w:p>
        </w:tc>
      </w:tr>
      <w:tr w:rsidR="002132E3" w:rsidRPr="002132E3" w14:paraId="18440A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A77EDC" w14:textId="77777777" w:rsidR="002132E3" w:rsidRPr="002132E3" w:rsidRDefault="002132E3" w:rsidP="002132E3">
            <w:r w:rsidRPr="002132E3">
              <w:rPr>
                <w:b/>
                <w:bCs/>
              </w:rPr>
              <w:lastRenderedPageBreak/>
              <w:t>Model 2 (Baseline Probit)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A7F09" w14:textId="77777777" w:rsidR="002132E3" w:rsidRPr="002132E3" w:rsidRDefault="002132E3" w:rsidP="002132E3">
            <w:r w:rsidRPr="002132E3">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85030" w14:textId="77777777" w:rsidR="002132E3" w:rsidRPr="002132E3" w:rsidRDefault="002132E3" w:rsidP="002132E3">
            <w:r w:rsidRPr="002132E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92C10" w14:textId="77777777" w:rsidR="002132E3" w:rsidRPr="002132E3" w:rsidRDefault="002132E3" w:rsidP="002132E3">
            <w:r w:rsidRPr="002132E3">
              <w:t>0.81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C277F" w14:textId="77777777" w:rsidR="002132E3" w:rsidRPr="002132E3" w:rsidRDefault="002132E3" w:rsidP="002132E3">
            <w:r w:rsidRPr="002132E3">
              <w:t>H1: Not Supported (Direct)</w:t>
            </w:r>
          </w:p>
        </w:tc>
      </w:tr>
      <w:tr w:rsidR="002132E3" w:rsidRPr="002132E3" w14:paraId="05D0E6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456969" w14:textId="77777777" w:rsidR="002132E3" w:rsidRPr="002132E3" w:rsidRDefault="002132E3" w:rsidP="002132E3">
            <w:r w:rsidRPr="002132E3">
              <w:rPr>
                <w:b/>
                <w:bCs/>
              </w:rPr>
              <w:t>Model 3 (Main Interaction)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99751" w14:textId="77777777" w:rsidR="002132E3" w:rsidRPr="002132E3" w:rsidRDefault="002132E3" w:rsidP="002132E3">
            <w:r w:rsidRPr="002132E3">
              <w:t>+0.99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EE4C7" w14:textId="77777777" w:rsidR="002132E3" w:rsidRPr="002132E3" w:rsidRDefault="002132E3" w:rsidP="002132E3">
            <w:r w:rsidRPr="002132E3">
              <w:t>-0.21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B84C7" w14:textId="77777777" w:rsidR="002132E3" w:rsidRPr="002132E3" w:rsidRDefault="002132E3" w:rsidP="002132E3">
            <w:r w:rsidRPr="002132E3">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1A201" w14:textId="77777777" w:rsidR="002132E3" w:rsidRPr="002132E3" w:rsidRDefault="002132E3" w:rsidP="002132E3">
            <w:r w:rsidRPr="002132E3">
              <w:t>H1: Conditional / H2: Supported</w:t>
            </w:r>
          </w:p>
        </w:tc>
      </w:tr>
      <w:tr w:rsidR="002132E3" w:rsidRPr="002132E3" w14:paraId="0124B1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32B8D6" w14:textId="77777777" w:rsidR="002132E3" w:rsidRPr="002132E3" w:rsidRDefault="002132E3" w:rsidP="002132E3">
            <w:r w:rsidRPr="002132E3">
              <w:rPr>
                <w:b/>
                <w:bCs/>
              </w:rPr>
              <w:t>Model 4 (LPM 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9C155" w14:textId="77777777" w:rsidR="002132E3" w:rsidRPr="002132E3" w:rsidRDefault="002132E3" w:rsidP="002132E3">
            <w:r w:rsidRPr="002132E3">
              <w:t>+0.37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AC0AF" w14:textId="77777777" w:rsidR="002132E3" w:rsidRPr="002132E3" w:rsidRDefault="002132E3" w:rsidP="002132E3">
            <w:r w:rsidRPr="002132E3">
              <w:t>-0.08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EB525" w14:textId="77777777" w:rsidR="002132E3" w:rsidRPr="002132E3" w:rsidRDefault="002132E3" w:rsidP="002132E3">
            <w:r w:rsidRPr="002132E3">
              <w:t>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80F6E" w14:textId="77777777" w:rsidR="002132E3" w:rsidRPr="002132E3" w:rsidRDefault="002132E3" w:rsidP="002132E3">
            <w:r w:rsidRPr="002132E3">
              <w:t>Robustness Confirmed</w:t>
            </w:r>
          </w:p>
        </w:tc>
      </w:tr>
      <w:tr w:rsidR="002132E3" w:rsidRPr="002132E3" w14:paraId="1F6F69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B1B1C1" w14:textId="77777777" w:rsidR="002132E3" w:rsidRPr="002132E3" w:rsidRDefault="002132E3" w:rsidP="002132E3">
            <w:r w:rsidRPr="002132E3">
              <w:rPr>
                <w:b/>
                <w:bCs/>
              </w:rPr>
              <w:t>Model 5 (Logit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D2575" w14:textId="77777777" w:rsidR="002132E3" w:rsidRPr="002132E3" w:rsidRDefault="002132E3" w:rsidP="002132E3">
            <w:r w:rsidRPr="002132E3">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2F7E8" w14:textId="77777777" w:rsidR="002132E3" w:rsidRPr="002132E3" w:rsidRDefault="002132E3" w:rsidP="002132E3">
            <w:r w:rsidRPr="002132E3">
              <w:t>-0.34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D699A" w14:textId="77777777" w:rsidR="002132E3" w:rsidRPr="002132E3" w:rsidRDefault="002132E3" w:rsidP="002132E3">
            <w:r w:rsidRPr="002132E3">
              <w:t>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92F7B" w14:textId="77777777" w:rsidR="002132E3" w:rsidRPr="002132E3" w:rsidRDefault="002132E3" w:rsidP="002132E3">
            <w:r w:rsidRPr="002132E3">
              <w:t>Robustness Confirmed</w:t>
            </w:r>
          </w:p>
        </w:tc>
      </w:tr>
      <w:tr w:rsidR="002132E3" w:rsidRPr="002132E3" w14:paraId="55D4B7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221DE4" w14:textId="77777777" w:rsidR="002132E3" w:rsidRPr="002132E3" w:rsidRDefault="002132E3" w:rsidP="002132E3">
            <w:r w:rsidRPr="002132E3">
              <w:rPr>
                <w:b/>
                <w:bCs/>
              </w:rPr>
              <w:t>Model 6 (Legality Index)</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17F0F" w14:textId="77777777" w:rsidR="002132E3" w:rsidRPr="002132E3" w:rsidRDefault="002132E3" w:rsidP="002132E3">
            <w:r w:rsidRPr="002132E3">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42402" w14:textId="77777777" w:rsidR="002132E3" w:rsidRPr="002132E3" w:rsidRDefault="002132E3" w:rsidP="002132E3">
            <w:r w:rsidRPr="002132E3">
              <w:t>-0.05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65E76" w14:textId="77777777" w:rsidR="002132E3" w:rsidRPr="002132E3" w:rsidRDefault="002132E3" w:rsidP="002132E3">
            <w:r w:rsidRPr="002132E3">
              <w:t>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28066" w14:textId="77777777" w:rsidR="002132E3" w:rsidRPr="002132E3" w:rsidRDefault="002132E3" w:rsidP="002132E3">
            <w:r w:rsidRPr="002132E3">
              <w:t>Robustness Confirmed</w:t>
            </w:r>
          </w:p>
        </w:tc>
      </w:tr>
      <w:tr w:rsidR="002132E3" w:rsidRPr="002132E3" w14:paraId="300AEA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8AB98E" w14:textId="77777777" w:rsidR="002132E3" w:rsidRPr="002132E3" w:rsidRDefault="002132E3" w:rsidP="002132E3">
            <w:r w:rsidRPr="002132E3">
              <w:rPr>
                <w:b/>
                <w:bCs/>
              </w:rPr>
              <w:t>Model 7 (Cox Survival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D6FD3" w14:textId="77777777" w:rsidR="002132E3" w:rsidRPr="002132E3" w:rsidRDefault="002132E3" w:rsidP="002132E3">
            <w:r w:rsidRPr="002132E3">
              <w:t>+1.09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7D96E" w14:textId="77777777" w:rsidR="002132E3" w:rsidRPr="002132E3" w:rsidRDefault="002132E3" w:rsidP="002132E3">
            <w:r w:rsidRPr="002132E3">
              <w:t>-0.22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D1A65" w14:textId="77777777" w:rsidR="002132E3" w:rsidRPr="002132E3" w:rsidRDefault="002132E3" w:rsidP="002132E3">
            <w:r w:rsidRPr="002132E3">
              <w:t>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A4878" w14:textId="77777777" w:rsidR="002132E3" w:rsidRPr="002132E3" w:rsidRDefault="002132E3" w:rsidP="002132E3">
            <w:r w:rsidRPr="002132E3">
              <w:t>Robustness Confirmed</w:t>
            </w:r>
          </w:p>
        </w:tc>
      </w:tr>
      <w:tr w:rsidR="002132E3" w:rsidRPr="002132E3" w14:paraId="324C11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DD9D33" w14:textId="77777777" w:rsidR="002132E3" w:rsidRPr="002132E3" w:rsidRDefault="002132E3" w:rsidP="002132E3">
            <w:r w:rsidRPr="002132E3">
              <w:rPr>
                <w:b/>
                <w:bCs/>
              </w:rPr>
              <w:t>Model 10 (Multilevel Probit)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47D41" w14:textId="77777777" w:rsidR="002132E3" w:rsidRPr="002132E3" w:rsidRDefault="002132E3" w:rsidP="002132E3">
            <w:r w:rsidRPr="002132E3">
              <w:t>+0.89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5E448" w14:textId="77777777" w:rsidR="002132E3" w:rsidRPr="002132E3" w:rsidRDefault="002132E3" w:rsidP="002132E3">
            <w:r w:rsidRPr="002132E3">
              <w:t>-0.20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36471" w14:textId="77777777" w:rsidR="002132E3" w:rsidRPr="002132E3" w:rsidRDefault="002132E3" w:rsidP="002132E3">
            <w:r w:rsidRPr="002132E3">
              <w:t>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1050F" w14:textId="77777777" w:rsidR="002132E3" w:rsidRPr="002132E3" w:rsidRDefault="002132E3" w:rsidP="002132E3">
            <w:r w:rsidRPr="002132E3">
              <w:t>Robustness Confirmed</w:t>
            </w:r>
          </w:p>
        </w:tc>
      </w:tr>
      <w:tr w:rsidR="002132E3" w:rsidRPr="002132E3" w14:paraId="5D991A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4D06A9" w14:textId="77777777" w:rsidR="002132E3" w:rsidRPr="002132E3" w:rsidRDefault="002132E3" w:rsidP="002132E3">
            <w:r w:rsidRPr="002132E3">
              <w:rPr>
                <w:b/>
                <w:bCs/>
              </w:rPr>
              <w:t>Model 11 (2SLS Extended Probit)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54B93" w14:textId="77777777" w:rsidR="002132E3" w:rsidRPr="002132E3" w:rsidRDefault="002132E3" w:rsidP="002132E3">
            <w:r w:rsidRPr="002132E3">
              <w:t>+1.14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1197F" w14:textId="77777777" w:rsidR="002132E3" w:rsidRPr="002132E3" w:rsidRDefault="002132E3" w:rsidP="002132E3">
            <w:r w:rsidRPr="002132E3">
              <w:t>-0.21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C07D6" w14:textId="77777777" w:rsidR="002132E3" w:rsidRPr="002132E3" w:rsidRDefault="002132E3" w:rsidP="002132E3">
            <w:r w:rsidRPr="002132E3">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56965" w14:textId="77777777" w:rsidR="002132E3" w:rsidRPr="002132E3" w:rsidRDefault="002132E3" w:rsidP="002132E3">
            <w:r w:rsidRPr="002132E3">
              <w:t>Endogeneity Addressed</w:t>
            </w:r>
          </w:p>
        </w:tc>
      </w:tr>
    </w:tbl>
    <w:p w14:paraId="559CDC1B" w14:textId="77777777" w:rsidR="002132E3" w:rsidRPr="002132E3" w:rsidRDefault="002132E3" w:rsidP="002132E3">
      <w:r w:rsidRPr="002132E3">
        <w:t>These empirical statistical verifications provide the quantitative foundation for evaluating the broader theoretical, strategic, and policy implications.</w:t>
      </w:r>
    </w:p>
    <w:p w14:paraId="7DB4D0D2" w14:textId="77777777" w:rsidR="002132E3" w:rsidRPr="002132E3" w:rsidRDefault="002132E3" w:rsidP="002132E3">
      <w:r w:rsidRPr="002132E3">
        <w:rPr>
          <w:b/>
          <w:bCs/>
        </w:rPr>
        <w:t>Takeaway:</w:t>
      </w:r>
      <w:r w:rsidRPr="002132E3">
        <w:t> Empirical testing confirms institutional substitution: high host-country network status doubles exit likelihood in weak legal environments, whereas domestic home-country status delivers zero cross-border performance benefit.</w:t>
      </w:r>
    </w:p>
    <w:p w14:paraId="1CBC0067" w14:textId="77777777" w:rsidR="002132E3" w:rsidRPr="002132E3" w:rsidRDefault="002132E3" w:rsidP="002132E3">
      <w:pPr>
        <w:rPr>
          <w:b/>
          <w:bCs/>
        </w:rPr>
      </w:pPr>
      <w:r w:rsidRPr="002132E3">
        <w:rPr>
          <w:b/>
          <w:bCs/>
        </w:rPr>
        <w:t>5. Discussion, Policy, and Practical Implications</w:t>
      </w:r>
    </w:p>
    <w:p w14:paraId="7368297C" w14:textId="77777777" w:rsidR="002132E3" w:rsidRPr="002132E3" w:rsidRDefault="002132E3" w:rsidP="002132E3">
      <w:r w:rsidRPr="002132E3">
        <w:t>The empirical verification of contextual status effects advances theoretical frameworks in economic sociology and international business, while providing concrete strategic directives for venture capital partners and national economic policymakers.</w:t>
      </w:r>
    </w:p>
    <w:p w14:paraId="7E0C717B" w14:textId="77777777" w:rsidR="002132E3" w:rsidRPr="002132E3" w:rsidRDefault="002132E3" w:rsidP="002132E3">
      <w:pPr>
        <w:numPr>
          <w:ilvl w:val="0"/>
          <w:numId w:val="5"/>
        </w:numPr>
      </w:pPr>
      <w:r w:rsidRPr="002132E3">
        <w:rPr>
          <w:b/>
          <w:bCs/>
        </w:rPr>
        <w:t>Contributions to International Business &amp; Sociology:</w:t>
      </w:r>
      <w:r w:rsidRPr="002132E3">
        <w:t> Incorporating status multiplicity challenges the assumption of uniform organizational status across social settings, proving that network advantages operate as location-bound firm-specific advantages (FSAs) that require localized network embedding rather than cross-border status transfer.</w:t>
      </w:r>
    </w:p>
    <w:p w14:paraId="3E6A6A0E" w14:textId="77777777" w:rsidR="002132E3" w:rsidRPr="002132E3" w:rsidRDefault="002132E3" w:rsidP="002132E3">
      <w:pPr>
        <w:numPr>
          <w:ilvl w:val="0"/>
          <w:numId w:val="5"/>
        </w:numPr>
      </w:pPr>
      <w:r w:rsidRPr="002132E3">
        <w:rPr>
          <w:b/>
          <w:bCs/>
        </w:rPr>
        <w:t>Institutional Substitution Theory &amp; Country Contexts:</w:t>
      </w:r>
      <w:r w:rsidRPr="002132E3">
        <w:t xml:space="preserve"> The study validates institutional substitution in cross-border finance, proving that informal network positions serve as functional substitutes for formal legal safeguards in emerging or institutionally weak markets (e.g., Brazil, Egypt, India, Mexico, Nigeria, Russia, </w:t>
      </w:r>
      <w:r w:rsidRPr="002132E3">
        <w:lastRenderedPageBreak/>
        <w:t>Turkey), whereas formal legal systems dominate in institutionally strong markets (e.g., Austria, Denmark, Finland, Netherlands, Ireland, Sweden).</w:t>
      </w:r>
    </w:p>
    <w:p w14:paraId="137363FF" w14:textId="77777777" w:rsidR="002132E3" w:rsidRPr="002132E3" w:rsidRDefault="002132E3" w:rsidP="002132E3">
      <w:pPr>
        <w:numPr>
          <w:ilvl w:val="0"/>
          <w:numId w:val="5"/>
        </w:numPr>
      </w:pPr>
      <w:r w:rsidRPr="002132E3">
        <w:rPr>
          <w:b/>
          <w:bCs/>
        </w:rPr>
        <w:t>Managerial Strategy Directives:</w:t>
      </w:r>
      <w:r w:rsidRPr="002132E3">
        <w:t> General partners expanding internationally cannot rely on home-country prestige to drive portfolio outcomes; instead, internationalizing VCs must execute targeted local networking strategies, actively syndicating with prominent local partners to build host-country status when deploying capital into weak legal environments.</w:t>
      </w:r>
    </w:p>
    <w:p w14:paraId="4CCFD6FF" w14:textId="77777777" w:rsidR="002132E3" w:rsidRPr="002132E3" w:rsidRDefault="002132E3" w:rsidP="002132E3">
      <w:pPr>
        <w:numPr>
          <w:ilvl w:val="0"/>
          <w:numId w:val="5"/>
        </w:numPr>
      </w:pPr>
      <w:r w:rsidRPr="002132E3">
        <w:rPr>
          <w:b/>
          <w:bCs/>
        </w:rPr>
        <w:t>Policy &amp; Regulatory Implications:</w:t>
      </w:r>
      <w:r w:rsidRPr="002132E3">
        <w:t> Developing nations seeking to attract foreign venture capital must recognize that overreliance on private social networks creates exclusive market barriers against foreign capital; policymakers must strengthen formal legal institutions and contract enforcement to democratize market entry and reduce network exclusivity.</w:t>
      </w:r>
    </w:p>
    <w:p w14:paraId="5C77D8AA" w14:textId="77777777" w:rsidR="002132E3" w:rsidRPr="002132E3" w:rsidRDefault="002132E3" w:rsidP="002132E3">
      <w:pPr>
        <w:numPr>
          <w:ilvl w:val="0"/>
          <w:numId w:val="5"/>
        </w:numPr>
      </w:pPr>
      <w:r w:rsidRPr="002132E3">
        <w:rPr>
          <w:b/>
          <w:bCs/>
        </w:rPr>
        <w:t>Study Limitations:</w:t>
      </w:r>
      <w:r w:rsidRPr="002132E3">
        <w:t xml:space="preserve"> Limitations include reliance on </w:t>
      </w:r>
      <w:proofErr w:type="spellStart"/>
      <w:r w:rsidRPr="002132E3">
        <w:t>VentureXpert</w:t>
      </w:r>
      <w:proofErr w:type="spellEnd"/>
      <w:r w:rsidRPr="002132E3">
        <w:t xml:space="preserve"> data (potential misclassification of fire sales as acquisitions and venture subsidiary attribution errors) and boundary conditions centered on private equity, warranting future research across multinational corporate subsidiaries.</w:t>
      </w:r>
    </w:p>
    <w:p w14:paraId="7CBFDE67" w14:textId="77777777" w:rsidR="002132E3" w:rsidRPr="002132E3" w:rsidRDefault="002132E3" w:rsidP="002132E3">
      <w:r w:rsidRPr="002132E3">
        <w:t>In summary, this study demonstrates that the performance benefits of network status are geographically bounded and institutionally contingent.</w:t>
      </w:r>
    </w:p>
    <w:p w14:paraId="5203E6CB" w14:textId="4B0F0035" w:rsidR="00805371" w:rsidRDefault="002132E3">
      <w:r w:rsidRPr="002132E3">
        <w:rPr>
          <w:b/>
          <w:bCs/>
        </w:rPr>
        <w:t>Takeaway:</w:t>
      </w:r>
      <w:r w:rsidRPr="002132E3">
        <w:t> Cross-border VC success requires active local network embeddedness in emerging markets, while national policymakers must strengthen legal institutions to prevent private syndication networks from becoming exclusionary market barriers.</w:t>
      </w:r>
    </w:p>
    <w:sectPr w:rsidR="00805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7D784A"/>
    <w:multiLevelType w:val="multilevel"/>
    <w:tmpl w:val="E8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224EC"/>
    <w:multiLevelType w:val="multilevel"/>
    <w:tmpl w:val="4ED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054E8"/>
    <w:multiLevelType w:val="multilevel"/>
    <w:tmpl w:val="FF6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44195"/>
    <w:multiLevelType w:val="multilevel"/>
    <w:tmpl w:val="794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02470"/>
    <w:multiLevelType w:val="multilevel"/>
    <w:tmpl w:val="14A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737335">
    <w:abstractNumId w:val="1"/>
  </w:num>
  <w:num w:numId="2" w16cid:durableId="2025590155">
    <w:abstractNumId w:val="0"/>
  </w:num>
  <w:num w:numId="3" w16cid:durableId="645745283">
    <w:abstractNumId w:val="2"/>
  </w:num>
  <w:num w:numId="4" w16cid:durableId="193614660">
    <w:abstractNumId w:val="3"/>
  </w:num>
  <w:num w:numId="5" w16cid:durableId="5142662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71"/>
    <w:rsid w:val="00171D88"/>
    <w:rsid w:val="002132E3"/>
    <w:rsid w:val="00805371"/>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F0614"/>
  <w15:chartTrackingRefBased/>
  <w15:docId w15:val="{F12E6857-4688-144E-AC0A-2F421CCA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71"/>
    <w:rPr>
      <w:rFonts w:eastAsiaTheme="majorEastAsia" w:cstheme="majorBidi"/>
      <w:color w:val="272727" w:themeColor="text1" w:themeTint="D8"/>
    </w:rPr>
  </w:style>
  <w:style w:type="paragraph" w:styleId="Title">
    <w:name w:val="Title"/>
    <w:basedOn w:val="Normal"/>
    <w:next w:val="Normal"/>
    <w:link w:val="TitleChar"/>
    <w:uiPriority w:val="10"/>
    <w:qFormat/>
    <w:rsid w:val="0080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71"/>
    <w:pPr>
      <w:spacing w:before="160"/>
      <w:jc w:val="center"/>
    </w:pPr>
    <w:rPr>
      <w:i/>
      <w:iCs/>
      <w:color w:val="404040" w:themeColor="text1" w:themeTint="BF"/>
    </w:rPr>
  </w:style>
  <w:style w:type="character" w:customStyle="1" w:styleId="QuoteChar">
    <w:name w:val="Quote Char"/>
    <w:basedOn w:val="DefaultParagraphFont"/>
    <w:link w:val="Quote"/>
    <w:uiPriority w:val="29"/>
    <w:rsid w:val="00805371"/>
    <w:rPr>
      <w:i/>
      <w:iCs/>
      <w:color w:val="404040" w:themeColor="text1" w:themeTint="BF"/>
    </w:rPr>
  </w:style>
  <w:style w:type="paragraph" w:styleId="ListParagraph">
    <w:name w:val="List Paragraph"/>
    <w:basedOn w:val="Normal"/>
    <w:uiPriority w:val="34"/>
    <w:qFormat/>
    <w:rsid w:val="00805371"/>
    <w:pPr>
      <w:ind w:left="720"/>
      <w:contextualSpacing/>
    </w:pPr>
  </w:style>
  <w:style w:type="character" w:styleId="IntenseEmphasis">
    <w:name w:val="Intense Emphasis"/>
    <w:basedOn w:val="DefaultParagraphFont"/>
    <w:uiPriority w:val="21"/>
    <w:qFormat/>
    <w:rsid w:val="00805371"/>
    <w:rPr>
      <w:i/>
      <w:iCs/>
      <w:color w:val="0F4761" w:themeColor="accent1" w:themeShade="BF"/>
    </w:rPr>
  </w:style>
  <w:style w:type="paragraph" w:styleId="IntenseQuote">
    <w:name w:val="Intense Quote"/>
    <w:basedOn w:val="Normal"/>
    <w:next w:val="Normal"/>
    <w:link w:val="IntenseQuoteChar"/>
    <w:uiPriority w:val="30"/>
    <w:qFormat/>
    <w:rsid w:val="0080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371"/>
    <w:rPr>
      <w:i/>
      <w:iCs/>
      <w:color w:val="0F4761" w:themeColor="accent1" w:themeShade="BF"/>
    </w:rPr>
  </w:style>
  <w:style w:type="character" w:styleId="IntenseReference">
    <w:name w:val="Intense Reference"/>
    <w:basedOn w:val="DefaultParagraphFont"/>
    <w:uiPriority w:val="32"/>
    <w:qFormat/>
    <w:rsid w:val="00805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3</cp:revision>
  <dcterms:created xsi:type="dcterms:W3CDTF">2026-09-30T09:30:00Z</dcterms:created>
  <dcterms:modified xsi:type="dcterms:W3CDTF">2026-09-30T09:37:00Z</dcterms:modified>
</cp:coreProperties>
</file>