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BEAD79" w14:textId="77777777" w:rsidR="00B0365A" w:rsidRPr="00B0365A" w:rsidRDefault="00B0365A" w:rsidP="00B0365A">
      <w:pPr>
        <w:rPr>
          <w:b/>
          <w:bCs/>
        </w:rPr>
      </w:pPr>
      <w:r w:rsidRPr="00B0365A">
        <w:rPr>
          <w:b/>
          <w:bCs/>
        </w:rPr>
        <w:t>Study Report: Cross-Border Venture Capital Investments in Asia — Selection and Exit Performance</w:t>
      </w:r>
    </w:p>
    <w:p w14:paraId="7611D8B0" w14:textId="77777777" w:rsidR="00B0365A" w:rsidRPr="00B0365A" w:rsidRDefault="00B0365A" w:rsidP="00B0365A">
      <w:r w:rsidRPr="00B0365A">
        <w:rPr>
          <w:b/>
          <w:bCs/>
        </w:rPr>
        <w:t>APA 7 Reference</w:t>
      </w:r>
      <w:r w:rsidRPr="00B0365A">
        <w:t xml:space="preserve">: Dai, N., Jo, H., &amp; </w:t>
      </w:r>
      <w:proofErr w:type="spellStart"/>
      <w:r w:rsidRPr="00B0365A">
        <w:t>Kassicieh</w:t>
      </w:r>
      <w:proofErr w:type="spellEnd"/>
      <w:r w:rsidRPr="00B0365A">
        <w:t>, S. (2012). Cross-border venture capital investments in Asia: Selection and exit performance. </w:t>
      </w:r>
      <w:r w:rsidRPr="00B0365A">
        <w:rPr>
          <w:i/>
          <w:iCs/>
        </w:rPr>
        <w:t>Journal of Business Venturing</w:t>
      </w:r>
      <w:r w:rsidRPr="00B0365A">
        <w:t>, 27(6), 666–684.</w:t>
      </w:r>
    </w:p>
    <w:p w14:paraId="25B2E10F" w14:textId="77777777" w:rsidR="00B0365A" w:rsidRPr="00B0365A" w:rsidRDefault="00B0365A" w:rsidP="00B0365A">
      <w:pPr>
        <w:rPr>
          <w:b/>
          <w:bCs/>
        </w:rPr>
      </w:pPr>
      <w:r w:rsidRPr="00B0365A">
        <w:rPr>
          <w:b/>
          <w:bCs/>
        </w:rPr>
        <w:t>1. Executive Summary &amp; Research Overview</w:t>
      </w:r>
    </w:p>
    <w:p w14:paraId="5A70BF5C" w14:textId="77777777" w:rsidR="00B0365A" w:rsidRPr="00B0365A" w:rsidRDefault="00B0365A" w:rsidP="00B0365A">
      <w:r w:rsidRPr="00B0365A">
        <w:t>This study evaluates how international venture funds navigate institutional market inefficiencies, spatial distance frictions, and information barriers in emerging Asian economies. By isolating capital allocation choices and governance structures, the authors establish the strategic value generated when cross-border financial scale unites with domestic contextual intelligence.</w:t>
      </w:r>
    </w:p>
    <w:p w14:paraId="326A0E21" w14:textId="77777777" w:rsidR="00B0365A" w:rsidRPr="00B0365A" w:rsidRDefault="00B0365A" w:rsidP="00B0365A">
      <w:pPr>
        <w:numPr>
          <w:ilvl w:val="0"/>
          <w:numId w:val="1"/>
        </w:numPr>
      </w:pPr>
      <w:r w:rsidRPr="00B0365A">
        <w:rPr>
          <w:b/>
          <w:bCs/>
        </w:rPr>
        <w:t>Research Context</w:t>
      </w:r>
      <w:r w:rsidRPr="00B0365A">
        <w:t>: Investigates how foreign </w:t>
      </w:r>
      <w:r w:rsidRPr="00B0365A">
        <w:rPr>
          <w:b/>
          <w:bCs/>
        </w:rPr>
        <w:t>venture capital (VC)</w:t>
      </w:r>
      <w:r w:rsidRPr="00B0365A">
        <w:t> firms mitigate </w:t>
      </w:r>
      <w:r w:rsidRPr="00B0365A">
        <w:rPr>
          <w:b/>
          <w:bCs/>
        </w:rPr>
        <w:t>information asymmetry</w:t>
      </w:r>
      <w:r w:rsidRPr="00B0365A">
        <w:t>, </w:t>
      </w:r>
      <w:r w:rsidRPr="00B0365A">
        <w:rPr>
          <w:b/>
          <w:bCs/>
        </w:rPr>
        <w:t>moral hazard</w:t>
      </w:r>
      <w:r w:rsidRPr="00B0365A">
        <w:t>, </w:t>
      </w:r>
      <w:r w:rsidRPr="00B0365A">
        <w:rPr>
          <w:b/>
          <w:bCs/>
        </w:rPr>
        <w:t>geographic distance</w:t>
      </w:r>
      <w:r w:rsidRPr="00B0365A">
        <w:t>, and </w:t>
      </w:r>
      <w:r w:rsidRPr="00B0365A">
        <w:rPr>
          <w:b/>
          <w:bCs/>
        </w:rPr>
        <w:t>cultural distance</w:t>
      </w:r>
      <w:r w:rsidRPr="00B0365A">
        <w:t> when investing in underdeveloped Asian venture markets.</w:t>
      </w:r>
    </w:p>
    <w:p w14:paraId="29ACDC6F" w14:textId="77777777" w:rsidR="00B0365A" w:rsidRPr="00B0365A" w:rsidRDefault="00B0365A" w:rsidP="00B0365A">
      <w:pPr>
        <w:numPr>
          <w:ilvl w:val="0"/>
          <w:numId w:val="1"/>
        </w:numPr>
      </w:pPr>
      <w:r w:rsidRPr="00B0365A">
        <w:rPr>
          <w:b/>
          <w:bCs/>
        </w:rPr>
        <w:t>Data Scope</w:t>
      </w:r>
      <w:r w:rsidRPr="00B0365A">
        <w:t>: Analyzes 4,254 VC financing rounds across 2,860 portfolio companies in China, Hong Kong, Taiwan, India, Singapore, and South Korea from 1996 to 2006 ($35.4B total capital, $26.4B from foreign VCs).</w:t>
      </w:r>
    </w:p>
    <w:p w14:paraId="67915CFF" w14:textId="77777777" w:rsidR="00B0365A" w:rsidRPr="00B0365A" w:rsidRDefault="00B0365A" w:rsidP="00B0365A">
      <w:pPr>
        <w:numPr>
          <w:ilvl w:val="0"/>
          <w:numId w:val="1"/>
        </w:numPr>
      </w:pPr>
      <w:r w:rsidRPr="00B0365A">
        <w:rPr>
          <w:b/>
          <w:bCs/>
        </w:rPr>
        <w:t>Selection Behavior</w:t>
      </w:r>
      <w:r w:rsidRPr="00B0365A">
        <w:t>: Foreign VCs acting alone systematically avoid opaque deals (early rounds, seed stages, high-tech sectors) and favor transparent expansion or later-stage ventures.</w:t>
      </w:r>
    </w:p>
    <w:p w14:paraId="4EA99833" w14:textId="77777777" w:rsidR="00B0365A" w:rsidRPr="00B0365A" w:rsidRDefault="00B0365A" w:rsidP="00B0365A">
      <w:pPr>
        <w:numPr>
          <w:ilvl w:val="0"/>
          <w:numId w:val="1"/>
        </w:numPr>
      </w:pPr>
      <w:r w:rsidRPr="00B0365A">
        <w:rPr>
          <w:b/>
          <w:bCs/>
        </w:rPr>
        <w:t>Syndication Effects</w:t>
      </w:r>
      <w:r w:rsidRPr="00B0365A">
        <w:t>: Co-investing with local VCs enables foreign funds to invest aggressively in early-stage (+10% to +23%) and technology-intensive ventures by leveraging domestic monitoring capabilities.</w:t>
      </w:r>
    </w:p>
    <w:p w14:paraId="5B40B624" w14:textId="77777777" w:rsidR="00B0365A" w:rsidRPr="00B0365A" w:rsidRDefault="00B0365A" w:rsidP="00B0365A">
      <w:pPr>
        <w:numPr>
          <w:ilvl w:val="0"/>
          <w:numId w:val="1"/>
        </w:numPr>
      </w:pPr>
      <w:r w:rsidRPr="00B0365A">
        <w:rPr>
          <w:b/>
          <w:bCs/>
        </w:rPr>
        <w:t>Performance Impact</w:t>
      </w:r>
      <w:r w:rsidRPr="00B0365A">
        <w:t>: Controlling for endogeneity via </w:t>
      </w:r>
      <w:r w:rsidRPr="00B0365A">
        <w:rPr>
          <w:b/>
          <w:bCs/>
        </w:rPr>
        <w:t>Propensity Score Matching</w:t>
      </w:r>
      <w:r w:rsidRPr="00B0365A">
        <w:t>, joint foreign-local VC syndicates achieve a ~5% higher probability of successful </w:t>
      </w:r>
      <w:r w:rsidRPr="00B0365A">
        <w:rPr>
          <w:b/>
          <w:bCs/>
        </w:rPr>
        <w:t>exit performance</w:t>
      </w:r>
      <w:r w:rsidRPr="00B0365A">
        <w:t> (IPO or M&amp;A) relative to standalone investments.</w:t>
      </w:r>
    </w:p>
    <w:p w14:paraId="5C986635" w14:textId="77777777" w:rsidR="00B0365A" w:rsidRPr="00B0365A" w:rsidRDefault="00B0365A" w:rsidP="00B0365A">
      <w:r w:rsidRPr="00B0365A">
        <w:rPr>
          <w:b/>
          <w:bCs/>
        </w:rPr>
        <w:t>Takeaway: Cross-border VC syndication between foreign and local investors creates operational synergies that offset spatial and cultural frictions to significantly enhance exit success.</w:t>
      </w:r>
    </w:p>
    <w:p w14:paraId="5D95E501" w14:textId="77777777" w:rsidR="00B0365A" w:rsidRPr="00B0365A" w:rsidRDefault="00B0365A" w:rsidP="00B0365A">
      <w:pPr>
        <w:rPr>
          <w:b/>
          <w:bCs/>
        </w:rPr>
      </w:pPr>
      <w:r w:rsidRPr="00B0365A">
        <w:rPr>
          <w:b/>
          <w:bCs/>
        </w:rPr>
        <w:t>2. Theoretical Background &amp; Hypotheses Development</w:t>
      </w:r>
    </w:p>
    <w:p w14:paraId="5A7F4AD4" w14:textId="77777777" w:rsidR="00B0365A" w:rsidRPr="00B0365A" w:rsidRDefault="00B0365A" w:rsidP="00B0365A">
      <w:r w:rsidRPr="00B0365A">
        <w:t>Distance frictions fundamentally alter cross-border financial intermediation by escalating monitoring costs, reducing information transparency, and intensifying principal-agent conflicts.</w:t>
      </w:r>
    </w:p>
    <w:p w14:paraId="60667D55" w14:textId="77777777" w:rsidR="00B0365A" w:rsidRPr="00B0365A" w:rsidRDefault="00B0365A" w:rsidP="00B0365A">
      <w:pPr>
        <w:rPr>
          <w:b/>
          <w:bCs/>
        </w:rPr>
      </w:pPr>
      <w:r w:rsidRPr="00B0365A">
        <w:rPr>
          <w:b/>
          <w:bCs/>
        </w:rPr>
        <w:lastRenderedPageBreak/>
        <w:t>2.1 Geographic Distance and Information Friction</w:t>
      </w:r>
    </w:p>
    <w:p w14:paraId="56E3094F" w14:textId="77777777" w:rsidR="00B0365A" w:rsidRPr="00B0365A" w:rsidRDefault="00B0365A" w:rsidP="00B0365A">
      <w:pPr>
        <w:numPr>
          <w:ilvl w:val="0"/>
          <w:numId w:val="2"/>
        </w:numPr>
      </w:pPr>
      <w:r w:rsidRPr="00B0365A">
        <w:rPr>
          <w:b/>
          <w:bCs/>
        </w:rPr>
        <w:t>Soft vs. Hard Information</w:t>
      </w:r>
      <w:r w:rsidRPr="00B0365A">
        <w:t>: Physical separation hinders the collection of non-standardized </w:t>
      </w:r>
      <w:r w:rsidRPr="00B0365A">
        <w:rPr>
          <w:b/>
          <w:bCs/>
        </w:rPr>
        <w:t>soft information</w:t>
      </w:r>
      <w:r w:rsidRPr="00B0365A">
        <w:t> and elevates monitoring costs, compelling distant foreign VCs to rely on verifiable </w:t>
      </w:r>
      <w:r w:rsidRPr="00B0365A">
        <w:rPr>
          <w:b/>
          <w:bCs/>
        </w:rPr>
        <w:t>hard information</w:t>
      </w:r>
      <w:r w:rsidRPr="00B0365A">
        <w:t>.</w:t>
      </w:r>
    </w:p>
    <w:p w14:paraId="5EE8F6F6" w14:textId="77777777" w:rsidR="00B0365A" w:rsidRPr="00B0365A" w:rsidRDefault="00B0365A" w:rsidP="00B0365A">
      <w:pPr>
        <w:numPr>
          <w:ilvl w:val="0"/>
          <w:numId w:val="2"/>
        </w:numPr>
      </w:pPr>
      <w:r w:rsidRPr="00B0365A">
        <w:rPr>
          <w:b/>
          <w:bCs/>
        </w:rPr>
        <w:t>Local Embeddedness</w:t>
      </w:r>
      <w:r w:rsidRPr="00B0365A">
        <w:t>: Domestic VCs possess superior access to local market intelligence and face lower monitoring costs when supervising entrepreneurs.</w:t>
      </w:r>
    </w:p>
    <w:p w14:paraId="2A571E59" w14:textId="77777777" w:rsidR="00B0365A" w:rsidRPr="00B0365A" w:rsidRDefault="00B0365A" w:rsidP="00B0365A">
      <w:pPr>
        <w:numPr>
          <w:ilvl w:val="0"/>
          <w:numId w:val="2"/>
        </w:numPr>
      </w:pPr>
      <w:r w:rsidRPr="00B0365A">
        <w:rPr>
          <w:b/>
          <w:bCs/>
        </w:rPr>
        <w:t>Hypothesis 1 (H1)</w:t>
      </w:r>
      <w:r w:rsidRPr="00B0365A">
        <w:t>: Foreign VCs acting alone are more likely to invest in informationally transparent firms (later financing rounds, expansion/later stages, and non-technology industries).</w:t>
      </w:r>
    </w:p>
    <w:p w14:paraId="6B341425" w14:textId="77777777" w:rsidR="00B0365A" w:rsidRPr="00B0365A" w:rsidRDefault="00B0365A" w:rsidP="00B0365A">
      <w:r w:rsidRPr="00B0365A">
        <w:rPr>
          <w:b/>
          <w:bCs/>
        </w:rPr>
        <w:t>Takeaway: Physical separation forces isolated foreign VCs to select lower-risk, highly transparent portfolio targets to manage monitoring and agency costs.</w:t>
      </w:r>
    </w:p>
    <w:p w14:paraId="47F5CB26" w14:textId="77777777" w:rsidR="00B0365A" w:rsidRPr="00B0365A" w:rsidRDefault="00B0365A" w:rsidP="00B0365A">
      <w:pPr>
        <w:rPr>
          <w:b/>
          <w:bCs/>
        </w:rPr>
      </w:pPr>
      <w:r w:rsidRPr="00B0365A">
        <w:rPr>
          <w:b/>
          <w:bCs/>
        </w:rPr>
        <w:t>2.2 Cultural Distance Frictions</w:t>
      </w:r>
    </w:p>
    <w:p w14:paraId="3B7F4673" w14:textId="77777777" w:rsidR="00B0365A" w:rsidRPr="00B0365A" w:rsidRDefault="00B0365A" w:rsidP="00B0365A">
      <w:pPr>
        <w:numPr>
          <w:ilvl w:val="0"/>
          <w:numId w:val="3"/>
        </w:numPr>
      </w:pPr>
      <w:r w:rsidRPr="00B0365A">
        <w:rPr>
          <w:b/>
          <w:bCs/>
        </w:rPr>
        <w:t>Cultural Framework</w:t>
      </w:r>
      <w:r w:rsidRPr="00B0365A">
        <w:t>: Operationalized using </w:t>
      </w:r>
      <w:r w:rsidRPr="00B0365A">
        <w:rPr>
          <w:b/>
          <w:bCs/>
        </w:rPr>
        <w:t>Hofstede’s Cultural Dimensions</w:t>
      </w:r>
      <w:r w:rsidRPr="00B0365A">
        <w:t> (Power Distance, Uncertainty Avoidance, Individualism vs. Collectivism, Masculinity vs. Femininity).</w:t>
      </w:r>
    </w:p>
    <w:p w14:paraId="1CBE74DC" w14:textId="77777777" w:rsidR="00B0365A" w:rsidRPr="00B0365A" w:rsidRDefault="00B0365A" w:rsidP="00B0365A">
      <w:pPr>
        <w:numPr>
          <w:ilvl w:val="0"/>
          <w:numId w:val="3"/>
        </w:numPr>
      </w:pPr>
      <w:r w:rsidRPr="00B0365A">
        <w:rPr>
          <w:b/>
          <w:bCs/>
        </w:rPr>
        <w:t>Mathematical Formulation</w:t>
      </w:r>
      <w:r w:rsidRPr="00B0365A">
        <w:t>: Calculated as \</w:t>
      </w:r>
      <w:proofErr w:type="gramStart"/>
      <w:r w:rsidRPr="00B0365A">
        <w:t>text{</w:t>
      </w:r>
      <w:proofErr w:type="gramEnd"/>
      <w:r w:rsidRPr="00B0365A">
        <w:t>Cultural Distance} = \sqrt{\frac{\sum_{</w:t>
      </w:r>
      <w:proofErr w:type="spellStart"/>
      <w:r w:rsidRPr="00B0365A">
        <w:t>i</w:t>
      </w:r>
      <w:proofErr w:type="spellEnd"/>
      <w:r w:rsidRPr="00B0365A">
        <w:t>=</w:t>
      </w:r>
      <w:proofErr w:type="gramStart"/>
      <w:r w:rsidRPr="00B0365A">
        <w:t>1}^</w:t>
      </w:r>
      <w:proofErr w:type="gramEnd"/>
      <w:r w:rsidRPr="00B0365A">
        <w:t>{4} (H_{</w:t>
      </w:r>
      <w:proofErr w:type="spellStart"/>
      <w:proofErr w:type="gramStart"/>
      <w:r w:rsidRPr="00B0365A">
        <w:t>VC,i</w:t>
      </w:r>
      <w:proofErr w:type="spellEnd"/>
      <w:proofErr w:type="gramEnd"/>
      <w:r w:rsidRPr="00B0365A">
        <w:t>} - H_{</w:t>
      </w:r>
      <w:proofErr w:type="spellStart"/>
      <w:proofErr w:type="gramStart"/>
      <w:r w:rsidRPr="00B0365A">
        <w:t>EF,i</w:t>
      </w:r>
      <w:proofErr w:type="spellEnd"/>
      <w:r w:rsidRPr="00B0365A">
        <w:t>})^</w:t>
      </w:r>
      <w:proofErr w:type="gramEnd"/>
      <w:r w:rsidRPr="00B0365A">
        <w:t>2}{4}}, where H_{</w:t>
      </w:r>
      <w:proofErr w:type="spellStart"/>
      <w:proofErr w:type="gramStart"/>
      <w:r w:rsidRPr="00B0365A">
        <w:t>VC,i</w:t>
      </w:r>
      <w:proofErr w:type="spellEnd"/>
      <w:proofErr w:type="gramEnd"/>
      <w:r w:rsidRPr="00B0365A">
        <w:t>} represents the foreign lead VC home-country score and H_{</w:t>
      </w:r>
      <w:proofErr w:type="spellStart"/>
      <w:proofErr w:type="gramStart"/>
      <w:r w:rsidRPr="00B0365A">
        <w:t>EF,i</w:t>
      </w:r>
      <w:proofErr w:type="spellEnd"/>
      <w:proofErr w:type="gramEnd"/>
      <w:r w:rsidRPr="00B0365A">
        <w:t xml:space="preserve">} represents the portfolio firm or domestic VC country score across dimension </w:t>
      </w:r>
      <w:proofErr w:type="spellStart"/>
      <w:r w:rsidRPr="00B0365A">
        <w:t>i</w:t>
      </w:r>
      <w:proofErr w:type="spellEnd"/>
      <w:r w:rsidRPr="00B0365A">
        <w:t>.</w:t>
      </w:r>
    </w:p>
    <w:p w14:paraId="5195CF8C" w14:textId="77777777" w:rsidR="00B0365A" w:rsidRPr="00B0365A" w:rsidRDefault="00B0365A" w:rsidP="00B0365A">
      <w:pPr>
        <w:numPr>
          <w:ilvl w:val="0"/>
          <w:numId w:val="3"/>
        </w:numPr>
      </w:pPr>
      <w:r w:rsidRPr="00B0365A">
        <w:rPr>
          <w:b/>
          <w:bCs/>
        </w:rPr>
        <w:t>Distrust &amp; Frictional Costs</w:t>
      </w:r>
      <w:r w:rsidRPr="00B0365A">
        <w:t>: High cultural distance breeds mutual distrust, hinders communication, and reduces the efficacy of foreign governance mechanisms.</w:t>
      </w:r>
    </w:p>
    <w:p w14:paraId="7B480D77" w14:textId="77777777" w:rsidR="00B0365A" w:rsidRPr="00B0365A" w:rsidRDefault="00B0365A" w:rsidP="00B0365A">
      <w:pPr>
        <w:numPr>
          <w:ilvl w:val="0"/>
          <w:numId w:val="3"/>
        </w:numPr>
      </w:pPr>
      <w:r w:rsidRPr="00B0365A">
        <w:rPr>
          <w:b/>
          <w:bCs/>
        </w:rPr>
        <w:t>Hypothesis 2a (H2a)</w:t>
      </w:r>
      <w:r w:rsidRPr="00B0365A">
        <w:t>: Greater cultural distance between the foreign VC home country and the local VC country reduces the probability of forming foreign-local co-investment partnerships.</w:t>
      </w:r>
    </w:p>
    <w:p w14:paraId="163985BE" w14:textId="77777777" w:rsidR="00B0365A" w:rsidRPr="00B0365A" w:rsidRDefault="00B0365A" w:rsidP="00B0365A">
      <w:pPr>
        <w:numPr>
          <w:ilvl w:val="0"/>
          <w:numId w:val="3"/>
        </w:numPr>
      </w:pPr>
      <w:r w:rsidRPr="00B0365A">
        <w:rPr>
          <w:b/>
          <w:bCs/>
        </w:rPr>
        <w:t>Hypothesis 2b (H2b)</w:t>
      </w:r>
      <w:r w:rsidRPr="00B0365A">
        <w:t>: Cultural distance between the foreign VC origin country and the portfolio firm country is inversely related to venture exit performance.</w:t>
      </w:r>
    </w:p>
    <w:p w14:paraId="37CC9913" w14:textId="77777777" w:rsidR="00B0365A" w:rsidRPr="00B0365A" w:rsidRDefault="00B0365A" w:rsidP="00B0365A">
      <w:r w:rsidRPr="00B0365A">
        <w:rPr>
          <w:b/>
          <w:bCs/>
        </w:rPr>
        <w:t>Takeaway: Cultural misalignment creates interpersonal and institutional friction that hampers inter-firm syndicate formation and erodes portfolio company performance.</w:t>
      </w:r>
    </w:p>
    <w:p w14:paraId="3F193995" w14:textId="77777777" w:rsidR="00B0365A" w:rsidRPr="00B0365A" w:rsidRDefault="00B0365A" w:rsidP="00B0365A">
      <w:pPr>
        <w:rPr>
          <w:b/>
          <w:bCs/>
        </w:rPr>
      </w:pPr>
      <w:r w:rsidRPr="00B0365A">
        <w:rPr>
          <w:b/>
          <w:bCs/>
        </w:rPr>
        <w:t>2.3 Cross-Border Syndication and Synergy</w:t>
      </w:r>
    </w:p>
    <w:p w14:paraId="45C2CE23" w14:textId="77777777" w:rsidR="00B0365A" w:rsidRPr="00B0365A" w:rsidRDefault="00B0365A" w:rsidP="00B0365A">
      <w:pPr>
        <w:numPr>
          <w:ilvl w:val="0"/>
          <w:numId w:val="4"/>
        </w:numPr>
      </w:pPr>
      <w:r w:rsidRPr="00B0365A">
        <w:rPr>
          <w:b/>
          <w:bCs/>
        </w:rPr>
        <w:t>Information Bridge</w:t>
      </w:r>
      <w:r w:rsidRPr="00B0365A">
        <w:t>: Co-investing with domestic VCs provides foreign investors with local networks and soft-information processing capabilities.</w:t>
      </w:r>
    </w:p>
    <w:p w14:paraId="5D6AF9B7" w14:textId="77777777" w:rsidR="00B0365A" w:rsidRPr="00B0365A" w:rsidRDefault="00B0365A" w:rsidP="00B0365A">
      <w:pPr>
        <w:numPr>
          <w:ilvl w:val="0"/>
          <w:numId w:val="4"/>
        </w:numPr>
      </w:pPr>
      <w:r w:rsidRPr="00B0365A">
        <w:rPr>
          <w:b/>
          <w:bCs/>
        </w:rPr>
        <w:lastRenderedPageBreak/>
        <w:t>Complementary Capabilities</w:t>
      </w:r>
      <w:r w:rsidRPr="00B0365A">
        <w:t>: Combines foreign VC international capital market access, deal structuring expertise, and fund scale with domestic VC contextual knowledge and regulatory embeddedness.</w:t>
      </w:r>
    </w:p>
    <w:p w14:paraId="6BFADBFC" w14:textId="77777777" w:rsidR="00B0365A" w:rsidRPr="00B0365A" w:rsidRDefault="00B0365A" w:rsidP="00B0365A">
      <w:pPr>
        <w:numPr>
          <w:ilvl w:val="0"/>
          <w:numId w:val="4"/>
        </w:numPr>
      </w:pPr>
      <w:r w:rsidRPr="00B0365A">
        <w:rPr>
          <w:b/>
          <w:bCs/>
        </w:rPr>
        <w:t>Hypothesis 3a (H3a)</w:t>
      </w:r>
      <w:r w:rsidRPr="00B0365A">
        <w:t>: Partnering with local VCs reduces information frictions, enabling foreign VCs to invest in informationally opaque ventures (early-stage, high-tech).</w:t>
      </w:r>
    </w:p>
    <w:p w14:paraId="11D65214" w14:textId="77777777" w:rsidR="00B0365A" w:rsidRPr="00B0365A" w:rsidRDefault="00B0365A" w:rsidP="00B0365A">
      <w:pPr>
        <w:numPr>
          <w:ilvl w:val="0"/>
          <w:numId w:val="4"/>
        </w:numPr>
      </w:pPr>
      <w:r w:rsidRPr="00B0365A">
        <w:rPr>
          <w:b/>
          <w:bCs/>
        </w:rPr>
        <w:t>Hypothesis 3b (H3b)</w:t>
      </w:r>
      <w:r w:rsidRPr="00B0365A">
        <w:t>: Entrepreneurial ventures jointly backed by foreign and domestic VCs achieve superior exit performance relative to single-type investor backing.</w:t>
      </w:r>
    </w:p>
    <w:p w14:paraId="66178295" w14:textId="77777777" w:rsidR="00B0365A" w:rsidRPr="00B0365A" w:rsidRDefault="00B0365A" w:rsidP="00B0365A">
      <w:r w:rsidRPr="00B0365A">
        <w:rPr>
          <w:b/>
          <w:bCs/>
        </w:rPr>
        <w:t>Takeaway: Foreign-local syndication transforms cross-border VC strategy from a defensive posture into an offensive, high-yield investment model.</w:t>
      </w:r>
    </w:p>
    <w:p w14:paraId="2EF98C9C" w14:textId="77777777" w:rsidR="00B0365A" w:rsidRPr="00B0365A" w:rsidRDefault="00B0365A" w:rsidP="00B0365A">
      <w:pPr>
        <w:rPr>
          <w:b/>
          <w:bCs/>
        </w:rPr>
      </w:pPr>
      <w:r w:rsidRPr="00B0365A">
        <w:rPr>
          <w:b/>
          <w:bCs/>
        </w:rPr>
        <w:t>3. Data, Sample Characteristics, and Measurement</w:t>
      </w:r>
    </w:p>
    <w:p w14:paraId="36940787" w14:textId="77777777" w:rsidR="00B0365A" w:rsidRPr="00B0365A" w:rsidRDefault="00B0365A" w:rsidP="00B0365A">
      <w:r w:rsidRPr="00B0365A">
        <w:t>Analyzing cross-border private equity flows across emerging Asian markets requires controlling for macro-institutional legal development and baseline selection characteristics.</w:t>
      </w:r>
    </w:p>
    <w:p w14:paraId="67F18B20" w14:textId="77777777" w:rsidR="00B0365A" w:rsidRPr="00B0365A" w:rsidRDefault="00B0365A" w:rsidP="00B0365A">
      <w:pPr>
        <w:numPr>
          <w:ilvl w:val="0"/>
          <w:numId w:val="5"/>
        </w:numPr>
      </w:pPr>
      <w:r w:rsidRPr="00B0365A">
        <w:rPr>
          <w:b/>
          <w:bCs/>
        </w:rPr>
        <w:t>Sample Capital Distribution</w:t>
      </w:r>
      <w:r w:rsidRPr="00B0365A">
        <w:t>: Foreign investors provided 74.6% ($26.4B of 35.4B) of total Asian VC capital; US VC firms represented 52.8% of foreign investors (247 of 468 firms) and supplied 67.8% (17.9B) of total foreign capital.</w:t>
      </w:r>
    </w:p>
    <w:p w14:paraId="38733699" w14:textId="77777777" w:rsidR="00B0365A" w:rsidRPr="00B0365A" w:rsidRDefault="00B0365A" w:rsidP="00B0365A">
      <w:pPr>
        <w:numPr>
          <w:ilvl w:val="0"/>
          <w:numId w:val="5"/>
        </w:numPr>
      </w:pPr>
      <w:r w:rsidRPr="00B0365A">
        <w:rPr>
          <w:b/>
          <w:bCs/>
        </w:rPr>
        <w:t>Institutional Variation</w:t>
      </w:r>
      <w:r w:rsidRPr="00B0365A">
        <w:t>: Venture market reliance on foreign capital varies sharply, ranging from China (86% of portfolio firms have foreign VC backing) to South Korea (74% purely domestic VC backing).</w:t>
      </w:r>
    </w:p>
    <w:p w14:paraId="37025B9B" w14:textId="77777777" w:rsidR="00B0365A" w:rsidRPr="00B0365A" w:rsidRDefault="00B0365A" w:rsidP="00B0365A">
      <w:pPr>
        <w:numPr>
          <w:ilvl w:val="0"/>
          <w:numId w:val="5"/>
        </w:numPr>
      </w:pPr>
      <w:r w:rsidRPr="00B0365A">
        <w:rPr>
          <w:b/>
          <w:bCs/>
        </w:rPr>
        <w:t>Macro Controls</w:t>
      </w:r>
      <w:r w:rsidRPr="00B0365A">
        <w:t>: Econometric models control for host-country institutional depth using the </w:t>
      </w:r>
      <w:r w:rsidRPr="00B0365A">
        <w:rPr>
          <w:b/>
          <w:bCs/>
        </w:rPr>
        <w:t>Country Legality Index</w:t>
      </w:r>
      <w:r w:rsidRPr="00B0365A">
        <w:t> (legal origin, judicial efficiency, rule of law, investor rights) and </w:t>
      </w:r>
      <w:r w:rsidRPr="00B0365A">
        <w:rPr>
          <w:b/>
          <w:bCs/>
        </w:rPr>
        <w:t>Stock Market Development</w:t>
      </w:r>
      <w:r w:rsidRPr="00B0365A">
        <w:t> (market cap/GDP, total value traded ratios).</w:t>
      </w:r>
    </w:p>
    <w:p w14:paraId="708122D8" w14:textId="77777777" w:rsidR="00B0365A" w:rsidRPr="00B0365A" w:rsidRDefault="00B0365A" w:rsidP="00B0365A">
      <w:pPr>
        <w:numPr>
          <w:ilvl w:val="0"/>
          <w:numId w:val="5"/>
        </w:numPr>
      </w:pPr>
      <w:r w:rsidRPr="00B0365A">
        <w:rPr>
          <w:b/>
          <w:bCs/>
        </w:rPr>
        <w:t>Univariate Selection Patterns</w:t>
      </w:r>
      <w:r w:rsidRPr="00B0365A">
        <w:t>: Standalone foreign investments exhibit larger average round sizes ($16.6M vs. $2.4M local) and concentrate in expansion/later stages (73% vs. 61% local).</w:t>
      </w:r>
    </w:p>
    <w:p w14:paraId="2522BAFF" w14:textId="77777777" w:rsidR="00B0365A" w:rsidRPr="00B0365A" w:rsidRDefault="00B0365A" w:rsidP="00B0365A">
      <w:pPr>
        <w:numPr>
          <w:ilvl w:val="0"/>
          <w:numId w:val="5"/>
        </w:numPr>
      </w:pPr>
      <w:r w:rsidRPr="00B0365A">
        <w:rPr>
          <w:b/>
          <w:bCs/>
        </w:rPr>
        <w:t>Univariate Exit Outcomes</w:t>
      </w:r>
      <w:r w:rsidRPr="00B0365A">
        <w:t>: 1996–2002 venture cohort exits demonstrate that joint investments achieve higher IPO rates (~11% vs. 7.1% local) and enjoy exclusive access to foreign cross-listings.</w:t>
      </w:r>
    </w:p>
    <w:p w14:paraId="406C8C26" w14:textId="77777777" w:rsidR="00B0365A" w:rsidRPr="00B0365A" w:rsidRDefault="00B0365A" w:rsidP="00B0365A">
      <w:r w:rsidRPr="00B0365A">
        <w:rPr>
          <w:b/>
          <w:bCs/>
        </w:rPr>
        <w:lastRenderedPageBreak/>
        <w:t>Takeaway: Empirical operationalization requires controlling for macro-institutional variables like legality and stock market depth to isolate VC strategy from market-level development.</w:t>
      </w:r>
    </w:p>
    <w:p w14:paraId="1F495A89" w14:textId="77777777" w:rsidR="00B0365A" w:rsidRPr="00B0365A" w:rsidRDefault="00B0365A" w:rsidP="00B0365A">
      <w:pPr>
        <w:rPr>
          <w:b/>
          <w:bCs/>
        </w:rPr>
      </w:pPr>
      <w:r w:rsidRPr="00B0365A">
        <w:rPr>
          <w:b/>
          <w:bCs/>
        </w:rPr>
        <w:t>4. Empirical Methodology and Findings</w:t>
      </w:r>
    </w:p>
    <w:p w14:paraId="5C22ED3E" w14:textId="77777777" w:rsidR="00B0365A" w:rsidRPr="00B0365A" w:rsidRDefault="00B0365A" w:rsidP="00B0365A">
      <w:r w:rsidRPr="00B0365A">
        <w:t>The empirical framework evaluates deal selection via multi-stage probit regressions and assesses exit performance using hazard models, competing risk specifications, and propensity score matching.</w:t>
      </w:r>
    </w:p>
    <w:p w14:paraId="42F45B8F" w14:textId="77777777" w:rsidR="00B0365A" w:rsidRPr="00B0365A" w:rsidRDefault="00B0365A" w:rsidP="00B0365A">
      <w:pPr>
        <w:rPr>
          <w:b/>
          <w:bCs/>
        </w:rPr>
      </w:pPr>
      <w:r w:rsidRPr="00B0365A">
        <w:rPr>
          <w:b/>
          <w:bCs/>
        </w:rPr>
        <w:t>4.1 Selection Behavior (Probit Regressions)</w:t>
      </w:r>
    </w:p>
    <w:p w14:paraId="33695657" w14:textId="77777777" w:rsidR="00B0365A" w:rsidRPr="00B0365A" w:rsidRDefault="00B0365A" w:rsidP="00B0365A">
      <w:pPr>
        <w:numPr>
          <w:ilvl w:val="0"/>
          <w:numId w:val="6"/>
        </w:numPr>
      </w:pPr>
      <w:r w:rsidRPr="00B0365A">
        <w:rPr>
          <w:b/>
          <w:bCs/>
        </w:rPr>
        <w:t>Model Design</w:t>
      </w:r>
      <w:r w:rsidRPr="00B0365A">
        <w:t xml:space="preserve">: Probit regressions isolate the determinants of foreign VC participation and </w:t>
      </w:r>
      <w:proofErr w:type="gramStart"/>
      <w:r w:rsidRPr="00B0365A">
        <w:t>joint partnership</w:t>
      </w:r>
      <w:proofErr w:type="gramEnd"/>
      <w:r w:rsidRPr="00B0365A">
        <w:t xml:space="preserve"> formation at both financing round and firm levels.</w:t>
      </w:r>
    </w:p>
    <w:p w14:paraId="6B2215D4" w14:textId="77777777" w:rsidR="00B0365A" w:rsidRPr="00B0365A" w:rsidRDefault="00B0365A" w:rsidP="00B0365A">
      <w:pPr>
        <w:numPr>
          <w:ilvl w:val="0"/>
          <w:numId w:val="6"/>
        </w:numPr>
      </w:pPr>
      <w:r w:rsidRPr="00B0365A">
        <w:rPr>
          <w:b/>
          <w:bCs/>
        </w:rPr>
        <w:t>H1 Confirmation</w:t>
      </w:r>
      <w:r w:rsidRPr="00B0365A">
        <w:t>: Standalone foreign VCs are significantly less likely to invest in </w:t>
      </w:r>
      <w:r w:rsidRPr="00B0365A">
        <w:rPr>
          <w:b/>
          <w:bCs/>
        </w:rPr>
        <w:t>Round 1</w:t>
      </w:r>
      <w:r w:rsidRPr="00B0365A">
        <w:t> (-4.5%), </w:t>
      </w:r>
      <w:r w:rsidRPr="00B0365A">
        <w:rPr>
          <w:b/>
          <w:bCs/>
        </w:rPr>
        <w:t>Startup/</w:t>
      </w:r>
      <w:proofErr w:type="spellStart"/>
      <w:r w:rsidRPr="00B0365A">
        <w:rPr>
          <w:b/>
          <w:bCs/>
        </w:rPr>
        <w:t>Seed</w:t>
      </w:r>
      <w:r w:rsidRPr="00B0365A">
        <w:t>stages</w:t>
      </w:r>
      <w:proofErr w:type="spellEnd"/>
      <w:r w:rsidRPr="00B0365A">
        <w:t xml:space="preserve"> (-12.6% round, -27.4% firm), and </w:t>
      </w:r>
      <w:r w:rsidRPr="00B0365A">
        <w:rPr>
          <w:b/>
          <w:bCs/>
        </w:rPr>
        <w:t>Early Stage</w:t>
      </w:r>
      <w:r w:rsidRPr="00B0365A">
        <w:t> (-5.8% round, -16.1% firm).</w:t>
      </w:r>
    </w:p>
    <w:p w14:paraId="15AC5822" w14:textId="77777777" w:rsidR="00B0365A" w:rsidRPr="00B0365A" w:rsidRDefault="00B0365A" w:rsidP="00B0365A">
      <w:pPr>
        <w:numPr>
          <w:ilvl w:val="0"/>
          <w:numId w:val="6"/>
        </w:numPr>
      </w:pPr>
      <w:r w:rsidRPr="00B0365A">
        <w:rPr>
          <w:b/>
          <w:bCs/>
        </w:rPr>
        <w:t>H3a Confirmation</w:t>
      </w:r>
      <w:r w:rsidRPr="00B0365A">
        <w:t>: Joint local-foreign investment significantly increases participation in Startup/Seed (+10.3% round, +23.1% firm), Early Stage (+11.7% round, +16.1% firm), and tech sectors (</w:t>
      </w:r>
      <w:r w:rsidRPr="00B0365A">
        <w:rPr>
          <w:b/>
          <w:bCs/>
        </w:rPr>
        <w:t>Semiconductor</w:t>
      </w:r>
      <w:r w:rsidRPr="00B0365A">
        <w:t> +12.9% to +16.0%; </w:t>
      </w:r>
      <w:r w:rsidRPr="00B0365A">
        <w:rPr>
          <w:b/>
          <w:bCs/>
        </w:rPr>
        <w:t>Biotech</w:t>
      </w:r>
      <w:r w:rsidRPr="00B0365A">
        <w:t> +36.7% round).</w:t>
      </w:r>
    </w:p>
    <w:p w14:paraId="0FBDDC68" w14:textId="77777777" w:rsidR="00B0365A" w:rsidRPr="00B0365A" w:rsidRDefault="00B0365A" w:rsidP="00B0365A">
      <w:pPr>
        <w:numPr>
          <w:ilvl w:val="0"/>
          <w:numId w:val="6"/>
        </w:numPr>
      </w:pPr>
      <w:r w:rsidRPr="00B0365A">
        <w:rPr>
          <w:b/>
          <w:bCs/>
        </w:rPr>
        <w:t>H2a Confirmation</w:t>
      </w:r>
      <w:r w:rsidRPr="00B0365A">
        <w:t>: Both geographic distance (p &lt; 0.01) and cultural distance (p &lt; 0.05) significantly diminish the probability of foreign-local partnership formation.</w:t>
      </w:r>
    </w:p>
    <w:p w14:paraId="01BD4346" w14:textId="77777777" w:rsidR="00B0365A" w:rsidRPr="00B0365A" w:rsidRDefault="00B0365A" w:rsidP="00B0365A">
      <w:pPr>
        <w:numPr>
          <w:ilvl w:val="0"/>
          <w:numId w:val="6"/>
        </w:numPr>
      </w:pPr>
      <w:r w:rsidRPr="00B0365A">
        <w:rPr>
          <w:b/>
          <w:bCs/>
        </w:rPr>
        <w:t>Institutional Determinants</w:t>
      </w:r>
      <w:r w:rsidRPr="00B0365A">
        <w:t>: Higher host-country legality index and stock market development metrics significantly increase overall foreign VC entry (p &lt; 0.01).</w:t>
      </w:r>
    </w:p>
    <w:p w14:paraId="54CA7E77" w14:textId="77777777" w:rsidR="00B0365A" w:rsidRPr="00B0365A" w:rsidRDefault="00B0365A" w:rsidP="00B0365A">
      <w:r w:rsidRPr="00B0365A">
        <w:rPr>
          <w:b/>
          <w:bCs/>
        </w:rPr>
        <w:t>Takeaway: Regression models prove foreign VCs systematically avoid early and high-tech risks unless paired with a local partner to mitigate distance-induced information asymmetry.</w:t>
      </w:r>
    </w:p>
    <w:p w14:paraId="7762713F" w14:textId="77777777" w:rsidR="00B0365A" w:rsidRPr="00B0365A" w:rsidRDefault="00B0365A" w:rsidP="00B0365A">
      <w:pPr>
        <w:rPr>
          <w:b/>
          <w:bCs/>
        </w:rPr>
      </w:pPr>
      <w:r w:rsidRPr="00B0365A">
        <w:rPr>
          <w:b/>
          <w:bCs/>
        </w:rPr>
        <w:t>4.2 Exit Performance (Hazard &amp; Probit Models)</w:t>
      </w:r>
    </w:p>
    <w:p w14:paraId="169F82D0" w14:textId="77777777" w:rsidR="00B0365A" w:rsidRPr="00B0365A" w:rsidRDefault="00B0365A" w:rsidP="00B0365A">
      <w:pPr>
        <w:numPr>
          <w:ilvl w:val="0"/>
          <w:numId w:val="7"/>
        </w:numPr>
      </w:pPr>
      <w:r w:rsidRPr="00B0365A">
        <w:rPr>
          <w:b/>
          <w:bCs/>
        </w:rPr>
        <w:t>Model Design</w:t>
      </w:r>
      <w:r w:rsidRPr="00B0365A">
        <w:t>: Utilizes </w:t>
      </w:r>
      <w:r w:rsidRPr="00B0365A">
        <w:rPr>
          <w:b/>
          <w:bCs/>
        </w:rPr>
        <w:t>Competing Risk Models</w:t>
      </w:r>
      <w:r w:rsidRPr="00B0365A">
        <w:t>, </w:t>
      </w:r>
      <w:r w:rsidRPr="00B0365A">
        <w:rPr>
          <w:b/>
          <w:bCs/>
        </w:rPr>
        <w:t>Cox Proportional Hazard Models</w:t>
      </w:r>
      <w:r w:rsidRPr="00B0365A">
        <w:t>, and firm-level probit models measuring successful exits (IPOs and M&amp;As with reported valuation data).</w:t>
      </w:r>
    </w:p>
    <w:p w14:paraId="006A21E2" w14:textId="77777777" w:rsidR="00B0365A" w:rsidRPr="00B0365A" w:rsidRDefault="00B0365A" w:rsidP="00B0365A">
      <w:pPr>
        <w:numPr>
          <w:ilvl w:val="0"/>
          <w:numId w:val="7"/>
        </w:numPr>
      </w:pPr>
      <w:r w:rsidRPr="00B0365A">
        <w:rPr>
          <w:b/>
          <w:bCs/>
        </w:rPr>
        <w:t>H2b Confirmation</w:t>
      </w:r>
      <w:r w:rsidRPr="00B0365A">
        <w:t>: Cultural distance exerts a robust negative impact on round-level exit hazard rates (p &lt; 0.01).</w:t>
      </w:r>
    </w:p>
    <w:p w14:paraId="02A2970C" w14:textId="77777777" w:rsidR="00B0365A" w:rsidRPr="00B0365A" w:rsidRDefault="00B0365A" w:rsidP="00B0365A">
      <w:pPr>
        <w:numPr>
          <w:ilvl w:val="0"/>
          <w:numId w:val="7"/>
        </w:numPr>
      </w:pPr>
      <w:r w:rsidRPr="00B0365A">
        <w:rPr>
          <w:b/>
          <w:bCs/>
        </w:rPr>
        <w:lastRenderedPageBreak/>
        <w:t>H3b Confirmation</w:t>
      </w:r>
      <w:r w:rsidRPr="00B0365A">
        <w:t>: Firm-level probit models demonstrate that joint foreign-local backing increases successful exit likelihood by 5.7% to 9.0% (p &lt; 0.05) over foreign-only or local-only backing.</w:t>
      </w:r>
    </w:p>
    <w:p w14:paraId="328966D3" w14:textId="77777777" w:rsidR="00B0365A" w:rsidRPr="00B0365A" w:rsidRDefault="00B0365A" w:rsidP="00B0365A">
      <w:pPr>
        <w:numPr>
          <w:ilvl w:val="0"/>
          <w:numId w:val="7"/>
        </w:numPr>
      </w:pPr>
      <w:r w:rsidRPr="00B0365A">
        <w:rPr>
          <w:b/>
          <w:bCs/>
        </w:rPr>
        <w:t>Syndicate Size Isolation</w:t>
      </w:r>
      <w:r w:rsidRPr="00B0365A">
        <w:t>: Controlling for syndicate scale (2 investors, 3+ investors) yields negative interaction coefficients (-0.081 to -0.107 for 2 investors; -0.038 for 3+ investors), while the joint foreign-local interaction remains positive and statistically significant (p &lt; 0.05).</w:t>
      </w:r>
    </w:p>
    <w:p w14:paraId="5C3A8C38" w14:textId="77777777" w:rsidR="00B0365A" w:rsidRPr="00B0365A" w:rsidRDefault="00B0365A" w:rsidP="00B0365A">
      <w:r w:rsidRPr="00B0365A">
        <w:rPr>
          <w:b/>
          <w:bCs/>
        </w:rPr>
        <w:t>Takeaway: The exit premium of cross-border syndicates stems specifically from foreign-local complementary capabilities, not merely from having a higher number of syndicate members.</w:t>
      </w:r>
    </w:p>
    <w:p w14:paraId="4D22308C" w14:textId="77777777" w:rsidR="00B0365A" w:rsidRPr="00B0365A" w:rsidRDefault="00B0365A" w:rsidP="00B0365A">
      <w:pPr>
        <w:rPr>
          <w:b/>
          <w:bCs/>
        </w:rPr>
      </w:pPr>
      <w:r w:rsidRPr="00B0365A">
        <w:rPr>
          <w:b/>
          <w:bCs/>
        </w:rPr>
        <w:t>4.3 Endogeneity Control: Propensity Score Matching</w:t>
      </w:r>
    </w:p>
    <w:p w14:paraId="33AD582E" w14:textId="77777777" w:rsidR="00B0365A" w:rsidRPr="00B0365A" w:rsidRDefault="00B0365A" w:rsidP="00B0365A">
      <w:pPr>
        <w:numPr>
          <w:ilvl w:val="0"/>
          <w:numId w:val="8"/>
        </w:numPr>
      </w:pPr>
      <w:r w:rsidRPr="00B0365A">
        <w:rPr>
          <w:b/>
          <w:bCs/>
        </w:rPr>
        <w:t>Selection Bias Challenge</w:t>
      </w:r>
      <w:r w:rsidRPr="00B0365A">
        <w:t>: Experienced, high-reputation VCs naturally attract higher-quality deals, creating potential endogeneity in observed performance.</w:t>
      </w:r>
    </w:p>
    <w:p w14:paraId="1C1CB714" w14:textId="77777777" w:rsidR="00B0365A" w:rsidRPr="00B0365A" w:rsidRDefault="00B0365A" w:rsidP="00B0365A">
      <w:pPr>
        <w:numPr>
          <w:ilvl w:val="0"/>
          <w:numId w:val="8"/>
        </w:numPr>
      </w:pPr>
      <w:r w:rsidRPr="00B0365A">
        <w:rPr>
          <w:b/>
          <w:bCs/>
        </w:rPr>
        <w:t>Matching Methodology</w:t>
      </w:r>
      <w:r w:rsidRPr="00B0365A">
        <w:t>: Applies non-parametric matching using </w:t>
      </w:r>
      <w:r w:rsidRPr="00B0365A">
        <w:rPr>
          <w:b/>
          <w:bCs/>
        </w:rPr>
        <w:t>Nearest Neighbor</w:t>
      </w:r>
      <w:r w:rsidRPr="00B0365A">
        <w:t>, </w:t>
      </w:r>
      <w:r w:rsidRPr="00B0365A">
        <w:rPr>
          <w:b/>
          <w:bCs/>
        </w:rPr>
        <w:t>Radius</w:t>
      </w:r>
      <w:r w:rsidRPr="00B0365A">
        <w:t>, and </w:t>
      </w:r>
      <w:proofErr w:type="spellStart"/>
      <w:r w:rsidRPr="00B0365A">
        <w:rPr>
          <w:b/>
          <w:bCs/>
        </w:rPr>
        <w:t>Kernel</w:t>
      </w:r>
      <w:r w:rsidRPr="00B0365A">
        <w:t>algorithms</w:t>
      </w:r>
      <w:proofErr w:type="spellEnd"/>
      <w:r w:rsidRPr="00B0365A">
        <w:t xml:space="preserve"> to pair ventures with identical baseline propensity scores.</w:t>
      </w:r>
    </w:p>
    <w:p w14:paraId="14A82FFE" w14:textId="77777777" w:rsidR="00B0365A" w:rsidRPr="00B0365A" w:rsidRDefault="00B0365A" w:rsidP="00B0365A">
      <w:pPr>
        <w:numPr>
          <w:ilvl w:val="0"/>
          <w:numId w:val="8"/>
        </w:numPr>
      </w:pPr>
      <w:r w:rsidRPr="00B0365A">
        <w:rPr>
          <w:b/>
          <w:bCs/>
        </w:rPr>
        <w:t>Matched Empirical Results</w:t>
      </w:r>
      <w:r w:rsidRPr="00B0365A">
        <w:t>: Joint foreign-local backing yields a +4.9% to +5.2% higher IPO rate and +7.7% to +7.9% higher overall exit rate over domestic-only backing (p &lt; 0.01), alongside a +5.2% to +5.5% higher IPO rate and +7.3% to +10.5% higher overall exit rate over foreign-only backing (p &lt; 0.05).</w:t>
      </w:r>
    </w:p>
    <w:p w14:paraId="1345DFD2" w14:textId="77777777" w:rsidR="00B0365A" w:rsidRPr="00B0365A" w:rsidRDefault="00B0365A" w:rsidP="00B0365A">
      <w:r w:rsidRPr="00B0365A">
        <w:rPr>
          <w:b/>
          <w:bCs/>
        </w:rPr>
        <w:t>Takeaway: Propensity score matching confirms that the 5%+ exit advantage of foreign-local partnerships is a causal structural effect, not an artifact of deal-selection bias.</w:t>
      </w:r>
    </w:p>
    <w:p w14:paraId="7AA825C5" w14:textId="77777777" w:rsidR="00B0365A" w:rsidRPr="00B0365A" w:rsidRDefault="00B0365A" w:rsidP="00B0365A">
      <w:pPr>
        <w:rPr>
          <w:b/>
          <w:bCs/>
        </w:rPr>
      </w:pPr>
      <w:r w:rsidRPr="00B0365A">
        <w:rPr>
          <w:b/>
          <w:bCs/>
        </w:rPr>
        <w:t>5. Summary of Core Hypotheses and Empirical Results</w:t>
      </w:r>
    </w:p>
    <w:p w14:paraId="1FBDF665" w14:textId="77777777" w:rsidR="00B0365A" w:rsidRPr="00B0365A" w:rsidRDefault="00B0365A" w:rsidP="00B0365A">
      <w:r w:rsidRPr="00B0365A">
        <w:t>Econometric testing validates that cross-border private equity performance depends on overcoming spatial and cultural market failures through localized partnership structures.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46"/>
        <w:gridCol w:w="2716"/>
        <w:gridCol w:w="4002"/>
        <w:gridCol w:w="1180"/>
      </w:tblGrid>
      <w:tr w:rsidR="00B0365A" w:rsidRPr="00B0365A" w14:paraId="1658C6DB" w14:textId="77777777" w:rsidTr="00FB2712">
        <w:tc>
          <w:tcPr>
            <w:tcW w:w="733" w:type="pct"/>
            <w:tcBorders>
              <w:top w:val="outset" w:sz="6" w:space="0" w:color="auto"/>
              <w:left w:val="outset" w:sz="6" w:space="0" w:color="auto"/>
              <w:bottom w:val="outset" w:sz="6" w:space="0" w:color="auto"/>
              <w:right w:val="outset" w:sz="6" w:space="0" w:color="auto"/>
            </w:tcBorders>
            <w:vAlign w:val="center"/>
            <w:hideMark/>
          </w:tcPr>
          <w:p w14:paraId="55A255E2" w14:textId="77777777" w:rsidR="00B0365A" w:rsidRPr="00B0365A" w:rsidRDefault="00B0365A" w:rsidP="00B0365A">
            <w:r w:rsidRPr="00B0365A">
              <w:t>Hypothesis</w:t>
            </w:r>
          </w:p>
        </w:tc>
        <w:tc>
          <w:tcPr>
            <w:tcW w:w="1539" w:type="pct"/>
            <w:tcBorders>
              <w:top w:val="outset" w:sz="6" w:space="0" w:color="auto"/>
              <w:left w:val="outset" w:sz="6" w:space="0" w:color="auto"/>
              <w:bottom w:val="outset" w:sz="6" w:space="0" w:color="auto"/>
              <w:right w:val="outset" w:sz="6" w:space="0" w:color="auto"/>
            </w:tcBorders>
            <w:vAlign w:val="center"/>
            <w:hideMark/>
          </w:tcPr>
          <w:p w14:paraId="4FC5AD18" w14:textId="77777777" w:rsidR="00B0365A" w:rsidRPr="00B0365A" w:rsidRDefault="00B0365A" w:rsidP="00B0365A">
            <w:r w:rsidRPr="00B0365A">
              <w:t>Proposed Mechanism</w:t>
            </w:r>
          </w:p>
        </w:tc>
        <w:tc>
          <w:tcPr>
            <w:tcW w:w="2227" w:type="pct"/>
            <w:tcBorders>
              <w:top w:val="outset" w:sz="6" w:space="0" w:color="auto"/>
              <w:left w:val="outset" w:sz="6" w:space="0" w:color="auto"/>
              <w:bottom w:val="outset" w:sz="6" w:space="0" w:color="auto"/>
              <w:right w:val="outset" w:sz="6" w:space="0" w:color="auto"/>
            </w:tcBorders>
            <w:vAlign w:val="center"/>
            <w:hideMark/>
          </w:tcPr>
          <w:p w14:paraId="6D8E646E" w14:textId="77777777" w:rsidR="00B0365A" w:rsidRPr="00B0365A" w:rsidRDefault="00B0365A" w:rsidP="00B0365A">
            <w:r w:rsidRPr="00B0365A">
              <w:t>Empirical Finding</w:t>
            </w:r>
          </w:p>
        </w:tc>
        <w:tc>
          <w:tcPr>
            <w:tcW w:w="502" w:type="pct"/>
            <w:tcBorders>
              <w:top w:val="outset" w:sz="6" w:space="0" w:color="auto"/>
              <w:left w:val="outset" w:sz="6" w:space="0" w:color="auto"/>
              <w:bottom w:val="outset" w:sz="6" w:space="0" w:color="auto"/>
              <w:right w:val="outset" w:sz="6" w:space="0" w:color="auto"/>
            </w:tcBorders>
            <w:vAlign w:val="center"/>
            <w:hideMark/>
          </w:tcPr>
          <w:p w14:paraId="0AAFD3B0" w14:textId="77777777" w:rsidR="00B0365A" w:rsidRPr="00B0365A" w:rsidRDefault="00B0365A" w:rsidP="00B0365A">
            <w:r w:rsidRPr="00B0365A">
              <w:t>Status</w:t>
            </w:r>
          </w:p>
        </w:tc>
      </w:tr>
      <w:tr w:rsidR="00B0365A" w:rsidRPr="00B0365A" w14:paraId="46C1C39B" w14:textId="77777777" w:rsidTr="00FB2712">
        <w:tc>
          <w:tcPr>
            <w:tcW w:w="733" w:type="pct"/>
            <w:tcBorders>
              <w:top w:val="outset" w:sz="6" w:space="0" w:color="auto"/>
              <w:left w:val="outset" w:sz="6" w:space="0" w:color="auto"/>
              <w:bottom w:val="outset" w:sz="6" w:space="0" w:color="auto"/>
              <w:right w:val="outset" w:sz="6" w:space="0" w:color="auto"/>
            </w:tcBorders>
            <w:vAlign w:val="center"/>
            <w:hideMark/>
          </w:tcPr>
          <w:p w14:paraId="66D170B6" w14:textId="77777777" w:rsidR="00B0365A" w:rsidRPr="00B0365A" w:rsidRDefault="00B0365A" w:rsidP="00B0365A">
            <w:r w:rsidRPr="00B0365A">
              <w:rPr>
                <w:b/>
                <w:bCs/>
              </w:rPr>
              <w:t>H1: Selection</w:t>
            </w:r>
          </w:p>
        </w:tc>
        <w:tc>
          <w:tcPr>
            <w:tcW w:w="1539" w:type="pct"/>
            <w:tcBorders>
              <w:top w:val="outset" w:sz="6" w:space="0" w:color="auto"/>
              <w:left w:val="outset" w:sz="6" w:space="0" w:color="auto"/>
              <w:bottom w:val="outset" w:sz="6" w:space="0" w:color="auto"/>
              <w:right w:val="outset" w:sz="6" w:space="0" w:color="auto"/>
            </w:tcBorders>
            <w:vAlign w:val="center"/>
            <w:hideMark/>
          </w:tcPr>
          <w:p w14:paraId="0BDDD5F4" w14:textId="77777777" w:rsidR="00B0365A" w:rsidRPr="00B0365A" w:rsidRDefault="00B0365A" w:rsidP="00B0365A">
            <w:r w:rsidRPr="00B0365A">
              <w:t>Foreign VCs avoid opaque firms due to geographic friction</w:t>
            </w:r>
          </w:p>
        </w:tc>
        <w:tc>
          <w:tcPr>
            <w:tcW w:w="2227" w:type="pct"/>
            <w:tcBorders>
              <w:top w:val="outset" w:sz="6" w:space="0" w:color="auto"/>
              <w:left w:val="outset" w:sz="6" w:space="0" w:color="auto"/>
              <w:bottom w:val="outset" w:sz="6" w:space="0" w:color="auto"/>
              <w:right w:val="outset" w:sz="6" w:space="0" w:color="auto"/>
            </w:tcBorders>
            <w:vAlign w:val="center"/>
            <w:hideMark/>
          </w:tcPr>
          <w:p w14:paraId="5865B154" w14:textId="77777777" w:rsidR="00B0365A" w:rsidRPr="00B0365A" w:rsidRDefault="00B0365A" w:rsidP="00B0365A">
            <w:r w:rsidRPr="00B0365A">
              <w:t>Foreign VCs favor later stages, larger rounds, and non-tech sectors when acting alone</w:t>
            </w:r>
          </w:p>
        </w:tc>
        <w:tc>
          <w:tcPr>
            <w:tcW w:w="502" w:type="pct"/>
            <w:tcBorders>
              <w:top w:val="outset" w:sz="6" w:space="0" w:color="auto"/>
              <w:left w:val="outset" w:sz="6" w:space="0" w:color="auto"/>
              <w:bottom w:val="outset" w:sz="6" w:space="0" w:color="auto"/>
              <w:right w:val="outset" w:sz="6" w:space="0" w:color="auto"/>
            </w:tcBorders>
            <w:vAlign w:val="center"/>
            <w:hideMark/>
          </w:tcPr>
          <w:p w14:paraId="5050CC7D" w14:textId="77777777" w:rsidR="00B0365A" w:rsidRPr="00B0365A" w:rsidRDefault="00B0365A" w:rsidP="00B0365A">
            <w:r w:rsidRPr="00B0365A">
              <w:rPr>
                <w:b/>
                <w:bCs/>
              </w:rPr>
              <w:t>Supported</w:t>
            </w:r>
          </w:p>
        </w:tc>
      </w:tr>
      <w:tr w:rsidR="00B0365A" w:rsidRPr="00B0365A" w14:paraId="2038F535" w14:textId="77777777" w:rsidTr="00FB2712">
        <w:tc>
          <w:tcPr>
            <w:tcW w:w="733" w:type="pct"/>
            <w:tcBorders>
              <w:top w:val="outset" w:sz="6" w:space="0" w:color="auto"/>
              <w:left w:val="outset" w:sz="6" w:space="0" w:color="auto"/>
              <w:bottom w:val="outset" w:sz="6" w:space="0" w:color="auto"/>
              <w:right w:val="outset" w:sz="6" w:space="0" w:color="auto"/>
            </w:tcBorders>
            <w:vAlign w:val="center"/>
            <w:hideMark/>
          </w:tcPr>
          <w:p w14:paraId="1279F63D" w14:textId="77777777" w:rsidR="00B0365A" w:rsidRPr="00B0365A" w:rsidRDefault="00B0365A" w:rsidP="00B0365A">
            <w:r w:rsidRPr="00B0365A">
              <w:rPr>
                <w:b/>
                <w:bCs/>
              </w:rPr>
              <w:lastRenderedPageBreak/>
              <w:t>H2a: Alliance</w:t>
            </w:r>
          </w:p>
        </w:tc>
        <w:tc>
          <w:tcPr>
            <w:tcW w:w="1539" w:type="pct"/>
            <w:tcBorders>
              <w:top w:val="outset" w:sz="6" w:space="0" w:color="auto"/>
              <w:left w:val="outset" w:sz="6" w:space="0" w:color="auto"/>
              <w:bottom w:val="outset" w:sz="6" w:space="0" w:color="auto"/>
              <w:right w:val="outset" w:sz="6" w:space="0" w:color="auto"/>
            </w:tcBorders>
            <w:vAlign w:val="center"/>
            <w:hideMark/>
          </w:tcPr>
          <w:p w14:paraId="6BE84F55" w14:textId="77777777" w:rsidR="00B0365A" w:rsidRPr="00B0365A" w:rsidRDefault="00B0365A" w:rsidP="00B0365A">
            <w:r w:rsidRPr="00B0365A">
              <w:t>Cultural distance breeds distrust, inhibiting partnerships</w:t>
            </w:r>
          </w:p>
        </w:tc>
        <w:tc>
          <w:tcPr>
            <w:tcW w:w="2227" w:type="pct"/>
            <w:tcBorders>
              <w:top w:val="outset" w:sz="6" w:space="0" w:color="auto"/>
              <w:left w:val="outset" w:sz="6" w:space="0" w:color="auto"/>
              <w:bottom w:val="outset" w:sz="6" w:space="0" w:color="auto"/>
              <w:right w:val="outset" w:sz="6" w:space="0" w:color="auto"/>
            </w:tcBorders>
            <w:vAlign w:val="center"/>
            <w:hideMark/>
          </w:tcPr>
          <w:p w14:paraId="4A387387" w14:textId="77777777" w:rsidR="00B0365A" w:rsidRPr="00B0365A" w:rsidRDefault="00B0365A" w:rsidP="00B0365A">
            <w:r w:rsidRPr="00B0365A">
              <w:t>Higher Hofstede cultural distance significantly reduces foreign-local syndication</w:t>
            </w:r>
          </w:p>
        </w:tc>
        <w:tc>
          <w:tcPr>
            <w:tcW w:w="502" w:type="pct"/>
            <w:tcBorders>
              <w:top w:val="outset" w:sz="6" w:space="0" w:color="auto"/>
              <w:left w:val="outset" w:sz="6" w:space="0" w:color="auto"/>
              <w:bottom w:val="outset" w:sz="6" w:space="0" w:color="auto"/>
              <w:right w:val="outset" w:sz="6" w:space="0" w:color="auto"/>
            </w:tcBorders>
            <w:vAlign w:val="center"/>
            <w:hideMark/>
          </w:tcPr>
          <w:p w14:paraId="72B4E16D" w14:textId="77777777" w:rsidR="00B0365A" w:rsidRPr="00B0365A" w:rsidRDefault="00B0365A" w:rsidP="00B0365A">
            <w:r w:rsidRPr="00B0365A">
              <w:rPr>
                <w:b/>
                <w:bCs/>
              </w:rPr>
              <w:t>Supported</w:t>
            </w:r>
          </w:p>
        </w:tc>
      </w:tr>
      <w:tr w:rsidR="00B0365A" w:rsidRPr="00B0365A" w14:paraId="3A8DACBF" w14:textId="77777777" w:rsidTr="00FB2712">
        <w:tc>
          <w:tcPr>
            <w:tcW w:w="733" w:type="pct"/>
            <w:tcBorders>
              <w:top w:val="outset" w:sz="6" w:space="0" w:color="auto"/>
              <w:left w:val="outset" w:sz="6" w:space="0" w:color="auto"/>
              <w:bottom w:val="outset" w:sz="6" w:space="0" w:color="auto"/>
              <w:right w:val="outset" w:sz="6" w:space="0" w:color="auto"/>
            </w:tcBorders>
            <w:vAlign w:val="center"/>
            <w:hideMark/>
          </w:tcPr>
          <w:p w14:paraId="4423A73A" w14:textId="77777777" w:rsidR="00B0365A" w:rsidRPr="00B0365A" w:rsidRDefault="00B0365A" w:rsidP="00B0365A">
            <w:r w:rsidRPr="00B0365A">
              <w:rPr>
                <w:b/>
                <w:bCs/>
              </w:rPr>
              <w:t>H2b: Exit</w:t>
            </w:r>
          </w:p>
        </w:tc>
        <w:tc>
          <w:tcPr>
            <w:tcW w:w="1539" w:type="pct"/>
            <w:tcBorders>
              <w:top w:val="outset" w:sz="6" w:space="0" w:color="auto"/>
              <w:left w:val="outset" w:sz="6" w:space="0" w:color="auto"/>
              <w:bottom w:val="outset" w:sz="6" w:space="0" w:color="auto"/>
              <w:right w:val="outset" w:sz="6" w:space="0" w:color="auto"/>
            </w:tcBorders>
            <w:vAlign w:val="center"/>
            <w:hideMark/>
          </w:tcPr>
          <w:p w14:paraId="26D34605" w14:textId="77777777" w:rsidR="00B0365A" w:rsidRPr="00B0365A" w:rsidRDefault="00B0365A" w:rsidP="00B0365A">
            <w:r w:rsidRPr="00B0365A">
              <w:t>Cultural disparity impairs governance and performance</w:t>
            </w:r>
          </w:p>
        </w:tc>
        <w:tc>
          <w:tcPr>
            <w:tcW w:w="2227" w:type="pct"/>
            <w:tcBorders>
              <w:top w:val="outset" w:sz="6" w:space="0" w:color="auto"/>
              <w:left w:val="outset" w:sz="6" w:space="0" w:color="auto"/>
              <w:bottom w:val="outset" w:sz="6" w:space="0" w:color="auto"/>
              <w:right w:val="outset" w:sz="6" w:space="0" w:color="auto"/>
            </w:tcBorders>
            <w:vAlign w:val="center"/>
            <w:hideMark/>
          </w:tcPr>
          <w:p w14:paraId="12320184" w14:textId="77777777" w:rsidR="00B0365A" w:rsidRPr="00B0365A" w:rsidRDefault="00B0365A" w:rsidP="00B0365A">
            <w:r w:rsidRPr="00B0365A">
              <w:t>Cultural distance between foreign VC and venture inversely impacts exit success</w:t>
            </w:r>
          </w:p>
        </w:tc>
        <w:tc>
          <w:tcPr>
            <w:tcW w:w="502" w:type="pct"/>
            <w:tcBorders>
              <w:top w:val="outset" w:sz="6" w:space="0" w:color="auto"/>
              <w:left w:val="outset" w:sz="6" w:space="0" w:color="auto"/>
              <w:bottom w:val="outset" w:sz="6" w:space="0" w:color="auto"/>
              <w:right w:val="outset" w:sz="6" w:space="0" w:color="auto"/>
            </w:tcBorders>
            <w:vAlign w:val="center"/>
            <w:hideMark/>
          </w:tcPr>
          <w:p w14:paraId="2370D44F" w14:textId="77777777" w:rsidR="00B0365A" w:rsidRPr="00B0365A" w:rsidRDefault="00B0365A" w:rsidP="00B0365A">
            <w:r w:rsidRPr="00B0365A">
              <w:rPr>
                <w:b/>
                <w:bCs/>
              </w:rPr>
              <w:t>Supported</w:t>
            </w:r>
          </w:p>
        </w:tc>
      </w:tr>
      <w:tr w:rsidR="00B0365A" w:rsidRPr="00B0365A" w14:paraId="7962427D" w14:textId="77777777" w:rsidTr="00FB2712">
        <w:tc>
          <w:tcPr>
            <w:tcW w:w="733" w:type="pct"/>
            <w:tcBorders>
              <w:top w:val="outset" w:sz="6" w:space="0" w:color="auto"/>
              <w:left w:val="outset" w:sz="6" w:space="0" w:color="auto"/>
              <w:bottom w:val="outset" w:sz="6" w:space="0" w:color="auto"/>
              <w:right w:val="outset" w:sz="6" w:space="0" w:color="auto"/>
            </w:tcBorders>
            <w:vAlign w:val="center"/>
            <w:hideMark/>
          </w:tcPr>
          <w:p w14:paraId="6828F141" w14:textId="77777777" w:rsidR="00B0365A" w:rsidRPr="00B0365A" w:rsidRDefault="00B0365A" w:rsidP="00B0365A">
            <w:r w:rsidRPr="00B0365A">
              <w:rPr>
                <w:b/>
                <w:bCs/>
              </w:rPr>
              <w:t>H3a: Mitigation</w:t>
            </w:r>
          </w:p>
        </w:tc>
        <w:tc>
          <w:tcPr>
            <w:tcW w:w="1539" w:type="pct"/>
            <w:tcBorders>
              <w:top w:val="outset" w:sz="6" w:space="0" w:color="auto"/>
              <w:left w:val="outset" w:sz="6" w:space="0" w:color="auto"/>
              <w:bottom w:val="outset" w:sz="6" w:space="0" w:color="auto"/>
              <w:right w:val="outset" w:sz="6" w:space="0" w:color="auto"/>
            </w:tcBorders>
            <w:vAlign w:val="center"/>
            <w:hideMark/>
          </w:tcPr>
          <w:p w14:paraId="05BC2A9A" w14:textId="77777777" w:rsidR="00B0365A" w:rsidRPr="00B0365A" w:rsidRDefault="00B0365A" w:rsidP="00B0365A">
            <w:r w:rsidRPr="00B0365A">
              <w:t>Local partnership offsets information asymmetry</w:t>
            </w:r>
          </w:p>
        </w:tc>
        <w:tc>
          <w:tcPr>
            <w:tcW w:w="2227" w:type="pct"/>
            <w:tcBorders>
              <w:top w:val="outset" w:sz="6" w:space="0" w:color="auto"/>
              <w:left w:val="outset" w:sz="6" w:space="0" w:color="auto"/>
              <w:bottom w:val="outset" w:sz="6" w:space="0" w:color="auto"/>
              <w:right w:val="outset" w:sz="6" w:space="0" w:color="auto"/>
            </w:tcBorders>
            <w:vAlign w:val="center"/>
            <w:hideMark/>
          </w:tcPr>
          <w:p w14:paraId="1EBAFD36" w14:textId="77777777" w:rsidR="00B0365A" w:rsidRPr="00B0365A" w:rsidRDefault="00B0365A" w:rsidP="00B0365A">
            <w:r w:rsidRPr="00B0365A">
              <w:t>Joint investments significantly increase early-stage and high-tech venture exposure</w:t>
            </w:r>
          </w:p>
        </w:tc>
        <w:tc>
          <w:tcPr>
            <w:tcW w:w="502" w:type="pct"/>
            <w:tcBorders>
              <w:top w:val="outset" w:sz="6" w:space="0" w:color="auto"/>
              <w:left w:val="outset" w:sz="6" w:space="0" w:color="auto"/>
              <w:bottom w:val="outset" w:sz="6" w:space="0" w:color="auto"/>
              <w:right w:val="outset" w:sz="6" w:space="0" w:color="auto"/>
            </w:tcBorders>
            <w:vAlign w:val="center"/>
            <w:hideMark/>
          </w:tcPr>
          <w:p w14:paraId="0690BAFD" w14:textId="77777777" w:rsidR="00B0365A" w:rsidRPr="00B0365A" w:rsidRDefault="00B0365A" w:rsidP="00B0365A">
            <w:r w:rsidRPr="00B0365A">
              <w:rPr>
                <w:b/>
                <w:bCs/>
              </w:rPr>
              <w:t>Supported</w:t>
            </w:r>
          </w:p>
        </w:tc>
      </w:tr>
      <w:tr w:rsidR="00B0365A" w:rsidRPr="00B0365A" w14:paraId="51817D00" w14:textId="77777777" w:rsidTr="00FB2712">
        <w:tc>
          <w:tcPr>
            <w:tcW w:w="733" w:type="pct"/>
            <w:tcBorders>
              <w:top w:val="outset" w:sz="6" w:space="0" w:color="auto"/>
              <w:left w:val="outset" w:sz="6" w:space="0" w:color="auto"/>
              <w:bottom w:val="outset" w:sz="6" w:space="0" w:color="auto"/>
              <w:right w:val="outset" w:sz="6" w:space="0" w:color="auto"/>
            </w:tcBorders>
            <w:vAlign w:val="center"/>
            <w:hideMark/>
          </w:tcPr>
          <w:p w14:paraId="499DB9A9" w14:textId="77777777" w:rsidR="00B0365A" w:rsidRPr="00B0365A" w:rsidRDefault="00B0365A" w:rsidP="00B0365A">
            <w:r w:rsidRPr="00B0365A">
              <w:rPr>
                <w:b/>
                <w:bCs/>
              </w:rPr>
              <w:t>H3b: Performance</w:t>
            </w:r>
          </w:p>
        </w:tc>
        <w:tc>
          <w:tcPr>
            <w:tcW w:w="1539" w:type="pct"/>
            <w:tcBorders>
              <w:top w:val="outset" w:sz="6" w:space="0" w:color="auto"/>
              <w:left w:val="outset" w:sz="6" w:space="0" w:color="auto"/>
              <w:bottom w:val="outset" w:sz="6" w:space="0" w:color="auto"/>
              <w:right w:val="outset" w:sz="6" w:space="0" w:color="auto"/>
            </w:tcBorders>
            <w:vAlign w:val="center"/>
            <w:hideMark/>
          </w:tcPr>
          <w:p w14:paraId="42E852CC" w14:textId="77777777" w:rsidR="00B0365A" w:rsidRPr="00B0365A" w:rsidRDefault="00B0365A" w:rsidP="00B0365A">
            <w:r w:rsidRPr="00B0365A">
              <w:t>Foreign-local synergy enhances value-add and exit rates</w:t>
            </w:r>
          </w:p>
        </w:tc>
        <w:tc>
          <w:tcPr>
            <w:tcW w:w="2227" w:type="pct"/>
            <w:tcBorders>
              <w:top w:val="outset" w:sz="6" w:space="0" w:color="auto"/>
              <w:left w:val="outset" w:sz="6" w:space="0" w:color="auto"/>
              <w:bottom w:val="outset" w:sz="6" w:space="0" w:color="auto"/>
              <w:right w:val="outset" w:sz="6" w:space="0" w:color="auto"/>
            </w:tcBorders>
            <w:vAlign w:val="center"/>
            <w:hideMark/>
          </w:tcPr>
          <w:p w14:paraId="65BD441C" w14:textId="77777777" w:rsidR="00B0365A" w:rsidRPr="00B0365A" w:rsidRDefault="00B0365A" w:rsidP="00B0365A">
            <w:r w:rsidRPr="00B0365A">
              <w:t>Joint foreign-local backing yields a ~5% net increase in successful IPO/M&amp;A exit probability</w:t>
            </w:r>
          </w:p>
        </w:tc>
        <w:tc>
          <w:tcPr>
            <w:tcW w:w="502" w:type="pct"/>
            <w:tcBorders>
              <w:top w:val="outset" w:sz="6" w:space="0" w:color="auto"/>
              <w:left w:val="outset" w:sz="6" w:space="0" w:color="auto"/>
              <w:bottom w:val="outset" w:sz="6" w:space="0" w:color="auto"/>
              <w:right w:val="outset" w:sz="6" w:space="0" w:color="auto"/>
            </w:tcBorders>
            <w:vAlign w:val="center"/>
            <w:hideMark/>
          </w:tcPr>
          <w:p w14:paraId="28EAC482" w14:textId="77777777" w:rsidR="00B0365A" w:rsidRPr="00B0365A" w:rsidRDefault="00B0365A" w:rsidP="00B0365A">
            <w:r w:rsidRPr="00B0365A">
              <w:rPr>
                <w:b/>
                <w:bCs/>
              </w:rPr>
              <w:t>Supported</w:t>
            </w:r>
          </w:p>
        </w:tc>
      </w:tr>
    </w:tbl>
    <w:p w14:paraId="6FA557AB" w14:textId="77777777" w:rsidR="00B0365A" w:rsidRPr="00B0365A" w:rsidRDefault="00B0365A" w:rsidP="00B0365A">
      <w:r w:rsidRPr="00B0365A">
        <w:rPr>
          <w:b/>
          <w:bCs/>
        </w:rPr>
        <w:t>Takeaway: Empirical testing fully validates that combining cross-border capital with local market embeddedness resolves spatial and cultural market failures.</w:t>
      </w:r>
    </w:p>
    <w:p w14:paraId="35211FD3" w14:textId="77777777" w:rsidR="00B0365A" w:rsidRPr="00B0365A" w:rsidRDefault="00B0365A" w:rsidP="00B0365A">
      <w:pPr>
        <w:rPr>
          <w:b/>
          <w:bCs/>
        </w:rPr>
      </w:pPr>
      <w:r w:rsidRPr="00B0365A">
        <w:rPr>
          <w:b/>
          <w:bCs/>
        </w:rPr>
        <w:t>6. Strategic Implications &amp; Study Limitations</w:t>
      </w:r>
    </w:p>
    <w:p w14:paraId="52CEC049" w14:textId="77777777" w:rsidR="00B0365A" w:rsidRPr="00B0365A" w:rsidRDefault="00B0365A" w:rsidP="00B0365A">
      <w:r w:rsidRPr="00B0365A">
        <w:t>These empirical findings offer strategic guidelines for international fund managers while defining dataset parameters for future scholarly inquiry.</w:t>
      </w:r>
    </w:p>
    <w:p w14:paraId="60B39A2B" w14:textId="77777777" w:rsidR="00B0365A" w:rsidRPr="00B0365A" w:rsidRDefault="00B0365A" w:rsidP="00B0365A">
      <w:pPr>
        <w:numPr>
          <w:ilvl w:val="0"/>
          <w:numId w:val="9"/>
        </w:numPr>
      </w:pPr>
      <w:r w:rsidRPr="00B0365A">
        <w:rPr>
          <w:b/>
          <w:bCs/>
        </w:rPr>
        <w:t>Practitioner Insight (Foreign VCs)</w:t>
      </w:r>
      <w:r w:rsidRPr="00B0365A">
        <w:t>: Avoid standalone entry into early-stage Asian tech markets; structure formal co-investment syndicates with established local VC partners.</w:t>
      </w:r>
    </w:p>
    <w:p w14:paraId="652E41CE" w14:textId="77777777" w:rsidR="00B0365A" w:rsidRPr="00B0365A" w:rsidRDefault="00B0365A" w:rsidP="00B0365A">
      <w:pPr>
        <w:numPr>
          <w:ilvl w:val="0"/>
          <w:numId w:val="9"/>
        </w:numPr>
      </w:pPr>
      <w:r w:rsidRPr="00B0365A">
        <w:rPr>
          <w:b/>
          <w:bCs/>
        </w:rPr>
        <w:t>Practitioner Insight (Entrepreneurs)</w:t>
      </w:r>
      <w:r w:rsidRPr="00B0365A">
        <w:t>: Target joint foreign-local VC syndicates to secure foreign capital scale and international IPO pathways while retaining domestic governance stability.</w:t>
      </w:r>
    </w:p>
    <w:p w14:paraId="3A9F620A" w14:textId="77777777" w:rsidR="00B0365A" w:rsidRPr="00B0365A" w:rsidRDefault="00B0365A" w:rsidP="00B0365A">
      <w:pPr>
        <w:numPr>
          <w:ilvl w:val="0"/>
          <w:numId w:val="9"/>
        </w:numPr>
      </w:pPr>
      <w:r w:rsidRPr="00B0365A">
        <w:rPr>
          <w:b/>
          <w:bCs/>
        </w:rPr>
        <w:t>Dataset Limitation</w:t>
      </w:r>
      <w:r w:rsidRPr="00B0365A">
        <w:t>: The </w:t>
      </w:r>
      <w:proofErr w:type="spellStart"/>
      <w:r w:rsidRPr="00B0365A">
        <w:rPr>
          <w:b/>
          <w:bCs/>
        </w:rPr>
        <w:t>VentureXpert</w:t>
      </w:r>
      <w:proofErr w:type="spellEnd"/>
      <w:r w:rsidRPr="00B0365A">
        <w:t> database over-represents US VCs and larger transactions while under-reporting smaller local VC investments in emerging Asian markets.</w:t>
      </w:r>
    </w:p>
    <w:p w14:paraId="0F80EA2F" w14:textId="77777777" w:rsidR="00B0365A" w:rsidRPr="00B0365A" w:rsidRDefault="00B0365A" w:rsidP="00B0365A">
      <w:pPr>
        <w:numPr>
          <w:ilvl w:val="0"/>
          <w:numId w:val="9"/>
        </w:numPr>
      </w:pPr>
      <w:r w:rsidRPr="00B0365A">
        <w:rPr>
          <w:b/>
          <w:bCs/>
        </w:rPr>
        <w:t>Methodological Scope</w:t>
      </w:r>
      <w:r w:rsidRPr="00B0365A">
        <w:t>: Analyzes syndication rounds; lacks granular tracking of internal VC structures such as local branch offices or expatriate vs. local hiring choices.</w:t>
      </w:r>
    </w:p>
    <w:p w14:paraId="5FA4CAAA" w14:textId="77777777" w:rsidR="00B0365A" w:rsidRPr="00B0365A" w:rsidRDefault="00B0365A" w:rsidP="00B0365A">
      <w:pPr>
        <w:numPr>
          <w:ilvl w:val="0"/>
          <w:numId w:val="9"/>
        </w:numPr>
      </w:pPr>
      <w:r w:rsidRPr="00B0365A">
        <w:rPr>
          <w:b/>
          <w:bCs/>
        </w:rPr>
        <w:t>Future Research Directions</w:t>
      </w:r>
      <w:r w:rsidRPr="00B0365A">
        <w:t>: Examine how foreign VC entry professionalizes local Asian VC contracting practices and generates regional innovation spillovers.</w:t>
      </w:r>
    </w:p>
    <w:p w14:paraId="4FFFC16F" w14:textId="77777777" w:rsidR="00B0365A" w:rsidRPr="00B0365A" w:rsidRDefault="00B0365A" w:rsidP="00B0365A">
      <w:r w:rsidRPr="00B0365A">
        <w:rPr>
          <w:b/>
          <w:bCs/>
        </w:rPr>
        <w:lastRenderedPageBreak/>
        <w:t>Takeaway: Cross-border venture success requires localized governance bridges, positioning foreign-local syndication as a vital strategic mechanism in international private equity.</w:t>
      </w:r>
    </w:p>
    <w:p w14:paraId="7E938D6E" w14:textId="77777777" w:rsidR="00506F59" w:rsidRDefault="00506F59"/>
    <w:sectPr w:rsidR="00506F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50B0E"/>
    <w:multiLevelType w:val="multilevel"/>
    <w:tmpl w:val="AB88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45E09"/>
    <w:multiLevelType w:val="multilevel"/>
    <w:tmpl w:val="9A08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85B18"/>
    <w:multiLevelType w:val="multilevel"/>
    <w:tmpl w:val="CA44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06A4A"/>
    <w:multiLevelType w:val="multilevel"/>
    <w:tmpl w:val="F392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E0EFB"/>
    <w:multiLevelType w:val="multilevel"/>
    <w:tmpl w:val="E118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826D99"/>
    <w:multiLevelType w:val="multilevel"/>
    <w:tmpl w:val="A05A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86E94"/>
    <w:multiLevelType w:val="multilevel"/>
    <w:tmpl w:val="D9F0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30C18"/>
    <w:multiLevelType w:val="multilevel"/>
    <w:tmpl w:val="351E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9C5758"/>
    <w:multiLevelType w:val="multilevel"/>
    <w:tmpl w:val="2CC6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006435">
    <w:abstractNumId w:val="5"/>
  </w:num>
  <w:num w:numId="2" w16cid:durableId="820005148">
    <w:abstractNumId w:val="7"/>
  </w:num>
  <w:num w:numId="3" w16cid:durableId="274095673">
    <w:abstractNumId w:val="3"/>
  </w:num>
  <w:num w:numId="4" w16cid:durableId="1942372087">
    <w:abstractNumId w:val="2"/>
  </w:num>
  <w:num w:numId="5" w16cid:durableId="1065840680">
    <w:abstractNumId w:val="6"/>
  </w:num>
  <w:num w:numId="6" w16cid:durableId="1187408572">
    <w:abstractNumId w:val="8"/>
  </w:num>
  <w:num w:numId="7" w16cid:durableId="1237738586">
    <w:abstractNumId w:val="1"/>
  </w:num>
  <w:num w:numId="8" w16cid:durableId="966474456">
    <w:abstractNumId w:val="4"/>
  </w:num>
  <w:num w:numId="9" w16cid:durableId="9494391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F59"/>
    <w:rsid w:val="00506F59"/>
    <w:rsid w:val="00B0365A"/>
    <w:rsid w:val="00D22A89"/>
    <w:rsid w:val="00FB2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9C0C23"/>
  <w15:chartTrackingRefBased/>
  <w15:docId w15:val="{4E27EDA5-9410-4649-AA38-00A8AF257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F59"/>
    <w:rPr>
      <w:rFonts w:eastAsiaTheme="majorEastAsia" w:cstheme="majorBidi"/>
      <w:color w:val="272727" w:themeColor="text1" w:themeTint="D8"/>
    </w:rPr>
  </w:style>
  <w:style w:type="paragraph" w:styleId="Title">
    <w:name w:val="Title"/>
    <w:basedOn w:val="Normal"/>
    <w:next w:val="Normal"/>
    <w:link w:val="TitleChar"/>
    <w:uiPriority w:val="10"/>
    <w:qFormat/>
    <w:rsid w:val="00506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F59"/>
    <w:pPr>
      <w:spacing w:before="160"/>
      <w:jc w:val="center"/>
    </w:pPr>
    <w:rPr>
      <w:i/>
      <w:iCs/>
      <w:color w:val="404040" w:themeColor="text1" w:themeTint="BF"/>
    </w:rPr>
  </w:style>
  <w:style w:type="character" w:customStyle="1" w:styleId="QuoteChar">
    <w:name w:val="Quote Char"/>
    <w:basedOn w:val="DefaultParagraphFont"/>
    <w:link w:val="Quote"/>
    <w:uiPriority w:val="29"/>
    <w:rsid w:val="00506F59"/>
    <w:rPr>
      <w:i/>
      <w:iCs/>
      <w:color w:val="404040" w:themeColor="text1" w:themeTint="BF"/>
    </w:rPr>
  </w:style>
  <w:style w:type="paragraph" w:styleId="ListParagraph">
    <w:name w:val="List Paragraph"/>
    <w:basedOn w:val="Normal"/>
    <w:uiPriority w:val="34"/>
    <w:qFormat/>
    <w:rsid w:val="00506F59"/>
    <w:pPr>
      <w:ind w:left="720"/>
      <w:contextualSpacing/>
    </w:pPr>
  </w:style>
  <w:style w:type="character" w:styleId="IntenseEmphasis">
    <w:name w:val="Intense Emphasis"/>
    <w:basedOn w:val="DefaultParagraphFont"/>
    <w:uiPriority w:val="21"/>
    <w:qFormat/>
    <w:rsid w:val="00506F59"/>
    <w:rPr>
      <w:i/>
      <w:iCs/>
      <w:color w:val="0F4761" w:themeColor="accent1" w:themeShade="BF"/>
    </w:rPr>
  </w:style>
  <w:style w:type="paragraph" w:styleId="IntenseQuote">
    <w:name w:val="Intense Quote"/>
    <w:basedOn w:val="Normal"/>
    <w:next w:val="Normal"/>
    <w:link w:val="IntenseQuoteChar"/>
    <w:uiPriority w:val="30"/>
    <w:qFormat/>
    <w:rsid w:val="00506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F59"/>
    <w:rPr>
      <w:i/>
      <w:iCs/>
      <w:color w:val="0F4761" w:themeColor="accent1" w:themeShade="BF"/>
    </w:rPr>
  </w:style>
  <w:style w:type="character" w:styleId="IntenseReference">
    <w:name w:val="Intense Reference"/>
    <w:basedOn w:val="DefaultParagraphFont"/>
    <w:uiPriority w:val="32"/>
    <w:qFormat/>
    <w:rsid w:val="00506F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1813</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2</cp:revision>
  <dcterms:created xsi:type="dcterms:W3CDTF">2026-09-30T17:26:00Z</dcterms:created>
  <dcterms:modified xsi:type="dcterms:W3CDTF">2026-10-01T07:23:00Z</dcterms:modified>
</cp:coreProperties>
</file>