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692697" w14:textId="77777777" w:rsidR="007B4761" w:rsidRPr="007B4761" w:rsidRDefault="007B4761" w:rsidP="007B4761">
      <w:r w:rsidRPr="007B4761">
        <w:t>Espenlaub, S., Khurshed, A., &amp; Mohamed, A. (2015). Venture capital exits in domestic and cross-border investments. </w:t>
      </w:r>
      <w:r w:rsidRPr="007B4761">
        <w:rPr>
          <w:i/>
          <w:iCs/>
        </w:rPr>
        <w:t>Journal of Banking &amp; Finance</w:t>
      </w:r>
      <w:r w:rsidRPr="007B4761">
        <w:t>, 53, 215–232. http://dx.doi.org/10.1016/j.jbankfin.2014.11.014</w:t>
      </w:r>
    </w:p>
    <w:p w14:paraId="70FA4459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Complete Master’s Exam Study Guide: Venture Capital Exits in Domestic and Cross-Border Investments</w:t>
      </w:r>
    </w:p>
    <w:p w14:paraId="4C1CEDD6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1. Introduction</w:t>
      </w:r>
    </w:p>
    <w:p w14:paraId="0CDD0CFA" w14:textId="77777777" w:rsidR="007B4761" w:rsidRPr="007B4761" w:rsidRDefault="007B4761" w:rsidP="007B4761">
      <w:r w:rsidRPr="007B4761">
        <w:t>Examining the empirical determinants of venture capital (VC) exit timing is vital given the rapid cross-border expansion of private equity flows over the past two decades. With cross-border participation in VC and private equity deals escalating from 15% in the early 1990s to over 40% by 2007, understanding whether foreign investments alter duration performance is a central question in entrepreneurial finance.</w:t>
      </w:r>
    </w:p>
    <w:p w14:paraId="17478B52" w14:textId="77777777" w:rsidR="007B4761" w:rsidRPr="007B4761" w:rsidRDefault="007B4761" w:rsidP="007B4761">
      <w:pPr>
        <w:numPr>
          <w:ilvl w:val="0"/>
          <w:numId w:val="1"/>
        </w:numPr>
      </w:pPr>
      <w:r w:rsidRPr="007B4761">
        <w:rPr>
          <w:b/>
          <w:bCs/>
        </w:rPr>
        <w:t>VC Investment Duration &amp; Fund Dynamics:</w:t>
      </w:r>
      <w:r w:rsidRPr="007B4761">
        <w:t> VC investment duration (time to exit) serves as a primary determinant of fund survival, return realization, and capital recycling, directly influencing limited partners' willingness to fund follow-on vehicles.</w:t>
      </w:r>
    </w:p>
    <w:p w14:paraId="2EB87A9E" w14:textId="77777777" w:rsidR="007B4761" w:rsidRPr="007B4761" w:rsidRDefault="007B4761" w:rsidP="007B4761">
      <w:pPr>
        <w:numPr>
          <w:ilvl w:val="0"/>
          <w:numId w:val="1"/>
        </w:numPr>
      </w:pPr>
      <w:r w:rsidRPr="007B4761">
        <w:rPr>
          <w:b/>
          <w:bCs/>
        </w:rPr>
        <w:t>Holding Period Cost Tradeoff:</w:t>
      </w:r>
      <w:r w:rsidRPr="007B4761">
        <w:t> Optimal holding periods balance ongoing monitoring, information, and illiquidity carrying costs against the marginal value added by the VC backer through strategic guidance, network access, and governance.</w:t>
      </w:r>
    </w:p>
    <w:p w14:paraId="7644D138" w14:textId="77777777" w:rsidR="007B4761" w:rsidRPr="007B4761" w:rsidRDefault="007B4761" w:rsidP="007B4761">
      <w:pPr>
        <w:numPr>
          <w:ilvl w:val="0"/>
          <w:numId w:val="1"/>
        </w:numPr>
      </w:pPr>
      <w:r w:rsidRPr="007B4761">
        <w:rPr>
          <w:b/>
          <w:bCs/>
        </w:rPr>
        <w:t>Empirical Scope:</w:t>
      </w:r>
      <w:r w:rsidRPr="007B4761">
        <w:t> The study tracks 4,502 unique first-round VC investments made by 477 UK-based VC firms across five global geographic regions between 1990 and 2010.</w:t>
      </w:r>
    </w:p>
    <w:p w14:paraId="491B38AB" w14:textId="77777777" w:rsidR="007B4761" w:rsidRPr="007B4761" w:rsidRDefault="007B4761" w:rsidP="007B4761">
      <w:pPr>
        <w:numPr>
          <w:ilvl w:val="0"/>
          <w:numId w:val="1"/>
        </w:numPr>
      </w:pPr>
      <w:r w:rsidRPr="007B4761">
        <w:rPr>
          <w:b/>
          <w:bCs/>
        </w:rPr>
        <w:t>Central Finding:</w:t>
      </w:r>
      <w:r w:rsidRPr="007B4761">
        <w:t> Initial observed "cross-border acceleration" in exit velocity is entirely an empirical artifact driven by investments in North America rather than a generalized cross-border phenomenon.</w:t>
      </w:r>
    </w:p>
    <w:p w14:paraId="3459E48B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> Exit timing directly governs fund liquidity, capital recycling, and investor returns, serving as a core empirical proxy for venture capital performance and fund survival.</w:t>
      </w:r>
    </w:p>
    <w:p w14:paraId="77A17BF7" w14:textId="77777777" w:rsidR="007B4761" w:rsidRPr="007B4761" w:rsidRDefault="007B4761" w:rsidP="007B4761">
      <w:r w:rsidRPr="007B4761">
        <w:t>Understanding these empirical exit dynamics requires analyzing the foundational microeconomic trade-offs between VC value-add and ongoing monitoring costs over time.</w:t>
      </w:r>
    </w:p>
    <w:p w14:paraId="091D99E9" w14:textId="2910F382" w:rsidR="007B4761" w:rsidRPr="007B4761" w:rsidRDefault="007B4761" w:rsidP="00FF1873">
      <w:pPr>
        <w:tabs>
          <w:tab w:val="left" w:pos="5140"/>
        </w:tabs>
        <w:rPr>
          <w:b/>
          <w:bCs/>
        </w:rPr>
      </w:pPr>
      <w:r w:rsidRPr="007B4761">
        <w:rPr>
          <w:b/>
          <w:bCs/>
        </w:rPr>
        <w:t>2. Conceptual Framework and Hypotheses</w:t>
      </w:r>
      <w:r w:rsidR="00FF1873">
        <w:rPr>
          <w:b/>
          <w:bCs/>
        </w:rPr>
        <w:tab/>
      </w:r>
    </w:p>
    <w:p w14:paraId="4FA637C4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2.1 Explaining the Time to VC Exit</w:t>
      </w:r>
    </w:p>
    <w:p w14:paraId="36B635EB" w14:textId="77777777" w:rsidR="007B4761" w:rsidRPr="007B4761" w:rsidRDefault="007B4761" w:rsidP="007B4761">
      <w:r w:rsidRPr="007B4761">
        <w:lastRenderedPageBreak/>
        <w:t>The optimal investment duration for a venture capital firm can be mathematically framed as an intertemporal marginal cost-benefit trade-off governing portfolio management.</w:t>
      </w:r>
    </w:p>
    <w:p w14:paraId="073F3870" w14:textId="77777777" w:rsidR="007B4761" w:rsidRPr="007B4761" w:rsidRDefault="007B4761" w:rsidP="007B4761">
      <w:pPr>
        <w:numPr>
          <w:ilvl w:val="0"/>
          <w:numId w:val="2"/>
        </w:numPr>
      </w:pPr>
      <w:r w:rsidRPr="007B4761">
        <w:rPr>
          <w:b/>
          <w:bCs/>
        </w:rPr>
        <w:t>Marginal Value Added (MVA):</w:t>
      </w:r>
      <w:r w:rsidRPr="007B4761">
        <w:t> Early in the investment lifecycle, VC advisory services, monitoring effort, governance structures, and reputational capital generate substantial value, which progressively declines as the enterprise matures.</w:t>
      </w:r>
    </w:p>
    <w:p w14:paraId="1F64DFC8" w14:textId="77777777" w:rsidR="007B4761" w:rsidRPr="007B4761" w:rsidRDefault="007B4761" w:rsidP="007B4761">
      <w:pPr>
        <w:numPr>
          <w:ilvl w:val="0"/>
          <w:numId w:val="2"/>
        </w:numPr>
      </w:pPr>
      <w:r w:rsidRPr="007B4761">
        <w:rPr>
          <w:b/>
          <w:bCs/>
        </w:rPr>
        <w:t>Marginal Cost (MC):</w:t>
      </w:r>
      <w:r w:rsidRPr="007B4761">
        <w:t> Ongoing holding costs—encompassing transaction costs, illiquidity risks, and monitoring expenses—start at a high baseline and decline alongside the VC firm's direct advisory involvement.</w:t>
      </w:r>
    </w:p>
    <w:p w14:paraId="7BE9ACE1" w14:textId="77777777" w:rsidR="007B4761" w:rsidRPr="007B4761" w:rsidRDefault="007B4761" w:rsidP="007B4761">
      <w:pPr>
        <w:numPr>
          <w:ilvl w:val="0"/>
          <w:numId w:val="2"/>
        </w:numPr>
      </w:pPr>
      <w:r w:rsidRPr="007B4761">
        <w:rPr>
          <w:b/>
          <w:bCs/>
        </w:rPr>
        <w:t>Optimal Exit Rule:</w:t>
      </w:r>
      <w:r w:rsidRPr="007B4761">
        <w:t xml:space="preserve"> The venture capital backer plans to exit at the exact temporal point where Marginal </w:t>
      </w:r>
      <w:proofErr w:type="gramStart"/>
      <w:r w:rsidRPr="007B4761">
        <w:t>Value Added</w:t>
      </w:r>
      <w:proofErr w:type="gramEnd"/>
      <w:r w:rsidRPr="007B4761">
        <w:t xml:space="preserve"> drops below Marginal Cost (MVA &lt; MC).</w:t>
      </w:r>
    </w:p>
    <w:p w14:paraId="4E9A40E7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> Optimal investment duration is achieved in equilibrium when the VC firm's marginal value added equals its marginal cost of maintaining the illiquid investment.</w:t>
      </w:r>
    </w:p>
    <w:p w14:paraId="0EB8BFDA" w14:textId="77777777" w:rsidR="007B4761" w:rsidRPr="007B4761" w:rsidRDefault="007B4761" w:rsidP="007B4761">
      <w:r w:rsidRPr="007B4761">
        <w:t>To assess how international deal-making affects this equilibrium, one must evaluate how geographic distance alters the relative positions of the marginal cost and value curves.</w:t>
      </w:r>
    </w:p>
    <w:p w14:paraId="60A4D12E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2.2 Time to Exit in Cross-Border Versus Domestic Investments</w:t>
      </w:r>
    </w:p>
    <w:p w14:paraId="2DF9BA63" w14:textId="77777777" w:rsidR="007B4761" w:rsidRPr="007B4761" w:rsidRDefault="007B4761" w:rsidP="007B4761">
      <w:r w:rsidRPr="007B4761">
        <w:t>Theoretical models yield competing predictions regarding whether cross-border investments systematically accelerate or delay exit timing relative to domestic deals.</w:t>
      </w:r>
    </w:p>
    <w:p w14:paraId="60703849" w14:textId="77777777" w:rsidR="007B4761" w:rsidRPr="007B4761" w:rsidRDefault="007B4761" w:rsidP="007B4761">
      <w:pPr>
        <w:numPr>
          <w:ilvl w:val="0"/>
          <w:numId w:val="3"/>
        </w:numPr>
      </w:pPr>
      <w:r w:rsidRPr="007B4761">
        <w:rPr>
          <w:b/>
          <w:bCs/>
        </w:rPr>
        <w:t>Distance-Cost Hypothesis:</w:t>
      </w:r>
      <w:r w:rsidRPr="007B4761">
        <w:t> Geographic, administrative, and institutional distance increases communication and monitoring costs, shifting the marginal cost curve upward and favoring earlier cross-border exits to minimize holding costs.</w:t>
      </w:r>
    </w:p>
    <w:p w14:paraId="4C2C3DEF" w14:textId="77777777" w:rsidR="007B4761" w:rsidRPr="007B4761" w:rsidRDefault="007B4761" w:rsidP="007B4761">
      <w:pPr>
        <w:numPr>
          <w:ilvl w:val="0"/>
          <w:numId w:val="3"/>
        </w:numPr>
      </w:pPr>
      <w:r w:rsidRPr="007B4761">
        <w:rPr>
          <w:b/>
          <w:bCs/>
        </w:rPr>
        <w:t>Internationalization/Value-Add Hypothesis:</w:t>
      </w:r>
      <w:r w:rsidRPr="007B4761">
        <w:t> Cross-border VCs provide portfolio firms with access to foreign product, financial, and talent markets, elevating the marginal value-added curve and favoring longer investment durations.</w:t>
      </w:r>
    </w:p>
    <w:p w14:paraId="5850C580" w14:textId="77777777" w:rsidR="007B4761" w:rsidRPr="007B4761" w:rsidRDefault="007B4761" w:rsidP="007B4761">
      <w:pPr>
        <w:numPr>
          <w:ilvl w:val="0"/>
          <w:numId w:val="3"/>
        </w:numPr>
      </w:pPr>
      <w:r w:rsidRPr="007B4761">
        <w:rPr>
          <w:b/>
          <w:bCs/>
        </w:rPr>
        <w:t>Marketability Effect:</w:t>
      </w:r>
      <w:r w:rsidRPr="007B4761">
        <w:t> Overseas VCs rapidly integrate portfolio companies into foreign industrial networks, increasing company visibility and accelerating trade sales or initial public offerings (IPOs).</w:t>
      </w:r>
    </w:p>
    <w:p w14:paraId="2DB5AAE0" w14:textId="77777777" w:rsidR="007B4761" w:rsidRPr="007B4761" w:rsidRDefault="007B4761" w:rsidP="007B4761">
      <w:pPr>
        <w:numPr>
          <w:ilvl w:val="0"/>
          <w:numId w:val="3"/>
        </w:numPr>
      </w:pPr>
      <w:r w:rsidRPr="007B4761">
        <w:rPr>
          <w:b/>
          <w:bCs/>
        </w:rPr>
        <w:t>Underperformance Exit Mechanics:</w:t>
      </w:r>
      <w:r w:rsidRPr="007B4761">
        <w:t> In underperforming ventures, cross-border VCs exhibit less inter-organizational commitment and pull out faster than domestic backers to mitigate further capital loss via rapid liquidation or buyback.</w:t>
      </w:r>
    </w:p>
    <w:p w14:paraId="2D691204" w14:textId="77777777" w:rsidR="007B4761" w:rsidRPr="007B4761" w:rsidRDefault="007B4761" w:rsidP="007B4761">
      <w:pPr>
        <w:numPr>
          <w:ilvl w:val="0"/>
          <w:numId w:val="3"/>
        </w:numPr>
      </w:pPr>
      <w:r w:rsidRPr="007B4761">
        <w:rPr>
          <w:b/>
          <w:bCs/>
        </w:rPr>
        <w:t>Null Hypothesis (H_0):</w:t>
      </w:r>
      <w:r w:rsidRPr="007B4761">
        <w:t> Holding deal, firm, and macroeconomic factors constant, there is no systematic difference in the time to exit between domestic and cross-border VC investments.</w:t>
      </w:r>
    </w:p>
    <w:p w14:paraId="32E4F799" w14:textId="77777777" w:rsidR="007B4761" w:rsidRPr="007B4761" w:rsidRDefault="007B4761" w:rsidP="007B4761">
      <w:r w:rsidRPr="007B4761">
        <w:rPr>
          <w:b/>
          <w:bCs/>
        </w:rPr>
        <w:lastRenderedPageBreak/>
        <w:t>Takeaway:</w:t>
      </w:r>
      <w:r w:rsidRPr="007B4761">
        <w:t> Net cross-border duration is theoretically ambiguous because elevated geographic monitoring costs (favoring early exit) are counterbalanced by international market expansion benefits (favoring delayed exit).</w:t>
      </w:r>
    </w:p>
    <w:p w14:paraId="14FB81C0" w14:textId="77777777" w:rsidR="007B4761" w:rsidRPr="007B4761" w:rsidRDefault="007B4761" w:rsidP="007B4761">
      <w:r w:rsidRPr="007B4761">
        <w:t>Because firm-level cost and value trajectories do not exist in a vacuum, macro-level market institutional environments shift these baseline exit incentives.</w:t>
      </w:r>
    </w:p>
    <w:p w14:paraId="0FAD5C13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2.3 The Impact of Markets and Macro Factors</w:t>
      </w:r>
    </w:p>
    <w:p w14:paraId="08B1F6A9" w14:textId="77777777" w:rsidR="007B4761" w:rsidRPr="007B4761" w:rsidRDefault="007B4761" w:rsidP="007B4761">
      <w:r w:rsidRPr="007B4761">
        <w:t>Macroeconomic development, equity market liquidity, and institutional legal quality significantly influence the feasibility and speed of alternative exit channels.</w:t>
      </w:r>
    </w:p>
    <w:p w14:paraId="2E5055E3" w14:textId="77777777" w:rsidR="007B4761" w:rsidRPr="007B4761" w:rsidRDefault="007B4761" w:rsidP="007B4761">
      <w:pPr>
        <w:numPr>
          <w:ilvl w:val="0"/>
          <w:numId w:val="4"/>
        </w:numPr>
      </w:pPr>
      <w:r w:rsidRPr="007B4761">
        <w:rPr>
          <w:b/>
          <w:bCs/>
        </w:rPr>
        <w:t>Stock Market Liquidity:</w:t>
      </w:r>
      <w:r w:rsidRPr="007B4761">
        <w:t> Measured as total stock market capitalization divided by Gross Domestic Product (\</w:t>
      </w:r>
      <w:proofErr w:type="gramStart"/>
      <w:r w:rsidRPr="007B4761">
        <w:t>text{</w:t>
      </w:r>
      <w:proofErr w:type="gramEnd"/>
      <w:r w:rsidRPr="007B4761">
        <w:t>Market Cap} / \</w:t>
      </w:r>
      <w:proofErr w:type="gramStart"/>
      <w:r w:rsidRPr="007B4761">
        <w:t>text{</w:t>
      </w:r>
      <w:proofErr w:type="gramEnd"/>
      <w:r w:rsidRPr="007B4761">
        <w:t>GDP}); highly liquid public markets create "windows of opportunity" that significantly shorten the time to an IPO exit.</w:t>
      </w:r>
    </w:p>
    <w:p w14:paraId="5AFBAA8C" w14:textId="77777777" w:rsidR="007B4761" w:rsidRPr="007B4761" w:rsidRDefault="007B4761" w:rsidP="007B4761">
      <w:pPr>
        <w:numPr>
          <w:ilvl w:val="0"/>
          <w:numId w:val="4"/>
        </w:numPr>
      </w:pPr>
      <w:r w:rsidRPr="007B4761">
        <w:rPr>
          <w:b/>
          <w:bCs/>
        </w:rPr>
        <w:t>Stock Market Valuation (MTB):</w:t>
      </w:r>
      <w:r w:rsidRPr="007B4761">
        <w:t> High regional Market-to-Book ratios reduce prospective corporate acquirers' cost of equity, accelerating M&amp;A (trade sale) exit speed.</w:t>
      </w:r>
    </w:p>
    <w:p w14:paraId="03CAA8D6" w14:textId="77777777" w:rsidR="007B4761" w:rsidRPr="007B4761" w:rsidRDefault="007B4761" w:rsidP="007B4761">
      <w:pPr>
        <w:numPr>
          <w:ilvl w:val="0"/>
          <w:numId w:val="4"/>
        </w:numPr>
      </w:pPr>
      <w:r w:rsidRPr="007B4761">
        <w:rPr>
          <w:b/>
          <w:bCs/>
        </w:rPr>
        <w:t>Legal System Quality (Legality Index):</w:t>
      </w:r>
      <w:r w:rsidRPr="007B4761">
        <w:t> Computed as a weighted index of judicial efficiency, rule of law, corruption risk, expropriation risk, and contract repudiation risk; superior legal frameworks mitigate agency costs and asymmetric information, accelerating IPO exits.</w:t>
      </w:r>
    </w:p>
    <w:p w14:paraId="10BBC368" w14:textId="77777777" w:rsidR="007B4761" w:rsidRPr="007B4761" w:rsidRDefault="007B4761" w:rsidP="007B4761">
      <w:pPr>
        <w:numPr>
          <w:ilvl w:val="0"/>
          <w:numId w:val="4"/>
        </w:numPr>
      </w:pPr>
      <w:r w:rsidRPr="007B4761">
        <w:rPr>
          <w:b/>
          <w:bCs/>
        </w:rPr>
        <w:t>Economic Development &amp; Convergence Mechanism:</w:t>
      </w:r>
      <w:r w:rsidRPr="007B4761">
        <w:t> GDP \</w:t>
      </w:r>
      <w:proofErr w:type="gramStart"/>
      <w:r w:rsidRPr="007B4761">
        <w:t>text{ per</w:t>
      </w:r>
      <w:proofErr w:type="gramEnd"/>
      <w:r w:rsidRPr="007B4761">
        <w:t xml:space="preserve"> capita} exhibits a positive coefficient with exit duration (slowing exits down), supporting the "Convergence Hypothesis" wherein less-developed venture markets experience faster relative VC exits due to lower baseline efficiency creating steeper marginal performance gains early in the investment lifecycle.</w:t>
      </w:r>
    </w:p>
    <w:p w14:paraId="0E441FF6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 xml:space="preserve"> Public market liquidity and legal institutional quality act as primary accelerants for IPO </w:t>
      </w:r>
      <w:proofErr w:type="gramStart"/>
      <w:r w:rsidRPr="007B4761">
        <w:t>exits</w:t>
      </w:r>
      <w:proofErr w:type="gramEnd"/>
      <w:r w:rsidRPr="007B4761">
        <w:t>, whereas elevated stock market valuations drive M&amp;A exit speed.</w:t>
      </w:r>
    </w:p>
    <w:p w14:paraId="668AD62A" w14:textId="77777777" w:rsidR="007B4761" w:rsidRPr="007B4761" w:rsidRDefault="007B4761" w:rsidP="007B4761">
      <w:r w:rsidRPr="007B4761">
        <w:t>Beyond broad macroeconomic conditions, micro-level investor parameters and deal mechanics exert structural pressure on duration.</w:t>
      </w:r>
    </w:p>
    <w:p w14:paraId="7746F321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2.4 Impact of VC Investor and Portfolio Company Characteristics</w:t>
      </w:r>
    </w:p>
    <w:p w14:paraId="77EA2C13" w14:textId="77777777" w:rsidR="007B4761" w:rsidRPr="007B4761" w:rsidRDefault="007B4761" w:rsidP="007B4761">
      <w:r w:rsidRPr="007B4761">
        <w:t>Micro-level characteristics of both the venture capital backer and the portfolio company heavily influence investment duration.</w:t>
      </w:r>
    </w:p>
    <w:p w14:paraId="6DA9D51A" w14:textId="77777777" w:rsidR="007B4761" w:rsidRPr="007B4761" w:rsidRDefault="007B4761" w:rsidP="007B4761">
      <w:pPr>
        <w:numPr>
          <w:ilvl w:val="0"/>
          <w:numId w:val="5"/>
        </w:numPr>
      </w:pPr>
      <w:r w:rsidRPr="007B4761">
        <w:rPr>
          <w:b/>
          <w:bCs/>
        </w:rPr>
        <w:lastRenderedPageBreak/>
        <w:t>Grandstanding Hypothesis:</w:t>
      </w:r>
      <w:r w:rsidRPr="007B4761">
        <w:t> Young, unseasoned VC firms face asymmetric incentives to exit portfolio companies prematurely via high-visibility routes (IPOs) to build a viable track record for follow-on fundraising.</w:t>
      </w:r>
    </w:p>
    <w:p w14:paraId="27613E8F" w14:textId="77777777" w:rsidR="007B4761" w:rsidRPr="007B4761" w:rsidRDefault="007B4761" w:rsidP="007B4761">
      <w:pPr>
        <w:numPr>
          <w:ilvl w:val="0"/>
          <w:numId w:val="5"/>
        </w:numPr>
      </w:pPr>
      <w:r w:rsidRPr="007B4761">
        <w:rPr>
          <w:b/>
          <w:bCs/>
        </w:rPr>
        <w:t>Fund Maturity Constraints:</w:t>
      </w:r>
      <w:r w:rsidRPr="007B4761">
        <w:t> Operating within a standard 10-year fund lifespan, aging funds face strict structural mandates to liquidate holdings as maturity approaches, even if marginal value added still exceeds marginal cost.</w:t>
      </w:r>
    </w:p>
    <w:p w14:paraId="58A9AE04" w14:textId="77777777" w:rsidR="007B4761" w:rsidRPr="007B4761" w:rsidRDefault="007B4761" w:rsidP="007B4761">
      <w:pPr>
        <w:numPr>
          <w:ilvl w:val="0"/>
          <w:numId w:val="5"/>
        </w:numPr>
      </w:pPr>
      <w:r w:rsidRPr="007B4761">
        <w:rPr>
          <w:b/>
          <w:bCs/>
        </w:rPr>
        <w:t>Syndication Dynamics:</w:t>
      </w:r>
      <w:r w:rsidRPr="007B4761">
        <w:t> Larger syndicate sizes reduce individual monitoring costs and expand professional networks (accelerating IPO and M&amp;A exits), though severe syndicate member conflicts can increase friction.</w:t>
      </w:r>
    </w:p>
    <w:p w14:paraId="0085C6E5" w14:textId="77777777" w:rsidR="007B4761" w:rsidRPr="007B4761" w:rsidRDefault="007B4761" w:rsidP="007B4761">
      <w:pPr>
        <w:numPr>
          <w:ilvl w:val="0"/>
          <w:numId w:val="5"/>
        </w:numPr>
      </w:pPr>
      <w:r w:rsidRPr="007B4761">
        <w:rPr>
          <w:b/>
          <w:bCs/>
        </w:rPr>
        <w:t>Investment Size &amp; Firm Maturity:</w:t>
      </w:r>
      <w:r w:rsidRPr="007B4761">
        <w:t> Larger deal sizes (\</w:t>
      </w:r>
      <w:proofErr w:type="gramStart"/>
      <w:r w:rsidRPr="007B4761">
        <w:t>text{</w:t>
      </w:r>
      <w:proofErr w:type="gramEnd"/>
      <w:r w:rsidRPr="007B4761">
        <w:t>Size Inv}) increase illiquidity capital lock-up costs (accelerating exits), while larger, older portfolio companies exhibit reduced information asymmetry, facilitating speedier transactions.</w:t>
      </w:r>
    </w:p>
    <w:p w14:paraId="272BE0D6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> Structural fund maturity constraints and large investment exposure serve as powerful internal catalysts that compress VC exit duration.</w:t>
      </w:r>
    </w:p>
    <w:p w14:paraId="595D3A93" w14:textId="77777777" w:rsidR="007B4761" w:rsidRPr="007B4761" w:rsidRDefault="007B4761" w:rsidP="007B4761">
      <w:r w:rsidRPr="007B4761">
        <w:t>These micro and macro catalysts ultimately determine which specific exit channel is selected to realize capital returns.</w:t>
      </w:r>
    </w:p>
    <w:p w14:paraId="689CEDA8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2.5 Exit Routes</w:t>
      </w:r>
    </w:p>
    <w:p w14:paraId="67563CDE" w14:textId="77777777" w:rsidR="007B4761" w:rsidRPr="007B4761" w:rsidRDefault="007B4761" w:rsidP="007B4761">
      <w:r w:rsidRPr="007B4761">
        <w:t>Venture capital exits are hierarchically structured by financial return efficiency and failure severity, creating distinct duration patterns across routes.</w:t>
      </w:r>
    </w:p>
    <w:p w14:paraId="7269EDA2" w14:textId="77777777" w:rsidR="007B4761" w:rsidRPr="007B4761" w:rsidRDefault="007B4761" w:rsidP="007B4761">
      <w:pPr>
        <w:numPr>
          <w:ilvl w:val="0"/>
          <w:numId w:val="6"/>
        </w:numPr>
      </w:pPr>
      <w:r w:rsidRPr="007B4761">
        <w:rPr>
          <w:b/>
          <w:bCs/>
        </w:rPr>
        <w:t>Value Realization Hierarchy:</w:t>
      </w:r>
      <w:r w:rsidRPr="007B4761">
        <w:t> Exits are categorized into four distinct channels: Initial Public Offering (IPO, yielding the highest historical returns), M&amp;A / Trade Sale (second highest return), Management Buyout / MBO (lower returns, often involving compulsory repurchases), and Liquidation (total investment loss, -100% return).</w:t>
      </w:r>
    </w:p>
    <w:p w14:paraId="64CE49A6" w14:textId="77777777" w:rsidR="007B4761" w:rsidRPr="007B4761" w:rsidRDefault="007B4761" w:rsidP="007B4761">
      <w:pPr>
        <w:numPr>
          <w:ilvl w:val="0"/>
          <w:numId w:val="6"/>
        </w:numPr>
      </w:pPr>
      <w:r w:rsidRPr="007B4761">
        <w:rPr>
          <w:b/>
          <w:bCs/>
        </w:rPr>
        <w:t>Empirical Sample Distribution:</w:t>
      </w:r>
      <w:r w:rsidRPr="007B4761">
        <w:t> Within the sample, M&amp;A is the primary exit route (n = 3,163; ~70%), followed by IPO (n = 536; ~12%), Liquidation (n = 175; ~4%), and MBO (n = 159; ~3.5%), with 469 investments remaining un-exited (~10%).</w:t>
      </w:r>
    </w:p>
    <w:p w14:paraId="58EC516D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 xml:space="preserve"> M&amp;A serves as the high-volume operational backbone of VC exits, whereas IPOs represent the </w:t>
      </w:r>
      <w:proofErr w:type="gramStart"/>
      <w:r w:rsidRPr="007B4761">
        <w:t>highest-value</w:t>
      </w:r>
      <w:proofErr w:type="gramEnd"/>
      <w:r w:rsidRPr="007B4761">
        <w:t>, albeit less frequent, realization event.</w:t>
      </w:r>
    </w:p>
    <w:p w14:paraId="7CFCA08E" w14:textId="77777777" w:rsidR="007B4761" w:rsidRPr="007B4761" w:rsidRDefault="007B4761" w:rsidP="007B4761">
      <w:r w:rsidRPr="007B4761">
        <w:t>Evaluating the precise causal determinants across these routes requires dynamic econometric models capable of handling time-varying survival data.</w:t>
      </w:r>
    </w:p>
    <w:p w14:paraId="02A85F40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3. Methodology and Data</w:t>
      </w:r>
    </w:p>
    <w:p w14:paraId="105AD0E0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lastRenderedPageBreak/>
        <w:t>3.1 Econometric Methodology</w:t>
      </w:r>
    </w:p>
    <w:p w14:paraId="070BE4D1" w14:textId="77777777" w:rsidR="007B4761" w:rsidRPr="007B4761" w:rsidRDefault="007B4761" w:rsidP="007B4761">
      <w:r w:rsidRPr="007B4761">
        <w:t>To eliminate sample selection and right-censoring biases inherent in static models (probit/logit), dynamic survival (duration) modeling is required.</w:t>
      </w:r>
    </w:p>
    <w:p w14:paraId="6E55DC52" w14:textId="77777777" w:rsidR="007B4761" w:rsidRPr="007B4761" w:rsidRDefault="007B4761" w:rsidP="007B4761">
      <w:pPr>
        <w:numPr>
          <w:ilvl w:val="0"/>
          <w:numId w:val="7"/>
        </w:numPr>
      </w:pPr>
      <w:r w:rsidRPr="007B4761">
        <w:rPr>
          <w:b/>
          <w:bCs/>
        </w:rPr>
        <w:t>Survival (Duration) Analysis Framework:</w:t>
      </w:r>
      <w:r w:rsidRPr="007B4761">
        <w:t> Models the continuous time elapsed (T) from initial investment date to exit date, integrating censored observations into the risk set under the baseline log-hazard formulation h(</w:t>
      </w:r>
      <w:proofErr w:type="spellStart"/>
      <w:r w:rsidRPr="007B4761">
        <w:t>t|x</w:t>
      </w:r>
      <w:proofErr w:type="spellEnd"/>
      <w:r w:rsidRPr="007B4761">
        <w:t>) = h_0(t)\exp(\</w:t>
      </w:r>
      <w:proofErr w:type="spellStart"/>
      <w:r w:rsidRPr="007B4761">
        <w:t>beta'x</w:t>
      </w:r>
      <w:proofErr w:type="spellEnd"/>
      <w:r w:rsidRPr="007B4761">
        <w:t>).</w:t>
      </w:r>
    </w:p>
    <w:p w14:paraId="6EF2310B" w14:textId="77777777" w:rsidR="007B4761" w:rsidRPr="007B4761" w:rsidRDefault="007B4761" w:rsidP="007B4761">
      <w:pPr>
        <w:numPr>
          <w:ilvl w:val="0"/>
          <w:numId w:val="7"/>
        </w:numPr>
      </w:pPr>
      <w:r w:rsidRPr="007B4761">
        <w:rPr>
          <w:b/>
          <w:bCs/>
        </w:rPr>
        <w:t>Kaplan-Meier Non-Parametric Estimator:</w:t>
      </w:r>
      <w:r w:rsidRPr="007B4761">
        <w:t> Computes empirical cumulative exit rates over time (S(</w:t>
      </w:r>
      <w:proofErr w:type="spellStart"/>
      <w:r w:rsidRPr="007B4761">
        <w:t>t_j</w:t>
      </w:r>
      <w:proofErr w:type="spellEnd"/>
      <w:r w:rsidRPr="007B4761">
        <w:t>) = \</w:t>
      </w:r>
      <w:proofErr w:type="gramStart"/>
      <w:r w:rsidRPr="007B4761">
        <w:t>frac{</w:t>
      </w:r>
      <w:proofErr w:type="spellStart"/>
      <w:proofErr w:type="gramEnd"/>
      <w:r w:rsidRPr="007B4761">
        <w:t>n_j</w:t>
      </w:r>
      <w:proofErr w:type="spellEnd"/>
      <w:r w:rsidRPr="007B4761">
        <w:t xml:space="preserve"> - </w:t>
      </w:r>
      <w:proofErr w:type="spellStart"/>
      <w:r w:rsidRPr="007B4761">
        <w:t>d_</w:t>
      </w:r>
      <w:proofErr w:type="gramStart"/>
      <w:r w:rsidRPr="007B4761">
        <w:t>j</w:t>
      </w:r>
      <w:proofErr w:type="spellEnd"/>
      <w:r w:rsidRPr="007B4761">
        <w:t>}{</w:t>
      </w:r>
      <w:proofErr w:type="spellStart"/>
      <w:proofErr w:type="gramEnd"/>
      <w:r w:rsidRPr="007B4761">
        <w:t>n_j</w:t>
      </w:r>
      <w:proofErr w:type="spellEnd"/>
      <w:r w:rsidRPr="007B4761">
        <w:t>} \times S(t_{j-1})) without distributional assumptions; baseline survival curves across regions are statistically evaluated via the Log-Rank Test.</w:t>
      </w:r>
    </w:p>
    <w:p w14:paraId="5C506B8E" w14:textId="77777777" w:rsidR="007B4761" w:rsidRPr="007B4761" w:rsidRDefault="007B4761" w:rsidP="007B4761">
      <w:pPr>
        <w:numPr>
          <w:ilvl w:val="0"/>
          <w:numId w:val="7"/>
        </w:numPr>
      </w:pPr>
      <w:r w:rsidRPr="007B4761">
        <w:rPr>
          <w:b/>
          <w:bCs/>
        </w:rPr>
        <w:t>Accelerated Failure Time (AFT) Frailty Model:</w:t>
      </w:r>
      <w:r w:rsidRPr="007B4761">
        <w:t> Parametric duration model (\ln(T) = \</w:t>
      </w:r>
      <w:proofErr w:type="spellStart"/>
      <w:r w:rsidRPr="007B4761">
        <w:t>beta'x</w:t>
      </w:r>
      <w:proofErr w:type="spellEnd"/>
      <w:r w:rsidRPr="007B4761">
        <w:t xml:space="preserve"> + \sigma \epsilon) utilizing a Weibull-gamma distribution; incorporates an unobserved frailty parameter (\theta) to control for VC firm heterogeneity while employing clustered standard errors. Negative coefficients (\beta &lt; 0) indicate accelerated exit, yielding a Time Ratio TR = \exp(\beta) &lt; 1.</w:t>
      </w:r>
    </w:p>
    <w:p w14:paraId="143B0A78" w14:textId="77777777" w:rsidR="007B4761" w:rsidRPr="007B4761" w:rsidRDefault="007B4761" w:rsidP="007B4761">
      <w:pPr>
        <w:numPr>
          <w:ilvl w:val="0"/>
          <w:numId w:val="7"/>
        </w:numPr>
      </w:pPr>
      <w:r w:rsidRPr="007B4761">
        <w:rPr>
          <w:b/>
          <w:bCs/>
        </w:rPr>
        <w:t>Competing Risk Model (Fine &amp; Gray, 1999):</w:t>
      </w:r>
      <w:r w:rsidRPr="007B4761">
        <w:t> Evaluates relative sub-distribution hazards for specific exit routes (e.g., IPO versus M&amp;A), where parameters represent Sub-distribution Hazard Ratios (SHR = \exp(\beta)), with \beta &gt; 0 indicating a higher event hazard (faster exit velocity relative to competing events).</w:t>
      </w:r>
    </w:p>
    <w:p w14:paraId="380D55F1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> Parametric AFT Frailty models superiorly account for right-censoring and unobserved VC firm heterogeneity, preventing parameter bias in investment duration estimation.</w:t>
      </w:r>
    </w:p>
    <w:p w14:paraId="72A6C8CD" w14:textId="77777777" w:rsidR="007B4761" w:rsidRPr="007B4761" w:rsidRDefault="007B4761" w:rsidP="007B4761">
      <w:r w:rsidRPr="007B4761">
        <w:t>The accuracy of these econometric estimators depends on rigorous sample selection and variable construction.</w:t>
      </w:r>
    </w:p>
    <w:p w14:paraId="037260E7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3.2 Sample Selection and Variable Operationalization</w:t>
      </w:r>
    </w:p>
    <w:p w14:paraId="55FC3E21" w14:textId="77777777" w:rsidR="007B4761" w:rsidRPr="007B4761" w:rsidRDefault="007B4761" w:rsidP="007B4761">
      <w:r w:rsidRPr="007B4761">
        <w:t xml:space="preserve">The empirical baseline relies on comprehensive deal-level filtering extracted from </w:t>
      </w:r>
      <w:proofErr w:type="spellStart"/>
      <w:r w:rsidRPr="007B4761">
        <w:t>VentureXpert</w:t>
      </w:r>
      <w:proofErr w:type="spellEnd"/>
      <w:r w:rsidRPr="007B4761">
        <w:t xml:space="preserve"> covering UK-based private equity investors.</w:t>
      </w:r>
    </w:p>
    <w:p w14:paraId="48E86B61" w14:textId="77777777" w:rsidR="007B4761" w:rsidRPr="007B4761" w:rsidRDefault="007B4761" w:rsidP="007B4761">
      <w:pPr>
        <w:numPr>
          <w:ilvl w:val="0"/>
          <w:numId w:val="8"/>
        </w:numPr>
      </w:pPr>
      <w:r w:rsidRPr="007B4761">
        <w:rPr>
          <w:b/>
          <w:bCs/>
        </w:rPr>
        <w:t>Sample Selection Filters:</w:t>
      </w:r>
      <w:r w:rsidRPr="007B4761">
        <w:t> Consists of 4,502 unique first-round VC investments made by 477 UK-based VC firms (1990–2010); explicitly excludes buyouts and non-disclosed financing rounds to isolate pure venture capital (seed, early, expansion, later stage).</w:t>
      </w:r>
    </w:p>
    <w:p w14:paraId="176C3797" w14:textId="77777777" w:rsidR="007B4761" w:rsidRPr="007B4761" w:rsidRDefault="007B4761" w:rsidP="007B4761">
      <w:pPr>
        <w:numPr>
          <w:ilvl w:val="0"/>
          <w:numId w:val="8"/>
        </w:numPr>
      </w:pPr>
      <w:r w:rsidRPr="007B4761">
        <w:rPr>
          <w:b/>
          <w:bCs/>
        </w:rPr>
        <w:t>Logarithmic Variable Transformations:</w:t>
      </w:r>
      <w:r w:rsidRPr="007B4761">
        <w:t> Continuous firm-level variables are operationalized as natural logarithms: \</w:t>
      </w:r>
      <w:proofErr w:type="gramStart"/>
      <w:r w:rsidRPr="007B4761">
        <w:t>text{</w:t>
      </w:r>
      <w:proofErr w:type="gramEnd"/>
      <w:r w:rsidRPr="007B4761">
        <w:t>VC Age} (\</w:t>
      </w:r>
      <w:proofErr w:type="gramStart"/>
      <w:r w:rsidRPr="007B4761">
        <w:t>ln[</w:t>
      </w:r>
      <w:proofErr w:type="gramEnd"/>
      <w:r w:rsidRPr="007B4761">
        <w:t>\</w:t>
      </w:r>
      <w:proofErr w:type="gramStart"/>
      <w:r w:rsidRPr="007B4761">
        <w:t>text{</w:t>
      </w:r>
      <w:proofErr w:type="gramEnd"/>
      <w:r w:rsidRPr="007B4761">
        <w:t xml:space="preserve">investment date} - </w:t>
      </w:r>
      <w:r w:rsidRPr="007B4761">
        <w:lastRenderedPageBreak/>
        <w:t>\</w:t>
      </w:r>
      <w:proofErr w:type="gramStart"/>
      <w:r w:rsidRPr="007B4761">
        <w:t>text{</w:t>
      </w:r>
      <w:proofErr w:type="gramEnd"/>
      <w:r w:rsidRPr="007B4761">
        <w:t>founding date}]), \</w:t>
      </w:r>
      <w:proofErr w:type="gramStart"/>
      <w:r w:rsidRPr="007B4761">
        <w:t>text{</w:t>
      </w:r>
      <w:proofErr w:type="gramEnd"/>
      <w:r w:rsidRPr="007B4761">
        <w:t>Fund Age} (\</w:t>
      </w:r>
      <w:proofErr w:type="gramStart"/>
      <w:r w:rsidRPr="007B4761">
        <w:t>ln[</w:t>
      </w:r>
      <w:proofErr w:type="gramEnd"/>
      <w:r w:rsidRPr="007B4761">
        <w:t>\</w:t>
      </w:r>
      <w:proofErr w:type="gramStart"/>
      <w:r w:rsidRPr="007B4761">
        <w:t>text{</w:t>
      </w:r>
      <w:proofErr w:type="gramEnd"/>
      <w:r w:rsidRPr="007B4761">
        <w:t>exit date} - \</w:t>
      </w:r>
      <w:proofErr w:type="gramStart"/>
      <w:r w:rsidRPr="007B4761">
        <w:t>text{</w:t>
      </w:r>
      <w:proofErr w:type="gramEnd"/>
      <w:r w:rsidRPr="007B4761">
        <w:t>first fund deal}]), and \</w:t>
      </w:r>
      <w:proofErr w:type="gramStart"/>
      <w:r w:rsidRPr="007B4761">
        <w:t>text{</w:t>
      </w:r>
      <w:proofErr w:type="gramEnd"/>
      <w:r w:rsidRPr="007B4761">
        <w:t>Company Size} (\</w:t>
      </w:r>
      <w:proofErr w:type="gramStart"/>
      <w:r w:rsidRPr="007B4761">
        <w:t>ln[</w:t>
      </w:r>
      <w:proofErr w:type="gramEnd"/>
      <w:r w:rsidRPr="007B4761">
        <w:t>\</w:t>
      </w:r>
      <w:proofErr w:type="gramStart"/>
      <w:r w:rsidRPr="007B4761">
        <w:t>text{</w:t>
      </w:r>
      <w:proofErr w:type="gramEnd"/>
      <w:r w:rsidRPr="007B4761">
        <w:t>post-financing asset value}]).</w:t>
      </w:r>
    </w:p>
    <w:p w14:paraId="2D9D5D0B" w14:textId="77777777" w:rsidR="007B4761" w:rsidRPr="007B4761" w:rsidRDefault="007B4761" w:rsidP="007B4761">
      <w:pPr>
        <w:numPr>
          <w:ilvl w:val="0"/>
          <w:numId w:val="8"/>
        </w:numPr>
      </w:pPr>
      <w:r w:rsidRPr="007B4761">
        <w:rPr>
          <w:b/>
          <w:bCs/>
        </w:rPr>
        <w:t>Regional Groupings:</w:t>
      </w:r>
      <w:r w:rsidRPr="007B4761">
        <w:t> Portfolio firm locations are aggregated into five regional blocks: UK &amp; Ireland (baseline domestic), North America (US &amp; Canada), Continental Europe, Latin America, and Asia &amp; Africa.</w:t>
      </w:r>
    </w:p>
    <w:p w14:paraId="090749E3" w14:textId="77777777" w:rsidR="007B4761" w:rsidRPr="007B4761" w:rsidRDefault="007B4761" w:rsidP="007B4761">
      <w:pPr>
        <w:numPr>
          <w:ilvl w:val="0"/>
          <w:numId w:val="8"/>
        </w:numPr>
      </w:pPr>
      <w:r w:rsidRPr="007B4761">
        <w:rPr>
          <w:b/>
          <w:bCs/>
        </w:rPr>
        <w:t>Institutional Variable Construction:</w:t>
      </w:r>
      <w:r w:rsidRPr="007B4761">
        <w:t> Incorporates the Berkowitz et al. (2003) weighted </w:t>
      </w:r>
      <w:r w:rsidRPr="007B4761">
        <w:rPr>
          <w:b/>
          <w:bCs/>
        </w:rPr>
        <w:t>Legality Index</w:t>
      </w:r>
      <w:r w:rsidRPr="007B4761">
        <w:t> (judicial efficiency, rule of law, corruption, expropriation, contract repudiation) and </w:t>
      </w:r>
      <w:r w:rsidRPr="007B4761">
        <w:rPr>
          <w:b/>
          <w:bCs/>
        </w:rPr>
        <w:t>Market Liquidity</w:t>
      </w:r>
      <w:r w:rsidRPr="007B4761">
        <w:t> (\</w:t>
      </w:r>
      <w:proofErr w:type="gramStart"/>
      <w:r w:rsidRPr="007B4761">
        <w:t>text{</w:t>
      </w:r>
      <w:proofErr w:type="gramEnd"/>
      <w:r w:rsidRPr="007B4761">
        <w:t>Market Capitalization} / \</w:t>
      </w:r>
      <w:proofErr w:type="gramStart"/>
      <w:r w:rsidRPr="007B4761">
        <w:t>text{</w:t>
      </w:r>
      <w:proofErr w:type="gramEnd"/>
      <w:r w:rsidRPr="007B4761">
        <w:t>GDP}).</w:t>
      </w:r>
    </w:p>
    <w:p w14:paraId="77AA499A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> Isolating first-round investments across explicit regional blocks permits robust identification of cross-border institutional effects without multi-round weighting distortion.</w:t>
      </w:r>
    </w:p>
    <w:p w14:paraId="5AD6855E" w14:textId="77777777" w:rsidR="007B4761" w:rsidRPr="007B4761" w:rsidRDefault="007B4761" w:rsidP="007B4761">
      <w:r w:rsidRPr="007B4761">
        <w:t>These operationalized variables provide the empirical foundation for examining descriptive exit trends and multivariate hazard rates.</w:t>
      </w:r>
    </w:p>
    <w:p w14:paraId="72C73AB1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4. Empirical Analysis and Results</w:t>
      </w:r>
    </w:p>
    <w:p w14:paraId="60238672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4.1 Descriptive Statistics and Univariate Findings</w:t>
      </w:r>
    </w:p>
    <w:p w14:paraId="4DE99DB4" w14:textId="77777777" w:rsidR="007B4761" w:rsidRPr="007B4761" w:rsidRDefault="007B4761" w:rsidP="007B4761">
      <w:r w:rsidRPr="007B4761">
        <w:t>Univariate analysis reveals significant duration variance across alternative exit routes and regional institutional environments.</w:t>
      </w:r>
    </w:p>
    <w:p w14:paraId="1653D783" w14:textId="77777777" w:rsidR="007B4761" w:rsidRPr="007B4761" w:rsidRDefault="007B4761" w:rsidP="007B4761">
      <w:pPr>
        <w:numPr>
          <w:ilvl w:val="0"/>
          <w:numId w:val="9"/>
        </w:numPr>
      </w:pPr>
      <w:r w:rsidRPr="007B4761">
        <w:rPr>
          <w:b/>
          <w:bCs/>
        </w:rPr>
        <w:t>Baseline Sample Parameters:</w:t>
      </w:r>
      <w:r w:rsidRPr="007B4761">
        <w:t> Mean overall time to exit is 8.35 years (median 8.00 years); mean VC firm age is 20.17 years; mean fund age at exit is 4.24 years; mean syndicate size is 3.22 firms.</w:t>
      </w:r>
    </w:p>
    <w:p w14:paraId="297F7D41" w14:textId="77777777" w:rsidR="007B4761" w:rsidRPr="007B4761" w:rsidRDefault="007B4761" w:rsidP="007B4761">
      <w:pPr>
        <w:numPr>
          <w:ilvl w:val="0"/>
          <w:numId w:val="9"/>
        </w:numPr>
      </w:pPr>
      <w:r w:rsidRPr="007B4761">
        <w:rPr>
          <w:b/>
          <w:bCs/>
        </w:rPr>
        <w:t>Full-Sample Exit Duration Velocity:</w:t>
      </w:r>
      <w:r w:rsidRPr="007B4761">
        <w:t> In the main text narrative (p. 222), IPO exits represent the fastest route (mean 6.07 years), followed by MBO (6.98 years), M&amp;A (7.12 years), and Liquidation (7.55 years). (Note: Table 4 continuous sub-means reflect 6.89 years for IPO, 7.38 for MBO, 7.56 for Liquidation, and 8.47 for M&amp;A).</w:t>
      </w:r>
    </w:p>
    <w:p w14:paraId="1AF4F717" w14:textId="77777777" w:rsidR="007B4761" w:rsidRPr="007B4761" w:rsidRDefault="007B4761" w:rsidP="007B4761">
      <w:pPr>
        <w:numPr>
          <w:ilvl w:val="0"/>
          <w:numId w:val="9"/>
        </w:numPr>
      </w:pPr>
      <w:r w:rsidRPr="007B4761">
        <w:rPr>
          <w:b/>
          <w:bCs/>
        </w:rPr>
        <w:t>Kaplan-Meier Regional Trajectories:</w:t>
      </w:r>
      <w:r w:rsidRPr="007B4761">
        <w:t> By Year 5 post-investment, 51.5% of North American IPO exits have occurred, significantly outstripping cumulative 5-year IPO rates in the UK &amp; Ireland and Continental Europe.</w:t>
      </w:r>
    </w:p>
    <w:p w14:paraId="42B7E3FA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> IPO exits occur with the highest velocity across all regions, with North American portfolio companies exhibiting the fastest univariate exit rates.</w:t>
      </w:r>
    </w:p>
    <w:p w14:paraId="23B1D79F" w14:textId="77777777" w:rsidR="007B4761" w:rsidRPr="007B4761" w:rsidRDefault="007B4761" w:rsidP="007B4761">
      <w:r w:rsidRPr="007B4761">
        <w:t>Moving beyond univariate trends requires multivariate models that isolate geographic region from institutional macro factors.</w:t>
      </w:r>
    </w:p>
    <w:p w14:paraId="78A9B484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4.2 Multivariate Results: Isolating the "North American Effect"</w:t>
      </w:r>
    </w:p>
    <w:p w14:paraId="217F3047" w14:textId="77777777" w:rsidR="007B4761" w:rsidRPr="007B4761" w:rsidRDefault="007B4761" w:rsidP="007B4761">
      <w:r w:rsidRPr="007B4761">
        <w:lastRenderedPageBreak/>
        <w:t>Multivariate AFT frailty modeling demonstrates that general "cross-border" exit speedups are an empirical illusion driven entirely by North American market dynamics.</w:t>
      </w:r>
    </w:p>
    <w:p w14:paraId="276BE518" w14:textId="77777777" w:rsidR="007B4761" w:rsidRPr="007B4761" w:rsidRDefault="007B4761" w:rsidP="007B4761">
      <w:r w:rsidRPr="007B4761">
        <w:t>+-----------------------------------------------------------------------------------+</w:t>
      </w:r>
    </w:p>
    <w:p w14:paraId="71408044" w14:textId="77777777" w:rsidR="007B4761" w:rsidRPr="007B4761" w:rsidRDefault="007B4761" w:rsidP="007B4761">
      <w:r w:rsidRPr="007B4761">
        <w:t>|                        MULTIVARIATE DURATION DISENTANGLEMENT                      |</w:t>
      </w:r>
    </w:p>
    <w:p w14:paraId="52859388" w14:textId="77777777" w:rsidR="007B4761" w:rsidRPr="007B4761" w:rsidRDefault="007B4761" w:rsidP="007B4761">
      <w:r w:rsidRPr="007B4761">
        <w:t>+-----------------------------------------------------------------------------------+</w:t>
      </w:r>
    </w:p>
    <w:p w14:paraId="6979B8B9" w14:textId="77777777" w:rsidR="007B4761" w:rsidRPr="007B4761" w:rsidRDefault="007B4761" w:rsidP="007B4761">
      <w:r w:rsidRPr="007B4761">
        <w:t>| Model I: Naive Model       | Cross-Border Dummy Negative &amp; Significant            |</w:t>
      </w:r>
    </w:p>
    <w:p w14:paraId="7DB075C2" w14:textId="77777777" w:rsidR="007B4761" w:rsidRPr="007B4761" w:rsidRDefault="007B4761" w:rsidP="007B4761">
      <w:r w:rsidRPr="007B4761">
        <w:t xml:space="preserve">|                            | (M&amp;A: </w:t>
      </w:r>
      <w:proofErr w:type="spellStart"/>
      <w:r w:rsidRPr="007B4761">
        <w:t>Coef</w:t>
      </w:r>
      <w:proofErr w:type="spellEnd"/>
      <w:r w:rsidRPr="007B4761">
        <w:t xml:space="preserve"> = -0.697, TR = 0.50 | IPO: </w:t>
      </w:r>
      <w:proofErr w:type="spellStart"/>
      <w:r w:rsidRPr="007B4761">
        <w:t>Coef</w:t>
      </w:r>
      <w:proofErr w:type="spellEnd"/>
      <w:r w:rsidRPr="007B4761">
        <w:t xml:space="preserve"> = -0.294, |</w:t>
      </w:r>
    </w:p>
    <w:p w14:paraId="75A28A89" w14:textId="77777777" w:rsidR="007B4761" w:rsidRPr="007B4761" w:rsidRDefault="007B4761" w:rsidP="007B4761">
      <w:r w:rsidRPr="007B4761">
        <w:t>|                            | TR = 0.75)                                           |</w:t>
      </w:r>
    </w:p>
    <w:p w14:paraId="77A99BBB" w14:textId="77777777" w:rsidR="007B4761" w:rsidRPr="007B4761" w:rsidRDefault="007B4761" w:rsidP="007B4761">
      <w:r w:rsidRPr="007B4761">
        <w:t>+----------------------------+------------------------------------------------------+</w:t>
      </w:r>
    </w:p>
    <w:p w14:paraId="40C85FC7" w14:textId="77777777" w:rsidR="007B4761" w:rsidRPr="007B4761" w:rsidRDefault="007B4761" w:rsidP="007B4761">
      <w:r w:rsidRPr="007B4761">
        <w:t>| Model II: Regional Dummies | ONLY North America Remains Significant                |</w:t>
      </w:r>
    </w:p>
    <w:p w14:paraId="620F1F18" w14:textId="77777777" w:rsidR="007B4761" w:rsidRPr="007B4761" w:rsidRDefault="007B4761" w:rsidP="007B4761">
      <w:r w:rsidRPr="007B4761">
        <w:t>|                            | (</w:t>
      </w:r>
      <w:proofErr w:type="spellStart"/>
      <w:r w:rsidRPr="007B4761">
        <w:t>Coef</w:t>
      </w:r>
      <w:proofErr w:type="spellEnd"/>
      <w:r w:rsidRPr="007B4761">
        <w:t xml:space="preserve"> = -1.286, TR = 0.29)                           |</w:t>
      </w:r>
    </w:p>
    <w:p w14:paraId="7928D8B2" w14:textId="77777777" w:rsidR="007B4761" w:rsidRPr="007B4761" w:rsidRDefault="007B4761" w:rsidP="007B4761">
      <w:r w:rsidRPr="007B4761">
        <w:t>|                            | All Other Regional Dummies -&gt; Insignificant          |</w:t>
      </w:r>
    </w:p>
    <w:p w14:paraId="2F0E23F8" w14:textId="77777777" w:rsidR="007B4761" w:rsidRPr="007B4761" w:rsidRDefault="007B4761" w:rsidP="007B4761">
      <w:r w:rsidRPr="007B4761">
        <w:t>+----------------------------+------------------------------------------------------+</w:t>
      </w:r>
    </w:p>
    <w:p w14:paraId="4C86ABF2" w14:textId="77777777" w:rsidR="007B4761" w:rsidRPr="007B4761" w:rsidRDefault="007B4761" w:rsidP="007B4761">
      <w:r w:rsidRPr="007B4761">
        <w:t xml:space="preserve">| Model IV/V: Macro &amp;        | Base Liquidity </w:t>
      </w:r>
      <w:proofErr w:type="spellStart"/>
      <w:r w:rsidRPr="007B4761">
        <w:t>Coef</w:t>
      </w:r>
      <w:proofErr w:type="spellEnd"/>
      <w:r w:rsidRPr="007B4761">
        <w:t xml:space="preserve"> Doubles Outside NA (-0.152)      |</w:t>
      </w:r>
    </w:p>
    <w:p w14:paraId="657F4E5C" w14:textId="77777777" w:rsidR="007B4761" w:rsidRPr="007B4761" w:rsidRDefault="007B4761" w:rsidP="007B4761">
      <w:r w:rsidRPr="007B4761">
        <w:t>| Interactions               | NA Interaction (+0.078) Offsets ~50% Liquidity Impact|</w:t>
      </w:r>
    </w:p>
    <w:p w14:paraId="5FEE0B64" w14:textId="77777777" w:rsidR="007B4761" w:rsidRPr="007B4761" w:rsidRDefault="007B4761" w:rsidP="007B4761">
      <w:r w:rsidRPr="007B4761">
        <w:t>|                            | Net NA Liquidity Effect = -0.152 + 0.078 = -0.074    |</w:t>
      </w:r>
    </w:p>
    <w:p w14:paraId="4A37F1B7" w14:textId="77777777" w:rsidR="007B4761" w:rsidRPr="007B4761" w:rsidRDefault="007B4761" w:rsidP="007B4761">
      <w:r w:rsidRPr="007B4761">
        <w:t>+-----------------------------------------------------------------------------------+</w:t>
      </w:r>
    </w:p>
    <w:p w14:paraId="5F40D305" w14:textId="77777777" w:rsidR="007B4761" w:rsidRPr="007B4761" w:rsidRDefault="007B4761" w:rsidP="007B4761">
      <w:pPr>
        <w:numPr>
          <w:ilvl w:val="0"/>
          <w:numId w:val="10"/>
        </w:numPr>
      </w:pPr>
      <w:r w:rsidRPr="007B4761">
        <w:rPr>
          <w:b/>
          <w:bCs/>
        </w:rPr>
        <w:t>Model I (Naive Cross-Border Specification):</w:t>
      </w:r>
      <w:r w:rsidRPr="007B4761">
        <w:t> The generic cross-border dummy is negative and statistically significant (p &lt; 0.01), yielding log-time coefficients of \beta = -0.697 (TR = 0.50) for M&amp;A and \beta = -0.294 (TR = 0.75) for IPO, falsely implying that cross-border deals exit 25% to 50% faster universally.</w:t>
      </w:r>
    </w:p>
    <w:p w14:paraId="54EC42FA" w14:textId="77777777" w:rsidR="007B4761" w:rsidRPr="007B4761" w:rsidRDefault="007B4761" w:rsidP="007B4761">
      <w:pPr>
        <w:numPr>
          <w:ilvl w:val="0"/>
          <w:numId w:val="10"/>
        </w:numPr>
      </w:pPr>
      <w:r w:rsidRPr="007B4761">
        <w:rPr>
          <w:b/>
          <w:bCs/>
        </w:rPr>
        <w:t>Model II (Regional Disaggregation):</w:t>
      </w:r>
      <w:r w:rsidRPr="007B4761">
        <w:t> Replacing the cross-border indicator with specific regional dummies reveals that </w:t>
      </w:r>
      <w:r w:rsidRPr="007B4761">
        <w:rPr>
          <w:b/>
          <w:bCs/>
        </w:rPr>
        <w:t>only North America is statistically significant</w:t>
      </w:r>
      <w:r w:rsidRPr="007B4761">
        <w:t> (\beta = -1.286, TR = 0.29, p &lt; 0.01). European, Latin American, Asian, and African investments show no significant duration difference from domestic UK deals.</w:t>
      </w:r>
    </w:p>
    <w:p w14:paraId="06D25AB3" w14:textId="77777777" w:rsidR="007B4761" w:rsidRPr="007B4761" w:rsidRDefault="007B4761" w:rsidP="007B4761">
      <w:pPr>
        <w:numPr>
          <w:ilvl w:val="0"/>
          <w:numId w:val="10"/>
        </w:numPr>
      </w:pPr>
      <w:r w:rsidRPr="007B4761">
        <w:rPr>
          <w:b/>
          <w:bCs/>
        </w:rPr>
        <w:t>Model III &amp; IV (Macro Environment &amp; Interactivity):</w:t>
      </w:r>
      <w:r w:rsidRPr="007B4761">
        <w:t xml:space="preserve"> Controlling for Market Liquidity (\beta = -0.169, p &lt; 0.05) and Legality (\beta = -0.062, p &lt; 0.05) in Model IV nearly </w:t>
      </w:r>
      <w:r w:rsidRPr="007B4761">
        <w:lastRenderedPageBreak/>
        <w:t>doubles the observed accelerating effect of liquidity on IPOs outside North America compared to baseline Model III (\beta = -0.092, TR = 0.912).</w:t>
      </w:r>
    </w:p>
    <w:p w14:paraId="4EEE2B64" w14:textId="77777777" w:rsidR="007B4761" w:rsidRPr="007B4761" w:rsidRDefault="007B4761" w:rsidP="007B4761">
      <w:pPr>
        <w:numPr>
          <w:ilvl w:val="0"/>
          <w:numId w:val="10"/>
        </w:numPr>
      </w:pPr>
      <w:r w:rsidRPr="007B4761">
        <w:rPr>
          <w:b/>
          <w:bCs/>
        </w:rPr>
        <w:t>North America Interaction Mechanics &amp; Net Liquidity Calculation:</w:t>
      </w:r>
      <w:r w:rsidRPr="007B4761">
        <w:t> In Model V, the interaction term (\</w:t>
      </w:r>
      <w:proofErr w:type="gramStart"/>
      <w:r w:rsidRPr="007B4761">
        <w:t>text{</w:t>
      </w:r>
      <w:proofErr w:type="gramEnd"/>
      <w:r w:rsidRPr="007B4761">
        <w:t>Market Liquidity} \times \</w:t>
      </w:r>
      <w:proofErr w:type="gramStart"/>
      <w:r w:rsidRPr="007B4761">
        <w:t>text{</w:t>
      </w:r>
      <w:proofErr w:type="gramEnd"/>
      <w:r w:rsidRPr="007B4761">
        <w:t>North America} = +0.078, p &lt; 0.10) offsets half the direct liquidity effect. Mathematically: \</w:t>
      </w:r>
      <w:proofErr w:type="gramStart"/>
      <w:r w:rsidRPr="007B4761">
        <w:t>text{</w:t>
      </w:r>
      <w:proofErr w:type="gramEnd"/>
      <w:r w:rsidRPr="007B4761">
        <w:t>Net NA Liquidity Effect} = \</w:t>
      </w:r>
      <w:proofErr w:type="gramStart"/>
      <w:r w:rsidRPr="007B4761">
        <w:t>text{</w:t>
      </w:r>
      <w:proofErr w:type="gramEnd"/>
      <w:r w:rsidRPr="007B4761">
        <w:t xml:space="preserve">Base </w:t>
      </w:r>
      <w:proofErr w:type="gramStart"/>
      <w:r w:rsidRPr="007B4761">
        <w:t>Liquidity }</w:t>
      </w:r>
      <w:proofErr w:type="gramEnd"/>
      <w:r w:rsidRPr="007B4761">
        <w:t xml:space="preserve"> (\beta = -0.152) + \</w:t>
      </w:r>
      <w:proofErr w:type="gramStart"/>
      <w:r w:rsidRPr="007B4761">
        <w:t>text{Interaction }</w:t>
      </w:r>
      <w:proofErr w:type="gramEnd"/>
      <w:r w:rsidRPr="007B4761">
        <w:t xml:space="preserve"> (\beta = +0.078) = -0.074. This proves that a 1-unit increase in market liquidity accelerates IPO exits by </w:t>
      </w:r>
      <w:r w:rsidRPr="007B4761">
        <w:rPr>
          <w:b/>
          <w:bCs/>
        </w:rPr>
        <w:t>15.2%</w:t>
      </w:r>
      <w:r w:rsidRPr="007B4761">
        <w:t> (1 - \</w:t>
      </w:r>
      <w:proofErr w:type="gramStart"/>
      <w:r w:rsidRPr="007B4761">
        <w:t>exp(</w:t>
      </w:r>
      <w:proofErr w:type="gramEnd"/>
      <w:r w:rsidRPr="007B4761">
        <w:t>-0.152)) outside North America, but by only </w:t>
      </w:r>
      <w:r w:rsidRPr="007B4761">
        <w:rPr>
          <w:b/>
          <w:bCs/>
        </w:rPr>
        <w:t>7.4%</w:t>
      </w:r>
      <w:r w:rsidRPr="007B4761">
        <w:t> (1 - \</w:t>
      </w:r>
      <w:proofErr w:type="gramStart"/>
      <w:r w:rsidRPr="007B4761">
        <w:t>exp(</w:t>
      </w:r>
      <w:proofErr w:type="gramEnd"/>
      <w:r w:rsidRPr="007B4761">
        <w:t>-0.074)) within North America.</w:t>
      </w:r>
    </w:p>
    <w:p w14:paraId="2203752B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> The apparent "cross-border exit acceleration" is an empirical artifact driven entirely by North American deals; cross-border investments in all other world regions exit at speeds statistically identical to domestic deals.</w:t>
      </w:r>
    </w:p>
    <w:p w14:paraId="79B2C44A" w14:textId="77777777" w:rsidR="007B4761" w:rsidRPr="007B4761" w:rsidRDefault="007B4761" w:rsidP="007B4761">
      <w:r w:rsidRPr="007B4761">
        <w:t>Sensitivity checks and control variable estimations further clarify the micro-level drivers of these duration trajectories.</w:t>
      </w:r>
    </w:p>
    <w:p w14:paraId="5A214AA2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4.3 Control Variables, Extensions, and Robustness</w:t>
      </w:r>
    </w:p>
    <w:p w14:paraId="4A391D84" w14:textId="77777777" w:rsidR="007B4761" w:rsidRPr="007B4761" w:rsidRDefault="007B4761" w:rsidP="007B4761">
      <w:r w:rsidRPr="007B4761">
        <w:t>Firm and deal-level control variables consistently validate microeconomic duration predictions across parametric specifications.</w:t>
      </w:r>
    </w:p>
    <w:p w14:paraId="0C2E23AD" w14:textId="77777777" w:rsidR="007B4761" w:rsidRPr="007B4761" w:rsidRDefault="007B4761" w:rsidP="007B4761">
      <w:pPr>
        <w:numPr>
          <w:ilvl w:val="0"/>
          <w:numId w:val="11"/>
        </w:numPr>
      </w:pPr>
      <w:r w:rsidRPr="007B4761">
        <w:rPr>
          <w:b/>
          <w:bCs/>
        </w:rPr>
        <w:t>Old VC Accelerating Effect:</w:t>
      </w:r>
      <w:r w:rsidRPr="007B4761">
        <w:t> Highly experienced VC firms (\</w:t>
      </w:r>
      <w:proofErr w:type="gramStart"/>
      <w:r w:rsidRPr="007B4761">
        <w:t>text{</w:t>
      </w:r>
      <w:proofErr w:type="gramEnd"/>
      <w:r w:rsidRPr="007B4761">
        <w:t>Old VC}, top age quartile) significantly reduce exit duration across all channels: reducing exit duration by 5–6% for M&amp;A, 10–13% for IPOs, 25–27% for MBOs, and 16–19% for liquidations.</w:t>
      </w:r>
    </w:p>
    <w:p w14:paraId="611B6BB4" w14:textId="77777777" w:rsidR="007B4761" w:rsidRPr="007B4761" w:rsidRDefault="007B4761" w:rsidP="007B4761">
      <w:pPr>
        <w:numPr>
          <w:ilvl w:val="0"/>
          <w:numId w:val="11"/>
        </w:numPr>
      </w:pPr>
      <w:r w:rsidRPr="007B4761">
        <w:rPr>
          <w:b/>
          <w:bCs/>
        </w:rPr>
        <w:t>Fund Maturity Constraint Mechanics:</w:t>
      </w:r>
      <w:r w:rsidRPr="007B4761">
        <w:t> While Fund Age is statistically insignificant for successful exits (M&amp;A and IPO in Tables 7a/7b), it is highly statistically significant and negative for </w:t>
      </w:r>
      <w:r w:rsidRPr="007B4761">
        <w:rPr>
          <w:b/>
          <w:bCs/>
        </w:rPr>
        <w:t>Liquidations</w:t>
      </w:r>
      <w:r w:rsidRPr="007B4761">
        <w:t> (\beta = -0.920, p &lt; 0.01 in Table A3; \beta = -1.400, p &lt; 0.01 in Table A4). As funds approach end-of-life maturity, VCs do not prematurely rush viable firms to IPO/M&amp;A; instead, they aggressively dump and liquidate underperforming portfolio assets to clear the fund before raising follow-on vehicles.</w:t>
      </w:r>
    </w:p>
    <w:p w14:paraId="73FFB9A5" w14:textId="77777777" w:rsidR="007B4761" w:rsidRPr="007B4761" w:rsidRDefault="007B4761" w:rsidP="007B4761">
      <w:pPr>
        <w:numPr>
          <w:ilvl w:val="0"/>
          <w:numId w:val="11"/>
        </w:numPr>
      </w:pPr>
      <w:r w:rsidRPr="007B4761">
        <w:rPr>
          <w:b/>
          <w:bCs/>
        </w:rPr>
        <w:t>Investment Scale Impact:</w:t>
      </w:r>
      <w:r w:rsidRPr="007B4761">
        <w:t> Capital commitment size (\</w:t>
      </w:r>
      <w:proofErr w:type="gramStart"/>
      <w:r w:rsidRPr="007B4761">
        <w:t>text{</w:t>
      </w:r>
      <w:proofErr w:type="gramEnd"/>
      <w:r w:rsidRPr="007B4761">
        <w:t>Size Inv}) acts as a strong accelerator for IPOs, reducing duration by 14–17% per log-unit increase.</w:t>
      </w:r>
    </w:p>
    <w:p w14:paraId="3481E64E" w14:textId="77777777" w:rsidR="007B4761" w:rsidRPr="007B4761" w:rsidRDefault="007B4761" w:rsidP="007B4761">
      <w:pPr>
        <w:numPr>
          <w:ilvl w:val="0"/>
          <w:numId w:val="11"/>
        </w:numPr>
      </w:pPr>
      <w:r w:rsidRPr="007B4761">
        <w:rPr>
          <w:b/>
          <w:bCs/>
        </w:rPr>
        <w:t>Syndicate Scale Impact:</w:t>
      </w:r>
      <w:r w:rsidRPr="007B4761">
        <w:t> Larger syndicates reduce M&amp;A exit times by 2–3% and IPO exit times by 1–2% per additional member, supporting the network-facilitation hypothesis over syndicate conflict friction.</w:t>
      </w:r>
    </w:p>
    <w:p w14:paraId="766CFF72" w14:textId="77777777" w:rsidR="007B4761" w:rsidRPr="007B4761" w:rsidRDefault="007B4761" w:rsidP="007B4761">
      <w:pPr>
        <w:numPr>
          <w:ilvl w:val="0"/>
          <w:numId w:val="11"/>
        </w:numPr>
      </w:pPr>
      <w:r w:rsidRPr="007B4761">
        <w:rPr>
          <w:b/>
          <w:bCs/>
        </w:rPr>
        <w:lastRenderedPageBreak/>
        <w:t>Robustness Estimations:</w:t>
      </w:r>
      <w:r w:rsidRPr="007B4761">
        <w:t> Core findings remain fully robust when substituting civil versus common law indicators, utilizing share value traded relative to market cap for liquidity, re-estimating via Competing Risk sub-distribution hazards, and analyzing final-round rather than first-round investments.</w:t>
      </w:r>
    </w:p>
    <w:p w14:paraId="4E90B2B2" w14:textId="77777777" w:rsidR="007B4761" w:rsidRPr="007B4761" w:rsidRDefault="007B4761" w:rsidP="007B4761">
      <w:r w:rsidRPr="007B4761">
        <w:rPr>
          <w:b/>
          <w:bCs/>
        </w:rPr>
        <w:t>Takeaway:</w:t>
      </w:r>
      <w:r w:rsidRPr="007B4761">
        <w:t> VC experience, investment scale, syndication, and fund maturity liquidation mandates act as primary micro-level drivers governing venture capital exit duration.</w:t>
      </w:r>
    </w:p>
    <w:p w14:paraId="2024414A" w14:textId="77777777" w:rsidR="007B4761" w:rsidRPr="007B4761" w:rsidRDefault="007B4761" w:rsidP="007B4761">
      <w:pPr>
        <w:rPr>
          <w:b/>
          <w:bCs/>
        </w:rPr>
      </w:pPr>
      <w:r w:rsidRPr="007B4761">
        <w:rPr>
          <w:b/>
          <w:bCs/>
        </w:rPr>
        <w:t>5. Conclusion and Strategic Synthesis</w:t>
      </w:r>
    </w:p>
    <w:p w14:paraId="29E97991" w14:textId="77777777" w:rsidR="007B4761" w:rsidRPr="007B4761" w:rsidRDefault="007B4761" w:rsidP="007B4761">
      <w:pPr>
        <w:numPr>
          <w:ilvl w:val="0"/>
          <w:numId w:val="12"/>
        </w:numPr>
      </w:pPr>
      <w:r w:rsidRPr="007B4761">
        <w:rPr>
          <w:b/>
          <w:bCs/>
        </w:rPr>
        <w:t>Primary Empirical Discovery:</w:t>
      </w:r>
      <w:r w:rsidRPr="007B4761">
        <w:t> Cross-border venture capital investments are not inherently exited faster than domestic deals; observed duration compression is entirely attributable to North American deals characterized by uniquely deep capital markets.</w:t>
      </w:r>
    </w:p>
    <w:p w14:paraId="7CE986AA" w14:textId="77777777" w:rsidR="007B4761" w:rsidRPr="007B4761" w:rsidRDefault="007B4761" w:rsidP="007B4761">
      <w:pPr>
        <w:numPr>
          <w:ilvl w:val="0"/>
          <w:numId w:val="12"/>
        </w:numPr>
      </w:pPr>
      <w:r w:rsidRPr="007B4761">
        <w:rPr>
          <w:b/>
          <w:bCs/>
        </w:rPr>
        <w:t>Macro-Driver Policy Implications:</w:t>
      </w:r>
      <w:r w:rsidRPr="007B4761">
        <w:t> Institutional initiatives aimed at fostering international venture capital flows (e.g., European Union cross-border funds) cannot rely solely on capital matching; they must prioritize public stock market liquidity and legal institutional efficiency to facilitate exit liquidity.</w:t>
      </w:r>
    </w:p>
    <w:p w14:paraId="25E0238B" w14:textId="77777777" w:rsidR="007B4761" w:rsidRPr="007B4761" w:rsidRDefault="007B4761" w:rsidP="007B4761">
      <w:pPr>
        <w:numPr>
          <w:ilvl w:val="0"/>
          <w:numId w:val="12"/>
        </w:numPr>
      </w:pPr>
      <w:r w:rsidRPr="007B4761">
        <w:rPr>
          <w:b/>
          <w:bCs/>
        </w:rPr>
        <w:t>Practitioner Application:</w:t>
      </w:r>
      <w:r w:rsidRPr="007B4761">
        <w:t> International private equity managers must decouple geographic distance from expected holding duration, calibrating target holding periods to destination region macro liquidity rather than assuming uniform cross-border monitoring frictions.</w:t>
      </w:r>
    </w:p>
    <w:p w14:paraId="332FC3DC" w14:textId="56E84E4E" w:rsidR="00806FF8" w:rsidRDefault="007B4761">
      <w:r w:rsidRPr="007B4761">
        <w:rPr>
          <w:b/>
          <w:bCs/>
        </w:rPr>
        <w:t>Takeaway:</w:t>
      </w:r>
      <w:r w:rsidRPr="007B4761">
        <w:t> Accelerated venture capital exit speed is governed by local public market liquidity and legal system quality rather than geographic cross-border investment distance. Empirical studies of international venture capital duration must explicitly isolate North American observations to avoid parameter bias.</w:t>
      </w:r>
    </w:p>
    <w:sectPr w:rsidR="0080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10659"/>
    <w:multiLevelType w:val="multilevel"/>
    <w:tmpl w:val="601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0A1D"/>
    <w:multiLevelType w:val="multilevel"/>
    <w:tmpl w:val="38E2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007F"/>
    <w:multiLevelType w:val="multilevel"/>
    <w:tmpl w:val="4F2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F7C5B"/>
    <w:multiLevelType w:val="multilevel"/>
    <w:tmpl w:val="F8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D2858"/>
    <w:multiLevelType w:val="multilevel"/>
    <w:tmpl w:val="D2E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E2A1D"/>
    <w:multiLevelType w:val="multilevel"/>
    <w:tmpl w:val="86B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E572A"/>
    <w:multiLevelType w:val="multilevel"/>
    <w:tmpl w:val="590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91312"/>
    <w:multiLevelType w:val="multilevel"/>
    <w:tmpl w:val="C11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51BB6"/>
    <w:multiLevelType w:val="multilevel"/>
    <w:tmpl w:val="9DF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E3F83"/>
    <w:multiLevelType w:val="multilevel"/>
    <w:tmpl w:val="A63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429DC"/>
    <w:multiLevelType w:val="multilevel"/>
    <w:tmpl w:val="2B3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560FA"/>
    <w:multiLevelType w:val="multilevel"/>
    <w:tmpl w:val="62E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304029">
    <w:abstractNumId w:val="10"/>
  </w:num>
  <w:num w:numId="2" w16cid:durableId="454448219">
    <w:abstractNumId w:val="11"/>
  </w:num>
  <w:num w:numId="3" w16cid:durableId="1005210185">
    <w:abstractNumId w:val="8"/>
  </w:num>
  <w:num w:numId="4" w16cid:durableId="46421422">
    <w:abstractNumId w:val="3"/>
  </w:num>
  <w:num w:numId="5" w16cid:durableId="616058094">
    <w:abstractNumId w:val="5"/>
  </w:num>
  <w:num w:numId="6" w16cid:durableId="768283285">
    <w:abstractNumId w:val="2"/>
  </w:num>
  <w:num w:numId="7" w16cid:durableId="1159928699">
    <w:abstractNumId w:val="1"/>
  </w:num>
  <w:num w:numId="8" w16cid:durableId="1440562642">
    <w:abstractNumId w:val="0"/>
  </w:num>
  <w:num w:numId="9" w16cid:durableId="380596409">
    <w:abstractNumId w:val="9"/>
  </w:num>
  <w:num w:numId="10" w16cid:durableId="1777482257">
    <w:abstractNumId w:val="6"/>
  </w:num>
  <w:num w:numId="11" w16cid:durableId="601837897">
    <w:abstractNumId w:val="7"/>
  </w:num>
  <w:num w:numId="12" w16cid:durableId="5545855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F8"/>
    <w:rsid w:val="007B4761"/>
    <w:rsid w:val="00806FF8"/>
    <w:rsid w:val="00D22A89"/>
    <w:rsid w:val="00FF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0D6F1"/>
  <w15:chartTrackingRefBased/>
  <w15:docId w15:val="{9B7871A3-F37C-D344-893D-4C0841FC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2920</Words>
  <Characters>16644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Sarman</dc:creator>
  <cp:keywords/>
  <dc:description/>
  <cp:lastModifiedBy>Mark Sarman</cp:lastModifiedBy>
  <cp:revision>2</cp:revision>
  <dcterms:created xsi:type="dcterms:W3CDTF">2026-09-30T17:32:00Z</dcterms:created>
  <dcterms:modified xsi:type="dcterms:W3CDTF">2026-10-01T07:44:00Z</dcterms:modified>
</cp:coreProperties>
</file>