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8B215C" w14:textId="77777777" w:rsidR="009F56B7" w:rsidRPr="009F56B7" w:rsidRDefault="009F56B7" w:rsidP="009F56B7">
      <w:pPr>
        <w:rPr>
          <w:b/>
          <w:bCs/>
        </w:rPr>
      </w:pPr>
      <w:r w:rsidRPr="009F56B7">
        <w:rPr>
          <w:b/>
          <w:bCs/>
        </w:rPr>
        <w:t>Exam-Ready Study Report: The Analysis of Cross-border Venture Capital Networks and Investment Performances Using a Logit Model</w:t>
      </w:r>
    </w:p>
    <w:p w14:paraId="638BA8E0" w14:textId="77777777" w:rsidR="009F56B7" w:rsidRPr="009F56B7" w:rsidRDefault="009F56B7" w:rsidP="009F56B7">
      <w:r w:rsidRPr="009F56B7">
        <w:t>Lee, V. (2019). The Analysis of Cross-border Venture Capital Networks and Investment Performances Using a Logit Model. </w:t>
      </w:r>
      <w:r w:rsidRPr="009F56B7">
        <w:rPr>
          <w:i/>
          <w:iCs/>
        </w:rPr>
        <w:t>Journal of Internet Technology</w:t>
      </w:r>
      <w:r w:rsidRPr="009F56B7">
        <w:t>, 20(1), 219–228.</w:t>
      </w:r>
    </w:p>
    <w:p w14:paraId="7FDA8D23" w14:textId="77777777" w:rsidR="009F56B7" w:rsidRPr="009F56B7" w:rsidRDefault="009F56B7" w:rsidP="009F56B7">
      <w:pPr>
        <w:rPr>
          <w:b/>
          <w:bCs/>
        </w:rPr>
      </w:pPr>
      <w:r w:rsidRPr="009F56B7">
        <w:rPr>
          <w:b/>
          <w:bCs/>
        </w:rPr>
        <w:t>1. Introduction</w:t>
      </w:r>
    </w:p>
    <w:p w14:paraId="7E6569E7" w14:textId="77777777" w:rsidR="009F56B7" w:rsidRPr="009F56B7" w:rsidRDefault="009F56B7" w:rsidP="009F56B7">
      <w:r w:rsidRPr="009F56B7">
        <w:t>A </w:t>
      </w:r>
      <w:r w:rsidRPr="009F56B7">
        <w:rPr>
          <w:b/>
          <w:bCs/>
        </w:rPr>
        <w:t>VC syndicate</w:t>
      </w:r>
      <w:r w:rsidRPr="009F56B7">
        <w:t> mitigates private equity risk, yet gaps persist regarding Asian capital inflows into U.S. cross-border syndicates.</w:t>
      </w:r>
    </w:p>
    <w:p w14:paraId="139CBC3B" w14:textId="77777777" w:rsidR="009F56B7" w:rsidRPr="009F56B7" w:rsidRDefault="009F56B7" w:rsidP="009F56B7">
      <w:pPr>
        <w:numPr>
          <w:ilvl w:val="0"/>
          <w:numId w:val="1"/>
        </w:numPr>
      </w:pPr>
      <w:r w:rsidRPr="009F56B7">
        <w:rPr>
          <w:b/>
          <w:bCs/>
        </w:rPr>
        <w:t>Venture capital (VC) investment</w:t>
      </w:r>
      <w:r w:rsidRPr="009F56B7">
        <w:t> provides primary equity financing for high-uncertainty private ventures lacking traditional debt market access.</w:t>
      </w:r>
    </w:p>
    <w:p w14:paraId="7EEDD9E7" w14:textId="77777777" w:rsidR="009F56B7" w:rsidRPr="009F56B7" w:rsidRDefault="009F56B7" w:rsidP="009F56B7">
      <w:pPr>
        <w:numPr>
          <w:ilvl w:val="0"/>
          <w:numId w:val="1"/>
        </w:numPr>
      </w:pPr>
      <w:r w:rsidRPr="009F56B7">
        <w:t>A VC syndicate structures joint co-investments to disperse financial risk and pool private market information.</w:t>
      </w:r>
    </w:p>
    <w:p w14:paraId="05CD7526" w14:textId="77777777" w:rsidR="009F56B7" w:rsidRPr="009F56B7" w:rsidRDefault="009F56B7" w:rsidP="009F56B7">
      <w:pPr>
        <w:numPr>
          <w:ilvl w:val="0"/>
          <w:numId w:val="1"/>
        </w:numPr>
      </w:pPr>
      <w:r w:rsidRPr="009F56B7">
        <w:t>Cross-border flows accelerated as Chinese institutional investors leveraged post-2008 governmental rebalancing imperatives.</w:t>
      </w:r>
    </w:p>
    <w:p w14:paraId="3613DA71" w14:textId="77777777" w:rsidR="009F56B7" w:rsidRPr="009F56B7" w:rsidRDefault="009F56B7" w:rsidP="009F56B7">
      <w:pPr>
        <w:numPr>
          <w:ilvl w:val="0"/>
          <w:numId w:val="1"/>
        </w:numPr>
      </w:pPr>
      <w:r w:rsidRPr="009F56B7">
        <w:t>The empirical sample comprises 285 U.S. companies funded by joint U.S.-Asian syndicates (1995–2016), encompassing 2,626 distinct VC funds.</w:t>
      </w:r>
    </w:p>
    <w:p w14:paraId="32AFFE43" w14:textId="77777777" w:rsidR="009F56B7" w:rsidRPr="009F56B7" w:rsidRDefault="009F56B7" w:rsidP="009F56B7">
      <w:pPr>
        <w:numPr>
          <w:ilvl w:val="0"/>
          <w:numId w:val="1"/>
        </w:numPr>
      </w:pPr>
      <w:r w:rsidRPr="009F56B7">
        <w:t>The study evaluates whether inter-fund network quantity and quality systematically enhance portfolio company market exits via IPOs or M&amp;As.</w:t>
      </w:r>
    </w:p>
    <w:p w14:paraId="24BA28AF" w14:textId="77777777" w:rsidR="009F56B7" w:rsidRPr="009F56B7" w:rsidRDefault="009F56B7" w:rsidP="009F56B7">
      <w:r w:rsidRPr="009F56B7">
        <w:rPr>
          <w:b/>
          <w:bCs/>
        </w:rPr>
        <w:t>Takeaway:</w:t>
      </w:r>
      <w:r w:rsidRPr="009F56B7">
        <w:t> Cross-border venture syndication expands traditional risk-sharing mechanisms, offering a unique empirical setting to test whether network ties drive startup exit success.</w:t>
      </w:r>
    </w:p>
    <w:p w14:paraId="14B77AF9" w14:textId="77777777" w:rsidR="009F56B7" w:rsidRPr="009F56B7" w:rsidRDefault="009F56B7" w:rsidP="009F56B7">
      <w:pPr>
        <w:rPr>
          <w:b/>
          <w:bCs/>
        </w:rPr>
      </w:pPr>
      <w:r w:rsidRPr="009F56B7">
        <w:rPr>
          <w:b/>
          <w:bCs/>
        </w:rPr>
        <w:t>2. Literature Review &amp; Theoretical Framework</w:t>
      </w:r>
    </w:p>
    <w:p w14:paraId="5DF55B2D" w14:textId="77777777" w:rsidR="009F56B7" w:rsidRPr="009F56B7" w:rsidRDefault="009F56B7" w:rsidP="009F56B7">
      <w:r w:rsidRPr="009F56B7">
        <w:t>Prior syndication theories establish that inter-organizational ties facilitate information diffusion, reduce monitoring costs, and neutralize risk across borders.</w:t>
      </w:r>
    </w:p>
    <w:p w14:paraId="28B7BA72" w14:textId="77777777" w:rsidR="009F56B7" w:rsidRPr="009F56B7" w:rsidRDefault="009F56B7" w:rsidP="009F56B7">
      <w:pPr>
        <w:numPr>
          <w:ilvl w:val="0"/>
          <w:numId w:val="2"/>
        </w:numPr>
      </w:pPr>
      <w:r w:rsidRPr="009F56B7">
        <w:t>Lerner identifies three domestic syndication rationales: risk neutralization through rationale comparison, overcoming capital constraints, and securing </w:t>
      </w:r>
      <w:r w:rsidRPr="009F56B7">
        <w:rPr>
          <w:b/>
          <w:bCs/>
        </w:rPr>
        <w:t>window dressing</w:t>
      </w:r>
      <w:r w:rsidRPr="009F56B7">
        <w:t>.</w:t>
      </w:r>
    </w:p>
    <w:p w14:paraId="2B786CE0" w14:textId="77777777" w:rsidR="009F56B7" w:rsidRPr="009F56B7" w:rsidRDefault="009F56B7" w:rsidP="009F56B7">
      <w:pPr>
        <w:numPr>
          <w:ilvl w:val="0"/>
          <w:numId w:val="2"/>
        </w:numPr>
      </w:pPr>
      <w:r w:rsidRPr="009F56B7">
        <w:t>Sorenson and Stuart show spatial information diffusion causes local clustering, though VCs in </w:t>
      </w:r>
      <w:r w:rsidRPr="009F56B7">
        <w:rPr>
          <w:b/>
          <w:bCs/>
        </w:rPr>
        <w:t>axial positions</w:t>
      </w:r>
      <w:r w:rsidRPr="009F56B7">
        <w:t> take network risks to fund distant companies.</w:t>
      </w:r>
    </w:p>
    <w:p w14:paraId="45F58F76" w14:textId="77777777" w:rsidR="009F56B7" w:rsidRPr="009F56B7" w:rsidRDefault="009F56B7" w:rsidP="009F56B7">
      <w:pPr>
        <w:numPr>
          <w:ilvl w:val="0"/>
          <w:numId w:val="2"/>
        </w:numPr>
      </w:pPr>
      <w:r w:rsidRPr="009F56B7">
        <w:t>Dai et al. demonstrate that partnering with local syndicates alleviates </w:t>
      </w:r>
      <w:r w:rsidRPr="009F56B7">
        <w:rPr>
          <w:b/>
          <w:bCs/>
        </w:rPr>
        <w:t>information asymmetry</w:t>
      </w:r>
      <w:r w:rsidRPr="009F56B7">
        <w:t> and foreign monitoring friction in Asian markets.</w:t>
      </w:r>
    </w:p>
    <w:p w14:paraId="788D83A5" w14:textId="77777777" w:rsidR="009F56B7" w:rsidRPr="009F56B7" w:rsidRDefault="009F56B7" w:rsidP="009F56B7">
      <w:pPr>
        <w:numPr>
          <w:ilvl w:val="0"/>
          <w:numId w:val="2"/>
        </w:numPr>
      </w:pPr>
      <w:r w:rsidRPr="009F56B7">
        <w:lastRenderedPageBreak/>
        <w:t>Kenney et al. observe foreign VCs favor local Chinese partners in later rounds and mature firms, a tendency weakening among older foreign funds.</w:t>
      </w:r>
    </w:p>
    <w:p w14:paraId="680052B7" w14:textId="77777777" w:rsidR="009F56B7" w:rsidRPr="009F56B7" w:rsidRDefault="009F56B7" w:rsidP="009F56B7">
      <w:pPr>
        <w:numPr>
          <w:ilvl w:val="0"/>
          <w:numId w:val="2"/>
        </w:numPr>
      </w:pPr>
      <w:r w:rsidRPr="009F56B7">
        <w:t>In U.S.-Asian cross-border syndicates, expanding relational network quantity counters cultural distance and information opacity by broadening deal-screening reach and local oversight capability.</w:t>
      </w:r>
    </w:p>
    <w:p w14:paraId="6F722765" w14:textId="77777777" w:rsidR="009F56B7" w:rsidRPr="009F56B7" w:rsidRDefault="009F56B7" w:rsidP="009F56B7">
      <w:r w:rsidRPr="009F56B7">
        <w:rPr>
          <w:b/>
          <w:bCs/>
        </w:rPr>
        <w:t>Takeaway:</w:t>
      </w:r>
      <w:r w:rsidRPr="009F56B7">
        <w:t> Syndication theories demonstrate that inter-fund network ties neutralize risk and reduce information asymmetry in cross-border venture capital allocations.</w:t>
      </w:r>
    </w:p>
    <w:p w14:paraId="095E43A2" w14:textId="77777777" w:rsidR="009F56B7" w:rsidRPr="009F56B7" w:rsidRDefault="009F56B7" w:rsidP="009F56B7">
      <w:pPr>
        <w:rPr>
          <w:b/>
          <w:bCs/>
        </w:rPr>
      </w:pPr>
      <w:r w:rsidRPr="009F56B7">
        <w:rPr>
          <w:b/>
          <w:bCs/>
        </w:rPr>
        <w:t>3. Hypothetical Development</w:t>
      </w:r>
    </w:p>
    <w:p w14:paraId="00554D96" w14:textId="77777777" w:rsidR="009F56B7" w:rsidRPr="009F56B7" w:rsidRDefault="009F56B7" w:rsidP="009F56B7">
      <w:r w:rsidRPr="009F56B7">
        <w:t>The theoretical framework formulates testable hypotheses evaluating whether network breadth or institutional prestige drives portfolio company liquidity outcomes.</w:t>
      </w:r>
    </w:p>
    <w:p w14:paraId="638E1BA7" w14:textId="77777777" w:rsidR="009F56B7" w:rsidRPr="009F56B7" w:rsidRDefault="009F56B7" w:rsidP="009F56B7">
      <w:pPr>
        <w:numPr>
          <w:ilvl w:val="0"/>
          <w:numId w:val="3"/>
        </w:numPr>
      </w:pPr>
      <w:r w:rsidRPr="009F56B7">
        <w:rPr>
          <w:b/>
          <w:bCs/>
        </w:rPr>
        <w:t>Hypothesis 1 (H1)</w:t>
      </w:r>
      <w:r w:rsidRPr="009F56B7">
        <w:t>: In the U.S. market, cross-border VC syndicates with a higher number (quantity) of inter-fund network ties lead to more successful market exits.</w:t>
      </w:r>
    </w:p>
    <w:p w14:paraId="5DC7BD4B" w14:textId="77777777" w:rsidR="009F56B7" w:rsidRPr="009F56B7" w:rsidRDefault="009F56B7" w:rsidP="009F56B7">
      <w:pPr>
        <w:numPr>
          <w:ilvl w:val="0"/>
          <w:numId w:val="3"/>
        </w:numPr>
      </w:pPr>
      <w:r w:rsidRPr="009F56B7">
        <w:rPr>
          <w:b/>
          <w:bCs/>
        </w:rPr>
        <w:t>Hypothesis 2 (H2)</w:t>
      </w:r>
      <w:r w:rsidRPr="009F56B7">
        <w:t>: In the U.S. market, cross-border VC syndicates with higher quality of inter-fund network ties lead to more successful market exits.</w:t>
      </w:r>
    </w:p>
    <w:p w14:paraId="52B5D67D" w14:textId="77777777" w:rsidR="009F56B7" w:rsidRPr="009F56B7" w:rsidRDefault="009F56B7" w:rsidP="009F56B7">
      <w:pPr>
        <w:numPr>
          <w:ilvl w:val="0"/>
          <w:numId w:val="3"/>
        </w:numPr>
      </w:pPr>
      <w:r w:rsidRPr="009F56B7">
        <w:t>Network quantity reflects relational breadth and information channels across borders, whereas network quality captures connected partners' structural prestige.</w:t>
      </w:r>
    </w:p>
    <w:p w14:paraId="24F256FF" w14:textId="77777777" w:rsidR="009F56B7" w:rsidRPr="009F56B7" w:rsidRDefault="009F56B7" w:rsidP="009F56B7">
      <w:pPr>
        <w:numPr>
          <w:ilvl w:val="0"/>
          <w:numId w:val="3"/>
        </w:numPr>
      </w:pPr>
      <w:r w:rsidRPr="009F56B7">
        <w:t>Theoretical mechanics suggest network breadth outweighs partner status in cross-border contexts because domestic prestige rarely translates into foreign screening or monitoring efficacy.</w:t>
      </w:r>
    </w:p>
    <w:p w14:paraId="00004976" w14:textId="77777777" w:rsidR="009F56B7" w:rsidRPr="009F56B7" w:rsidRDefault="009F56B7" w:rsidP="009F56B7">
      <w:r w:rsidRPr="009F56B7">
        <w:rPr>
          <w:b/>
          <w:bCs/>
        </w:rPr>
        <w:t>Takeaway:</w:t>
      </w:r>
      <w:r w:rsidRPr="009F56B7">
        <w:t> The study formalizes dual hypotheses to isolate whether network breadth or partner prestige drives portfolio exit outcomes.</w:t>
      </w:r>
    </w:p>
    <w:p w14:paraId="260ED8A9" w14:textId="77777777" w:rsidR="009F56B7" w:rsidRPr="009F56B7" w:rsidRDefault="009F56B7" w:rsidP="009F56B7">
      <w:pPr>
        <w:rPr>
          <w:b/>
          <w:bCs/>
        </w:rPr>
      </w:pPr>
      <w:r w:rsidRPr="009F56B7">
        <w:rPr>
          <w:b/>
          <w:bCs/>
        </w:rPr>
        <w:t>4. Methodology</w:t>
      </w:r>
    </w:p>
    <w:p w14:paraId="229A85FE" w14:textId="77777777" w:rsidR="009F56B7" w:rsidRPr="009F56B7" w:rsidRDefault="009F56B7" w:rsidP="009F56B7">
      <w:pPr>
        <w:rPr>
          <w:b/>
          <w:bCs/>
        </w:rPr>
      </w:pPr>
      <w:r w:rsidRPr="009F56B7">
        <w:rPr>
          <w:b/>
          <w:bCs/>
        </w:rPr>
        <w:t>4.1 Network Analysis</w:t>
      </w:r>
    </w:p>
    <w:p w14:paraId="1D132430" w14:textId="77777777" w:rsidR="009F56B7" w:rsidRPr="009F56B7" w:rsidRDefault="009F56B7" w:rsidP="009F56B7">
      <w:r w:rsidRPr="009F56B7">
        <w:t>Applying </w:t>
      </w:r>
      <w:r w:rsidRPr="009F56B7">
        <w:rPr>
          <w:b/>
          <w:bCs/>
        </w:rPr>
        <w:t>graph theory</w:t>
      </w:r>
      <w:r w:rsidRPr="009F56B7">
        <w:t> models inter-organizational syndicate ties as an adjacency matrix of economic actors embedded in cross-border networks.</w:t>
      </w:r>
    </w:p>
    <w:p w14:paraId="026000C9" w14:textId="77777777" w:rsidR="009F56B7" w:rsidRPr="009F56B7" w:rsidRDefault="009F56B7" w:rsidP="009F56B7">
      <w:pPr>
        <w:numPr>
          <w:ilvl w:val="0"/>
          <w:numId w:val="4"/>
        </w:numPr>
      </w:pPr>
      <w:r w:rsidRPr="009F56B7">
        <w:rPr>
          <w:b/>
          <w:bCs/>
        </w:rPr>
        <w:t>Degree centrality</w:t>
      </w:r>
      <w:r w:rsidRPr="009F56B7">
        <w:t> (network quantity) uses an </w:t>
      </w:r>
      <w:r w:rsidRPr="009F56B7">
        <w:rPr>
          <w:b/>
          <w:bCs/>
        </w:rPr>
        <w:t>undirected and unweighted adjacency socio-matrix</w:t>
      </w:r>
      <w:r w:rsidRPr="009F56B7">
        <w:t> (p_{</w:t>
      </w:r>
      <w:proofErr w:type="spellStart"/>
      <w:r w:rsidRPr="009F56B7">
        <w:t>ij</w:t>
      </w:r>
      <w:proofErr w:type="spellEnd"/>
      <w:r w:rsidRPr="009F56B7">
        <w:t>} = 1 if co-investment exists; 0 otherwise) counting unique fund ties.</w:t>
      </w:r>
    </w:p>
    <w:p w14:paraId="380ACD1A" w14:textId="77777777" w:rsidR="009F56B7" w:rsidRPr="009F56B7" w:rsidRDefault="009F56B7" w:rsidP="009F56B7">
      <w:pPr>
        <w:numPr>
          <w:ilvl w:val="0"/>
          <w:numId w:val="4"/>
        </w:numPr>
      </w:pPr>
      <w:r w:rsidRPr="009F56B7">
        <w:rPr>
          <w:b/>
          <w:bCs/>
        </w:rPr>
        <w:t>Eigenvector centrality</w:t>
      </w:r>
      <w:r w:rsidRPr="009F56B7">
        <w:t> (network quality) assigns relative scores based on connections to highly connected fund neighbors (A x = \lambda x).</w:t>
      </w:r>
    </w:p>
    <w:p w14:paraId="116B2D20" w14:textId="77777777" w:rsidR="009F56B7" w:rsidRPr="009F56B7" w:rsidRDefault="009F56B7" w:rsidP="009F56B7">
      <w:pPr>
        <w:numPr>
          <w:ilvl w:val="0"/>
          <w:numId w:val="4"/>
        </w:numPr>
      </w:pPr>
      <w:r w:rsidRPr="009F56B7">
        <w:lastRenderedPageBreak/>
        <w:t>Nodes represent individual VC funds, while edges signify shared portfolio company investments across funding rounds.</w:t>
      </w:r>
    </w:p>
    <w:p w14:paraId="57AEE476" w14:textId="77777777" w:rsidR="009F56B7" w:rsidRPr="009F56B7" w:rsidRDefault="009F56B7" w:rsidP="009F56B7">
      <w:pPr>
        <w:numPr>
          <w:ilvl w:val="0"/>
          <w:numId w:val="4"/>
        </w:numPr>
      </w:pPr>
      <w:r w:rsidRPr="009F56B7">
        <w:t>Omitting directionality and repeated co-investment weights allows degree centrality to map to the logit specification g(x) by isolating broad relational reach over structural authority.</w:t>
      </w:r>
    </w:p>
    <w:p w14:paraId="6B7F79C7" w14:textId="77777777" w:rsidR="009F56B7" w:rsidRPr="009F56B7" w:rsidRDefault="009F56B7" w:rsidP="009F56B7">
      <w:r w:rsidRPr="009F56B7">
        <w:rPr>
          <w:b/>
          <w:bCs/>
        </w:rPr>
        <w:t>Takeaway:</w:t>
      </w:r>
      <w:r w:rsidRPr="009F56B7">
        <w:t> Graph-theoretic centrality metrics capture the relational social capital and structural positions embedded within cross-border syndicates.</w:t>
      </w:r>
    </w:p>
    <w:p w14:paraId="146FAB40" w14:textId="77777777" w:rsidR="009F56B7" w:rsidRPr="009F56B7" w:rsidRDefault="009F56B7" w:rsidP="009F56B7">
      <w:pPr>
        <w:rPr>
          <w:b/>
          <w:bCs/>
        </w:rPr>
      </w:pPr>
      <w:r w:rsidRPr="009F56B7">
        <w:rPr>
          <w:b/>
          <w:bCs/>
        </w:rPr>
        <w:t>4.2 Descriptive Statistics &amp; Correlation</w:t>
      </w:r>
    </w:p>
    <w:p w14:paraId="1B097591" w14:textId="77777777" w:rsidR="009F56B7" w:rsidRPr="009F56B7" w:rsidRDefault="009F56B7" w:rsidP="009F56B7">
      <w:r w:rsidRPr="009F56B7">
        <w:t>Diagnostic procedures evaluate baseline sample distributions, variable spread, and linear interrelationships prior to econometric estimation.</w:t>
      </w:r>
    </w:p>
    <w:p w14:paraId="54F001CF" w14:textId="77777777" w:rsidR="009F56B7" w:rsidRPr="009F56B7" w:rsidRDefault="009F56B7" w:rsidP="009F56B7">
      <w:pPr>
        <w:numPr>
          <w:ilvl w:val="0"/>
          <w:numId w:val="5"/>
        </w:numPr>
      </w:pPr>
      <w:r w:rsidRPr="009F56B7">
        <w:t>Summary metrics report standard mean, standard deviation, minimum, and maximum values across all system variables.</w:t>
      </w:r>
    </w:p>
    <w:p w14:paraId="16823CA4" w14:textId="77777777" w:rsidR="009F56B7" w:rsidRPr="009F56B7" w:rsidRDefault="009F56B7" w:rsidP="009F56B7">
      <w:pPr>
        <w:numPr>
          <w:ilvl w:val="0"/>
          <w:numId w:val="5"/>
        </w:numPr>
      </w:pPr>
      <w:r w:rsidRPr="009F56B7">
        <w:t>Bivariate correlation matrix diagnostics evaluate predictor associations to detect potential </w:t>
      </w:r>
      <w:r w:rsidRPr="009F56B7">
        <w:rPr>
          <w:b/>
          <w:bCs/>
        </w:rPr>
        <w:t>multicollinearity</w:t>
      </w:r>
      <w:r w:rsidRPr="009F56B7">
        <w:t> among structural variables.</w:t>
      </w:r>
    </w:p>
    <w:p w14:paraId="1D5D1C46" w14:textId="77777777" w:rsidR="009F56B7" w:rsidRPr="009F56B7" w:rsidRDefault="009F56B7" w:rsidP="009F56B7">
      <w:r w:rsidRPr="009F56B7">
        <w:rPr>
          <w:b/>
          <w:bCs/>
        </w:rPr>
        <w:t>Takeaway:</w:t>
      </w:r>
      <w:r w:rsidRPr="009F56B7">
        <w:t> Diagnostic descriptive and correlation analyses verify variable distributions and detect collinearity prior to formal regression modeling.</w:t>
      </w:r>
    </w:p>
    <w:p w14:paraId="181261DA" w14:textId="77777777" w:rsidR="009F56B7" w:rsidRPr="009F56B7" w:rsidRDefault="009F56B7" w:rsidP="009F56B7">
      <w:pPr>
        <w:rPr>
          <w:b/>
          <w:bCs/>
        </w:rPr>
      </w:pPr>
      <w:r w:rsidRPr="009F56B7">
        <w:rPr>
          <w:b/>
          <w:bCs/>
        </w:rPr>
        <w:t>4.3 Regression Models</w:t>
      </w:r>
    </w:p>
    <w:p w14:paraId="1440B96C" w14:textId="77777777" w:rsidR="009F56B7" w:rsidRPr="009F56B7" w:rsidRDefault="009F56B7" w:rsidP="009F56B7">
      <w:r w:rsidRPr="009F56B7">
        <w:t>Analyzing binary exit outcomes without range restriction violations mathematically necessitates a </w:t>
      </w:r>
      <w:r w:rsidRPr="009F56B7">
        <w:rPr>
          <w:b/>
          <w:bCs/>
        </w:rPr>
        <w:t>logit model</w:t>
      </w:r>
      <w:r w:rsidRPr="009F56B7">
        <w:t> (logistic regression).</w:t>
      </w:r>
    </w:p>
    <w:p w14:paraId="121613D1" w14:textId="77777777" w:rsidR="009F56B7" w:rsidRPr="009F56B7" w:rsidRDefault="009F56B7" w:rsidP="009F56B7">
      <w:pPr>
        <w:numPr>
          <w:ilvl w:val="0"/>
          <w:numId w:val="6"/>
        </w:numPr>
      </w:pPr>
      <w:r w:rsidRPr="009F56B7">
        <w:t>The logit conversion transforms binary outcome probabilities \pi(x) into an </w:t>
      </w:r>
      <w:r w:rsidRPr="009F56B7">
        <w:rPr>
          <w:b/>
          <w:bCs/>
        </w:rPr>
        <w:t>odds ratio</w:t>
      </w:r>
      <w:r w:rsidRPr="009F56B7">
        <w:t> \frac{\pi(x</w:t>
      </w:r>
      <w:proofErr w:type="gramStart"/>
      <w:r w:rsidRPr="009F56B7">
        <w:t>)}{</w:t>
      </w:r>
      <w:proofErr w:type="gramEnd"/>
      <w:r w:rsidRPr="009F56B7">
        <w:t>1-\pi(x)} to eliminate [0,1] probability constraints.</w:t>
      </w:r>
    </w:p>
    <w:p w14:paraId="7402F983" w14:textId="77777777" w:rsidR="009F56B7" w:rsidRPr="009F56B7" w:rsidRDefault="009F56B7" w:rsidP="009F56B7">
      <w:pPr>
        <w:numPr>
          <w:ilvl w:val="0"/>
          <w:numId w:val="6"/>
        </w:numPr>
      </w:pPr>
      <w:r w:rsidRPr="009F56B7">
        <w:t>The fundamental </w:t>
      </w:r>
      <w:r w:rsidRPr="009F56B7">
        <w:rPr>
          <w:b/>
          <w:bCs/>
        </w:rPr>
        <w:t>Logit function</w:t>
      </w:r>
      <w:r w:rsidRPr="009F56B7">
        <w:t> is specified as g(x) = \ln\left[\frac{\pi(x</w:t>
      </w:r>
      <w:proofErr w:type="gramStart"/>
      <w:r w:rsidRPr="009F56B7">
        <w:t>)}{</w:t>
      </w:r>
      <w:proofErr w:type="gramEnd"/>
      <w:r w:rsidRPr="009F56B7">
        <w:t>1-\pi(x</w:t>
      </w:r>
      <w:proofErr w:type="gramStart"/>
      <w:r w:rsidRPr="009F56B7">
        <w:t>)}\</w:t>
      </w:r>
      <w:proofErr w:type="gramEnd"/>
      <w:r w:rsidRPr="009F56B7">
        <w:t>right] = \beta_0 + \beta_1 x_1 + \dots + \</w:t>
      </w:r>
      <w:proofErr w:type="spellStart"/>
      <w:r w:rsidRPr="009F56B7">
        <w:t>beta_n</w:t>
      </w:r>
      <w:proofErr w:type="spellEnd"/>
      <w:r w:rsidRPr="009F56B7">
        <w:t xml:space="preserve"> </w:t>
      </w:r>
      <w:proofErr w:type="spellStart"/>
      <w:r w:rsidRPr="009F56B7">
        <w:t>x_n</w:t>
      </w:r>
      <w:proofErr w:type="spellEnd"/>
      <w:r w:rsidRPr="009F56B7">
        <w:t>.</w:t>
      </w:r>
    </w:p>
    <w:p w14:paraId="312B0676" w14:textId="77777777" w:rsidR="009F56B7" w:rsidRPr="009F56B7" w:rsidRDefault="009F56B7" w:rsidP="009F56B7">
      <w:pPr>
        <w:numPr>
          <w:ilvl w:val="0"/>
          <w:numId w:val="6"/>
        </w:numPr>
      </w:pPr>
      <w:r w:rsidRPr="009F56B7">
        <w:t>Log-transforming odds ratios models non-linear binary exit relationships as a linear function of explanatory covariates.</w:t>
      </w:r>
    </w:p>
    <w:p w14:paraId="5AA397AF" w14:textId="77777777" w:rsidR="009F56B7" w:rsidRPr="009F56B7" w:rsidRDefault="009F56B7" w:rsidP="009F56B7">
      <w:r w:rsidRPr="009F56B7">
        <w:rPr>
          <w:b/>
          <w:bCs/>
        </w:rPr>
        <w:t>Takeaway:</w:t>
      </w:r>
      <w:r w:rsidRPr="009F56B7">
        <w:t> Logit regression provides a robust mathematical framework for modeling binary startup market exit probabilities without range constraints.</w:t>
      </w:r>
    </w:p>
    <w:p w14:paraId="50FF04F7" w14:textId="77777777" w:rsidR="009F56B7" w:rsidRPr="009F56B7" w:rsidRDefault="009F56B7" w:rsidP="009F56B7">
      <w:pPr>
        <w:rPr>
          <w:b/>
          <w:bCs/>
        </w:rPr>
      </w:pPr>
      <w:r w:rsidRPr="009F56B7">
        <w:rPr>
          <w:b/>
          <w:bCs/>
        </w:rPr>
        <w:t>4.4 Goodness of Model Fit Test</w:t>
      </w:r>
    </w:p>
    <w:p w14:paraId="626E6340" w14:textId="77777777" w:rsidR="009F56B7" w:rsidRPr="009F56B7" w:rsidRDefault="009F56B7" w:rsidP="009F56B7">
      <w:r w:rsidRPr="009F56B7">
        <w:t>Evaluating explanatory power across nested econometric specifications requires standardized pseudo-R-squared evaluation metrics.</w:t>
      </w:r>
    </w:p>
    <w:p w14:paraId="3FE28131" w14:textId="77777777" w:rsidR="009F56B7" w:rsidRPr="009F56B7" w:rsidRDefault="009F56B7" w:rsidP="009F56B7">
      <w:pPr>
        <w:numPr>
          <w:ilvl w:val="0"/>
          <w:numId w:val="7"/>
        </w:numPr>
      </w:pPr>
      <w:r w:rsidRPr="009F56B7">
        <w:rPr>
          <w:b/>
          <w:bCs/>
        </w:rPr>
        <w:lastRenderedPageBreak/>
        <w:t>McFadden Pseudo R-squared</w:t>
      </w:r>
      <w:r w:rsidRPr="009F56B7">
        <w:t> (R^2_{MCF} = 1 - \frac{\ln(L_M</w:t>
      </w:r>
      <w:proofErr w:type="gramStart"/>
      <w:r w:rsidRPr="009F56B7">
        <w:t>)}{</w:t>
      </w:r>
      <w:proofErr w:type="gramEnd"/>
      <w:r w:rsidRPr="009F56B7">
        <w:t>\ln(L_0)}) measures relative explanatory fit, where higher values indicate superior nested model performance.</w:t>
      </w:r>
    </w:p>
    <w:p w14:paraId="6F8300B3" w14:textId="77777777" w:rsidR="009F56B7" w:rsidRPr="009F56B7" w:rsidRDefault="009F56B7" w:rsidP="009F56B7">
      <w:r w:rsidRPr="009F56B7">
        <w:rPr>
          <w:b/>
          <w:bCs/>
        </w:rPr>
        <w:t>Takeaway:</w:t>
      </w:r>
      <w:r w:rsidRPr="009F56B7">
        <w:t> McFadden Pseudo R-squared metrics enable standardized model fit comparisons across alternative regression specifications.</w:t>
      </w:r>
    </w:p>
    <w:p w14:paraId="0FBED34F" w14:textId="77777777" w:rsidR="009F56B7" w:rsidRPr="009F56B7" w:rsidRDefault="009F56B7" w:rsidP="009F56B7">
      <w:pPr>
        <w:rPr>
          <w:b/>
          <w:bCs/>
        </w:rPr>
      </w:pPr>
      <w:r w:rsidRPr="009F56B7">
        <w:rPr>
          <w:b/>
          <w:bCs/>
        </w:rPr>
        <w:t>5. Data</w:t>
      </w:r>
    </w:p>
    <w:p w14:paraId="26BD2FFA" w14:textId="77777777" w:rsidR="009F56B7" w:rsidRPr="009F56B7" w:rsidRDefault="009F56B7" w:rsidP="009F56B7">
      <w:r w:rsidRPr="009F56B7">
        <w:t xml:space="preserve">Empirical data were extracted from </w:t>
      </w:r>
      <w:proofErr w:type="spellStart"/>
      <w:r w:rsidRPr="009F56B7">
        <w:t>VentureXpert</w:t>
      </w:r>
      <w:proofErr w:type="spellEnd"/>
      <w:r w:rsidRPr="009F56B7">
        <w:t xml:space="preserve"> using strict sampling filters, geographic definitions, and institutional temporal boundaries.</w:t>
      </w:r>
    </w:p>
    <w:p w14:paraId="42E65F17" w14:textId="77777777" w:rsidR="009F56B7" w:rsidRPr="009F56B7" w:rsidRDefault="009F56B7" w:rsidP="009F56B7">
      <w:pPr>
        <w:numPr>
          <w:ilvl w:val="0"/>
          <w:numId w:val="8"/>
        </w:numPr>
      </w:pPr>
      <w:r w:rsidRPr="009F56B7">
        <w:t>Sampling constraints require U.S.-headquartered startups funded by joint U.S.-Asian VC syndicates (1995–2016), excluding buyout and money tree deals.</w:t>
      </w:r>
    </w:p>
    <w:p w14:paraId="1ADAC3F5" w14:textId="77777777" w:rsidR="009F56B7" w:rsidRPr="009F56B7" w:rsidRDefault="009F56B7" w:rsidP="009F56B7">
      <w:pPr>
        <w:numPr>
          <w:ilvl w:val="0"/>
          <w:numId w:val="8"/>
        </w:numPr>
      </w:pPr>
      <w:r w:rsidRPr="009F56B7">
        <w:t>The final dataset encompasses 285 venture companies and 2,626 distinct participating VC funds across all rounds.</w:t>
      </w:r>
    </w:p>
    <w:p w14:paraId="559C563C" w14:textId="77777777" w:rsidR="009F56B7" w:rsidRPr="009F56B7" w:rsidRDefault="009F56B7" w:rsidP="009F56B7">
      <w:pPr>
        <w:numPr>
          <w:ilvl w:val="0"/>
          <w:numId w:val="8"/>
        </w:numPr>
      </w:pPr>
      <w:r w:rsidRPr="009F56B7">
        <w:t>U.S. entities are strictly restricted to institutional VCs, whereas foreign funds broadly include private equity institutional investors due to international usage.</w:t>
      </w:r>
    </w:p>
    <w:p w14:paraId="69A51988" w14:textId="77777777" w:rsidR="009F56B7" w:rsidRPr="009F56B7" w:rsidRDefault="009F56B7" w:rsidP="009F56B7">
      <w:pPr>
        <w:numPr>
          <w:ilvl w:val="0"/>
          <w:numId w:val="8"/>
        </w:numPr>
      </w:pPr>
      <w:r w:rsidRPr="009F56B7">
        <w:t>An 11-year sample window mirrors the standard 10-year </w:t>
      </w:r>
      <w:r w:rsidRPr="009F56B7">
        <w:rPr>
          <w:b/>
          <w:bCs/>
        </w:rPr>
        <w:t>VC fund life cycle</w:t>
      </w:r>
      <w:r w:rsidRPr="009F56B7">
        <w:t> plus 1 year to lag capital influxes and vintage year variations.</w:t>
      </w:r>
    </w:p>
    <w:p w14:paraId="7DD15929" w14:textId="77777777" w:rsidR="009F56B7" w:rsidRPr="009F56B7" w:rsidRDefault="009F56B7" w:rsidP="009F56B7">
      <w:r w:rsidRPr="009F56B7">
        <w:rPr>
          <w:b/>
          <w:bCs/>
        </w:rPr>
        <w:t>Takeaway:</w:t>
      </w:r>
      <w:r w:rsidRPr="009F56B7">
        <w:t> The sample provides a comprehensive multi-decade dataset of U.S. startups backed by cross-border U.S.-Asian venture syndicates.</w:t>
      </w:r>
    </w:p>
    <w:p w14:paraId="6356632B" w14:textId="77777777" w:rsidR="009F56B7" w:rsidRPr="009F56B7" w:rsidRDefault="009F56B7" w:rsidP="009F56B7">
      <w:pPr>
        <w:rPr>
          <w:b/>
          <w:bCs/>
        </w:rPr>
      </w:pPr>
      <w:r w:rsidRPr="009F56B7">
        <w:rPr>
          <w:b/>
          <w:bCs/>
        </w:rPr>
        <w:t>6. Measures</w:t>
      </w:r>
    </w:p>
    <w:p w14:paraId="04274A68" w14:textId="77777777" w:rsidR="009F56B7" w:rsidRPr="009F56B7" w:rsidRDefault="009F56B7" w:rsidP="009F56B7">
      <w:pPr>
        <w:rPr>
          <w:b/>
          <w:bCs/>
        </w:rPr>
      </w:pPr>
      <w:r w:rsidRPr="009F56B7">
        <w:rPr>
          <w:b/>
          <w:bCs/>
        </w:rPr>
        <w:t>6.1 Dependent Variable</w:t>
      </w:r>
    </w:p>
    <w:p w14:paraId="725E2CD4" w14:textId="77777777" w:rsidR="009F56B7" w:rsidRPr="009F56B7" w:rsidRDefault="009F56B7" w:rsidP="009F56B7">
      <w:r w:rsidRPr="009F56B7">
        <w:t>In the absence of exact internal rate of return data, firm exit performance acts as a gross performance proxy.</w:t>
      </w:r>
    </w:p>
    <w:p w14:paraId="21EAB1EF" w14:textId="77777777" w:rsidR="009F56B7" w:rsidRPr="009F56B7" w:rsidRDefault="009F56B7" w:rsidP="009F56B7">
      <w:pPr>
        <w:numPr>
          <w:ilvl w:val="0"/>
          <w:numId w:val="9"/>
        </w:numPr>
      </w:pPr>
      <w:r w:rsidRPr="009F56B7">
        <w:t>A </w:t>
      </w:r>
      <w:r w:rsidRPr="009F56B7">
        <w:rPr>
          <w:b/>
          <w:bCs/>
        </w:rPr>
        <w:t>successful market exit</w:t>
      </w:r>
      <w:r w:rsidRPr="009F56B7">
        <w:t> (binary variable = 1) is recorded if portfolio company status after the final round is IPO, Acquisition, LBO, Merging, Pending Acquisition, or Went Public; 0 otherwise.</w:t>
      </w:r>
    </w:p>
    <w:p w14:paraId="43B8ED79" w14:textId="77777777" w:rsidR="009F56B7" w:rsidRPr="009F56B7" w:rsidRDefault="009F56B7" w:rsidP="009F56B7">
      <w:r w:rsidRPr="009F56B7">
        <w:rPr>
          <w:b/>
          <w:bCs/>
        </w:rPr>
        <w:t>Takeaway:</w:t>
      </w:r>
      <w:r w:rsidRPr="009F56B7">
        <w:t> Portfolio company success is measured via a binary variable indicating liquidity through public offerings or acquisitions.</w:t>
      </w:r>
    </w:p>
    <w:p w14:paraId="287B1805" w14:textId="77777777" w:rsidR="009F56B7" w:rsidRPr="009F56B7" w:rsidRDefault="009F56B7" w:rsidP="009F56B7">
      <w:pPr>
        <w:rPr>
          <w:b/>
          <w:bCs/>
        </w:rPr>
      </w:pPr>
      <w:r w:rsidRPr="009F56B7">
        <w:rPr>
          <w:b/>
          <w:bCs/>
        </w:rPr>
        <w:t>6.2 Independent Variables</w:t>
      </w:r>
    </w:p>
    <w:p w14:paraId="15554239" w14:textId="77777777" w:rsidR="009F56B7" w:rsidRPr="009F56B7" w:rsidRDefault="009F56B7" w:rsidP="009F56B7">
      <w:r w:rsidRPr="009F56B7">
        <w:t>Independent variables operationalize network quantity and quality while addressing structural missing data.</w:t>
      </w:r>
    </w:p>
    <w:p w14:paraId="02DA4659" w14:textId="77777777" w:rsidR="009F56B7" w:rsidRPr="009F56B7" w:rsidRDefault="009F56B7" w:rsidP="009F56B7">
      <w:pPr>
        <w:numPr>
          <w:ilvl w:val="0"/>
          <w:numId w:val="10"/>
        </w:numPr>
      </w:pPr>
      <w:r w:rsidRPr="009F56B7">
        <w:lastRenderedPageBreak/>
        <w:t>Network quantity is operationalized as the log-transformed sum of unweighted and undirected degree centrality scores across syndicate funds.</w:t>
      </w:r>
    </w:p>
    <w:p w14:paraId="0AC97C4F" w14:textId="77777777" w:rsidR="009F56B7" w:rsidRPr="009F56B7" w:rsidRDefault="009F56B7" w:rsidP="009F56B7">
      <w:pPr>
        <w:numPr>
          <w:ilvl w:val="0"/>
          <w:numId w:val="10"/>
        </w:numPr>
      </w:pPr>
      <w:r w:rsidRPr="009F56B7">
        <w:t>Network quality is operationalized as the aggregate eigenvector network centrality score per syndicate.</w:t>
      </w:r>
    </w:p>
    <w:p w14:paraId="6EB28A1C" w14:textId="77777777" w:rsidR="009F56B7" w:rsidRPr="009F56B7" w:rsidRDefault="009F56B7" w:rsidP="009F56B7">
      <w:pPr>
        <w:numPr>
          <w:ilvl w:val="0"/>
          <w:numId w:val="10"/>
        </w:numPr>
      </w:pPr>
      <w:r w:rsidRPr="009F56B7">
        <w:t>Undisclosed VC funds were excluded when summing total centrality scores to prevent score distortion.</w:t>
      </w:r>
    </w:p>
    <w:p w14:paraId="526959D5" w14:textId="77777777" w:rsidR="009F56B7" w:rsidRPr="009F56B7" w:rsidRDefault="009F56B7" w:rsidP="009F56B7">
      <w:r w:rsidRPr="009F56B7">
        <w:rPr>
          <w:b/>
          <w:bCs/>
        </w:rPr>
        <w:t>Takeaway:</w:t>
      </w:r>
      <w:r w:rsidRPr="009F56B7">
        <w:t> Independent measures isolate network structural quantity and quality while filtering undisclosed institutional fund entries.</w:t>
      </w:r>
    </w:p>
    <w:p w14:paraId="2EA83318" w14:textId="77777777" w:rsidR="009F56B7" w:rsidRPr="009F56B7" w:rsidRDefault="009F56B7" w:rsidP="009F56B7">
      <w:pPr>
        <w:rPr>
          <w:b/>
          <w:bCs/>
        </w:rPr>
      </w:pPr>
      <w:r w:rsidRPr="009F56B7">
        <w:rPr>
          <w:b/>
          <w:bCs/>
        </w:rPr>
        <w:t>6.3 Control Variables</w:t>
      </w:r>
    </w:p>
    <w:p w14:paraId="05BCFD15" w14:textId="77777777" w:rsidR="009F56B7" w:rsidRPr="009F56B7" w:rsidRDefault="009F56B7" w:rsidP="009F56B7">
      <w:r w:rsidRPr="009F56B7">
        <w:t>Firm, fund, and syndicate composition controls isolate structural network effects from confounding drivers.</w:t>
      </w:r>
    </w:p>
    <w:p w14:paraId="3E45CE8B" w14:textId="77777777" w:rsidR="009F56B7" w:rsidRPr="009F56B7" w:rsidRDefault="009F56B7" w:rsidP="009F56B7">
      <w:pPr>
        <w:numPr>
          <w:ilvl w:val="0"/>
          <w:numId w:val="11"/>
        </w:numPr>
      </w:pPr>
      <w:r w:rsidRPr="009F56B7">
        <w:t>Portfolio company characteristics include 3 main industries, 9 detailed sub-classifications, age, and </w:t>
      </w:r>
      <w:r w:rsidRPr="009F56B7">
        <w:rPr>
          <w:b/>
          <w:bCs/>
        </w:rPr>
        <w:t>VC hotbed location</w:t>
      </w:r>
      <w:r w:rsidRPr="009F56B7">
        <w:t> (binary = 1 if CA or MA).</w:t>
      </w:r>
    </w:p>
    <w:p w14:paraId="17118204" w14:textId="77777777" w:rsidR="009F56B7" w:rsidRPr="009F56B7" w:rsidRDefault="009F56B7" w:rsidP="009F56B7">
      <w:pPr>
        <w:numPr>
          <w:ilvl w:val="0"/>
          <w:numId w:val="11"/>
        </w:numPr>
      </w:pPr>
      <w:r w:rsidRPr="009F56B7">
        <w:t>VC fund characteristics capture total fund count, average fund age, average investment experience (frequency), and average fund size (log of total assets under management).</w:t>
      </w:r>
    </w:p>
    <w:p w14:paraId="15B58CED" w14:textId="77777777" w:rsidR="009F56B7" w:rsidRPr="009F56B7" w:rsidRDefault="009F56B7" w:rsidP="009F56B7">
      <w:pPr>
        <w:numPr>
          <w:ilvl w:val="0"/>
          <w:numId w:val="11"/>
        </w:numPr>
      </w:pPr>
      <w:r w:rsidRPr="009F56B7">
        <w:rPr>
          <w:b/>
          <w:bCs/>
        </w:rPr>
        <w:t>VC syndicate size</w:t>
      </w:r>
      <w:r w:rsidRPr="009F56B7">
        <w:t> measures the log-transformed total capital invested across all participating funds.</w:t>
      </w:r>
    </w:p>
    <w:p w14:paraId="70EC1FC9" w14:textId="77777777" w:rsidR="009F56B7" w:rsidRPr="009F56B7" w:rsidRDefault="009F56B7" w:rsidP="009F56B7">
      <w:pPr>
        <w:numPr>
          <w:ilvl w:val="0"/>
          <w:numId w:val="11"/>
        </w:numPr>
      </w:pPr>
      <w:r w:rsidRPr="009F56B7">
        <w:t>Geographic participation variables track rates of disclosed VCs, Asian VCs, Chinese VCs (Mainland, HK, Taiwan), North American VCs (U.S. subset), and European/Other Continent VCs.</w:t>
      </w:r>
    </w:p>
    <w:p w14:paraId="2D8C4AFF" w14:textId="77777777" w:rsidR="009F56B7" w:rsidRPr="009F56B7" w:rsidRDefault="009F56B7" w:rsidP="009F56B7">
      <w:r w:rsidRPr="009F56B7">
        <w:rPr>
          <w:b/>
          <w:bCs/>
        </w:rPr>
        <w:t>Takeaway:</w:t>
      </w:r>
      <w:r w:rsidRPr="009F56B7">
        <w:t> Extensive controls for industry, location, fund age, capital, and geographic mix prevent confounding in network estimations.</w:t>
      </w:r>
    </w:p>
    <w:p w14:paraId="7A25DE8B" w14:textId="77777777" w:rsidR="009F56B7" w:rsidRPr="009F56B7" w:rsidRDefault="009F56B7" w:rsidP="009F56B7">
      <w:pPr>
        <w:rPr>
          <w:b/>
          <w:bCs/>
        </w:rPr>
      </w:pPr>
      <w:r w:rsidRPr="009F56B7">
        <w:rPr>
          <w:b/>
          <w:bCs/>
        </w:rPr>
        <w:t>7. Data Analysis Results</w:t>
      </w:r>
    </w:p>
    <w:p w14:paraId="19D76665" w14:textId="77777777" w:rsidR="009F56B7" w:rsidRPr="009F56B7" w:rsidRDefault="009F56B7" w:rsidP="009F56B7">
      <w:pPr>
        <w:rPr>
          <w:b/>
          <w:bCs/>
        </w:rPr>
      </w:pPr>
      <w:r w:rsidRPr="009F56B7">
        <w:rPr>
          <w:b/>
          <w:bCs/>
        </w:rPr>
        <w:t>7.1 Descriptive Statistics</w:t>
      </w:r>
    </w:p>
    <w:p w14:paraId="777FF9BE" w14:textId="77777777" w:rsidR="009F56B7" w:rsidRPr="009F56B7" w:rsidRDefault="009F56B7" w:rsidP="009F56B7">
      <w:r w:rsidRPr="009F56B7">
        <w:t>Descriptive output details geographical syndicate composition, sector preferences, and baseline exit distributions.</w:t>
      </w:r>
    </w:p>
    <w:p w14:paraId="039CF20D" w14:textId="77777777" w:rsidR="009F56B7" w:rsidRPr="009F56B7" w:rsidRDefault="009F56B7" w:rsidP="009F56B7">
      <w:pPr>
        <w:numPr>
          <w:ilvl w:val="0"/>
          <w:numId w:val="12"/>
        </w:numPr>
      </w:pPr>
      <w:r w:rsidRPr="009F56B7">
        <w:t>North American VCs dominated syndicate composition (74.9% average participation; U.S. = 72.9\%), followed by Other Continent VCs (13.5%), Asian VCs (11.6%), and Chinese VCs (3.5%).</w:t>
      </w:r>
    </w:p>
    <w:p w14:paraId="36FE9226" w14:textId="77777777" w:rsidR="009F56B7" w:rsidRPr="009F56B7" w:rsidRDefault="009F56B7" w:rsidP="009F56B7">
      <w:pPr>
        <w:numPr>
          <w:ilvl w:val="0"/>
          <w:numId w:val="12"/>
        </w:numPr>
      </w:pPr>
      <w:r w:rsidRPr="009F56B7">
        <w:lastRenderedPageBreak/>
        <w:t>Baseline exit distribution revealed 195 companies (68.4%) achieved successful market exits, while 90 companies (31.6%) failed to exit.</w:t>
      </w:r>
    </w:p>
    <w:p w14:paraId="5F3982D6" w14:textId="77777777" w:rsidR="009F56B7" w:rsidRPr="009F56B7" w:rsidRDefault="009F56B7" w:rsidP="009F56B7">
      <w:pPr>
        <w:numPr>
          <w:ilvl w:val="0"/>
          <w:numId w:val="12"/>
        </w:numPr>
      </w:pPr>
      <w:r w:rsidRPr="009F56B7">
        <w:t>Geographic clustering was pronounced (73.8% of exited and 73.3% of non-exited firms were in CA/MA), though hotbed location alone did not increase exit odds (31% failure rate in hotbeds vs. 32% outside).</w:t>
      </w:r>
    </w:p>
    <w:p w14:paraId="3C5D2D13" w14:textId="77777777" w:rsidR="009F56B7" w:rsidRPr="009F56B7" w:rsidRDefault="009F56B7" w:rsidP="009F56B7">
      <w:pPr>
        <w:numPr>
          <w:ilvl w:val="0"/>
          <w:numId w:val="12"/>
        </w:numPr>
      </w:pPr>
      <w:r w:rsidRPr="009F56B7">
        <w:t>Syndicates exhibited strong sector preferences toward high-tech industries, particularly Information Technology and Biotechnology.</w:t>
      </w:r>
    </w:p>
    <w:p w14:paraId="5D9709DE" w14:textId="77777777" w:rsidR="009F56B7" w:rsidRPr="009F56B7" w:rsidRDefault="009F56B7" w:rsidP="009F56B7">
      <w:r w:rsidRPr="009F56B7">
        <w:rPr>
          <w:b/>
          <w:bCs/>
        </w:rPr>
        <w:t>Takeaway:</w:t>
      </w:r>
      <w:r w:rsidRPr="009F56B7">
        <w:t> Cross-border syndicates concentrate heavily in geographic hotbeds and high-tech sectors, though hotbed location alone does not alter exit probabilities.</w:t>
      </w:r>
    </w:p>
    <w:p w14:paraId="06626CEF" w14:textId="77777777" w:rsidR="009F56B7" w:rsidRPr="009F56B7" w:rsidRDefault="009F56B7" w:rsidP="009F56B7">
      <w:pPr>
        <w:rPr>
          <w:b/>
          <w:bCs/>
        </w:rPr>
      </w:pPr>
      <w:r w:rsidRPr="009F56B7">
        <w:rPr>
          <w:b/>
          <w:bCs/>
        </w:rPr>
        <w:t>7.2 Correlations</w:t>
      </w:r>
    </w:p>
    <w:p w14:paraId="08F9B3CA" w14:textId="77777777" w:rsidR="009F56B7" w:rsidRPr="009F56B7" w:rsidRDefault="009F56B7" w:rsidP="009F56B7">
      <w:r w:rsidRPr="009F56B7">
        <w:t>Correlation analysis evaluates linear associations among network centrality, fund origins, and potential collinearity.</w:t>
      </w:r>
    </w:p>
    <w:p w14:paraId="6E73113D" w14:textId="77777777" w:rsidR="009F56B7" w:rsidRPr="009F56B7" w:rsidRDefault="009F56B7" w:rsidP="009F56B7">
      <w:pPr>
        <w:numPr>
          <w:ilvl w:val="0"/>
          <w:numId w:val="13"/>
        </w:numPr>
      </w:pPr>
      <w:r w:rsidRPr="009F56B7">
        <w:t>Network measures correlated strongly with North American VC participation rates due to regional dominance.</w:t>
      </w:r>
    </w:p>
    <w:p w14:paraId="4F694E97" w14:textId="77777777" w:rsidR="009F56B7" w:rsidRPr="009F56B7" w:rsidRDefault="009F56B7" w:rsidP="009F56B7">
      <w:pPr>
        <w:numPr>
          <w:ilvl w:val="0"/>
          <w:numId w:val="13"/>
        </w:numPr>
      </w:pPr>
      <w:r w:rsidRPr="009F56B7">
        <w:t>Average fund characteristics correlated negatively with network metrics because undisclosed VC funds had properties imputed as missing variables, artificially depressing calculated fund age, size, and experience relative to centrality scores.</w:t>
      </w:r>
    </w:p>
    <w:p w14:paraId="15F8D33F" w14:textId="77777777" w:rsidR="009F56B7" w:rsidRPr="009F56B7" w:rsidRDefault="009F56B7" w:rsidP="009F56B7">
      <w:pPr>
        <w:numPr>
          <w:ilvl w:val="0"/>
          <w:numId w:val="13"/>
        </w:numPr>
      </w:pPr>
      <w:r w:rsidRPr="009F56B7">
        <w:t>Variables exhibiting severe collinearity were purged prior to estimating final regression specifications.</w:t>
      </w:r>
    </w:p>
    <w:p w14:paraId="05CCC9F1" w14:textId="77777777" w:rsidR="009F56B7" w:rsidRPr="009F56B7" w:rsidRDefault="009F56B7" w:rsidP="009F56B7">
      <w:r w:rsidRPr="009F56B7">
        <w:rPr>
          <w:b/>
          <w:bCs/>
        </w:rPr>
        <w:t>Takeaway:</w:t>
      </w:r>
      <w:r w:rsidRPr="009F56B7">
        <w:t> Correlation screening identified regional dependencies and purged collinear variables to refine regression specifications.</w:t>
      </w:r>
    </w:p>
    <w:p w14:paraId="1C6BE2EB" w14:textId="77777777" w:rsidR="009F56B7" w:rsidRPr="009F56B7" w:rsidRDefault="009F56B7" w:rsidP="009F56B7">
      <w:pPr>
        <w:rPr>
          <w:b/>
          <w:bCs/>
        </w:rPr>
      </w:pPr>
      <w:r w:rsidRPr="009F56B7">
        <w:rPr>
          <w:b/>
          <w:bCs/>
        </w:rPr>
        <w:t>7.3 Regression Analysis</w:t>
      </w:r>
    </w:p>
    <w:p w14:paraId="71ED05F8" w14:textId="77777777" w:rsidR="009F56B7" w:rsidRPr="009F56B7" w:rsidRDefault="009F56B7" w:rsidP="009F56B7">
      <w:r w:rsidRPr="009F56B7">
        <w:t>Logit regressions evaluate full (Table 3) and feature-selected (Table 4) models testing H1 and H2.</w:t>
      </w:r>
    </w:p>
    <w:p w14:paraId="2D0AE891" w14:textId="77777777" w:rsidR="009F56B7" w:rsidRPr="009F56B7" w:rsidRDefault="009F56B7" w:rsidP="009F56B7">
      <w:pPr>
        <w:numPr>
          <w:ilvl w:val="0"/>
          <w:numId w:val="14"/>
        </w:numPr>
      </w:pPr>
      <w:r w:rsidRPr="009F56B7">
        <w:rPr>
          <w:b/>
          <w:bCs/>
        </w:rPr>
        <w:t>Hypothesis 1 (H1) Support</w:t>
      </w:r>
      <w:r w:rsidRPr="009F56B7">
        <w:t>: Network quantity positively and significantly impacts market exits (\beta = 0.92, p &lt; 0.05 in full model; \beta = 0.473–0.476, p &lt; 0.05 across Table 4 models), rejecting the null hypothesis.</w:t>
      </w:r>
    </w:p>
    <w:p w14:paraId="1688C4B1" w14:textId="77777777" w:rsidR="009F56B7" w:rsidRPr="009F56B7" w:rsidRDefault="009F56B7" w:rsidP="009F56B7">
      <w:pPr>
        <w:numPr>
          <w:ilvl w:val="0"/>
          <w:numId w:val="14"/>
        </w:numPr>
      </w:pPr>
      <w:r w:rsidRPr="009F56B7">
        <w:rPr>
          <w:b/>
          <w:bCs/>
        </w:rPr>
        <w:t>Hypothesis 2 (H2) Rejection</w:t>
      </w:r>
      <w:r w:rsidRPr="009F56B7">
        <w:t>: Network quality yields a marginally significant negative coefficient in Table 3 (\beta = -1.59, p = 0.08) but shifts to positive, non-significant coefficients in Table 4 (\beta = 0.424 / 0.320, p &gt; 0.10). Severe multicollinearity (r = 0.84 unweighted; r = 0.95 weighted) destabilizes quality parameters under full controls.</w:t>
      </w:r>
    </w:p>
    <w:p w14:paraId="17EE6EC1" w14:textId="77777777" w:rsidR="009F56B7" w:rsidRPr="009F56B7" w:rsidRDefault="009F56B7" w:rsidP="009F56B7">
      <w:pPr>
        <w:numPr>
          <w:ilvl w:val="0"/>
          <w:numId w:val="14"/>
        </w:numPr>
      </w:pPr>
      <w:r w:rsidRPr="009F56B7">
        <w:rPr>
          <w:b/>
          <w:bCs/>
        </w:rPr>
        <w:lastRenderedPageBreak/>
        <w:t>Sector Drivers</w:t>
      </w:r>
      <w:r w:rsidRPr="009F56B7">
        <w:t>: Non-High Technology severely depresses exit odds (\beta = -1.49, p &lt; 0.05), whereas Biotechnology (16.1% of exited firms vs. 2.8% of liquidated firms) significantly increases exit success (\beta = 1.030, p &lt; 0.10 in Model 3; \beta = 1.007, p &lt; 0.10 in Model 4).</w:t>
      </w:r>
    </w:p>
    <w:p w14:paraId="311B9B49" w14:textId="77777777" w:rsidR="009F56B7" w:rsidRPr="009F56B7" w:rsidRDefault="009F56B7" w:rsidP="009F56B7">
      <w:pPr>
        <w:numPr>
          <w:ilvl w:val="0"/>
          <w:numId w:val="14"/>
        </w:numPr>
      </w:pPr>
      <w:r w:rsidRPr="009F56B7">
        <w:rPr>
          <w:b/>
          <w:bCs/>
        </w:rPr>
        <w:t>Geographic Controls</w:t>
      </w:r>
      <w:r w:rsidRPr="009F56B7">
        <w:t>: European/Other Continent VC participation positively impacted exit odds (\beta = 4.58, p = 0.09 in Table 3; \beta = 4.895, p &lt; 0.10 in Model 3), whereas Asian and U.S. VC participation rates were statistically non-significant.</w:t>
      </w:r>
    </w:p>
    <w:p w14:paraId="0B2109B4" w14:textId="77777777" w:rsidR="009F56B7" w:rsidRPr="009F56B7" w:rsidRDefault="009F56B7" w:rsidP="009F56B7">
      <w:pPr>
        <w:numPr>
          <w:ilvl w:val="0"/>
          <w:numId w:val="14"/>
        </w:numPr>
      </w:pPr>
      <w:r w:rsidRPr="009F56B7">
        <w:t>McFadden Pseudo R^2 nested model fit hierarchy identified Model 3 as the superior fit (0.096), followed by Model 1 (0.087), Model 4 (0.084), and Model 2 (0.071).</w:t>
      </w:r>
    </w:p>
    <w:p w14:paraId="0D7DEB20" w14:textId="77777777" w:rsidR="009F56B7" w:rsidRPr="009F56B7" w:rsidRDefault="009F56B7" w:rsidP="009F56B7">
      <w:r w:rsidRPr="009F56B7">
        <w:rPr>
          <w:b/>
          <w:bCs/>
        </w:rPr>
        <w:t>Takeaway:</w:t>
      </w:r>
      <w:r w:rsidRPr="009F56B7">
        <w:t> Empirical results confirm Hypothesis 1 while rejecting Hypothesis 2, establishing network quantity as the principal structural driver of cross-border exit performance.</w:t>
      </w:r>
    </w:p>
    <w:p w14:paraId="32B1EEF6" w14:textId="77777777" w:rsidR="009F56B7" w:rsidRPr="009F56B7" w:rsidRDefault="009F56B7" w:rsidP="009F56B7">
      <w:pPr>
        <w:rPr>
          <w:b/>
          <w:bCs/>
        </w:rPr>
      </w:pPr>
      <w:r w:rsidRPr="009F56B7">
        <w:rPr>
          <w:b/>
          <w:bCs/>
        </w:rPr>
        <w:t>8. Discussion</w:t>
      </w:r>
    </w:p>
    <w:p w14:paraId="6F292004" w14:textId="77777777" w:rsidR="009F56B7" w:rsidRPr="009F56B7" w:rsidRDefault="009F56B7" w:rsidP="009F56B7">
      <w:r w:rsidRPr="009F56B7">
        <w:t>The empirical findings contextualize why network reach supersedes partner influence within cross-border venture capital syndicates.</w:t>
      </w:r>
    </w:p>
    <w:p w14:paraId="17BE32B1" w14:textId="77777777" w:rsidR="009F56B7" w:rsidRPr="009F56B7" w:rsidRDefault="009F56B7" w:rsidP="009F56B7">
      <w:pPr>
        <w:numPr>
          <w:ilvl w:val="0"/>
          <w:numId w:val="15"/>
        </w:numPr>
      </w:pPr>
      <w:r w:rsidRPr="009F56B7">
        <w:t>Broad network quantity bridges cross-border information friction, cultural distance, and foreign monitoring barriers far more effectively than partner prestige or domestic status.</w:t>
      </w:r>
    </w:p>
    <w:p w14:paraId="76AB5FBA" w14:textId="77777777" w:rsidR="009F56B7" w:rsidRPr="009F56B7" w:rsidRDefault="009F56B7" w:rsidP="009F56B7">
      <w:pPr>
        <w:numPr>
          <w:ilvl w:val="0"/>
          <w:numId w:val="15"/>
        </w:numPr>
      </w:pPr>
      <w:r w:rsidRPr="009F56B7">
        <w:t>In contrast to domestic findings (e.g., Sorenson et al.), traditional fund-level advantages like age, experience, and fund size show non-significant direct effects in U.S.-Asian cross-border syndicates.</w:t>
      </w:r>
    </w:p>
    <w:p w14:paraId="278461F3" w14:textId="77777777" w:rsidR="009F56B7" w:rsidRPr="009F56B7" w:rsidRDefault="009F56B7" w:rsidP="009F56B7">
      <w:pPr>
        <w:numPr>
          <w:ilvl w:val="0"/>
          <w:numId w:val="15"/>
        </w:numPr>
      </w:pPr>
      <w:r w:rsidRPr="009F56B7">
        <w:t>Methodologically, unweighted and undirected socio-matrices introduce bias by treating late-stage minor co-investors identically to early-stage lead managers.</w:t>
      </w:r>
    </w:p>
    <w:p w14:paraId="1CAE7907" w14:textId="77777777" w:rsidR="009F56B7" w:rsidRPr="009F56B7" w:rsidRDefault="009F56B7" w:rsidP="009F56B7">
      <w:pPr>
        <w:numPr>
          <w:ilvl w:val="0"/>
          <w:numId w:val="15"/>
        </w:numPr>
      </w:pPr>
      <w:r w:rsidRPr="009F56B7">
        <w:t>Future research should incorporate dynamic socio-matrices, exogenous regulatory shocks (e.g., post-2008 Chinese capital reforms), portfolio fixed effects, and VC fund fixed effects to resolve endogeneity stemming from unobserved fund heterogeneity.</w:t>
      </w:r>
    </w:p>
    <w:p w14:paraId="6C65BB89" w14:textId="77777777" w:rsidR="009F56B7" w:rsidRPr="009F56B7" w:rsidRDefault="009F56B7" w:rsidP="009F56B7">
      <w:r w:rsidRPr="009F56B7">
        <w:rPr>
          <w:b/>
          <w:bCs/>
        </w:rPr>
        <w:t>Takeaway:</w:t>
      </w:r>
      <w:r w:rsidRPr="009F56B7">
        <w:t> Broad network ties mitigate cross-border information friction more effectively than traditional fund attributes or partner prestige.</w:t>
      </w:r>
    </w:p>
    <w:p w14:paraId="15D8673D" w14:textId="77777777" w:rsidR="009F56B7" w:rsidRPr="009F56B7" w:rsidRDefault="009F56B7" w:rsidP="009F56B7">
      <w:pPr>
        <w:rPr>
          <w:b/>
          <w:bCs/>
        </w:rPr>
      </w:pPr>
      <w:r w:rsidRPr="009F56B7">
        <w:rPr>
          <w:b/>
          <w:bCs/>
        </w:rPr>
        <w:t>9. Conclusion</w:t>
      </w:r>
    </w:p>
    <w:p w14:paraId="29FD5B5D" w14:textId="77777777" w:rsidR="009F56B7" w:rsidRPr="009F56B7" w:rsidRDefault="009F56B7" w:rsidP="009F56B7">
      <w:r w:rsidRPr="009F56B7">
        <w:t>The analysis provides strong empirical evidence regarding how inter-fund network structures govern cross-border investment success.</w:t>
      </w:r>
    </w:p>
    <w:p w14:paraId="77A6CE35" w14:textId="77777777" w:rsidR="009F56B7" w:rsidRPr="009F56B7" w:rsidRDefault="009F56B7" w:rsidP="009F56B7">
      <w:pPr>
        <w:numPr>
          <w:ilvl w:val="0"/>
          <w:numId w:val="16"/>
        </w:numPr>
      </w:pPr>
      <w:r w:rsidRPr="009F56B7">
        <w:lastRenderedPageBreak/>
        <w:t>Cross-border VC syndicates possessing a higher number of inter-fund network ties achieve significantly higher startup market exits.</w:t>
      </w:r>
    </w:p>
    <w:p w14:paraId="5541B5C6" w14:textId="77777777" w:rsidR="009F56B7" w:rsidRPr="009F56B7" w:rsidRDefault="009F56B7" w:rsidP="009F56B7">
      <w:pPr>
        <w:numPr>
          <w:ilvl w:val="0"/>
          <w:numId w:val="16"/>
        </w:numPr>
      </w:pPr>
      <w:r w:rsidRPr="009F56B7">
        <w:t>Syndicates maintain pronounced preferences for biotechnology investments and geographic hotbeds in California and Massachusetts.</w:t>
      </w:r>
    </w:p>
    <w:p w14:paraId="54E743C5" w14:textId="77777777" w:rsidR="009F56B7" w:rsidRPr="009F56B7" w:rsidRDefault="009F56B7" w:rsidP="009F56B7">
      <w:pPr>
        <w:numPr>
          <w:ilvl w:val="0"/>
          <w:numId w:val="16"/>
        </w:numPr>
      </w:pPr>
      <w:r w:rsidRPr="009F56B7">
        <w:t>Despite rising Asian capital inflows, North American VC funds remain the primary economic actors structuring cross-border deals in the U.S. market.</w:t>
      </w:r>
    </w:p>
    <w:p w14:paraId="78AC1644" w14:textId="1DAD00C2" w:rsidR="00EB140A" w:rsidRDefault="009F56B7">
      <w:r w:rsidRPr="009F56B7">
        <w:rPr>
          <w:b/>
          <w:bCs/>
        </w:rPr>
        <w:t>Takeaway:</w:t>
      </w:r>
      <w:r w:rsidRPr="009F56B7">
        <w:t> Cross-border venture success relies on expansive network ties and sector-specific targeting rather than partner prestige or fund location.</w:t>
      </w:r>
    </w:p>
    <w:sectPr w:rsidR="00EB1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E31BA5"/>
    <w:multiLevelType w:val="multilevel"/>
    <w:tmpl w:val="7E6A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E127B"/>
    <w:multiLevelType w:val="multilevel"/>
    <w:tmpl w:val="438A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30FEF"/>
    <w:multiLevelType w:val="multilevel"/>
    <w:tmpl w:val="F300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B2AA0"/>
    <w:multiLevelType w:val="multilevel"/>
    <w:tmpl w:val="F92A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A2445"/>
    <w:multiLevelType w:val="multilevel"/>
    <w:tmpl w:val="34B0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D5B4E"/>
    <w:multiLevelType w:val="multilevel"/>
    <w:tmpl w:val="2ECC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71B92"/>
    <w:multiLevelType w:val="multilevel"/>
    <w:tmpl w:val="A83A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616FF"/>
    <w:multiLevelType w:val="multilevel"/>
    <w:tmpl w:val="AE32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0018F"/>
    <w:multiLevelType w:val="multilevel"/>
    <w:tmpl w:val="FFC4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F2C38"/>
    <w:multiLevelType w:val="multilevel"/>
    <w:tmpl w:val="34A0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30627"/>
    <w:multiLevelType w:val="multilevel"/>
    <w:tmpl w:val="6D96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07A63"/>
    <w:multiLevelType w:val="multilevel"/>
    <w:tmpl w:val="F960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64744"/>
    <w:multiLevelType w:val="multilevel"/>
    <w:tmpl w:val="80A8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F78E0"/>
    <w:multiLevelType w:val="multilevel"/>
    <w:tmpl w:val="ED78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F0CFF"/>
    <w:multiLevelType w:val="multilevel"/>
    <w:tmpl w:val="9C58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81A0E"/>
    <w:multiLevelType w:val="multilevel"/>
    <w:tmpl w:val="A6DC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422366">
    <w:abstractNumId w:val="9"/>
  </w:num>
  <w:num w:numId="2" w16cid:durableId="1809778128">
    <w:abstractNumId w:val="14"/>
  </w:num>
  <w:num w:numId="3" w16cid:durableId="1548489391">
    <w:abstractNumId w:val="7"/>
  </w:num>
  <w:num w:numId="4" w16cid:durableId="1777166271">
    <w:abstractNumId w:val="15"/>
  </w:num>
  <w:num w:numId="5" w16cid:durableId="534735897">
    <w:abstractNumId w:val="11"/>
  </w:num>
  <w:num w:numId="6" w16cid:durableId="1639147196">
    <w:abstractNumId w:val="10"/>
  </w:num>
  <w:num w:numId="7" w16cid:durableId="276329893">
    <w:abstractNumId w:val="2"/>
  </w:num>
  <w:num w:numId="8" w16cid:durableId="1681393964">
    <w:abstractNumId w:val="6"/>
  </w:num>
  <w:num w:numId="9" w16cid:durableId="1967155808">
    <w:abstractNumId w:val="5"/>
  </w:num>
  <w:num w:numId="10" w16cid:durableId="26414072">
    <w:abstractNumId w:val="8"/>
  </w:num>
  <w:num w:numId="11" w16cid:durableId="712847550">
    <w:abstractNumId w:val="13"/>
  </w:num>
  <w:num w:numId="12" w16cid:durableId="6294875">
    <w:abstractNumId w:val="4"/>
  </w:num>
  <w:num w:numId="13" w16cid:durableId="2022468718">
    <w:abstractNumId w:val="3"/>
  </w:num>
  <w:num w:numId="14" w16cid:durableId="1568763823">
    <w:abstractNumId w:val="1"/>
  </w:num>
  <w:num w:numId="15" w16cid:durableId="1813208794">
    <w:abstractNumId w:val="12"/>
  </w:num>
  <w:num w:numId="16" w16cid:durableId="7378966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40A"/>
    <w:rsid w:val="00087A96"/>
    <w:rsid w:val="009F56B7"/>
    <w:rsid w:val="00D22A89"/>
    <w:rsid w:val="00EB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7903C0"/>
  <w15:chartTrackingRefBased/>
  <w15:docId w15:val="{64E3A6D5-AC80-2D4C-9F34-250F8CC38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2091</Words>
  <Characters>11924</Characters>
  <Application>Microsoft Office Word</Application>
  <DocSecurity>0</DocSecurity>
  <Lines>99</Lines>
  <Paragraphs>27</Paragraphs>
  <ScaleCrop>false</ScaleCrop>
  <Company/>
  <LinksUpToDate>false</LinksUpToDate>
  <CharactersWithSpaces>13988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Sarman</dc:creator>
  <cp:keywords/>
  <dc:description/>
  <cp:lastModifiedBy>Mark Sarman</cp:lastModifiedBy>
  <cp:revision>3</cp:revision>
  <dcterms:created xsi:type="dcterms:W3CDTF">2026-10-01T07:45:00Z</dcterms:created>
  <dcterms:modified xsi:type="dcterms:W3CDTF">2026-10-01T08:01:00Z</dcterms:modified>
</cp:coreProperties>
</file>