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25600" w14:textId="77777777" w:rsidR="00B023D1" w:rsidRPr="00B023D1" w:rsidRDefault="00B023D1" w:rsidP="00B023D1">
      <w:pPr>
        <w:rPr>
          <w:b/>
          <w:bCs/>
        </w:rPr>
      </w:pPr>
      <w:r w:rsidRPr="00B023D1">
        <w:rPr>
          <w:b/>
          <w:bCs/>
        </w:rPr>
        <w:t>APA 7 Reference &amp; Exam Study Summary: How Brexit Reshaped Venture Capital Markets</w:t>
      </w:r>
    </w:p>
    <w:p w14:paraId="7DBA30C9" w14:textId="77777777" w:rsidR="00B023D1" w:rsidRPr="00B023D1" w:rsidRDefault="00B023D1" w:rsidP="00B023D1">
      <w:pPr>
        <w:rPr>
          <w:b/>
          <w:bCs/>
        </w:rPr>
      </w:pPr>
      <w:r w:rsidRPr="00B023D1">
        <w:rPr>
          <w:b/>
          <w:bCs/>
        </w:rPr>
        <w:t>Full APA 7 Citation</w:t>
      </w:r>
    </w:p>
    <w:p w14:paraId="6AEE99B6" w14:textId="77777777" w:rsidR="00B023D1" w:rsidRPr="00B023D1" w:rsidRDefault="00B023D1" w:rsidP="00B023D1">
      <w:r w:rsidRPr="00B023D1">
        <w:t xml:space="preserve">Bosio, A. O., </w:t>
      </w:r>
      <w:proofErr w:type="spellStart"/>
      <w:r w:rsidRPr="00B023D1">
        <w:t>Butticè</w:t>
      </w:r>
      <w:proofErr w:type="spellEnd"/>
      <w:r w:rsidRPr="00B023D1">
        <w:t>, V., Crisanti, A., Croce, A., &amp; Signore, S. (2025). How Brexit reshaped venture capitals market: An analysis of UK and EU investments. </w:t>
      </w:r>
      <w:r w:rsidRPr="00B023D1">
        <w:rPr>
          <w:i/>
          <w:iCs/>
        </w:rPr>
        <w:t>Research Policy</w:t>
      </w:r>
      <w:r w:rsidRPr="00B023D1">
        <w:t>, 54, 105289. https://doi.org/10.1016/j.respol.2025.105289</w:t>
      </w:r>
    </w:p>
    <w:p w14:paraId="5E8BBD59" w14:textId="77777777" w:rsidR="00B023D1" w:rsidRPr="00B023D1" w:rsidRDefault="00B023D1" w:rsidP="00B023D1">
      <w:pPr>
        <w:rPr>
          <w:b/>
          <w:bCs/>
        </w:rPr>
      </w:pPr>
      <w:r w:rsidRPr="00B023D1">
        <w:rPr>
          <w:b/>
          <w:bCs/>
        </w:rPr>
        <w:t>1. Introduction</w:t>
      </w:r>
    </w:p>
    <w:p w14:paraId="31EBDE44" w14:textId="77777777" w:rsidR="00B023D1" w:rsidRPr="00B023D1" w:rsidRDefault="00B023D1" w:rsidP="00B023D1">
      <w:r w:rsidRPr="00B023D1">
        <w:t>Brexit represents a structural economic shock to European venture capital (VC) ecosystems that fundamentally altered cross-border financial flows. Assessing how capital supply adjusted across geographic hubs requires analyzing the institutional and regulatory disruptions triggered by the United Kingdom's departure from the European Union.</w:t>
      </w:r>
    </w:p>
    <w:p w14:paraId="40BAB5DD" w14:textId="77777777" w:rsidR="00B023D1" w:rsidRPr="00B023D1" w:rsidRDefault="00B023D1" w:rsidP="00B023D1">
      <w:pPr>
        <w:numPr>
          <w:ilvl w:val="0"/>
          <w:numId w:val="1"/>
        </w:numPr>
      </w:pPr>
      <w:r w:rsidRPr="00B023D1">
        <w:t>The study examines how cross-regional VC investment flows between the UK and EU evolved across key political and statutory milestones.</w:t>
      </w:r>
    </w:p>
    <w:p w14:paraId="55DFACFC" w14:textId="77777777" w:rsidR="00B023D1" w:rsidRPr="00B023D1" w:rsidRDefault="00B023D1" w:rsidP="00B023D1">
      <w:pPr>
        <w:numPr>
          <w:ilvl w:val="0"/>
          <w:numId w:val="1"/>
        </w:numPr>
      </w:pPr>
      <w:r w:rsidRPr="00B023D1">
        <w:t>The primary causal driver of investor divergence is </w:t>
      </w:r>
      <w:r w:rsidRPr="00B023D1">
        <w:rPr>
          <w:b/>
          <w:bCs/>
        </w:rPr>
        <w:t>asymmetric uncertainty</w:t>
      </w:r>
      <w:r w:rsidRPr="00B023D1">
        <w:t>, wherein UK financial hubs possessed direct visibility into policy deliberations, whereas EU hubs operated under information ambiguity.</w:t>
      </w:r>
    </w:p>
    <w:p w14:paraId="00FC2740" w14:textId="77777777" w:rsidR="00B023D1" w:rsidRPr="00B023D1" w:rsidRDefault="00B023D1" w:rsidP="00B023D1">
      <w:pPr>
        <w:numPr>
          <w:ilvl w:val="0"/>
          <w:numId w:val="1"/>
        </w:numPr>
      </w:pPr>
      <w:r w:rsidRPr="00B023D1">
        <w:t>The empirical design applies a </w:t>
      </w:r>
      <w:r w:rsidRPr="00B023D1">
        <w:rPr>
          <w:b/>
          <w:bCs/>
        </w:rPr>
        <w:t>three-phase temporal framework</w:t>
      </w:r>
      <w:r w:rsidRPr="00B023D1">
        <w:t xml:space="preserve">: Pre-Brexit baseline (pre-2016), </w:t>
      </w:r>
      <w:proofErr w:type="gramStart"/>
      <w:r w:rsidRPr="00B023D1">
        <w:t>Post-announcement</w:t>
      </w:r>
      <w:proofErr w:type="gramEnd"/>
      <w:r w:rsidRPr="00B023D1">
        <w:t xml:space="preserve"> (2016–2018; asymmetrical uncertainty), and </w:t>
      </w:r>
      <w:proofErr w:type="gramStart"/>
      <w:r w:rsidRPr="00B023D1">
        <w:t>Post-enforcement</w:t>
      </w:r>
      <w:proofErr w:type="gramEnd"/>
      <w:r w:rsidRPr="00B023D1">
        <w:t xml:space="preserve"> (2019–2021; operational certainty).</w:t>
      </w:r>
    </w:p>
    <w:p w14:paraId="647A84B6" w14:textId="77777777" w:rsidR="00B023D1" w:rsidRPr="00B023D1" w:rsidRDefault="00B023D1" w:rsidP="00B023D1">
      <w:pPr>
        <w:numPr>
          <w:ilvl w:val="0"/>
          <w:numId w:val="1"/>
        </w:numPr>
      </w:pPr>
      <w:r w:rsidRPr="00B023D1">
        <w:t>Data are drawn from the European Data Cooperative (</w:t>
      </w:r>
      <w:r w:rsidRPr="00B023D1">
        <w:rPr>
          <w:b/>
          <w:bCs/>
        </w:rPr>
        <w:t>EDC</w:t>
      </w:r>
      <w:r w:rsidRPr="00B023D1">
        <w:t>) database tracking 2,824 VC firms and 35,310 startups across 2007–2021, aggregated into </w:t>
      </w:r>
      <w:r w:rsidRPr="00B023D1">
        <w:rPr>
          <w:b/>
          <w:bCs/>
        </w:rPr>
        <w:t>Functional Urban Areas (FUAs)</w:t>
      </w:r>
      <w:r w:rsidRPr="00B023D1">
        <w:t>.</w:t>
      </w:r>
    </w:p>
    <w:p w14:paraId="4B421861" w14:textId="77777777" w:rsidR="00B023D1" w:rsidRPr="00B023D1" w:rsidRDefault="00B023D1" w:rsidP="00B023D1">
      <w:pPr>
        <w:numPr>
          <w:ilvl w:val="0"/>
          <w:numId w:val="1"/>
        </w:numPr>
      </w:pPr>
      <w:r w:rsidRPr="00B023D1">
        <w:t>Headline findings show UK VCs preemptively cut EU deals post-announcement with no further change post-enforcement, while EU VCs maintained a wait-and-see stance initially before unexpectedly increasing UK investments post-enforcement.</w:t>
      </w:r>
    </w:p>
    <w:p w14:paraId="41AE1383" w14:textId="77777777" w:rsidR="00B023D1" w:rsidRPr="00B023D1" w:rsidRDefault="00B023D1" w:rsidP="00B023D1">
      <w:r w:rsidRPr="00B023D1">
        <w:rPr>
          <w:b/>
          <w:bCs/>
        </w:rPr>
        <w:t>Takeaway: Asymmetric exposure to political information dictated divergent investor behavior, driving UK funds to retrench preemptively while EU funds delayed structural realignments until regulatory certainty was established.</w:t>
      </w:r>
    </w:p>
    <w:p w14:paraId="4E2F4D00" w14:textId="77777777" w:rsidR="00B023D1" w:rsidRPr="00B023D1" w:rsidRDefault="00B023D1" w:rsidP="00B023D1">
      <w:pPr>
        <w:rPr>
          <w:b/>
          <w:bCs/>
        </w:rPr>
      </w:pPr>
      <w:r w:rsidRPr="00B023D1">
        <w:rPr>
          <w:b/>
          <w:bCs/>
        </w:rPr>
        <w:t>2. Brexit Storyline</w:t>
      </w:r>
    </w:p>
    <w:p w14:paraId="07A9CCA0" w14:textId="77777777" w:rsidR="00B023D1" w:rsidRPr="00B023D1" w:rsidRDefault="00B023D1" w:rsidP="00B023D1">
      <w:r w:rsidRPr="00B023D1">
        <w:t xml:space="preserve">The path from the 2016 referendum to statutory execution followed an extended timeline marked by shifting political rhetoric and legislative milestones. This temporal progression </w:t>
      </w:r>
      <w:r w:rsidRPr="00B023D1">
        <w:lastRenderedPageBreak/>
        <w:t>created unequal information environments for UK and EU venture capital market participants.</w:t>
      </w:r>
    </w:p>
    <w:p w14:paraId="181BBE84" w14:textId="77777777" w:rsidR="00B023D1" w:rsidRPr="00B023D1" w:rsidRDefault="00B023D1" w:rsidP="00B023D1">
      <w:pPr>
        <w:numPr>
          <w:ilvl w:val="0"/>
          <w:numId w:val="2"/>
        </w:numPr>
      </w:pPr>
      <w:r w:rsidRPr="00B023D1">
        <w:t>Critical milestones include the referendum announcement (February 20, 2016), the leave vote (June 23, 2016), Article 50 activation (March 29, 2017), draft Withdrawal Agreement publication (March 2018), and formal statutory enforcement (January 31, 2020).</w:t>
      </w:r>
    </w:p>
    <w:p w14:paraId="7B687DC1" w14:textId="77777777" w:rsidR="00B023D1" w:rsidRPr="00B023D1" w:rsidRDefault="00B023D1" w:rsidP="00B023D1">
      <w:pPr>
        <w:numPr>
          <w:ilvl w:val="0"/>
          <w:numId w:val="2"/>
        </w:numPr>
      </w:pPr>
      <w:r w:rsidRPr="00B023D1">
        <w:t>Market expectations evaluated two scenarios: </w:t>
      </w:r>
      <w:r w:rsidRPr="00B023D1">
        <w:rPr>
          <w:b/>
          <w:bCs/>
        </w:rPr>
        <w:t>Soft Brexit</w:t>
      </w:r>
      <w:r w:rsidRPr="00B023D1">
        <w:t> (retaining European Single Market and Customs Union access) versus </w:t>
      </w:r>
      <w:r w:rsidRPr="00B023D1">
        <w:rPr>
          <w:b/>
          <w:bCs/>
        </w:rPr>
        <w:t>Hard Brexit</w:t>
      </w:r>
      <w:r w:rsidRPr="00B023D1">
        <w:t> (a clean break relying on World Trade Organization rules, establishing tariffs and non-tariff barriers).</w:t>
      </w:r>
    </w:p>
    <w:p w14:paraId="72AD50F8" w14:textId="77777777" w:rsidR="00B023D1" w:rsidRPr="00B023D1" w:rsidRDefault="00B023D1" w:rsidP="00B023D1">
      <w:pPr>
        <w:numPr>
          <w:ilvl w:val="0"/>
          <w:numId w:val="2"/>
        </w:numPr>
      </w:pPr>
      <w:r w:rsidRPr="00B023D1">
        <w:t>Proximity to UK political negotiations allowed domestic investors to foresee a </w:t>
      </w:r>
      <w:r w:rsidRPr="00B023D1">
        <w:rPr>
          <w:b/>
          <w:bCs/>
        </w:rPr>
        <w:t>Hard Brexit</w:t>
      </w:r>
      <w:r w:rsidRPr="00B023D1">
        <w:t> early, while EU investors remained external observers facing opaque policy signals.</w:t>
      </w:r>
    </w:p>
    <w:p w14:paraId="7E081DAC" w14:textId="77777777" w:rsidR="00B023D1" w:rsidRPr="00B023D1" w:rsidRDefault="00B023D1" w:rsidP="00B023D1">
      <w:pPr>
        <w:numPr>
          <w:ilvl w:val="0"/>
          <w:numId w:val="2"/>
        </w:numPr>
      </w:pPr>
      <w:r w:rsidRPr="00B023D1">
        <w:t>Systemic market risks during the uncertainty phase included the loss of financial passporting rights, cross-border talent disruptions, and severe scale economy erosion.</w:t>
      </w:r>
    </w:p>
    <w:p w14:paraId="186738C3" w14:textId="77777777" w:rsidR="00B023D1" w:rsidRPr="00B023D1" w:rsidRDefault="00B023D1" w:rsidP="00B023D1">
      <w:pPr>
        <w:numPr>
          <w:ilvl w:val="0"/>
          <w:numId w:val="2"/>
        </w:numPr>
      </w:pPr>
      <w:r w:rsidRPr="00B023D1">
        <w:t>Institutional friction elevated non-tariff regulatory transaction costs, altering cross-regional investment return expectations.</w:t>
      </w:r>
    </w:p>
    <w:p w14:paraId="4AF94C42" w14:textId="77777777" w:rsidR="00B023D1" w:rsidRPr="00B023D1" w:rsidRDefault="00B023D1" w:rsidP="00B023D1">
      <w:r w:rsidRPr="00B023D1">
        <w:rPr>
          <w:b/>
          <w:bCs/>
        </w:rPr>
        <w:t>Takeaway: Early clarity regarding a Hard Brexit in the UK contrasted with prolonged ambiguity in the EU, establishing the empirical framework for asymmetric investor expectations.</w:t>
      </w:r>
    </w:p>
    <w:p w14:paraId="58EF5B63" w14:textId="77777777" w:rsidR="00B023D1" w:rsidRPr="00B023D1" w:rsidRDefault="00B023D1" w:rsidP="00B023D1">
      <w:pPr>
        <w:rPr>
          <w:b/>
          <w:bCs/>
        </w:rPr>
      </w:pPr>
      <w:r w:rsidRPr="00B023D1">
        <w:rPr>
          <w:b/>
          <w:bCs/>
        </w:rPr>
        <w:t>3. Research Hypotheses</w:t>
      </w:r>
    </w:p>
    <w:p w14:paraId="7191D5E1" w14:textId="77777777" w:rsidR="00B023D1" w:rsidRPr="00B023D1" w:rsidRDefault="00B023D1" w:rsidP="00B023D1">
      <w:r w:rsidRPr="00B023D1">
        <w:t>To explain investor behavior under institutional shock, the authors combine economic theories governing transactional friction and option value under market ambiguity. These theoretical lenses establish testable hypotheses regarding capital supply adjustments across policy phases.</w:t>
      </w:r>
    </w:p>
    <w:p w14:paraId="02C70EAE" w14:textId="77777777" w:rsidR="00B023D1" w:rsidRPr="00B023D1" w:rsidRDefault="00B023D1" w:rsidP="00B023D1">
      <w:pPr>
        <w:numPr>
          <w:ilvl w:val="0"/>
          <w:numId w:val="3"/>
        </w:numPr>
      </w:pPr>
      <w:r w:rsidRPr="00B023D1">
        <w:rPr>
          <w:b/>
          <w:bCs/>
        </w:rPr>
        <w:t>Transaction Costs Theory</w:t>
      </w:r>
      <w:r w:rsidRPr="00B023D1">
        <w:t> (Williamson, 1981) predicts economic agents adjust investment strategies early to minimize anticipated institutional, trade, and regulatory transaction costs.</w:t>
      </w:r>
    </w:p>
    <w:p w14:paraId="298AD8F1" w14:textId="77777777" w:rsidR="00B023D1" w:rsidRPr="00B023D1" w:rsidRDefault="00B023D1" w:rsidP="00B023D1">
      <w:pPr>
        <w:numPr>
          <w:ilvl w:val="0"/>
          <w:numId w:val="3"/>
        </w:numPr>
      </w:pPr>
      <w:r w:rsidRPr="00B023D1">
        <w:rPr>
          <w:b/>
          <w:bCs/>
        </w:rPr>
        <w:t>Real Options Theory</w:t>
      </w:r>
      <w:r w:rsidRPr="00B023D1">
        <w:t> (Dixit &amp; Pindyck, 1994) posits that high market ambiguity creates financial incentives to delay irreversible capital commitments—a "wait-and-see" strategy—to avoid future adjustment costs.</w:t>
      </w:r>
    </w:p>
    <w:p w14:paraId="4EB16414" w14:textId="77777777" w:rsidR="00B023D1" w:rsidRPr="00B023D1" w:rsidRDefault="00B023D1" w:rsidP="00B023D1">
      <w:pPr>
        <w:numPr>
          <w:ilvl w:val="0"/>
          <w:numId w:val="3"/>
        </w:numPr>
      </w:pPr>
      <w:r w:rsidRPr="00B023D1">
        <w:rPr>
          <w:b/>
          <w:bCs/>
        </w:rPr>
        <w:lastRenderedPageBreak/>
        <w:t>H1</w:t>
      </w:r>
      <w:r w:rsidRPr="00B023D1">
        <w:t xml:space="preserve"> predicts that post-announcement, UK-based VC funds significantly reduced investments toward the EU (incorporating expected transaction costs), while EU-based VC </w:t>
      </w:r>
      <w:proofErr w:type="gramStart"/>
      <w:r w:rsidRPr="00B023D1">
        <w:t>funds maintained</w:t>
      </w:r>
      <w:proofErr w:type="gramEnd"/>
      <w:r w:rsidRPr="00B023D1">
        <w:t xml:space="preserve"> UK investment activity (exercising real options delay).</w:t>
      </w:r>
    </w:p>
    <w:p w14:paraId="06592B89" w14:textId="77777777" w:rsidR="00B023D1" w:rsidRPr="00B023D1" w:rsidRDefault="00B023D1" w:rsidP="00B023D1">
      <w:pPr>
        <w:numPr>
          <w:ilvl w:val="0"/>
          <w:numId w:val="3"/>
        </w:numPr>
      </w:pPr>
      <w:r w:rsidRPr="00B023D1">
        <w:rPr>
          <w:b/>
          <w:bCs/>
        </w:rPr>
        <w:t>H2</w:t>
      </w:r>
      <w:r w:rsidRPr="00B023D1">
        <w:t> predicts that post-enforcement, EU-based VC funds significantly reduced investments toward the UK (reacting to realized barriers), while UK-based VC funds exhibited minimal further changes (having fully adjusted early).</w:t>
      </w:r>
    </w:p>
    <w:p w14:paraId="25E7D933" w14:textId="77777777" w:rsidR="00B023D1" w:rsidRPr="00B023D1" w:rsidRDefault="00B023D1" w:rsidP="00B023D1">
      <w:r w:rsidRPr="00B023D1">
        <w:rPr>
          <w:b/>
          <w:bCs/>
        </w:rPr>
        <w:t>Takeaway: Transaction Costs Theory accounts for immediate UK capital retrenchment, whereas Real Options Theory explains the delayed strategic response of EU investors.</w:t>
      </w:r>
    </w:p>
    <w:p w14:paraId="4A84365E" w14:textId="77777777" w:rsidR="00B023D1" w:rsidRPr="00B023D1" w:rsidRDefault="00B023D1" w:rsidP="00B023D1">
      <w:pPr>
        <w:rPr>
          <w:b/>
          <w:bCs/>
        </w:rPr>
      </w:pPr>
      <w:r w:rsidRPr="00B023D1">
        <w:rPr>
          <w:b/>
          <w:bCs/>
        </w:rPr>
        <w:t>4. Methodology</w:t>
      </w:r>
    </w:p>
    <w:p w14:paraId="4D26A0DE" w14:textId="77777777" w:rsidR="00B023D1" w:rsidRPr="00B023D1" w:rsidRDefault="00B023D1" w:rsidP="00B023D1">
      <w:pPr>
        <w:rPr>
          <w:b/>
          <w:bCs/>
        </w:rPr>
      </w:pPr>
      <w:r w:rsidRPr="00B023D1">
        <w:rPr>
          <w:b/>
          <w:bCs/>
        </w:rPr>
        <w:t>4.1 Data</w:t>
      </w:r>
    </w:p>
    <w:p w14:paraId="5DF653FE" w14:textId="77777777" w:rsidR="00B023D1" w:rsidRPr="00B023D1" w:rsidRDefault="00B023D1" w:rsidP="00B023D1">
      <w:r w:rsidRPr="00B023D1">
        <w:t>Evaluating regional venture capital dynamics requires spatial units that reflect true functional economic ecosystems rather than administrative boundaries. The study employs standardized metropolitan commuting zones to track regional capital supply shifts.</w:t>
      </w:r>
    </w:p>
    <w:p w14:paraId="4E010DF7" w14:textId="77777777" w:rsidR="00B023D1" w:rsidRPr="00B023D1" w:rsidRDefault="00B023D1" w:rsidP="00B023D1">
      <w:pPr>
        <w:numPr>
          <w:ilvl w:val="0"/>
          <w:numId w:val="4"/>
        </w:numPr>
      </w:pPr>
      <w:r w:rsidRPr="00B023D1">
        <w:t>Functional Urban Areas combine OECD-defined densely populated urban cores and commuting hinterlands based on population density and travel-to-work metrics.</w:t>
      </w:r>
    </w:p>
    <w:p w14:paraId="19819CA4" w14:textId="77777777" w:rsidR="00B023D1" w:rsidRPr="00B023D1" w:rsidRDefault="00B023D1" w:rsidP="00B023D1">
      <w:pPr>
        <w:numPr>
          <w:ilvl w:val="0"/>
          <w:numId w:val="4"/>
        </w:numPr>
      </w:pPr>
      <w:r w:rsidRPr="00B023D1">
        <w:t>The sample covers 480 VC hubs (63 UK, 417 EU) yielding 5,180 hub-year observations from 2007 to 2021, capturing 89% of all geolocated European startups and VC firms.</w:t>
      </w:r>
    </w:p>
    <w:p w14:paraId="1C63063D" w14:textId="77777777" w:rsidR="00B023D1" w:rsidRPr="00B023D1" w:rsidRDefault="00B023D1" w:rsidP="00B023D1">
      <w:pPr>
        <w:numPr>
          <w:ilvl w:val="0"/>
          <w:numId w:val="4"/>
        </w:numPr>
      </w:pPr>
      <w:r w:rsidRPr="00B023D1">
        <w:t>Regional capital supply exhibits high spatial concentration: the top 10 VC hubs account for 66.293% of total cross-hub VC deals, led by Paris (20.399%) and London (11.424%).</w:t>
      </w:r>
    </w:p>
    <w:p w14:paraId="1DF310A7" w14:textId="77777777" w:rsidR="00B023D1" w:rsidRPr="00B023D1" w:rsidRDefault="00B023D1" w:rsidP="00B023D1">
      <w:pPr>
        <w:numPr>
          <w:ilvl w:val="0"/>
          <w:numId w:val="4"/>
        </w:numPr>
      </w:pPr>
      <w:r w:rsidRPr="00B023D1">
        <w:t>Sample filters excluded hubs lacking geolocated accuracy or continuous pre/post-Brexit observation, maintaining minimal attrition bias (&lt;0.747% of deals; 0.662% of investment volume).</w:t>
      </w:r>
    </w:p>
    <w:p w14:paraId="10D29CE1" w14:textId="77777777" w:rsidR="00B023D1" w:rsidRPr="00B023D1" w:rsidRDefault="00B023D1" w:rsidP="00B023D1">
      <w:pPr>
        <w:numPr>
          <w:ilvl w:val="0"/>
          <w:numId w:val="4"/>
        </w:numPr>
      </w:pPr>
      <w:r w:rsidRPr="00B023D1">
        <w:t xml:space="preserve">All investment count and volume variables were </w:t>
      </w:r>
      <w:proofErr w:type="spellStart"/>
      <w:r w:rsidRPr="00B023D1">
        <w:t>winsorized</w:t>
      </w:r>
      <w:proofErr w:type="spellEnd"/>
      <w:r w:rsidRPr="00B023D1">
        <w:t xml:space="preserve"> to eliminate extreme outlier distortion.</w:t>
      </w:r>
    </w:p>
    <w:p w14:paraId="7AD91EC7" w14:textId="77777777" w:rsidR="00B023D1" w:rsidRPr="00B023D1" w:rsidRDefault="00B023D1" w:rsidP="00B023D1">
      <w:r w:rsidRPr="00B023D1">
        <w:rPr>
          <w:b/>
          <w:bCs/>
        </w:rPr>
        <w:t>Takeaway: Functional Urban Areas provide the optimal spatial unit for capturing regional VC supply shifts across interconnected economic clusters.</w:t>
      </w:r>
    </w:p>
    <w:p w14:paraId="767EBD96" w14:textId="77777777" w:rsidR="00B023D1" w:rsidRPr="00B023D1" w:rsidRDefault="00B023D1" w:rsidP="00B023D1">
      <w:pPr>
        <w:rPr>
          <w:b/>
          <w:bCs/>
        </w:rPr>
      </w:pPr>
      <w:r w:rsidRPr="00B023D1">
        <w:rPr>
          <w:b/>
          <w:bCs/>
        </w:rPr>
        <w:t>4.2 Econometric Model</w:t>
      </w:r>
    </w:p>
    <w:p w14:paraId="773C2916" w14:textId="77777777" w:rsidR="00B023D1" w:rsidRPr="00B023D1" w:rsidRDefault="00B023D1" w:rsidP="00B023D1">
      <w:r w:rsidRPr="00B023D1">
        <w:lastRenderedPageBreak/>
        <w:t>The empirical framework deploys a two-stage econometric model to isolate structural policy shocks from macroeconomic and regional confounders.</w:t>
      </w:r>
    </w:p>
    <w:p w14:paraId="5A012C19" w14:textId="77777777" w:rsidR="00B023D1" w:rsidRPr="00B023D1" w:rsidRDefault="00B023D1" w:rsidP="00B023D1">
      <w:pPr>
        <w:numPr>
          <w:ilvl w:val="0"/>
          <w:numId w:val="5"/>
        </w:numPr>
      </w:pPr>
      <w:r w:rsidRPr="00B023D1">
        <w:t xml:space="preserve">The baseline empirical specification is modeled as: y = \alpha + \beta </w:t>
      </w:r>
      <w:proofErr w:type="spellStart"/>
      <w:r w:rsidRPr="00B023D1">
        <w:t>dAfter</w:t>
      </w:r>
      <w:proofErr w:type="spellEnd"/>
      <w:r w:rsidRPr="00B023D1">
        <w:t xml:space="preserve"> Brexit announcement + \delta </w:t>
      </w:r>
      <w:proofErr w:type="spellStart"/>
      <w:r w:rsidRPr="00B023D1">
        <w:t>dAfter</w:t>
      </w:r>
      <w:proofErr w:type="spellEnd"/>
      <w:r w:rsidRPr="00B023D1">
        <w:t xml:space="preserve"> Brexit enforcement + controls + \</w:t>
      </w:r>
      <w:proofErr w:type="spellStart"/>
      <w:r w:rsidRPr="00B023D1">
        <w:t>varepsilon</w:t>
      </w:r>
      <w:proofErr w:type="spellEnd"/>
      <w:r w:rsidRPr="00B023D1">
        <w:t>.</w:t>
      </w:r>
    </w:p>
    <w:p w14:paraId="7A05A5B4" w14:textId="77777777" w:rsidR="00B023D1" w:rsidRPr="00B023D1" w:rsidRDefault="00B023D1" w:rsidP="00B023D1">
      <w:pPr>
        <w:numPr>
          <w:ilvl w:val="0"/>
          <w:numId w:val="5"/>
        </w:numPr>
      </w:pPr>
      <w:r w:rsidRPr="00B023D1">
        <w:t>The authors estimate deal counts using a </w:t>
      </w:r>
      <w:r w:rsidRPr="00B023D1">
        <w:rPr>
          <w:b/>
          <w:bCs/>
        </w:rPr>
        <w:t>Zero-Inflated Negative Binomial (ZINB)</w:t>
      </w:r>
      <w:r w:rsidRPr="00B023D1">
        <w:t> model (handling excess zero cross-border deals) and capital amounts using a </w:t>
      </w:r>
      <w:r w:rsidRPr="00B023D1">
        <w:rPr>
          <w:b/>
          <w:bCs/>
        </w:rPr>
        <w:t>Heckman Selection Model</w:t>
      </w:r>
      <w:r w:rsidRPr="00B023D1">
        <w:t> (correcting for non-zero selection bias).</w:t>
      </w:r>
    </w:p>
    <w:p w14:paraId="45B2D670" w14:textId="77777777" w:rsidR="00B023D1" w:rsidRPr="00B023D1" w:rsidRDefault="00B023D1" w:rsidP="00B023D1">
      <w:pPr>
        <w:numPr>
          <w:ilvl w:val="0"/>
          <w:numId w:val="5"/>
        </w:numPr>
      </w:pPr>
      <w:r w:rsidRPr="00B023D1">
        <w:t xml:space="preserve">Independent dummy variables isolate policy phases: </w:t>
      </w:r>
      <w:proofErr w:type="spellStart"/>
      <w:r w:rsidRPr="00B023D1">
        <w:t>dAfter</w:t>
      </w:r>
      <w:proofErr w:type="spellEnd"/>
      <w:r w:rsidRPr="00B023D1">
        <w:t xml:space="preserve"> Brexit announcement (1 for 2016–2018) and </w:t>
      </w:r>
      <w:proofErr w:type="spellStart"/>
      <w:r w:rsidRPr="00B023D1">
        <w:t>dAfter</w:t>
      </w:r>
      <w:proofErr w:type="spellEnd"/>
      <w:r w:rsidRPr="00B023D1">
        <w:t xml:space="preserve"> Brexit enforcement (1 for 2019–2021).</w:t>
      </w:r>
    </w:p>
    <w:p w14:paraId="78D95DAD" w14:textId="77777777" w:rsidR="00B023D1" w:rsidRPr="00B023D1" w:rsidRDefault="00B023D1" w:rsidP="00B023D1">
      <w:pPr>
        <w:numPr>
          <w:ilvl w:val="0"/>
          <w:numId w:val="5"/>
        </w:numPr>
      </w:pPr>
      <w:r w:rsidRPr="00B023D1">
        <w:t>Control variables include GDP per capita growth, </w:t>
      </w:r>
      <w:r w:rsidRPr="00B023D1">
        <w:rPr>
          <w:b/>
          <w:bCs/>
        </w:rPr>
        <w:t>Founding member country</w:t>
      </w:r>
      <w:r w:rsidRPr="00B023D1">
        <w:t> dummy (original six European Coal and Steel Community members), </w:t>
      </w:r>
      <w:r w:rsidRPr="00B023D1">
        <w:rPr>
          <w:b/>
          <w:bCs/>
        </w:rPr>
        <w:t>Communist country</w:t>
      </w:r>
      <w:r w:rsidRPr="00B023D1">
        <w:t> dummy (former Eastern bloc transition economies), domestic deal intensity, and local hub activity (</w:t>
      </w:r>
      <w:r w:rsidRPr="00B023D1">
        <w:rPr>
          <w:b/>
          <w:bCs/>
        </w:rPr>
        <w:t>Same FUA investments</w:t>
      </w:r>
      <w:r w:rsidRPr="00B023D1">
        <w:t>).</w:t>
      </w:r>
    </w:p>
    <w:p w14:paraId="45EBB1A1" w14:textId="77777777" w:rsidR="00B023D1" w:rsidRPr="00B023D1" w:rsidRDefault="00B023D1" w:rsidP="00B023D1">
      <w:pPr>
        <w:numPr>
          <w:ilvl w:val="0"/>
          <w:numId w:val="5"/>
        </w:numPr>
      </w:pPr>
      <w:r w:rsidRPr="00B023D1">
        <w:t>First-stage selection equations incorporate the percentage of yearly country-level international investments to proxy baseline international propensity.</w:t>
      </w:r>
    </w:p>
    <w:p w14:paraId="7E0A4A05" w14:textId="77777777" w:rsidR="00B023D1" w:rsidRPr="00B023D1" w:rsidRDefault="00B023D1" w:rsidP="00B023D1">
      <w:r w:rsidRPr="00B023D1">
        <w:rPr>
          <w:b/>
          <w:bCs/>
        </w:rPr>
        <w:t>Takeaway: The two-stage econometric strategy effectively isolates post-announcement and post-enforcement policy shocks while controlling for selection bias and regional heterogeneity.</w:t>
      </w:r>
    </w:p>
    <w:p w14:paraId="6BC6AE88" w14:textId="77777777" w:rsidR="00B023D1" w:rsidRPr="00B023D1" w:rsidRDefault="00B023D1" w:rsidP="00B023D1">
      <w:pPr>
        <w:rPr>
          <w:b/>
          <w:bCs/>
        </w:rPr>
      </w:pPr>
      <w:r w:rsidRPr="00B023D1">
        <w:rPr>
          <w:b/>
          <w:bCs/>
        </w:rPr>
        <w:t>5. Results</w:t>
      </w:r>
    </w:p>
    <w:p w14:paraId="402275E4" w14:textId="77777777" w:rsidR="00B023D1" w:rsidRPr="00B023D1" w:rsidRDefault="00B023D1" w:rsidP="00B023D1">
      <w:pPr>
        <w:rPr>
          <w:b/>
          <w:bCs/>
        </w:rPr>
      </w:pPr>
      <w:r w:rsidRPr="00B023D1">
        <w:rPr>
          <w:b/>
          <w:bCs/>
        </w:rPr>
        <w:t>5.1 Main Model</w:t>
      </w:r>
    </w:p>
    <w:p w14:paraId="0511879F" w14:textId="77777777" w:rsidR="00B023D1" w:rsidRPr="00B023D1" w:rsidRDefault="00B023D1" w:rsidP="00B023D1">
      <w:r w:rsidRPr="00B023D1">
        <w:t>Regression estimations deliver empirical evaluation of H1 and H2 across deal counts and total investment volume.</w:t>
      </w:r>
    </w:p>
    <w:p w14:paraId="0C8C7F6F" w14:textId="77777777" w:rsidR="00B023D1" w:rsidRPr="00B023D1" w:rsidRDefault="00B023D1" w:rsidP="00B023D1">
      <w:pPr>
        <w:numPr>
          <w:ilvl w:val="0"/>
          <w:numId w:val="6"/>
        </w:numPr>
      </w:pPr>
      <w:r w:rsidRPr="00B023D1">
        <w:t>H1 is fully supported: post-announcement, UK VC hubs reduced cross-regional deal count toward the EU by an incident rate ratio factor of 0.263 (\beta = -1.335, p &lt; 0.01), representing a </w:t>
      </w:r>
      <w:r w:rsidRPr="00B023D1">
        <w:rPr>
          <w:b/>
          <w:bCs/>
        </w:rPr>
        <w:t>73.7% reduction</w:t>
      </w:r>
      <w:r w:rsidRPr="00B023D1">
        <w:t> (\</w:t>
      </w:r>
      <w:proofErr w:type="gramStart"/>
      <w:r w:rsidRPr="00B023D1">
        <w:t>exp(</w:t>
      </w:r>
      <w:proofErr w:type="gramEnd"/>
      <w:r w:rsidRPr="00B023D1">
        <w:t>-1.335) - 1), while EU VC hubs showed no significant change (\beta = 0.118).</w:t>
      </w:r>
    </w:p>
    <w:p w14:paraId="0501804C" w14:textId="77777777" w:rsidR="00B023D1" w:rsidRPr="00B023D1" w:rsidRDefault="00B023D1" w:rsidP="00B023D1">
      <w:pPr>
        <w:numPr>
          <w:ilvl w:val="0"/>
          <w:numId w:val="6"/>
        </w:numPr>
      </w:pPr>
      <w:r w:rsidRPr="00B023D1">
        <w:t>H2 is partially supported for UK VCs, who showed no statistically significant additional deal reduction post-enforcement (\beta = -1.290), confirming complete preemptive adaptation during the uncertainty phase.</w:t>
      </w:r>
    </w:p>
    <w:p w14:paraId="25A39537" w14:textId="77777777" w:rsidR="00B023D1" w:rsidRPr="00B023D1" w:rsidRDefault="00B023D1" w:rsidP="00B023D1">
      <w:pPr>
        <w:numPr>
          <w:ilvl w:val="0"/>
          <w:numId w:val="6"/>
        </w:numPr>
      </w:pPr>
      <w:r w:rsidRPr="00B023D1">
        <w:lastRenderedPageBreak/>
        <w:t>H2 is directly contradicted by EU VC hubs: post-enforcement, EU VCs significantly </w:t>
      </w:r>
      <w:r w:rsidRPr="00B023D1">
        <w:rPr>
          <w:i/>
          <w:iCs/>
        </w:rPr>
        <w:t>increased</w:t>
      </w:r>
      <w:r w:rsidRPr="00B023D1">
        <w:t> cross-regional deal counts (\beta = 0.419, p &lt; 0.05) and capital volume (\beta = 0.202, p &lt; 0.05) toward UK startups.</w:t>
      </w:r>
    </w:p>
    <w:p w14:paraId="0FA01BE7" w14:textId="77777777" w:rsidR="00B023D1" w:rsidRPr="00B023D1" w:rsidRDefault="00B023D1" w:rsidP="00B023D1">
      <w:pPr>
        <w:numPr>
          <w:ilvl w:val="0"/>
          <w:numId w:val="6"/>
        </w:numPr>
      </w:pPr>
      <w:r w:rsidRPr="00B023D1">
        <w:t>Coefficient difference tests (\delta - \beta) confirm UK investors completed their structural retrenchment early, with no further statistically significant drop post-enforcement.</w:t>
      </w:r>
    </w:p>
    <w:p w14:paraId="0C5B13E2" w14:textId="77777777" w:rsidR="00B023D1" w:rsidRPr="00B023D1" w:rsidRDefault="00B023D1" w:rsidP="00B023D1">
      <w:pPr>
        <w:numPr>
          <w:ilvl w:val="0"/>
          <w:numId w:val="6"/>
        </w:numPr>
      </w:pPr>
      <w:r w:rsidRPr="00B023D1">
        <w:t>The unexpected EU post-enforcement expansion indicates that realized regulatory certainty coupled with UK market gaps triggered capital substitution rather than retrenchment.</w:t>
      </w:r>
    </w:p>
    <w:p w14:paraId="1D1689F7" w14:textId="77777777" w:rsidR="00B023D1" w:rsidRPr="00B023D1" w:rsidRDefault="00B023D1" w:rsidP="00B023D1">
      <w:r w:rsidRPr="00B023D1">
        <w:rPr>
          <w:b/>
          <w:bCs/>
        </w:rPr>
        <w:t>Takeaway: Empirical findings confirm preemptive UK retrenchment post-announcement and reveal a counter-intuitive post-enforcement influx of EU capital into the UK.</w:t>
      </w:r>
    </w:p>
    <w:p w14:paraId="04B77970" w14:textId="77777777" w:rsidR="00B023D1" w:rsidRPr="00B023D1" w:rsidRDefault="00B023D1" w:rsidP="00B023D1">
      <w:pPr>
        <w:rPr>
          <w:b/>
          <w:bCs/>
        </w:rPr>
      </w:pPr>
      <w:r w:rsidRPr="00B023D1">
        <w:rPr>
          <w:b/>
          <w:bCs/>
        </w:rPr>
        <w:t>5.2 Additional Analysis and Further Robustness Checks</w:t>
      </w:r>
    </w:p>
    <w:p w14:paraId="0DBA73B7" w14:textId="77777777" w:rsidR="00B023D1" w:rsidRPr="00B023D1" w:rsidRDefault="00B023D1" w:rsidP="00B023D1">
      <w:r w:rsidRPr="00B023D1">
        <w:t xml:space="preserve">To explain why EU VCs expanded UK investments post-enforcement, the authors analyze granular </w:t>
      </w:r>
      <w:proofErr w:type="spellStart"/>
      <w:r w:rsidRPr="00B023D1">
        <w:t>PitchBook</w:t>
      </w:r>
      <w:proofErr w:type="spellEnd"/>
      <w:r w:rsidRPr="00B023D1">
        <w:t xml:space="preserve"> investor and deal-level data to establish the underlying causal mechanisms.</w:t>
      </w:r>
    </w:p>
    <w:p w14:paraId="44F5E588" w14:textId="77777777" w:rsidR="00B023D1" w:rsidRPr="00B023D1" w:rsidRDefault="00B023D1" w:rsidP="00B023D1">
      <w:pPr>
        <w:numPr>
          <w:ilvl w:val="0"/>
          <w:numId w:val="7"/>
        </w:numPr>
      </w:pPr>
      <w:r w:rsidRPr="00B023D1">
        <w:rPr>
          <w:b/>
          <w:bCs/>
        </w:rPr>
        <w:t>Fundraising Capacity</w:t>
      </w:r>
      <w:r w:rsidRPr="00B023D1">
        <w:t>: UK VCs founded post-enforcement managed significantly lower </w:t>
      </w:r>
      <w:r w:rsidRPr="00B023D1">
        <w:rPr>
          <w:b/>
          <w:bCs/>
        </w:rPr>
        <w:t>Assets Under Management (AUM)</w:t>
      </w:r>
      <w:r w:rsidRPr="00B023D1">
        <w:t> (\beta = -2170.008, p &lt; 0.05) and opened fewer funds (\beta = -0.997, p &lt; 0.001), creating a severe domestic UK capital deficit.</w:t>
      </w:r>
    </w:p>
    <w:p w14:paraId="28737922" w14:textId="77777777" w:rsidR="00B023D1" w:rsidRPr="00B023D1" w:rsidRDefault="00B023D1" w:rsidP="00B023D1">
      <w:pPr>
        <w:numPr>
          <w:ilvl w:val="0"/>
          <w:numId w:val="7"/>
        </w:numPr>
      </w:pPr>
      <w:r w:rsidRPr="00B023D1">
        <w:rPr>
          <w:b/>
          <w:bCs/>
        </w:rPr>
        <w:t>Syndication</w:t>
      </w:r>
      <w:r w:rsidRPr="00B023D1">
        <w:t>: Cross-border </w:t>
      </w:r>
      <w:r w:rsidRPr="00B023D1">
        <w:rPr>
          <w:b/>
          <w:bCs/>
        </w:rPr>
        <w:t>syndication</w:t>
      </w:r>
      <w:r w:rsidRPr="00B023D1">
        <w:t> (joint UK-EU investor deals in UK startups) grew from 11.34% pre-Brexit to 20.84% post-enforcement; multinomial logit confirms increased likelihood of cross-border syndication (\beta = 0.210, p &lt; 0.01) to bypass trade barriers.</w:t>
      </w:r>
    </w:p>
    <w:p w14:paraId="70FAE850" w14:textId="77777777" w:rsidR="00B023D1" w:rsidRPr="00B023D1" w:rsidRDefault="00B023D1" w:rsidP="00B023D1">
      <w:pPr>
        <w:numPr>
          <w:ilvl w:val="0"/>
          <w:numId w:val="7"/>
        </w:numPr>
      </w:pPr>
      <w:r w:rsidRPr="00B023D1">
        <w:rPr>
          <w:b/>
          <w:bCs/>
        </w:rPr>
        <w:t>Deal Valuation &amp; Stage Composition</w:t>
      </w:r>
      <w:r w:rsidRPr="00B023D1">
        <w:t xml:space="preserve">: UK startup valuations remained resilient (\beta = 35.790, p &lt; 0.01), but UK VCs significantly reduced </w:t>
      </w:r>
      <w:proofErr w:type="gramStart"/>
      <w:r w:rsidRPr="00B023D1">
        <w:t>early-stage</w:t>
      </w:r>
      <w:proofErr w:type="gramEnd"/>
      <w:r w:rsidRPr="00B023D1">
        <w:t>/seed participation (\beta = -0.111, p &lt; 0.001).</w:t>
      </w:r>
    </w:p>
    <w:p w14:paraId="64AF3288" w14:textId="77777777" w:rsidR="00B023D1" w:rsidRPr="00B023D1" w:rsidRDefault="00B023D1" w:rsidP="00B023D1">
      <w:pPr>
        <w:numPr>
          <w:ilvl w:val="0"/>
          <w:numId w:val="7"/>
        </w:numPr>
      </w:pPr>
      <w:r w:rsidRPr="00B023D1">
        <w:rPr>
          <w:b/>
          <w:bCs/>
        </w:rPr>
        <w:t>Causal Chain Synthesis</w:t>
      </w:r>
      <w:r w:rsidRPr="00B023D1">
        <w:t>: Domestic UK fundraising contractions and early-stage VC retrenchment created an early-stage funding vacuum that EU VCs actively filled via co-investment syndication.</w:t>
      </w:r>
    </w:p>
    <w:p w14:paraId="303273C8" w14:textId="77777777" w:rsidR="00B023D1" w:rsidRPr="00B023D1" w:rsidRDefault="00B023D1" w:rsidP="00B023D1">
      <w:pPr>
        <w:numPr>
          <w:ilvl w:val="0"/>
          <w:numId w:val="7"/>
        </w:numPr>
      </w:pPr>
      <w:r w:rsidRPr="00B023D1">
        <w:rPr>
          <w:b/>
          <w:bCs/>
        </w:rPr>
        <w:t>Firm-Level Robustness</w:t>
      </w:r>
      <w:r w:rsidRPr="00B023D1">
        <w:t>: Firm-level replications controlling for investor age, median round size, open fund counts, and co-investment history confirm that hub-level results are robust.</w:t>
      </w:r>
    </w:p>
    <w:p w14:paraId="1A909A79" w14:textId="77777777" w:rsidR="00B023D1" w:rsidRPr="00B023D1" w:rsidRDefault="00B023D1" w:rsidP="00B023D1">
      <w:r w:rsidRPr="00B023D1">
        <w:rPr>
          <w:b/>
          <w:bCs/>
        </w:rPr>
        <w:lastRenderedPageBreak/>
        <w:t>Takeaway: A domestic UK capital supply deficit, early-stage VC retreat, and heightened cross-border syndication collectively facilitated the post-enforcement expansion of EU capital into the UK.</w:t>
      </w:r>
    </w:p>
    <w:p w14:paraId="3882CD21" w14:textId="77777777" w:rsidR="00B023D1" w:rsidRPr="00B023D1" w:rsidRDefault="00B023D1" w:rsidP="00B023D1">
      <w:pPr>
        <w:rPr>
          <w:b/>
          <w:bCs/>
        </w:rPr>
      </w:pPr>
      <w:r w:rsidRPr="00B023D1">
        <w:rPr>
          <w:b/>
          <w:bCs/>
        </w:rPr>
        <w:t>5.3 Post-hoc Analyses</w:t>
      </w:r>
    </w:p>
    <w:p w14:paraId="0D04352C" w14:textId="77777777" w:rsidR="00B023D1" w:rsidRPr="00B023D1" w:rsidRDefault="00B023D1" w:rsidP="00B023D1">
      <w:r w:rsidRPr="00B023D1">
        <w:t>Post-hoc estimations examine how cross-border capital reallocation influenced intra-regional domestic investments and overall domestic market share.</w:t>
      </w:r>
    </w:p>
    <w:p w14:paraId="757885B7" w14:textId="77777777" w:rsidR="00B023D1" w:rsidRPr="00B023D1" w:rsidRDefault="00B023D1" w:rsidP="00B023D1">
      <w:pPr>
        <w:numPr>
          <w:ilvl w:val="0"/>
          <w:numId w:val="8"/>
        </w:numPr>
      </w:pPr>
      <w:r w:rsidRPr="00B023D1">
        <w:t>EU VC hubs expanded intra-EU activity post-enforcement, increasing domestic investment volume (\beta = 0.968, p &lt; 0.05) and deal counts to non-UK EU countries (\beta = 0.348, p &lt; 0.05; factor of 1.416).</w:t>
      </w:r>
    </w:p>
    <w:p w14:paraId="2BAEA82E" w14:textId="77777777" w:rsidR="00B023D1" w:rsidRPr="00B023D1" w:rsidRDefault="00B023D1" w:rsidP="00B023D1">
      <w:pPr>
        <w:numPr>
          <w:ilvl w:val="0"/>
          <w:numId w:val="8"/>
        </w:numPr>
      </w:pPr>
      <w:r w:rsidRPr="00B023D1">
        <w:t>UK VC hubs increased absolute domestic deal activity post-enforcement, expanding domestic deal counts (\beta = 0.437, p &lt; 0.05) and investment volume (\beta = 5.051, p &lt; 0.01).</w:t>
      </w:r>
    </w:p>
    <w:p w14:paraId="6676B95C" w14:textId="77777777" w:rsidR="00B023D1" w:rsidRPr="00B023D1" w:rsidRDefault="00B023D1" w:rsidP="00B023D1">
      <w:pPr>
        <w:numPr>
          <w:ilvl w:val="0"/>
          <w:numId w:val="8"/>
        </w:numPr>
      </w:pPr>
      <w:r w:rsidRPr="00B023D1">
        <w:t>A </w:t>
      </w:r>
      <w:r w:rsidRPr="00B023D1">
        <w:rPr>
          <w:b/>
          <w:bCs/>
        </w:rPr>
        <w:t>Tobit market share model</w:t>
      </w:r>
      <w:r w:rsidRPr="00B023D1">
        <w:t> reveals that despite increasing absolute domestic deal volume, UK VCs suffered a statistically significant drop in domestic market share (\beta = -0.044, p &lt; 0.05).</w:t>
      </w:r>
    </w:p>
    <w:p w14:paraId="73B1F7A7" w14:textId="77777777" w:rsidR="00B023D1" w:rsidRPr="00B023D1" w:rsidRDefault="00B023D1" w:rsidP="00B023D1">
      <w:pPr>
        <w:numPr>
          <w:ilvl w:val="0"/>
          <w:numId w:val="8"/>
        </w:numPr>
      </w:pPr>
      <w:r w:rsidRPr="00B023D1">
        <w:t>The mathematical paradox occurred because the post-2019 influx of EU VC capital into the UK grew at a faster rate than domestic UK capital expansion.</w:t>
      </w:r>
    </w:p>
    <w:p w14:paraId="0D76BDD4" w14:textId="77777777" w:rsidR="00B023D1" w:rsidRPr="00B023D1" w:rsidRDefault="00B023D1" w:rsidP="00B023D1">
      <w:pPr>
        <w:numPr>
          <w:ilvl w:val="0"/>
          <w:numId w:val="8"/>
        </w:numPr>
      </w:pPr>
      <w:r w:rsidRPr="00B023D1">
        <w:t>Reallocated EU capital partially replaced lost UK participation across EU markets while simultaneously capturing domestic UK market share.</w:t>
      </w:r>
    </w:p>
    <w:p w14:paraId="1F5D20BF" w14:textId="77777777" w:rsidR="00B023D1" w:rsidRPr="00B023D1" w:rsidRDefault="00B023D1" w:rsidP="00B023D1">
      <w:r w:rsidRPr="00B023D1">
        <w:rPr>
          <w:b/>
          <w:bCs/>
        </w:rPr>
        <w:t>Takeaway: Although UK VC hubs expanded absolute domestic deal activity, rapid post-enforcement EU capital entry systematically eroded UK funds' domestic market share.</w:t>
      </w:r>
    </w:p>
    <w:p w14:paraId="52BDF1BD" w14:textId="77777777" w:rsidR="00B023D1" w:rsidRPr="00B023D1" w:rsidRDefault="00B023D1" w:rsidP="00B023D1">
      <w:pPr>
        <w:rPr>
          <w:b/>
          <w:bCs/>
        </w:rPr>
      </w:pPr>
      <w:r w:rsidRPr="00B023D1">
        <w:rPr>
          <w:b/>
          <w:bCs/>
        </w:rPr>
        <w:t>6. Conclusions</w:t>
      </w:r>
    </w:p>
    <w:p w14:paraId="5BEFBBE5" w14:textId="77777777" w:rsidR="00B023D1" w:rsidRPr="00B023D1" w:rsidRDefault="00B023D1" w:rsidP="00B023D1">
      <w:r w:rsidRPr="00B023D1">
        <w:t>The concluding section summarizes academic contributions, policy implications, and strategic considerations for venture capital practitioners across European innovation ecosystems.</w:t>
      </w:r>
    </w:p>
    <w:p w14:paraId="17083109" w14:textId="77777777" w:rsidR="00B023D1" w:rsidRPr="00B023D1" w:rsidRDefault="00B023D1" w:rsidP="00B023D1">
      <w:pPr>
        <w:numPr>
          <w:ilvl w:val="0"/>
          <w:numId w:val="9"/>
        </w:numPr>
      </w:pPr>
      <w:r w:rsidRPr="00B023D1">
        <w:rPr>
          <w:b/>
          <w:bCs/>
        </w:rPr>
        <w:t>Academic Contribution</w:t>
      </w:r>
      <w:r w:rsidRPr="00B023D1">
        <w:t>: Provides the first supply-side evaluation of capital providers post-enforcement, confirming asymmetric uncertainty mechanisms and capital substitution dynamics across financial hubs.</w:t>
      </w:r>
    </w:p>
    <w:p w14:paraId="304DEEE0" w14:textId="77777777" w:rsidR="00B023D1" w:rsidRPr="00B023D1" w:rsidRDefault="00B023D1" w:rsidP="00B023D1">
      <w:pPr>
        <w:numPr>
          <w:ilvl w:val="0"/>
          <w:numId w:val="9"/>
        </w:numPr>
      </w:pPr>
      <w:r w:rsidRPr="00B023D1">
        <w:rPr>
          <w:b/>
          <w:bCs/>
        </w:rPr>
        <w:t>Policy Implications (UK)</w:t>
      </w:r>
      <w:r w:rsidRPr="00B023D1">
        <w:t>: Highlights structural risks regarding the eroding market power of UK VC hubs, indicating an urgent need for public interventions to rebuild VC fundraising capacity.</w:t>
      </w:r>
    </w:p>
    <w:p w14:paraId="38D1E197" w14:textId="77777777" w:rsidR="00B023D1" w:rsidRPr="00B023D1" w:rsidRDefault="00B023D1" w:rsidP="00B023D1">
      <w:pPr>
        <w:numPr>
          <w:ilvl w:val="0"/>
          <w:numId w:val="9"/>
        </w:numPr>
      </w:pPr>
      <w:r w:rsidRPr="00B023D1">
        <w:rPr>
          <w:b/>
          <w:bCs/>
        </w:rPr>
        <w:lastRenderedPageBreak/>
        <w:t>Policy Implications (EU)</w:t>
      </w:r>
      <w:r w:rsidRPr="00B023D1">
        <w:t>: Demonstrates expansion opportunities for EU hubs to capture market share, though persistent regional fragmentation continues to threaten European scaling capacity.</w:t>
      </w:r>
    </w:p>
    <w:p w14:paraId="66C82C01" w14:textId="77777777" w:rsidR="00B023D1" w:rsidRPr="00B023D1" w:rsidRDefault="00B023D1" w:rsidP="00B023D1">
      <w:pPr>
        <w:numPr>
          <w:ilvl w:val="0"/>
          <w:numId w:val="9"/>
        </w:numPr>
      </w:pPr>
      <w:r w:rsidRPr="00B023D1">
        <w:rPr>
          <w:b/>
          <w:bCs/>
        </w:rPr>
        <w:t>Practitioner Implications</w:t>
      </w:r>
      <w:r w:rsidRPr="00B023D1">
        <w:t>: Cross-border deal syndication requires elevated compliance management; startups face higher regulatory friction when deploying cross-border VC for international expansion.</w:t>
      </w:r>
    </w:p>
    <w:p w14:paraId="02DF387D" w14:textId="586BECE9" w:rsidR="00767FD7" w:rsidRDefault="00B023D1">
      <w:r w:rsidRPr="00B023D1">
        <w:rPr>
          <w:b/>
          <w:bCs/>
        </w:rPr>
        <w:t>Takeaway: Brexit permanently restructured European venture capital by fragmenting cross-border investment, diminishing UK hub dominance, and inducing strategic substitution between financial centers.</w:t>
      </w:r>
    </w:p>
    <w:sectPr w:rsidR="00767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0C1E"/>
    <w:multiLevelType w:val="multilevel"/>
    <w:tmpl w:val="2A6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43F0"/>
    <w:multiLevelType w:val="multilevel"/>
    <w:tmpl w:val="2AE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F3E"/>
    <w:multiLevelType w:val="multilevel"/>
    <w:tmpl w:val="F27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72C3E"/>
    <w:multiLevelType w:val="multilevel"/>
    <w:tmpl w:val="F77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85460"/>
    <w:multiLevelType w:val="multilevel"/>
    <w:tmpl w:val="48E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57185"/>
    <w:multiLevelType w:val="multilevel"/>
    <w:tmpl w:val="A4F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B7138"/>
    <w:multiLevelType w:val="multilevel"/>
    <w:tmpl w:val="81C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B2415"/>
    <w:multiLevelType w:val="multilevel"/>
    <w:tmpl w:val="C62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83E77"/>
    <w:multiLevelType w:val="multilevel"/>
    <w:tmpl w:val="212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94072">
    <w:abstractNumId w:val="0"/>
  </w:num>
  <w:num w:numId="2" w16cid:durableId="1313678561">
    <w:abstractNumId w:val="3"/>
  </w:num>
  <w:num w:numId="3" w16cid:durableId="1534684858">
    <w:abstractNumId w:val="2"/>
  </w:num>
  <w:num w:numId="4" w16cid:durableId="125008445">
    <w:abstractNumId w:val="4"/>
  </w:num>
  <w:num w:numId="5" w16cid:durableId="1465007287">
    <w:abstractNumId w:val="5"/>
  </w:num>
  <w:num w:numId="6" w16cid:durableId="375006773">
    <w:abstractNumId w:val="1"/>
  </w:num>
  <w:num w:numId="7" w16cid:durableId="826701550">
    <w:abstractNumId w:val="8"/>
  </w:num>
  <w:num w:numId="8" w16cid:durableId="1361666613">
    <w:abstractNumId w:val="6"/>
  </w:num>
  <w:num w:numId="9" w16cid:durableId="4780733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D7"/>
    <w:rsid w:val="00767FD7"/>
    <w:rsid w:val="0089238A"/>
    <w:rsid w:val="00B02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F9AA2"/>
  <w15:chartTrackingRefBased/>
  <w15:docId w15:val="{14A71309-A905-EC41-A972-3753C2F93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D7"/>
    <w:rPr>
      <w:rFonts w:eastAsiaTheme="majorEastAsia" w:cstheme="majorBidi"/>
      <w:color w:val="272727" w:themeColor="text1" w:themeTint="D8"/>
    </w:rPr>
  </w:style>
  <w:style w:type="paragraph" w:styleId="Title">
    <w:name w:val="Title"/>
    <w:basedOn w:val="Normal"/>
    <w:next w:val="Normal"/>
    <w:link w:val="TitleChar"/>
    <w:uiPriority w:val="10"/>
    <w:qFormat/>
    <w:rsid w:val="00767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D7"/>
    <w:pPr>
      <w:spacing w:before="160"/>
      <w:jc w:val="center"/>
    </w:pPr>
    <w:rPr>
      <w:i/>
      <w:iCs/>
      <w:color w:val="404040" w:themeColor="text1" w:themeTint="BF"/>
    </w:rPr>
  </w:style>
  <w:style w:type="character" w:customStyle="1" w:styleId="QuoteChar">
    <w:name w:val="Quote Char"/>
    <w:basedOn w:val="DefaultParagraphFont"/>
    <w:link w:val="Quote"/>
    <w:uiPriority w:val="29"/>
    <w:rsid w:val="00767FD7"/>
    <w:rPr>
      <w:i/>
      <w:iCs/>
      <w:color w:val="404040" w:themeColor="text1" w:themeTint="BF"/>
    </w:rPr>
  </w:style>
  <w:style w:type="paragraph" w:styleId="ListParagraph">
    <w:name w:val="List Paragraph"/>
    <w:basedOn w:val="Normal"/>
    <w:uiPriority w:val="34"/>
    <w:qFormat/>
    <w:rsid w:val="00767FD7"/>
    <w:pPr>
      <w:ind w:left="720"/>
      <w:contextualSpacing/>
    </w:pPr>
  </w:style>
  <w:style w:type="character" w:styleId="IntenseEmphasis">
    <w:name w:val="Intense Emphasis"/>
    <w:basedOn w:val="DefaultParagraphFont"/>
    <w:uiPriority w:val="21"/>
    <w:qFormat/>
    <w:rsid w:val="00767FD7"/>
    <w:rPr>
      <w:i/>
      <w:iCs/>
      <w:color w:val="0F4761" w:themeColor="accent1" w:themeShade="BF"/>
    </w:rPr>
  </w:style>
  <w:style w:type="paragraph" w:styleId="IntenseQuote">
    <w:name w:val="Intense Quote"/>
    <w:basedOn w:val="Normal"/>
    <w:next w:val="Normal"/>
    <w:link w:val="IntenseQuoteChar"/>
    <w:uiPriority w:val="30"/>
    <w:qFormat/>
    <w:rsid w:val="00767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D7"/>
    <w:rPr>
      <w:i/>
      <w:iCs/>
      <w:color w:val="0F4761" w:themeColor="accent1" w:themeShade="BF"/>
    </w:rPr>
  </w:style>
  <w:style w:type="character" w:styleId="IntenseReference">
    <w:name w:val="Intense Reference"/>
    <w:basedOn w:val="DefaultParagraphFont"/>
    <w:uiPriority w:val="32"/>
    <w:qFormat/>
    <w:rsid w:val="00767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1851</Words>
  <Characters>10557</Characters>
  <Application>Microsoft Office Word</Application>
  <DocSecurity>0</DocSecurity>
  <Lines>87</Lines>
  <Paragraphs>24</Paragraphs>
  <ScaleCrop>false</ScaleCrop>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2026-09-27T12:28:00Z</dcterms:created>
  <dcterms:modified xsi:type="dcterms:W3CDTF">2026-09-27T12:46:00Z</dcterms:modified>
</cp:coreProperties>
</file>