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D7DBC" w14:textId="77777777" w:rsidR="00D60763" w:rsidRPr="00D60763" w:rsidRDefault="00D60763" w:rsidP="00D60763">
      <w:pPr>
        <w:rPr>
          <w:b/>
          <w:bCs/>
        </w:rPr>
      </w:pPr>
      <w:r w:rsidRPr="00D60763">
        <w:rPr>
          <w:b/>
          <w:bCs/>
        </w:rPr>
        <w:t>Exam Study Report: Prior Co-Investments and Exits in European Venture Capital Syndicates</w:t>
      </w:r>
    </w:p>
    <w:p w14:paraId="05DD63C0" w14:textId="77777777" w:rsidR="00D60763" w:rsidRPr="00D60763" w:rsidRDefault="00D60763" w:rsidP="00D60763">
      <w:r w:rsidRPr="00D60763">
        <w:t xml:space="preserve">Taglialatela, J., &amp; </w:t>
      </w:r>
      <w:proofErr w:type="spellStart"/>
      <w:r w:rsidRPr="00D60763">
        <w:t>Barontini</w:t>
      </w:r>
      <w:proofErr w:type="spellEnd"/>
      <w:r w:rsidRPr="00D60763">
        <w:t>, R. (2025). Prior co-investments and exits: a study on European venture capital syndicates. </w:t>
      </w:r>
      <w:r w:rsidRPr="00D60763">
        <w:rPr>
          <w:i/>
          <w:iCs/>
        </w:rPr>
        <w:t>Venture Capital</w:t>
      </w:r>
      <w:r w:rsidRPr="00D60763">
        <w:t>, 27(3), 271–298. https://doi.org/10.1080/13691066.2023.2286000</w:t>
      </w:r>
    </w:p>
    <w:p w14:paraId="1948770C" w14:textId="77777777" w:rsidR="00D60763" w:rsidRPr="00D60763" w:rsidRDefault="00D60763" w:rsidP="00D60763">
      <w:pPr>
        <w:rPr>
          <w:b/>
          <w:bCs/>
        </w:rPr>
      </w:pPr>
      <w:r w:rsidRPr="00D60763">
        <w:rPr>
          <w:b/>
          <w:bCs/>
        </w:rPr>
        <w:t>1. Introduction</w:t>
      </w:r>
    </w:p>
    <w:p w14:paraId="0C0BC6FA" w14:textId="77777777" w:rsidR="00D60763" w:rsidRPr="00D60763" w:rsidRDefault="00D60763" w:rsidP="00D60763">
      <w:r w:rsidRPr="00D60763">
        <w:t xml:space="preserve">Venture capital (VC) investment operates under extreme market and technological uncertainty. To mitigate these risks, investors frequently form syndicates to co-invest in early-stage ventures. Evaluating cross-regional differences between US and European syndication behavior is critical for entrepreneurial finance exams. While US venture capital research emphasizes relational value creation, European VCs operate under distinct institutional drivers, prioritizing capital constraints and monetary risk-sharing </w:t>
      </w:r>
      <w:proofErr w:type="gramStart"/>
      <w:r w:rsidRPr="00D60763">
        <w:t>over active</w:t>
      </w:r>
      <w:proofErr w:type="gramEnd"/>
      <w:r w:rsidRPr="00D60763">
        <w:t xml:space="preserve"> operational guidance. Consequently, US empirical frameworks cannot be directly applied to European syndicates without rigorous regional re-examination.</w:t>
      </w:r>
    </w:p>
    <w:p w14:paraId="3ADD2077" w14:textId="77777777" w:rsidR="00D60763" w:rsidRPr="00D60763" w:rsidRDefault="00D60763" w:rsidP="00D60763">
      <w:pPr>
        <w:numPr>
          <w:ilvl w:val="0"/>
          <w:numId w:val="1"/>
        </w:numPr>
      </w:pPr>
      <w:r w:rsidRPr="00D60763">
        <w:rPr>
          <w:b/>
          <w:bCs/>
        </w:rPr>
        <w:t>Syndication</w:t>
      </w:r>
      <w:r w:rsidRPr="00D60763">
        <w:t> is defined as the practice where multiple VC firms jointly invest in a target venture, generating strategic benefits including risk reduction, superior venture selection, resource pooling, liquidity management, and enhanced deal flow.</w:t>
      </w:r>
    </w:p>
    <w:p w14:paraId="50333F2F" w14:textId="77777777" w:rsidR="00D60763" w:rsidRPr="00D60763" w:rsidRDefault="00D60763" w:rsidP="00D60763">
      <w:pPr>
        <w:numPr>
          <w:ilvl w:val="0"/>
          <w:numId w:val="1"/>
        </w:numPr>
      </w:pPr>
      <w:r w:rsidRPr="00D60763">
        <w:t>The core research objective investigates how repeated past collaborations (</w:t>
      </w:r>
      <w:r w:rsidRPr="00D60763">
        <w:rPr>
          <w:b/>
          <w:bCs/>
        </w:rPr>
        <w:t>prior ties</w:t>
      </w:r>
      <w:r w:rsidRPr="00D60763">
        <w:t>) among syndicate members affect both the probability of achieving a </w:t>
      </w:r>
      <w:r w:rsidRPr="00D60763">
        <w:rPr>
          <w:b/>
          <w:bCs/>
        </w:rPr>
        <w:t>successful exit</w:t>
      </w:r>
      <w:r w:rsidRPr="00D60763">
        <w:t> (defined as an IPO or M&amp;A) and the duration required to exit (</w:t>
      </w:r>
      <w:r w:rsidRPr="00D60763">
        <w:rPr>
          <w:b/>
          <w:bCs/>
        </w:rPr>
        <w:t>time to exit</w:t>
      </w:r>
      <w:r w:rsidRPr="00D60763">
        <w:t>).</w:t>
      </w:r>
    </w:p>
    <w:p w14:paraId="590BD2A0" w14:textId="77777777" w:rsidR="00D60763" w:rsidRPr="00D60763" w:rsidRDefault="00D60763" w:rsidP="00D60763">
      <w:pPr>
        <w:numPr>
          <w:ilvl w:val="0"/>
          <w:numId w:val="1"/>
        </w:numPr>
      </w:pPr>
      <w:r w:rsidRPr="00D60763">
        <w:t>Key empirical gaps exist because US findings demonstrate positive or inverted U-shaped relationships between prior ties and performance, whereas European VCs prioritize monetary drivers over relational value-add.</w:t>
      </w:r>
    </w:p>
    <w:p w14:paraId="359C3B30" w14:textId="77777777" w:rsidR="00D60763" w:rsidRPr="00D60763" w:rsidRDefault="00D60763" w:rsidP="00D60763">
      <w:pPr>
        <w:numPr>
          <w:ilvl w:val="0"/>
          <w:numId w:val="1"/>
        </w:numPr>
      </w:pPr>
      <w:r w:rsidRPr="00D60763">
        <w:t>The empirical dataset comprises </w:t>
      </w:r>
      <w:r w:rsidRPr="00D60763">
        <w:rPr>
          <w:b/>
          <w:bCs/>
        </w:rPr>
        <w:t>922 first-ever syndicated investment rounds</w:t>
      </w:r>
      <w:r w:rsidRPr="00D60763">
        <w:t> across European ventures between 2000 and 2009, with exit outcomes tracked through 2019.</w:t>
      </w:r>
    </w:p>
    <w:p w14:paraId="45976BF7" w14:textId="77777777" w:rsidR="00D60763" w:rsidRPr="00D60763" w:rsidRDefault="00D60763" w:rsidP="00D60763">
      <w:pPr>
        <w:numPr>
          <w:ilvl w:val="0"/>
          <w:numId w:val="1"/>
        </w:numPr>
      </w:pPr>
      <w:r w:rsidRPr="00D60763">
        <w:t>Headline empirical results reveal that overall prior ties do not drive exit likelihood in Europe, but prior successful collaborations and dyadic tie density significantly increase exit success.</w:t>
      </w:r>
    </w:p>
    <w:p w14:paraId="5D15C02A" w14:textId="77777777" w:rsidR="00D60763" w:rsidRPr="00D60763" w:rsidRDefault="00D60763" w:rsidP="00D60763">
      <w:r w:rsidRPr="00D60763">
        <w:t>These distinct empirical motivations necessitate grounding the analysis in formal interorganizational collaboration theory.</w:t>
      </w:r>
    </w:p>
    <w:p w14:paraId="2679F881" w14:textId="77777777" w:rsidR="00D60763" w:rsidRPr="00D60763" w:rsidRDefault="00D60763" w:rsidP="00D60763">
      <w:r w:rsidRPr="00D60763">
        <w:rPr>
          <w:b/>
          <w:bCs/>
        </w:rPr>
        <w:lastRenderedPageBreak/>
        <w:t>Takeaway:</w:t>
      </w:r>
      <w:r w:rsidRPr="00D60763">
        <w:t> This report evaluates how prior co-investments, historical success, and tie concentration influence exit likelihood and investment duration in European venture capital syndicates.</w:t>
      </w:r>
    </w:p>
    <w:p w14:paraId="303F4042" w14:textId="77777777" w:rsidR="00D60763" w:rsidRPr="00D60763" w:rsidRDefault="00D60763" w:rsidP="00D60763">
      <w:pPr>
        <w:rPr>
          <w:b/>
          <w:bCs/>
        </w:rPr>
      </w:pPr>
      <w:r w:rsidRPr="00D60763">
        <w:rPr>
          <w:b/>
          <w:bCs/>
        </w:rPr>
        <w:t>2. Theory and Hypotheses</w:t>
      </w:r>
    </w:p>
    <w:p w14:paraId="05910430" w14:textId="77777777" w:rsidR="00D60763" w:rsidRPr="00D60763" w:rsidRDefault="00D60763" w:rsidP="00D60763">
      <w:pPr>
        <w:rPr>
          <w:b/>
          <w:bCs/>
        </w:rPr>
      </w:pPr>
      <w:r w:rsidRPr="00D60763">
        <w:rPr>
          <w:b/>
          <w:bCs/>
        </w:rPr>
        <w:t>2.1. Syndications and Prior Co-Investments</w:t>
      </w:r>
    </w:p>
    <w:p w14:paraId="275A619B" w14:textId="77777777" w:rsidR="00D60763" w:rsidRPr="00D60763" w:rsidRDefault="00D60763" w:rsidP="00D60763">
      <w:r w:rsidRPr="00D60763">
        <w:t>Framing venture capital syndication through interorganizational alliance literature provides a robust theoretical framework for analyzing multi-firm investment dynamics. Syndication allows firms to navigate environmental uncertainty by balancing joint resource pooling against relational friction and governance costs.</w:t>
      </w:r>
    </w:p>
    <w:p w14:paraId="515F4BAD" w14:textId="77777777" w:rsidR="00D60763" w:rsidRPr="00D60763" w:rsidRDefault="00D60763" w:rsidP="00D60763">
      <w:pPr>
        <w:numPr>
          <w:ilvl w:val="0"/>
          <w:numId w:val="2"/>
        </w:numPr>
      </w:pPr>
      <w:r w:rsidRPr="00D60763">
        <w:t>The </w:t>
      </w:r>
      <w:r w:rsidRPr="00D60763">
        <w:rPr>
          <w:b/>
          <w:bCs/>
        </w:rPr>
        <w:t xml:space="preserve">Gulati, </w:t>
      </w:r>
      <w:proofErr w:type="spellStart"/>
      <w:r w:rsidRPr="00D60763">
        <w:rPr>
          <w:b/>
          <w:bCs/>
        </w:rPr>
        <w:t>Wohlgezogen</w:t>
      </w:r>
      <w:proofErr w:type="spellEnd"/>
      <w:r w:rsidRPr="00D60763">
        <w:rPr>
          <w:b/>
          <w:bCs/>
        </w:rPr>
        <w:t>, and Zhelyazkov (2012) framework</w:t>
      </w:r>
      <w:r w:rsidRPr="00D60763">
        <w:t> distinguishes between </w:t>
      </w:r>
      <w:r w:rsidRPr="00D60763">
        <w:rPr>
          <w:b/>
          <w:bCs/>
        </w:rPr>
        <w:t>cooperation</w:t>
      </w:r>
      <w:r w:rsidRPr="00D60763">
        <w:t> (aligning interests and resources) and </w:t>
      </w:r>
      <w:r w:rsidRPr="00D60763">
        <w:rPr>
          <w:b/>
          <w:bCs/>
        </w:rPr>
        <w:t>coordination</w:t>
      </w:r>
      <w:r w:rsidRPr="00D60763">
        <w:t> (executing joint operational routines and tasks).</w:t>
      </w:r>
    </w:p>
    <w:p w14:paraId="4FE719EB" w14:textId="77777777" w:rsidR="00D60763" w:rsidRPr="00D60763" w:rsidRDefault="00D60763" w:rsidP="00D60763">
      <w:pPr>
        <w:numPr>
          <w:ilvl w:val="0"/>
          <w:numId w:val="2"/>
        </w:numPr>
      </w:pPr>
      <w:r w:rsidRPr="00D60763">
        <w:rPr>
          <w:b/>
          <w:bCs/>
        </w:rPr>
        <w:t>Relational risk</w:t>
      </w:r>
      <w:r w:rsidRPr="00D60763">
        <w:t> defines the probability of opportunistic behavior or cooperation failure, whereas </w:t>
      </w:r>
      <w:r w:rsidRPr="00D60763">
        <w:rPr>
          <w:b/>
          <w:bCs/>
        </w:rPr>
        <w:t xml:space="preserve">operational </w:t>
      </w:r>
      <w:proofErr w:type="spellStart"/>
      <w:r w:rsidRPr="00D60763">
        <w:rPr>
          <w:b/>
          <w:bCs/>
        </w:rPr>
        <w:t>risk</w:t>
      </w:r>
      <w:r w:rsidRPr="00D60763">
        <w:t>represents</w:t>
      </w:r>
      <w:proofErr w:type="spellEnd"/>
      <w:r w:rsidRPr="00D60763">
        <w:t xml:space="preserve"> the danger of unexpected coordination costs, misallocated resources, or task execution failures.</w:t>
      </w:r>
    </w:p>
    <w:p w14:paraId="6FDA1FB0" w14:textId="77777777" w:rsidR="00D60763" w:rsidRPr="00D60763" w:rsidRDefault="00D60763" w:rsidP="00D60763">
      <w:pPr>
        <w:numPr>
          <w:ilvl w:val="0"/>
          <w:numId w:val="2"/>
        </w:numPr>
      </w:pPr>
      <w:r w:rsidRPr="00D60763">
        <w:t>VC firms with pre-existing co-investment relationships are classified as </w:t>
      </w:r>
      <w:r w:rsidRPr="00D60763">
        <w:rPr>
          <w:b/>
          <w:bCs/>
        </w:rPr>
        <w:t>friends</w:t>
      </w:r>
      <w:r w:rsidRPr="00D60763">
        <w:t> engaging in </w:t>
      </w:r>
      <w:r w:rsidRPr="00D60763">
        <w:rPr>
          <w:b/>
          <w:bCs/>
        </w:rPr>
        <w:t>exploitation</w:t>
      </w:r>
      <w:r w:rsidRPr="00D60763">
        <w:t>, while unconnected co-investors are </w:t>
      </w:r>
      <w:r w:rsidRPr="00D60763">
        <w:rPr>
          <w:b/>
          <w:bCs/>
        </w:rPr>
        <w:t>strangers</w:t>
      </w:r>
      <w:r w:rsidRPr="00D60763">
        <w:t> engaging in </w:t>
      </w:r>
      <w:r w:rsidRPr="00D60763">
        <w:rPr>
          <w:b/>
          <w:bCs/>
        </w:rPr>
        <w:t>exploration</w:t>
      </w:r>
      <w:r w:rsidRPr="00D60763">
        <w:t>.</w:t>
      </w:r>
    </w:p>
    <w:p w14:paraId="1DFEA28B" w14:textId="77777777" w:rsidR="00D60763" w:rsidRPr="00D60763" w:rsidRDefault="00D60763" w:rsidP="00D60763">
      <w:pPr>
        <w:numPr>
          <w:ilvl w:val="0"/>
          <w:numId w:val="2"/>
        </w:numPr>
      </w:pPr>
      <w:r w:rsidRPr="00D60763">
        <w:t>Example: Assigning venture monitoring duties to a single co-investor creates task interdependence and operational risk if communication breaks down.</w:t>
      </w:r>
    </w:p>
    <w:p w14:paraId="4CAE6EDC" w14:textId="77777777" w:rsidR="00D60763" w:rsidRPr="00D60763" w:rsidRDefault="00D60763" w:rsidP="00D60763">
      <w:pPr>
        <w:numPr>
          <w:ilvl w:val="0"/>
          <w:numId w:val="2"/>
        </w:numPr>
      </w:pPr>
      <w:r w:rsidRPr="00D60763">
        <w:t>Excessive trust among friends introduces structural drawbacks, including reliance on informal contracts, degraded monitoring thresholds, and potential errors of judgment.</w:t>
      </w:r>
    </w:p>
    <w:p w14:paraId="5ADFC8E2" w14:textId="77777777" w:rsidR="00D60763" w:rsidRPr="00D60763" w:rsidRDefault="00D60763" w:rsidP="00D60763">
      <w:r w:rsidRPr="00D60763">
        <w:t>These theoretical governance risks explain why empirical outcomes vary significantly across different institutional environments.</w:t>
      </w:r>
    </w:p>
    <w:p w14:paraId="562A7392" w14:textId="77777777" w:rsidR="00D60763" w:rsidRPr="00D60763" w:rsidRDefault="00D60763" w:rsidP="00D60763">
      <w:r w:rsidRPr="00D60763">
        <w:rPr>
          <w:b/>
          <w:bCs/>
        </w:rPr>
        <w:t>Takeaway:</w:t>
      </w:r>
      <w:r w:rsidRPr="00D60763">
        <w:t> Interorganizational alliance theory demonstrates that VC syndicate performance depends on managing relational trust to lower cooperation costs while avoiding governance laxity.</w:t>
      </w:r>
    </w:p>
    <w:p w14:paraId="35A09057" w14:textId="77777777" w:rsidR="00D60763" w:rsidRPr="00D60763" w:rsidRDefault="00D60763" w:rsidP="00D60763">
      <w:pPr>
        <w:rPr>
          <w:b/>
          <w:bCs/>
        </w:rPr>
      </w:pPr>
      <w:r w:rsidRPr="00D60763">
        <w:rPr>
          <w:b/>
          <w:bCs/>
        </w:rPr>
        <w:t>2.2. Empirical Evidence</w:t>
      </w:r>
    </w:p>
    <w:p w14:paraId="6BCE2D73" w14:textId="77777777" w:rsidR="00D60763" w:rsidRPr="00D60763" w:rsidRDefault="00D60763" w:rsidP="00D60763">
      <w:r w:rsidRPr="00D60763">
        <w:t>Venture capital research must account for structural differences between geographical markets rather than assuming US-derived empirical models apply universally.</w:t>
      </w:r>
    </w:p>
    <w:p w14:paraId="5FB2786E" w14:textId="77777777" w:rsidR="00D60763" w:rsidRPr="00D60763" w:rsidRDefault="00D60763" w:rsidP="00D60763">
      <w:pPr>
        <w:numPr>
          <w:ilvl w:val="0"/>
          <w:numId w:val="3"/>
        </w:numPr>
      </w:pPr>
      <w:r w:rsidRPr="00D60763">
        <w:lastRenderedPageBreak/>
        <w:t>US empirical findings demonstrate that prior ties reduce partner-specific risks (Hochberg et al., 2010), exhibit an inverted U-shape with exit success (</w:t>
      </w:r>
      <w:proofErr w:type="spellStart"/>
      <w:r w:rsidRPr="00D60763">
        <w:t>Bellavitis</w:t>
      </w:r>
      <w:proofErr w:type="spellEnd"/>
      <w:r w:rsidRPr="00D60763">
        <w:t xml:space="preserve"> et al., 2020), and favor M&amp;A over IPO exits (Wang et al., 2021).</w:t>
      </w:r>
    </w:p>
    <w:p w14:paraId="5CC30421" w14:textId="77777777" w:rsidR="00D60763" w:rsidRPr="00D60763" w:rsidRDefault="00D60763" w:rsidP="00D60763">
      <w:pPr>
        <w:numPr>
          <w:ilvl w:val="0"/>
          <w:numId w:val="3"/>
        </w:numPr>
      </w:pPr>
      <w:r w:rsidRPr="00D60763">
        <w:t>European VCs exhibit distinct syndication drivers focused on financial motives (risk diversification, capital restrictions, liquidity management) rather than value creation (sharing best practices, improving deal flow).</w:t>
      </w:r>
    </w:p>
    <w:p w14:paraId="40823C9B" w14:textId="77777777" w:rsidR="00D60763" w:rsidRPr="00D60763" w:rsidRDefault="00D60763" w:rsidP="00D60763">
      <w:pPr>
        <w:numPr>
          <w:ilvl w:val="0"/>
          <w:numId w:val="3"/>
        </w:numPr>
      </w:pPr>
      <w:r w:rsidRPr="00D60763">
        <w:t>European VCs display lower active involvement in portfolio companies, longer funding intervals, higher risk aversion, and stricter contractual terms compared to US counterparts.</w:t>
      </w:r>
    </w:p>
    <w:p w14:paraId="5F5BDF3F" w14:textId="77777777" w:rsidR="00D60763" w:rsidRPr="00D60763" w:rsidRDefault="00D60763" w:rsidP="00D60763">
      <w:pPr>
        <w:numPr>
          <w:ilvl w:val="0"/>
          <w:numId w:val="3"/>
        </w:numPr>
      </w:pPr>
      <w:r w:rsidRPr="00D60763">
        <w:t>The lower collaborative attitude of European VCs increases the likelihood of cooperation failures, diminishing the theoretical advantages of repeated co-investments.</w:t>
      </w:r>
    </w:p>
    <w:p w14:paraId="62906507" w14:textId="77777777" w:rsidR="00D60763" w:rsidRPr="00D60763" w:rsidRDefault="00D60763" w:rsidP="00D60763">
      <w:pPr>
        <w:numPr>
          <w:ilvl w:val="0"/>
          <w:numId w:val="3"/>
        </w:numPr>
      </w:pPr>
      <w:r w:rsidRPr="00D60763">
        <w:t>Cross-regional divergence indicates that European structural realities require region-specific empirical testing rather than assuming US findings hold globally.</w:t>
      </w:r>
    </w:p>
    <w:p w14:paraId="5880A205" w14:textId="77777777" w:rsidR="00D60763" w:rsidRPr="00D60763" w:rsidRDefault="00D60763" w:rsidP="00D60763">
      <w:r w:rsidRPr="00D60763">
        <w:t>These structural and behavioral differences necessitate constructing region-specific hypotheses for European syndicates.</w:t>
      </w:r>
    </w:p>
    <w:p w14:paraId="59D489E8" w14:textId="77777777" w:rsidR="00D60763" w:rsidRPr="00D60763" w:rsidRDefault="00D60763" w:rsidP="00D60763">
      <w:r w:rsidRPr="00D60763">
        <w:rPr>
          <w:b/>
          <w:bCs/>
        </w:rPr>
        <w:t>Takeaway:</w:t>
      </w:r>
      <w:r w:rsidRPr="00D60763">
        <w:t> Structural differences between US value-adding practices and European monetary syndication motives prevent the direct generalization of US empirical findings to Europe.</w:t>
      </w:r>
    </w:p>
    <w:p w14:paraId="49BB7F4B" w14:textId="77777777" w:rsidR="00D60763" w:rsidRPr="00D60763" w:rsidRDefault="00D60763" w:rsidP="00D60763">
      <w:pPr>
        <w:rPr>
          <w:b/>
          <w:bCs/>
        </w:rPr>
      </w:pPr>
      <w:r w:rsidRPr="00D60763">
        <w:rPr>
          <w:b/>
          <w:bCs/>
        </w:rPr>
        <w:t>2.3. Hypothesis Development</w:t>
      </w:r>
    </w:p>
    <w:p w14:paraId="390F3D4F" w14:textId="77777777" w:rsidR="00D60763" w:rsidRPr="00D60763" w:rsidRDefault="00D60763" w:rsidP="00D60763">
      <w:pPr>
        <w:rPr>
          <w:b/>
          <w:bCs/>
        </w:rPr>
      </w:pPr>
      <w:r w:rsidRPr="00D60763">
        <w:rPr>
          <w:b/>
          <w:bCs/>
        </w:rPr>
        <w:t>2.3.1. Likelihood of a Successful Exit</w:t>
      </w:r>
    </w:p>
    <w:p w14:paraId="18AFCA1B" w14:textId="77777777" w:rsidR="00D60763" w:rsidRPr="00D60763" w:rsidRDefault="00D60763" w:rsidP="00D60763">
      <w:r w:rsidRPr="00D60763">
        <w:t>Testing relational quality (past success, tie concentration) versus relational quantity (total ties) resolves the theoretical paradox between risk reduction and governance laxity in European syndicates.</w:t>
      </w:r>
    </w:p>
    <w:p w14:paraId="2AE92F73" w14:textId="77777777" w:rsidR="00D60763" w:rsidRPr="00D60763" w:rsidRDefault="00D60763" w:rsidP="00D60763">
      <w:pPr>
        <w:numPr>
          <w:ilvl w:val="0"/>
          <w:numId w:val="4"/>
        </w:numPr>
      </w:pPr>
      <w:r w:rsidRPr="00D60763">
        <w:rPr>
          <w:b/>
          <w:bCs/>
        </w:rPr>
        <w:t>Hypothesis 1a</w:t>
      </w:r>
      <w:r w:rsidRPr="00D60763">
        <w:t>: An inverted U-shaped relationship exists between the number of prior co-investments and the likelihood of a successful exit in European VC syndicates.</w:t>
      </w:r>
    </w:p>
    <w:p w14:paraId="4ECE06C0" w14:textId="77777777" w:rsidR="00D60763" w:rsidRPr="00D60763" w:rsidRDefault="00D60763" w:rsidP="00D60763">
      <w:pPr>
        <w:numPr>
          <w:ilvl w:val="0"/>
          <w:numId w:val="4"/>
        </w:numPr>
      </w:pPr>
      <w:r w:rsidRPr="00D60763">
        <w:rPr>
          <w:b/>
          <w:bCs/>
        </w:rPr>
        <w:t>Hypothesis 1b</w:t>
      </w:r>
      <w:r w:rsidRPr="00D60763">
        <w:t>: The share of successful prior ties is positively correlated with the probability of a successful exit due to superior joint management practices and aligned incentives.</w:t>
      </w:r>
    </w:p>
    <w:p w14:paraId="50E5C186" w14:textId="77777777" w:rsidR="00D60763" w:rsidRPr="00D60763" w:rsidRDefault="00D60763" w:rsidP="00D60763">
      <w:pPr>
        <w:numPr>
          <w:ilvl w:val="0"/>
          <w:numId w:val="4"/>
        </w:numPr>
      </w:pPr>
      <w:r w:rsidRPr="00D60763">
        <w:rPr>
          <w:b/>
          <w:bCs/>
        </w:rPr>
        <w:t>Tie density</w:t>
      </w:r>
      <w:r w:rsidRPr="00D60763">
        <w:t> is defined as the highest count of prior ties concentrated within a single dyad relative to total syndicate prior ties.</w:t>
      </w:r>
    </w:p>
    <w:p w14:paraId="193E205A" w14:textId="77777777" w:rsidR="00D60763" w:rsidRPr="00D60763" w:rsidRDefault="00D60763" w:rsidP="00D60763">
      <w:pPr>
        <w:numPr>
          <w:ilvl w:val="0"/>
          <w:numId w:val="4"/>
        </w:numPr>
      </w:pPr>
      <w:r w:rsidRPr="00D60763">
        <w:rPr>
          <w:b/>
          <w:bCs/>
        </w:rPr>
        <w:lastRenderedPageBreak/>
        <w:t>Hypothesis 1c</w:t>
      </w:r>
      <w:r w:rsidRPr="00D60763">
        <w:t>: A higher level of concentration of prior ties within the same dyad is more likely to result in a successful exit by suppressing opportunistic behavior and internal syndicate friction.</w:t>
      </w:r>
    </w:p>
    <w:p w14:paraId="7F6BDB08" w14:textId="77777777" w:rsidR="00D60763" w:rsidRPr="00D60763" w:rsidRDefault="00D60763" w:rsidP="00D60763">
      <w:pPr>
        <w:numPr>
          <w:ilvl w:val="0"/>
          <w:numId w:val="4"/>
        </w:numPr>
      </w:pPr>
      <w:r w:rsidRPr="00D60763">
        <w:t>Concentrated dyadic cores stabilize multiparty syndicates, reducing governance friction while maintaining resource alignment among non-embedded members.</w:t>
      </w:r>
    </w:p>
    <w:p w14:paraId="67BEC6E7" w14:textId="77777777" w:rsidR="00D60763" w:rsidRPr="00D60763" w:rsidRDefault="00D60763" w:rsidP="00D60763">
      <w:r w:rsidRPr="00D60763">
        <w:t>Evaluating relational governance constructs requires extending analysis from binary success to the temporal duration of investments.</w:t>
      </w:r>
    </w:p>
    <w:p w14:paraId="1CE175A5" w14:textId="77777777" w:rsidR="00D60763" w:rsidRPr="00D60763" w:rsidRDefault="00D60763" w:rsidP="00D60763">
      <w:r w:rsidRPr="00D60763">
        <w:rPr>
          <w:b/>
          <w:bCs/>
        </w:rPr>
        <w:t>Takeaway:</w:t>
      </w:r>
      <w:r w:rsidRPr="00D60763">
        <w:t> Exit likelihood hypotheses posit that overall ties exhibit diminishing returns, whereas past joint success and dyadic tie concentration consistently improve outcomes.</w:t>
      </w:r>
    </w:p>
    <w:p w14:paraId="106AF9BC" w14:textId="77777777" w:rsidR="00D60763" w:rsidRPr="00D60763" w:rsidRDefault="00D60763" w:rsidP="00D60763">
      <w:pPr>
        <w:rPr>
          <w:b/>
          <w:bCs/>
        </w:rPr>
      </w:pPr>
      <w:r w:rsidRPr="00D60763">
        <w:rPr>
          <w:b/>
          <w:bCs/>
        </w:rPr>
        <w:t>2.3.2. Time to Exit</w:t>
      </w:r>
    </w:p>
    <w:p w14:paraId="72FB5D03" w14:textId="77777777" w:rsidR="00D60763" w:rsidRPr="00D60763" w:rsidRDefault="00D60763" w:rsidP="00D60763">
      <w:r w:rsidRPr="00D60763">
        <w:t>Investment duration represents a vital performance metric in entrepreneurial finance, directly dictating fund internal rates of return (IRR) and manager reputation.</w:t>
      </w:r>
    </w:p>
    <w:p w14:paraId="302C3361" w14:textId="77777777" w:rsidR="00D60763" w:rsidRPr="00D60763" w:rsidRDefault="00D60763" w:rsidP="00D60763">
      <w:pPr>
        <w:numPr>
          <w:ilvl w:val="0"/>
          <w:numId w:val="5"/>
        </w:numPr>
      </w:pPr>
      <w:r w:rsidRPr="00D60763">
        <w:t>Time to exit measures the days elapsed from initial investment to a successful liquidity event, where faster exits maximize capital efficiency and fund returns.</w:t>
      </w:r>
    </w:p>
    <w:p w14:paraId="2ABBCA4F" w14:textId="77777777" w:rsidR="00D60763" w:rsidRPr="00D60763" w:rsidRDefault="00D60763" w:rsidP="00D60763">
      <w:pPr>
        <w:numPr>
          <w:ilvl w:val="0"/>
          <w:numId w:val="5"/>
        </w:numPr>
      </w:pPr>
      <w:r w:rsidRPr="00D60763">
        <w:t>Dual mechanisms govern duration: moderate trust reduces coordination costs and speeds decision-making, whereas excessive trust induces lax monitoring and over-commitment to risky strategies.</w:t>
      </w:r>
    </w:p>
    <w:p w14:paraId="014D09C7" w14:textId="77777777" w:rsidR="00D60763" w:rsidRPr="00D60763" w:rsidRDefault="00D60763" w:rsidP="00D60763">
      <w:pPr>
        <w:numPr>
          <w:ilvl w:val="0"/>
          <w:numId w:val="5"/>
        </w:numPr>
      </w:pPr>
      <w:r w:rsidRPr="00D60763">
        <w:rPr>
          <w:b/>
          <w:bCs/>
        </w:rPr>
        <w:t>Hypothesis 2</w:t>
      </w:r>
      <w:r w:rsidRPr="00D60763">
        <w:t>: In a venture capital syndicate, the number of prior co-investments among members has a U-shaped relationship to the time to exit.</w:t>
      </w:r>
    </w:p>
    <w:p w14:paraId="037CB8F1" w14:textId="77777777" w:rsidR="00D60763" w:rsidRPr="00D60763" w:rsidRDefault="00D60763" w:rsidP="00D60763">
      <w:pPr>
        <w:numPr>
          <w:ilvl w:val="0"/>
          <w:numId w:val="5"/>
        </w:numPr>
      </w:pPr>
      <w:r w:rsidRPr="00D60763">
        <w:t>Initial partner familiarity lowers governance friction, establishing routines that accelerate liquidity realization.</w:t>
      </w:r>
    </w:p>
    <w:p w14:paraId="62CF9804" w14:textId="77777777" w:rsidR="00D60763" w:rsidRPr="00D60763" w:rsidRDefault="00D60763" w:rsidP="00D60763">
      <w:pPr>
        <w:numPr>
          <w:ilvl w:val="0"/>
          <w:numId w:val="5"/>
        </w:numPr>
      </w:pPr>
      <w:r w:rsidRPr="00D60763">
        <w:t>Excessive familiarity past an optimal threshold fosters informal arrangements and degraded oversight, extending holding periods.</w:t>
      </w:r>
    </w:p>
    <w:p w14:paraId="5107CC13" w14:textId="77777777" w:rsidR="00D60763" w:rsidRPr="00D60763" w:rsidRDefault="00D60763" w:rsidP="00D60763">
      <w:r w:rsidRPr="00D60763">
        <w:t>Testing these temporal duration dynamics requires rigorous dataset filtering and operational construct design to eliminate follow-on distortions.</w:t>
      </w:r>
    </w:p>
    <w:p w14:paraId="332CC560" w14:textId="77777777" w:rsidR="00D60763" w:rsidRPr="00D60763" w:rsidRDefault="00D60763" w:rsidP="00D60763">
      <w:r w:rsidRPr="00D60763">
        <w:rPr>
          <w:b/>
          <w:bCs/>
        </w:rPr>
        <w:t>Takeaway:</w:t>
      </w:r>
      <w:r w:rsidRPr="00D60763">
        <w:t> The time-to-exit model hypothesizes that prior familiarity initially accelerates liquidity events before excessive trust extends holding periods.</w:t>
      </w:r>
    </w:p>
    <w:p w14:paraId="579CD0DC" w14:textId="77777777" w:rsidR="00D60763" w:rsidRPr="00D60763" w:rsidRDefault="00D60763" w:rsidP="00D60763">
      <w:pPr>
        <w:rPr>
          <w:b/>
          <w:bCs/>
        </w:rPr>
      </w:pPr>
      <w:r w:rsidRPr="00D60763">
        <w:rPr>
          <w:b/>
          <w:bCs/>
        </w:rPr>
        <w:t>3. Data and Methodology</w:t>
      </w:r>
    </w:p>
    <w:p w14:paraId="360571B9" w14:textId="77777777" w:rsidR="00D60763" w:rsidRPr="00D60763" w:rsidRDefault="00D60763" w:rsidP="00D60763">
      <w:pPr>
        <w:rPr>
          <w:b/>
          <w:bCs/>
        </w:rPr>
      </w:pPr>
      <w:r w:rsidRPr="00D60763">
        <w:rPr>
          <w:b/>
          <w:bCs/>
        </w:rPr>
        <w:t>3.1. The Data Source and the Collection Process</w:t>
      </w:r>
    </w:p>
    <w:p w14:paraId="09E88BF8" w14:textId="77777777" w:rsidR="00D60763" w:rsidRPr="00D60763" w:rsidRDefault="00D60763" w:rsidP="00D60763">
      <w:r w:rsidRPr="00D60763">
        <w:t xml:space="preserve">Isolating genuine relational mechanisms from market noise requires strict data filtering standards to eliminate non-syndicated structures and post-investment performance </w:t>
      </w:r>
      <w:r w:rsidRPr="00D60763">
        <w:lastRenderedPageBreak/>
        <w:t>distortions. Focusing exclusively on first-round investments eliminates follow-on window dressing where VCs co-invest in high-performing ventures solely for portfolio signaling.</w:t>
      </w:r>
    </w:p>
    <w:p w14:paraId="394E60B1" w14:textId="77777777" w:rsidR="00D60763" w:rsidRPr="00D60763" w:rsidRDefault="00D60763" w:rsidP="00D60763">
      <w:pPr>
        <w:numPr>
          <w:ilvl w:val="0"/>
          <w:numId w:val="6"/>
        </w:numPr>
      </w:pPr>
      <w:r w:rsidRPr="00D60763">
        <w:t>Investment deal data was extracted from Refinitiv Eikon (</w:t>
      </w:r>
      <w:proofErr w:type="spellStart"/>
      <w:r w:rsidRPr="00D60763">
        <w:t>VentureXpert</w:t>
      </w:r>
      <w:proofErr w:type="spellEnd"/>
      <w:r w:rsidRPr="00D60763">
        <w:t>) covering European ventures and investors from January 1, 1995, to December 31, 2009, with exit tracking through December 31, 2019 (10-year horizon).</w:t>
      </w:r>
    </w:p>
    <w:p w14:paraId="0EE0379A" w14:textId="77777777" w:rsidR="00D60763" w:rsidRPr="00D60763" w:rsidRDefault="00D60763" w:rsidP="00D60763">
      <w:pPr>
        <w:numPr>
          <w:ilvl w:val="0"/>
          <w:numId w:val="6"/>
        </w:numPr>
      </w:pPr>
      <w:r w:rsidRPr="00D60763">
        <w:t>Initial screening of 16,121 investment rounds yielded 2,583 true multi-firm syndicates, which was filtered down to 922 first-ever syndicated rounds to eliminate </w:t>
      </w:r>
      <w:r w:rsidRPr="00D60763">
        <w:rPr>
          <w:b/>
          <w:bCs/>
        </w:rPr>
        <w:t>window dressing</w:t>
      </w:r>
      <w:r w:rsidRPr="00D60763">
        <w:t> bias.</w:t>
      </w:r>
    </w:p>
    <w:p w14:paraId="4AC1C57E" w14:textId="77777777" w:rsidR="00D60763" w:rsidRPr="00D60763" w:rsidRDefault="00D60763" w:rsidP="00D60763">
      <w:pPr>
        <w:numPr>
          <w:ilvl w:val="0"/>
          <w:numId w:val="6"/>
        </w:numPr>
      </w:pPr>
      <w:r w:rsidRPr="00D60763">
        <w:t>Prior co-investments were tracked across a 5-year lookback window preceding each transaction to eliminate inactive "false friends."</w:t>
      </w:r>
    </w:p>
    <w:p w14:paraId="06C2559C" w14:textId="77777777" w:rsidR="00D60763" w:rsidRPr="00D60763" w:rsidRDefault="00D60763" w:rsidP="00D60763">
      <w:pPr>
        <w:numPr>
          <w:ilvl w:val="0"/>
          <w:numId w:val="6"/>
        </w:numPr>
      </w:pPr>
      <w:r w:rsidRPr="00D60763">
        <w:t>Target firm exit outcomes (M&amp;As and IPOs) were verified by linking Eikon deal records with Bureau Van Dijk’s Zephyr database.</w:t>
      </w:r>
    </w:p>
    <w:p w14:paraId="685AE530" w14:textId="77777777" w:rsidR="00D60763" w:rsidRPr="00D60763" w:rsidRDefault="00D60763" w:rsidP="00D60763">
      <w:pPr>
        <w:numPr>
          <w:ilvl w:val="0"/>
          <w:numId w:val="6"/>
        </w:numPr>
      </w:pPr>
      <w:r w:rsidRPr="00D60763">
        <w:t>The final sample comprises 922 first-ever syndicated investment rounds involving independent European VC firms.</w:t>
      </w:r>
    </w:p>
    <w:p w14:paraId="02174007" w14:textId="77777777" w:rsidR="00D60763" w:rsidRPr="00D60763" w:rsidRDefault="00D60763" w:rsidP="00D60763">
      <w:r w:rsidRPr="00D60763">
        <w:t>These sampling standards established the baseline constructs required for quantitative variable operationalization.</w:t>
      </w:r>
    </w:p>
    <w:p w14:paraId="50FFFAFF" w14:textId="77777777" w:rsidR="00D60763" w:rsidRPr="00D60763" w:rsidRDefault="00D60763" w:rsidP="00D60763">
      <w:r w:rsidRPr="00D60763">
        <w:rPr>
          <w:b/>
          <w:bCs/>
        </w:rPr>
        <w:t>Takeaway:</w:t>
      </w:r>
      <w:r w:rsidRPr="00D60763">
        <w:t> Analyzing 922 first-ever syndicated European investment rounds eliminates follow-on window dressing and ensures accurate measuring of pre-existing co-investment ties.</w:t>
      </w:r>
    </w:p>
    <w:p w14:paraId="074CFA29" w14:textId="77777777" w:rsidR="00D60763" w:rsidRPr="00D60763" w:rsidRDefault="00D60763" w:rsidP="00D60763">
      <w:pPr>
        <w:rPr>
          <w:b/>
          <w:bCs/>
        </w:rPr>
      </w:pPr>
      <w:r w:rsidRPr="00D60763">
        <w:rPr>
          <w:b/>
          <w:bCs/>
        </w:rPr>
        <w:t>3.2. Methodology and Variables</w:t>
      </w:r>
    </w:p>
    <w:p w14:paraId="2F25A221" w14:textId="77777777" w:rsidR="00D60763" w:rsidRPr="00D60763" w:rsidRDefault="00D60763" w:rsidP="00D60763">
      <w:r w:rsidRPr="00D60763">
        <w:t>Quantitative construct operationalization isolates syndicate-level relational dynamics while controlling for firm-level and macroeconomic noise.</w:t>
      </w:r>
    </w:p>
    <w:p w14:paraId="51C99E69" w14:textId="77777777" w:rsidR="00D60763" w:rsidRPr="00D60763" w:rsidRDefault="00D60763" w:rsidP="00D60763">
      <w:pPr>
        <w:numPr>
          <w:ilvl w:val="0"/>
          <w:numId w:val="7"/>
        </w:numPr>
      </w:pPr>
      <w:r w:rsidRPr="00D60763">
        <w:rPr>
          <w:b/>
          <w:bCs/>
        </w:rPr>
        <w:t>Dependent Variables</w:t>
      </w:r>
      <w:r w:rsidRPr="00D60763">
        <w:t>: Exit (binary dummy: 1 = IPO/M&amp;A, 0 = active/defunct); Days to exit (count of days elapsed from initial investment to exit).</w:t>
      </w:r>
    </w:p>
    <w:p w14:paraId="3ECEF47E" w14:textId="77777777" w:rsidR="00D60763" w:rsidRPr="00D60763" w:rsidRDefault="00D60763" w:rsidP="00D60763">
      <w:pPr>
        <w:numPr>
          <w:ilvl w:val="0"/>
          <w:numId w:val="7"/>
        </w:numPr>
      </w:pPr>
      <w:r w:rsidRPr="00D60763">
        <w:rPr>
          <w:b/>
          <w:bCs/>
        </w:rPr>
        <w:t>Independent Variables</w:t>
      </w:r>
      <w:r w:rsidRPr="00D60763">
        <w:t>: Co-investments (sum of all prior co-investments among syndicate members in preceding 5 years divided by syndicate size n, plus quadratic term Co-investments²); Successful ties (prior successful co-investments divided by total prior ties); Tie density (highest tie count in a single dyad divided by total prior ties).</w:t>
      </w:r>
    </w:p>
    <w:p w14:paraId="24865127" w14:textId="77777777" w:rsidR="00D60763" w:rsidRPr="00D60763" w:rsidRDefault="00D60763" w:rsidP="00D60763">
      <w:pPr>
        <w:numPr>
          <w:ilvl w:val="0"/>
          <w:numId w:val="7"/>
        </w:numPr>
      </w:pPr>
      <w:r w:rsidRPr="00D60763">
        <w:rPr>
          <w:b/>
          <w:bCs/>
        </w:rPr>
        <w:t>Control Variables</w:t>
      </w:r>
      <w:r w:rsidRPr="00D60763">
        <w:t xml:space="preserve">: Syndicate experience (prior exits count), Potential dyads (n(n-1)/2, controlling for syndicate size), Company age, Company distance (car travel </w:t>
      </w:r>
      <w:r w:rsidRPr="00D60763">
        <w:lastRenderedPageBreak/>
        <w:t xml:space="preserve">distance via </w:t>
      </w:r>
      <w:proofErr w:type="spellStart"/>
      <w:r w:rsidRPr="00D60763">
        <w:t>GeoRoute</w:t>
      </w:r>
      <w:proofErr w:type="spellEnd"/>
      <w:r w:rsidRPr="00D60763">
        <w:t>), Av. fund vintage year, Market hotness (annual national exit volume), and Follow-on investment (dummy).</w:t>
      </w:r>
    </w:p>
    <w:p w14:paraId="4FE414AB" w14:textId="77777777" w:rsidR="00D60763" w:rsidRPr="00D60763" w:rsidRDefault="00D60763" w:rsidP="00D60763">
      <w:pPr>
        <w:numPr>
          <w:ilvl w:val="0"/>
          <w:numId w:val="7"/>
        </w:numPr>
      </w:pPr>
      <w:r w:rsidRPr="00D60763">
        <w:t>Sample statistics reveal a 39% exit rate (362 exits: 79% M&amp;A, 21% IPO), an average exit duration of 2,085 days (~5.7 years), and that 70.49% of deals involved friends.</w:t>
      </w:r>
    </w:p>
    <w:p w14:paraId="7BF9B33E" w14:textId="77777777" w:rsidR="00D60763" w:rsidRPr="00D60763" w:rsidRDefault="00D60763" w:rsidP="00D60763">
      <w:pPr>
        <w:numPr>
          <w:ilvl w:val="0"/>
          <w:numId w:val="7"/>
        </w:numPr>
      </w:pPr>
      <w:r w:rsidRPr="00D60763">
        <w:t>Among syndicates with prior ties, successful ties average 45% of prior ties and tie density averages 43% within the dominant dyad.</w:t>
      </w:r>
    </w:p>
    <w:p w14:paraId="355E4A89" w14:textId="77777777" w:rsidR="00D60763" w:rsidRPr="00D60763" w:rsidRDefault="00D60763" w:rsidP="00D60763">
      <w:r w:rsidRPr="00D60763">
        <w:t>These variables provided the empirical foundation for logit and count data regression specifications.</w:t>
      </w:r>
    </w:p>
    <w:p w14:paraId="7D5E2ABB" w14:textId="77777777" w:rsidR="00D60763" w:rsidRPr="00D60763" w:rsidRDefault="00D60763" w:rsidP="00D60763">
      <w:r w:rsidRPr="00D60763">
        <w:rPr>
          <w:b/>
          <w:bCs/>
        </w:rPr>
        <w:t>Takeaway:</w:t>
      </w:r>
      <w:r w:rsidRPr="00D60763">
        <w:t> The dataset operationalizes key relational constructs alongside geographical, vintage, and syndicate controls to test exit probabilities and holding durations.</w:t>
      </w:r>
    </w:p>
    <w:p w14:paraId="209A3448" w14:textId="77777777" w:rsidR="00D60763" w:rsidRPr="00D60763" w:rsidRDefault="00D60763" w:rsidP="00D60763">
      <w:pPr>
        <w:rPr>
          <w:b/>
          <w:bCs/>
        </w:rPr>
      </w:pPr>
      <w:r w:rsidRPr="00D60763">
        <w:rPr>
          <w:b/>
          <w:bCs/>
        </w:rPr>
        <w:t>4. Econometric Results</w:t>
      </w:r>
    </w:p>
    <w:p w14:paraId="56D47AA8" w14:textId="77777777" w:rsidR="00D60763" w:rsidRPr="00D60763" w:rsidRDefault="00D60763" w:rsidP="00D60763">
      <w:pPr>
        <w:rPr>
          <w:b/>
          <w:bCs/>
        </w:rPr>
      </w:pPr>
      <w:r w:rsidRPr="00D60763">
        <w:rPr>
          <w:b/>
          <w:bCs/>
        </w:rPr>
        <w:t>4.1. The Likelihood of a Successful Exit</w:t>
      </w:r>
    </w:p>
    <w:p w14:paraId="30726A54" w14:textId="77777777" w:rsidR="00D60763" w:rsidRPr="00D60763" w:rsidRDefault="00D60763" w:rsidP="00D60763">
      <w:r w:rsidRPr="00D60763">
        <w:t xml:space="preserve">Estimating logit regressions reveals a fundamental divergence between European empirical patterns and US findings (such as </w:t>
      </w:r>
      <w:proofErr w:type="spellStart"/>
      <w:r w:rsidRPr="00D60763">
        <w:t>Bellavitis</w:t>
      </w:r>
      <w:proofErr w:type="spellEnd"/>
      <w:r w:rsidRPr="00D60763">
        <w:t xml:space="preserve"> et al., 2020), demonstrating that general prior ties do not drive exit probabilities in European VCs.</w:t>
      </w:r>
    </w:p>
    <w:p w14:paraId="3065F68D" w14:textId="77777777" w:rsidR="00D60763" w:rsidRPr="00D60763" w:rsidRDefault="00D60763" w:rsidP="00D60763">
      <w:pPr>
        <w:numPr>
          <w:ilvl w:val="0"/>
          <w:numId w:val="8"/>
        </w:numPr>
      </w:pPr>
      <w:r w:rsidRPr="00D60763">
        <w:t>Logit models testing Hypothesis 1a yield statistically insignificant coefficients for Co-investments and Co-investments², rejecting Hypothesis 1a.</w:t>
      </w:r>
    </w:p>
    <w:p w14:paraId="52B0577D" w14:textId="77777777" w:rsidR="00D60763" w:rsidRPr="00D60763" w:rsidRDefault="00D60763" w:rsidP="00D60763">
      <w:pPr>
        <w:numPr>
          <w:ilvl w:val="0"/>
          <w:numId w:val="8"/>
        </w:numPr>
      </w:pPr>
      <w:r w:rsidRPr="00D60763">
        <w:t>Logit models testing Hypothesis 1b confirm a positive, statistically significant coefficient for Successful ties (p &lt; 0.05), supporting Hypothesis 1b.</w:t>
      </w:r>
    </w:p>
    <w:p w14:paraId="52192F33" w14:textId="77777777" w:rsidR="00D60763" w:rsidRPr="00D60763" w:rsidRDefault="00D60763" w:rsidP="00D60763">
      <w:pPr>
        <w:numPr>
          <w:ilvl w:val="0"/>
          <w:numId w:val="8"/>
        </w:numPr>
      </w:pPr>
      <w:r w:rsidRPr="00D60763">
        <w:t>Logit models testing Hypothesis 1c demonstrate a positive, statistically significant coefficient for Tie density (p &lt; 0.05), supporting Hypothesis 1c (reflecting a "winning team never changes" dynamic).</w:t>
      </w:r>
    </w:p>
    <w:p w14:paraId="2B349ABC" w14:textId="77777777" w:rsidR="00D60763" w:rsidRPr="00D60763" w:rsidRDefault="00D60763" w:rsidP="00D60763">
      <w:pPr>
        <w:numPr>
          <w:ilvl w:val="0"/>
          <w:numId w:val="8"/>
        </w:numPr>
      </w:pPr>
      <w:r w:rsidRPr="00D60763">
        <w:t>Example: A syndicate containing a dyad with high prior tie concentration exhibits a significantly higher exit probability than a syndicate with dispersed ties.</w:t>
      </w:r>
    </w:p>
    <w:p w14:paraId="1C20E4A8" w14:textId="77777777" w:rsidR="00D60763" w:rsidRPr="00D60763" w:rsidRDefault="00D60763" w:rsidP="00D60763">
      <w:pPr>
        <w:numPr>
          <w:ilvl w:val="0"/>
          <w:numId w:val="8"/>
        </w:numPr>
      </w:pPr>
      <w:r w:rsidRPr="00D60763">
        <w:t>Control variables show that syndicate size (Potential dyads) and Follow-on investment significantly increase exit probability (p &lt; 0.01).</w:t>
      </w:r>
    </w:p>
    <w:p w14:paraId="34F0CA03" w14:textId="77777777" w:rsidR="00D60763" w:rsidRPr="00D60763" w:rsidRDefault="00D60763" w:rsidP="00D60763">
      <w:r w:rsidRPr="00D60763">
        <w:t>These binary probability results lead directly to modeling the temporal duration of successful investments.</w:t>
      </w:r>
    </w:p>
    <w:p w14:paraId="1482ABC9" w14:textId="77777777" w:rsidR="00D60763" w:rsidRPr="00D60763" w:rsidRDefault="00D60763" w:rsidP="00D60763">
      <w:r w:rsidRPr="00D60763">
        <w:rPr>
          <w:b/>
          <w:bCs/>
        </w:rPr>
        <w:t>Takeaway:</w:t>
      </w:r>
      <w:r w:rsidRPr="00D60763">
        <w:t xml:space="preserve"> European exit likelihood is uninfluenced by general prior </w:t>
      </w:r>
      <w:proofErr w:type="gramStart"/>
      <w:r w:rsidRPr="00D60763">
        <w:t>ties, but</w:t>
      </w:r>
      <w:proofErr w:type="gramEnd"/>
      <w:r w:rsidRPr="00D60763">
        <w:t xml:space="preserve"> is significantly enhanced by prior successful collaborations and concentrated dyadic tie density.</w:t>
      </w:r>
    </w:p>
    <w:p w14:paraId="7404F790" w14:textId="77777777" w:rsidR="00D60763" w:rsidRPr="00D60763" w:rsidRDefault="00D60763" w:rsidP="00D60763">
      <w:pPr>
        <w:rPr>
          <w:b/>
          <w:bCs/>
        </w:rPr>
      </w:pPr>
      <w:r w:rsidRPr="00D60763">
        <w:rPr>
          <w:b/>
          <w:bCs/>
        </w:rPr>
        <w:t>4.2. Time to Exit</w:t>
      </w:r>
    </w:p>
    <w:p w14:paraId="7D9A3C54" w14:textId="77777777" w:rsidR="00D60763" w:rsidRPr="00D60763" w:rsidRDefault="00D60763" w:rsidP="00D60763">
      <w:r w:rsidRPr="00D60763">
        <w:lastRenderedPageBreak/>
        <w:t>Negative binomial regressions were deployed to model investment duration, capturing the non-linear inflection point where relational trust transitions from an operational asset to a monitoring liability.</w:t>
      </w:r>
    </w:p>
    <w:p w14:paraId="21096DCF" w14:textId="77777777" w:rsidR="00D60763" w:rsidRPr="00D60763" w:rsidRDefault="00D60763" w:rsidP="00D60763">
      <w:pPr>
        <w:numPr>
          <w:ilvl w:val="0"/>
          <w:numId w:val="9"/>
        </w:numPr>
      </w:pPr>
      <w:r w:rsidRPr="00D60763">
        <w:t>Negative binomial models testing Hypothesis 2 yield a significant negative linear term (t = -2.84) and positive quadratic term (t = 4.11), confirming a U-shaped relationship and supporting Hypothesis 2.</w:t>
      </w:r>
    </w:p>
    <w:p w14:paraId="01C66B74" w14:textId="77777777" w:rsidR="00D60763" w:rsidRPr="00D60763" w:rsidRDefault="00D60763" w:rsidP="00D60763">
      <w:pPr>
        <w:numPr>
          <w:ilvl w:val="0"/>
          <w:numId w:val="9"/>
        </w:numPr>
      </w:pPr>
      <w:r w:rsidRPr="00D60763">
        <w:t>The optimal duration-reduction inflection point occurs at exactly 4.6 average prior co-investments per syndicate member.</w:t>
      </w:r>
    </w:p>
    <w:p w14:paraId="3414FF08" w14:textId="77777777" w:rsidR="00D60763" w:rsidRPr="00D60763" w:rsidRDefault="00D60763" w:rsidP="00D60763">
      <w:pPr>
        <w:numPr>
          <w:ilvl w:val="0"/>
          <w:numId w:val="9"/>
        </w:numPr>
      </w:pPr>
      <w:r w:rsidRPr="00D60763">
        <w:t>Marginal effects show exit duration decreases from 2,211 days (6.05 years) at 1 prior tie down to 1,729 days (4.73 years) at 4.6 ties, before rising back to 2,237 days (6.12 years) at 9 ties.</w:t>
      </w:r>
    </w:p>
    <w:p w14:paraId="2488B119" w14:textId="77777777" w:rsidR="00D60763" w:rsidRPr="00D60763" w:rsidRDefault="00D60763" w:rsidP="00D60763">
      <w:pPr>
        <w:numPr>
          <w:ilvl w:val="0"/>
          <w:numId w:val="9"/>
        </w:numPr>
      </w:pPr>
      <w:r w:rsidRPr="00D60763">
        <w:t>Exceeding the 4.6 tie threshold increases holding periods by over 1.3 years (from 4.73 years to 6.12 years at 9 ties) due to lax monitoring and informal contracting.</w:t>
      </w:r>
    </w:p>
    <w:p w14:paraId="2AFED8BC" w14:textId="77777777" w:rsidR="00D60763" w:rsidRPr="00D60763" w:rsidRDefault="00D60763" w:rsidP="00D60763">
      <w:pPr>
        <w:numPr>
          <w:ilvl w:val="0"/>
          <w:numId w:val="9"/>
        </w:numPr>
      </w:pPr>
      <w:r w:rsidRPr="00D60763">
        <w:t>Control impacts indicate larger syndicates (Potential dyads) reduce time to exit via expanded buyer networks, whereas Follow-on investment extends holding duration.</w:t>
      </w:r>
    </w:p>
    <w:p w14:paraId="0DCD772C" w14:textId="77777777" w:rsidR="00D60763" w:rsidRPr="00D60763" w:rsidRDefault="00D60763" w:rsidP="00D60763">
      <w:r w:rsidRPr="00D60763">
        <w:t>Econometric robustness checks were executed to validate these functional specifications and rule out selection bias.</w:t>
      </w:r>
    </w:p>
    <w:p w14:paraId="1E61826B" w14:textId="77777777" w:rsidR="00D60763" w:rsidRPr="00D60763" w:rsidRDefault="00D60763" w:rsidP="00D60763">
      <w:r w:rsidRPr="00D60763">
        <w:rPr>
          <w:b/>
          <w:bCs/>
        </w:rPr>
        <w:t>Takeaway:</w:t>
      </w:r>
      <w:r w:rsidRPr="00D60763">
        <w:t> Empirical evidence validates a U-shaped duration curve, where prior co-investments minimize exit time at 4.6 ties per member before over-trust increases holding periods.</w:t>
      </w:r>
    </w:p>
    <w:p w14:paraId="1DD4F586" w14:textId="77777777" w:rsidR="00D60763" w:rsidRPr="00D60763" w:rsidRDefault="00D60763" w:rsidP="00D60763">
      <w:pPr>
        <w:rPr>
          <w:b/>
          <w:bCs/>
        </w:rPr>
      </w:pPr>
      <w:r w:rsidRPr="00D60763">
        <w:rPr>
          <w:b/>
          <w:bCs/>
        </w:rPr>
        <w:t>4.3. Robustness Tests and Endogeneity</w:t>
      </w:r>
    </w:p>
    <w:p w14:paraId="0DDBE76E" w14:textId="77777777" w:rsidR="00D60763" w:rsidRPr="00D60763" w:rsidRDefault="00D60763" w:rsidP="00D60763">
      <w:r w:rsidRPr="00D60763">
        <w:t>Validating functional specifications required extensive statistical cross-checks to address non-random syndicate formation and potential selection bias.</w:t>
      </w:r>
    </w:p>
    <w:p w14:paraId="484A20F5" w14:textId="77777777" w:rsidR="00D60763" w:rsidRPr="00D60763" w:rsidRDefault="00D60763" w:rsidP="00D60763">
      <w:pPr>
        <w:numPr>
          <w:ilvl w:val="0"/>
          <w:numId w:val="10"/>
        </w:numPr>
      </w:pPr>
      <w:r w:rsidRPr="00D60763">
        <w:t>The </w:t>
      </w:r>
      <w:r w:rsidRPr="00D60763">
        <w:rPr>
          <w:b/>
          <w:bCs/>
        </w:rPr>
        <w:t>Lind &amp; Mehlum (2010) test</w:t>
      </w:r>
      <w:r w:rsidRPr="00D60763">
        <w:t> formally confirmed U-shape statistical significance (t = 3.09, p &lt; 0.01) for duration; cubic and logarithmic forms were tested and rejected.</w:t>
      </w:r>
    </w:p>
    <w:p w14:paraId="5EDF211B" w14:textId="77777777" w:rsidR="00D60763" w:rsidRPr="00D60763" w:rsidRDefault="00D60763" w:rsidP="00D60763">
      <w:pPr>
        <w:numPr>
          <w:ilvl w:val="0"/>
          <w:numId w:val="10"/>
        </w:numPr>
      </w:pPr>
      <w:r w:rsidRPr="00D60763">
        <w:t>A </w:t>
      </w:r>
      <w:r w:rsidRPr="00D60763">
        <w:rPr>
          <w:b/>
          <w:bCs/>
        </w:rPr>
        <w:t>Heckman selection model</w:t>
      </w:r>
      <w:r w:rsidRPr="00D60763">
        <w:t> addressed sample selection bias by constructing a simulated dataset matching syndicates to 5 unselected candidate ventures (N = 4,108 venture-syndicate baseline pairs).</w:t>
      </w:r>
    </w:p>
    <w:p w14:paraId="3105FB4D" w14:textId="77777777" w:rsidR="00D60763" w:rsidRPr="00D60763" w:rsidRDefault="00D60763" w:rsidP="00D60763">
      <w:pPr>
        <w:numPr>
          <w:ilvl w:val="0"/>
          <w:numId w:val="10"/>
        </w:numPr>
      </w:pPr>
      <w:r w:rsidRPr="00D60763">
        <w:t>The first-stage probit equation utilized Company distance as an exclusion restriction; Co-investments was statistically insignificant in driving venture selection.</w:t>
      </w:r>
    </w:p>
    <w:p w14:paraId="4D86816E" w14:textId="77777777" w:rsidR="00D60763" w:rsidRPr="00D60763" w:rsidRDefault="00D60763" w:rsidP="00D60763">
      <w:pPr>
        <w:numPr>
          <w:ilvl w:val="0"/>
          <w:numId w:val="10"/>
        </w:numPr>
      </w:pPr>
      <w:r w:rsidRPr="00D60763">
        <w:lastRenderedPageBreak/>
        <w:t>The second-stage Inverse Mills ratio was statistically insignificant (p &gt; 0.1) across logit and negative binomial models, confirming results are robust to selection bias.</w:t>
      </w:r>
    </w:p>
    <w:p w14:paraId="3C20253D" w14:textId="77777777" w:rsidR="00D60763" w:rsidRPr="00D60763" w:rsidRDefault="00D60763" w:rsidP="00D60763">
      <w:pPr>
        <w:numPr>
          <w:ilvl w:val="0"/>
          <w:numId w:val="10"/>
        </w:numPr>
      </w:pPr>
      <w:r w:rsidRPr="00D60763">
        <w:t>Econometric cross-checks confirm that non-linear duration curves and exit probability findings are free from sample selection artifacts.</w:t>
      </w:r>
    </w:p>
    <w:p w14:paraId="38416B8E" w14:textId="77777777" w:rsidR="00D60763" w:rsidRPr="00D60763" w:rsidRDefault="00D60763" w:rsidP="00D60763">
      <w:r w:rsidRPr="00D60763">
        <w:t>These empirical validations enable drawing definitive theoretical and managerial conclusions.</w:t>
      </w:r>
    </w:p>
    <w:p w14:paraId="40C7EA9F" w14:textId="77777777" w:rsidR="00D60763" w:rsidRPr="00D60763" w:rsidRDefault="00D60763" w:rsidP="00D60763">
      <w:r w:rsidRPr="00D60763">
        <w:rPr>
          <w:b/>
          <w:bCs/>
        </w:rPr>
        <w:t>Takeaway:</w:t>
      </w:r>
      <w:r w:rsidRPr="00D60763">
        <w:t> Lind &amp; Mehlum testing and Heckman selection models confirm that the non-linear duration curve and exit probability findings are robust against sample selection bias.</w:t>
      </w:r>
    </w:p>
    <w:p w14:paraId="5080ACE7" w14:textId="77777777" w:rsidR="00D60763" w:rsidRPr="00D60763" w:rsidRDefault="00D60763" w:rsidP="00D60763">
      <w:pPr>
        <w:rPr>
          <w:b/>
          <w:bCs/>
        </w:rPr>
      </w:pPr>
      <w:r w:rsidRPr="00D60763">
        <w:rPr>
          <w:b/>
          <w:bCs/>
        </w:rPr>
        <w:t>5. Discussions and Conclusions</w:t>
      </w:r>
    </w:p>
    <w:p w14:paraId="7375FD45" w14:textId="77777777" w:rsidR="00D60763" w:rsidRPr="00D60763" w:rsidRDefault="00D60763" w:rsidP="00D60763">
      <w:r w:rsidRPr="00D60763">
        <w:t>This study demonstrates that European VC syndication dynamics operate under distinct structural rules compared to North American ecosystems, offering key insights for academics, fund managers, and policymakers.</w:t>
      </w:r>
    </w:p>
    <w:p w14:paraId="10823ABA" w14:textId="77777777" w:rsidR="00D60763" w:rsidRPr="00D60763" w:rsidRDefault="00D60763" w:rsidP="00D60763">
      <w:pPr>
        <w:numPr>
          <w:ilvl w:val="0"/>
          <w:numId w:val="11"/>
        </w:numPr>
      </w:pPr>
      <w:r w:rsidRPr="00D60763">
        <w:t>Theoretical contribution: Establishes clear institutional boundaries between US and European VC behavior; general prior ties do not drive exit success in Europe due to arm's-length monetary syndication motives.</w:t>
      </w:r>
    </w:p>
    <w:p w14:paraId="6F13B261" w14:textId="77777777" w:rsidR="00D60763" w:rsidRPr="00D60763" w:rsidRDefault="00D60763" w:rsidP="00D60763">
      <w:pPr>
        <w:numPr>
          <w:ilvl w:val="0"/>
          <w:numId w:val="11"/>
        </w:numPr>
      </w:pPr>
      <w:r w:rsidRPr="00D60763">
        <w:t>Management insight 1 (Partner selection): VCs maintain strategic flexibility to co-invest with new partners without sacrificing exit likelihood.</w:t>
      </w:r>
    </w:p>
    <w:p w14:paraId="61AF3802" w14:textId="77777777" w:rsidR="00D60763" w:rsidRPr="00D60763" w:rsidRDefault="00D60763" w:rsidP="00D60763">
      <w:pPr>
        <w:numPr>
          <w:ilvl w:val="0"/>
          <w:numId w:val="11"/>
        </w:numPr>
      </w:pPr>
      <w:r w:rsidRPr="00D60763">
        <w:t>Management insight 2 (Syndicate design): Fund managers should assemble syndicates with high Tie density or strong historical Successful ties to minimize internal friction and optimize exit odds.</w:t>
      </w:r>
    </w:p>
    <w:p w14:paraId="1A049FD6" w14:textId="77777777" w:rsidR="00D60763" w:rsidRPr="00D60763" w:rsidRDefault="00D60763" w:rsidP="00D60763">
      <w:pPr>
        <w:numPr>
          <w:ilvl w:val="0"/>
          <w:numId w:val="11"/>
        </w:numPr>
      </w:pPr>
      <w:r w:rsidRPr="00D60763">
        <w:t>Duration management rule: Fund managers must cap repeated co-investments near the 4.6 tie threshold to optimize IRR, avoiding extended holding periods driven by lax monitoring.</w:t>
      </w:r>
    </w:p>
    <w:p w14:paraId="3E7498ED" w14:textId="77777777" w:rsidR="00D60763" w:rsidRPr="00D60763" w:rsidRDefault="00D60763" w:rsidP="00D60763">
      <w:pPr>
        <w:numPr>
          <w:ilvl w:val="0"/>
          <w:numId w:val="11"/>
        </w:numPr>
      </w:pPr>
      <w:r w:rsidRPr="00D60763">
        <w:t>Limitations and future directions: Cross-sectional constraints prevent dynamic hazard modeling; future research should identify lead VCs and utilize firm-level accounting metrics (sales growth, profitability) alongside instrumental variables.</w:t>
      </w:r>
    </w:p>
    <w:p w14:paraId="3EB9CC55" w14:textId="4FBC87AA" w:rsidR="003E0596" w:rsidRDefault="00D60763">
      <w:r w:rsidRPr="00D60763">
        <w:rPr>
          <w:b/>
          <w:bCs/>
        </w:rPr>
        <w:t>Takeaway:</w:t>
      </w:r>
      <w:r w:rsidRPr="00D60763">
        <w:t> European VCs should design syndicates by leveraging past successful ties and dyadic concentration while capping partner repetition near 4.6 ties to optimize investment duration.</w:t>
      </w:r>
    </w:p>
    <w:sectPr w:rsidR="003E0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253DA"/>
    <w:multiLevelType w:val="multilevel"/>
    <w:tmpl w:val="58F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E31FE"/>
    <w:multiLevelType w:val="multilevel"/>
    <w:tmpl w:val="261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7F7D"/>
    <w:multiLevelType w:val="multilevel"/>
    <w:tmpl w:val="80D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45B44"/>
    <w:multiLevelType w:val="multilevel"/>
    <w:tmpl w:val="221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F5E17"/>
    <w:multiLevelType w:val="multilevel"/>
    <w:tmpl w:val="D3E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631EA"/>
    <w:multiLevelType w:val="multilevel"/>
    <w:tmpl w:val="38A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C34D8"/>
    <w:multiLevelType w:val="multilevel"/>
    <w:tmpl w:val="0B4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E1A2B"/>
    <w:multiLevelType w:val="multilevel"/>
    <w:tmpl w:val="555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14292"/>
    <w:multiLevelType w:val="multilevel"/>
    <w:tmpl w:val="4DF8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62582"/>
    <w:multiLevelType w:val="multilevel"/>
    <w:tmpl w:val="3F1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1414F"/>
    <w:multiLevelType w:val="multilevel"/>
    <w:tmpl w:val="49D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48177">
    <w:abstractNumId w:val="7"/>
  </w:num>
  <w:num w:numId="2" w16cid:durableId="1724596256">
    <w:abstractNumId w:val="10"/>
  </w:num>
  <w:num w:numId="3" w16cid:durableId="1551649186">
    <w:abstractNumId w:val="4"/>
  </w:num>
  <w:num w:numId="4" w16cid:durableId="337584545">
    <w:abstractNumId w:val="0"/>
  </w:num>
  <w:num w:numId="5" w16cid:durableId="721175485">
    <w:abstractNumId w:val="5"/>
  </w:num>
  <w:num w:numId="6" w16cid:durableId="71591479">
    <w:abstractNumId w:val="9"/>
  </w:num>
  <w:num w:numId="7" w16cid:durableId="1503859562">
    <w:abstractNumId w:val="3"/>
  </w:num>
  <w:num w:numId="8" w16cid:durableId="564607930">
    <w:abstractNumId w:val="1"/>
  </w:num>
  <w:num w:numId="9" w16cid:durableId="1906720453">
    <w:abstractNumId w:val="2"/>
  </w:num>
  <w:num w:numId="10" w16cid:durableId="1677415421">
    <w:abstractNumId w:val="8"/>
  </w:num>
  <w:num w:numId="11" w16cid:durableId="68478732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96"/>
    <w:rsid w:val="003E0596"/>
    <w:rsid w:val="0089238A"/>
    <w:rsid w:val="00D6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8C4F73"/>
  <w15:chartTrackingRefBased/>
  <w15:docId w15:val="{FD0F7CD2-F774-8240-90F7-62BB39BF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596"/>
    <w:rPr>
      <w:rFonts w:eastAsiaTheme="majorEastAsia" w:cstheme="majorBidi"/>
      <w:color w:val="272727" w:themeColor="text1" w:themeTint="D8"/>
    </w:rPr>
  </w:style>
  <w:style w:type="paragraph" w:styleId="Title">
    <w:name w:val="Title"/>
    <w:basedOn w:val="Normal"/>
    <w:next w:val="Normal"/>
    <w:link w:val="TitleChar"/>
    <w:uiPriority w:val="10"/>
    <w:qFormat/>
    <w:rsid w:val="003E0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596"/>
    <w:pPr>
      <w:spacing w:before="160"/>
      <w:jc w:val="center"/>
    </w:pPr>
    <w:rPr>
      <w:i/>
      <w:iCs/>
      <w:color w:val="404040" w:themeColor="text1" w:themeTint="BF"/>
    </w:rPr>
  </w:style>
  <w:style w:type="character" w:customStyle="1" w:styleId="QuoteChar">
    <w:name w:val="Quote Char"/>
    <w:basedOn w:val="DefaultParagraphFont"/>
    <w:link w:val="Quote"/>
    <w:uiPriority w:val="29"/>
    <w:rsid w:val="003E0596"/>
    <w:rPr>
      <w:i/>
      <w:iCs/>
      <w:color w:val="404040" w:themeColor="text1" w:themeTint="BF"/>
    </w:rPr>
  </w:style>
  <w:style w:type="paragraph" w:styleId="ListParagraph">
    <w:name w:val="List Paragraph"/>
    <w:basedOn w:val="Normal"/>
    <w:uiPriority w:val="34"/>
    <w:qFormat/>
    <w:rsid w:val="003E0596"/>
    <w:pPr>
      <w:ind w:left="720"/>
      <w:contextualSpacing/>
    </w:pPr>
  </w:style>
  <w:style w:type="character" w:styleId="IntenseEmphasis">
    <w:name w:val="Intense Emphasis"/>
    <w:basedOn w:val="DefaultParagraphFont"/>
    <w:uiPriority w:val="21"/>
    <w:qFormat/>
    <w:rsid w:val="003E0596"/>
    <w:rPr>
      <w:i/>
      <w:iCs/>
      <w:color w:val="0F4761" w:themeColor="accent1" w:themeShade="BF"/>
    </w:rPr>
  </w:style>
  <w:style w:type="paragraph" w:styleId="IntenseQuote">
    <w:name w:val="Intense Quote"/>
    <w:basedOn w:val="Normal"/>
    <w:next w:val="Normal"/>
    <w:link w:val="IntenseQuoteChar"/>
    <w:uiPriority w:val="30"/>
    <w:qFormat/>
    <w:rsid w:val="003E0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596"/>
    <w:rPr>
      <w:i/>
      <w:iCs/>
      <w:color w:val="0F4761" w:themeColor="accent1" w:themeShade="BF"/>
    </w:rPr>
  </w:style>
  <w:style w:type="character" w:styleId="IntenseReference">
    <w:name w:val="Intense Reference"/>
    <w:basedOn w:val="DefaultParagraphFont"/>
    <w:uiPriority w:val="32"/>
    <w:qFormat/>
    <w:rsid w:val="003E0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2465</Words>
  <Characters>14053</Characters>
  <Application>Microsoft Office Word</Application>
  <DocSecurity>0</DocSecurity>
  <Lines>117</Lines>
  <Paragraphs>32</Paragraphs>
  <ScaleCrop>false</ScaleCrop>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2026-09-27T13:07:00Z</dcterms:created>
  <dcterms:modified xsi:type="dcterms:W3CDTF">2026-09-27T13:19:00Z</dcterms:modified>
</cp:coreProperties>
</file>