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893B0" w14:textId="77777777" w:rsidR="00C431C9" w:rsidRPr="00C431C9" w:rsidRDefault="00C431C9" w:rsidP="00C431C9">
      <w:pPr>
        <w:rPr>
          <w:b/>
          <w:bCs/>
        </w:rPr>
      </w:pPr>
      <w:r w:rsidRPr="00C431C9">
        <w:rPr>
          <w:b/>
          <w:bCs/>
        </w:rPr>
        <w:t>Exam Study Guide: Institutional Distance, Geographic Distance, and Chinese Venture Capital Investment</w:t>
      </w:r>
    </w:p>
    <w:p w14:paraId="3D76B755" w14:textId="77777777" w:rsidR="00C431C9" w:rsidRPr="00C431C9" w:rsidRDefault="00C431C9" w:rsidP="00C431C9">
      <w:r w:rsidRPr="00C431C9">
        <w:t xml:space="preserve">Huang, Y. S., Qiu, B., Wu, J., &amp; Yao, J. (2023). Institutional distance, geographic distance, and Chinese venture capital investment: do networks and trust </w:t>
      </w:r>
      <w:proofErr w:type="gramStart"/>
      <w:r w:rsidRPr="00C431C9">
        <w:t>matter?.</w:t>
      </w:r>
      <w:proofErr w:type="gramEnd"/>
      <w:r w:rsidRPr="00C431C9">
        <w:t> </w:t>
      </w:r>
      <w:r w:rsidRPr="00C431C9">
        <w:rPr>
          <w:i/>
          <w:iCs/>
        </w:rPr>
        <w:t>Small Business Economics</w:t>
      </w:r>
      <w:r w:rsidRPr="00C431C9">
        <w:t>, 61(4), 1795–1844.</w:t>
      </w:r>
    </w:p>
    <w:p w14:paraId="0E63FD0B" w14:textId="77777777" w:rsidR="00C431C9" w:rsidRPr="00C431C9" w:rsidRDefault="00C431C9" w:rsidP="00C431C9">
      <w:pPr>
        <w:numPr>
          <w:ilvl w:val="0"/>
          <w:numId w:val="1"/>
        </w:numPr>
      </w:pPr>
      <w:r w:rsidRPr="00C431C9">
        <w:rPr>
          <w:b/>
          <w:bCs/>
        </w:rPr>
        <w:t>Authors &amp; Publication:</w:t>
      </w:r>
      <w:r w:rsidRPr="00C431C9">
        <w:t xml:space="preserve"> Ying Sophie Huang, </w:t>
      </w:r>
      <w:proofErr w:type="spellStart"/>
      <w:r w:rsidRPr="00C431C9">
        <w:t>Buhui</w:t>
      </w:r>
      <w:proofErr w:type="spellEnd"/>
      <w:r w:rsidRPr="00C431C9">
        <w:t xml:space="preserve"> Qiu, </w:t>
      </w:r>
      <w:proofErr w:type="spellStart"/>
      <w:r w:rsidRPr="00C431C9">
        <w:t>Jiajia</w:t>
      </w:r>
      <w:proofErr w:type="spellEnd"/>
      <w:r w:rsidRPr="00C431C9">
        <w:t xml:space="preserve"> Wu, and Juan Yao published this empirical study in </w:t>
      </w:r>
      <w:r w:rsidRPr="00C431C9">
        <w:rPr>
          <w:i/>
          <w:iCs/>
        </w:rPr>
        <w:t>Small Business Economics</w:t>
      </w:r>
      <w:r w:rsidRPr="00C431C9">
        <w:t> in 2023.</w:t>
      </w:r>
    </w:p>
    <w:p w14:paraId="2CEF3536" w14:textId="77777777" w:rsidR="00C431C9" w:rsidRPr="00C431C9" w:rsidRDefault="00C431C9" w:rsidP="00C431C9">
      <w:pPr>
        <w:numPr>
          <w:ilvl w:val="0"/>
          <w:numId w:val="1"/>
        </w:numPr>
      </w:pPr>
      <w:r w:rsidRPr="00C431C9">
        <w:rPr>
          <w:b/>
          <w:bCs/>
        </w:rPr>
        <w:t>JEL Classifications:</w:t>
      </w:r>
      <w:r w:rsidRPr="00C431C9">
        <w:t> </w:t>
      </w:r>
      <w:r w:rsidRPr="00C431C9">
        <w:rPr>
          <w:b/>
          <w:bCs/>
        </w:rPr>
        <w:t>G11</w:t>
      </w:r>
      <w:r w:rsidRPr="00C431C9">
        <w:t> (Portfolio Choice; Investment Decisions), </w:t>
      </w:r>
      <w:r w:rsidRPr="00C431C9">
        <w:rPr>
          <w:b/>
          <w:bCs/>
        </w:rPr>
        <w:t>G24</w:t>
      </w:r>
      <w:r w:rsidRPr="00C431C9">
        <w:t> (Venture Capital; Investment Banking), and </w:t>
      </w:r>
      <w:r w:rsidRPr="00C431C9">
        <w:rPr>
          <w:b/>
          <w:bCs/>
        </w:rPr>
        <w:t>M13</w:t>
      </w:r>
      <w:r w:rsidRPr="00C431C9">
        <w:t> (New Firms; Startups).</w:t>
      </w:r>
    </w:p>
    <w:p w14:paraId="6FD92484" w14:textId="77777777" w:rsidR="00C431C9" w:rsidRPr="00C431C9" w:rsidRDefault="00C431C9" w:rsidP="00C431C9">
      <w:pPr>
        <w:numPr>
          <w:ilvl w:val="0"/>
          <w:numId w:val="1"/>
        </w:numPr>
      </w:pPr>
      <w:r w:rsidRPr="00C431C9">
        <w:rPr>
          <w:b/>
          <w:bCs/>
        </w:rPr>
        <w:t>Dataset Scope:</w:t>
      </w:r>
      <w:r w:rsidRPr="00C431C9">
        <w:t> Analyzes 64,812 domestic </w:t>
      </w:r>
      <w:r w:rsidRPr="00C431C9">
        <w:rPr>
          <w:b/>
          <w:bCs/>
        </w:rPr>
        <w:t>venture capital (VC)</w:t>
      </w:r>
      <w:r w:rsidRPr="00C431C9">
        <w:t> investments in mainland China across 10,696 VC firms and 26,838 portfolio companies (1991–2018), yielding 936,293 VC firm–destination province–year observations for investment decisions and 98,049 firm-portfolio-year observations tracking 19,512 initial investment pairs for exit outcomes.</w:t>
      </w:r>
    </w:p>
    <w:p w14:paraId="785ADC3A" w14:textId="77777777" w:rsidR="00C431C9" w:rsidRPr="00C431C9" w:rsidRDefault="00C431C9" w:rsidP="00C431C9">
      <w:r w:rsidRPr="00C431C9">
        <w:t>Evaluating how spatial and formal institutional frictions determine cross-provincial venture capital allocation and exit success in China provides crucial empirical insights for financial economists.</w:t>
      </w:r>
    </w:p>
    <w:p w14:paraId="50BF9C13" w14:textId="77777777" w:rsidR="00C431C9" w:rsidRPr="00C431C9" w:rsidRDefault="00C431C9" w:rsidP="00C431C9">
      <w:r w:rsidRPr="00C431C9">
        <w:rPr>
          <w:b/>
          <w:bCs/>
        </w:rPr>
        <w:t>Takeaway:</w:t>
      </w:r>
      <w:r w:rsidRPr="00C431C9">
        <w:t> This study investigates how institutional and geographic distances govern cross-provincial VC allocation and exit outcomes, alongside the moderating effects of syndication networks and generalized trust.</w:t>
      </w:r>
    </w:p>
    <w:p w14:paraId="61D35A3E" w14:textId="77777777" w:rsidR="00C431C9" w:rsidRPr="00C431C9" w:rsidRDefault="00C431C9" w:rsidP="00C431C9">
      <w:pPr>
        <w:rPr>
          <w:b/>
          <w:bCs/>
        </w:rPr>
      </w:pPr>
      <w:r w:rsidRPr="00C431C9">
        <w:rPr>
          <w:b/>
          <w:bCs/>
        </w:rPr>
        <w:t>1. Theoretical Framework &amp; Hypotheses</w:t>
      </w:r>
    </w:p>
    <w:p w14:paraId="0439F875" w14:textId="77777777" w:rsidR="00C431C9" w:rsidRPr="00C431C9" w:rsidRDefault="00C431C9" w:rsidP="00C431C9">
      <w:r w:rsidRPr="00C431C9">
        <w:t>Venture capital allocation in emerging economies requires evaluating how institutional heterogeneity and physical geography generate transaction costs and information asymmetry. Assessing formal institutional divergence and spatial separation clarifies how physical distance and institutional gaps impede capital flows, while contrasting two mechanisms of informal social capital—syndication centralities and generalized regional trust—as moderators.</w:t>
      </w:r>
    </w:p>
    <w:p w14:paraId="3EFD649D" w14:textId="77777777" w:rsidR="00C431C9" w:rsidRPr="00C431C9" w:rsidRDefault="00C431C9" w:rsidP="00C431C9">
      <w:pPr>
        <w:numPr>
          <w:ilvl w:val="0"/>
          <w:numId w:val="2"/>
        </w:numPr>
      </w:pPr>
      <w:r w:rsidRPr="00C431C9">
        <w:rPr>
          <w:b/>
          <w:bCs/>
        </w:rPr>
        <w:t>Core Frictions Defined:</w:t>
      </w:r>
      <w:r w:rsidRPr="00C431C9">
        <w:t> </w:t>
      </w:r>
      <w:r w:rsidRPr="00C431C9">
        <w:rPr>
          <w:b/>
          <w:bCs/>
        </w:rPr>
        <w:t>Institutional Distance</w:t>
      </w:r>
      <w:r w:rsidRPr="00C431C9">
        <w:t> captures the level difference in market and regulatory development between a VC firm's home province and a target province (Quality_{Home} - Quality_{Destination}), reflecting direction and magnitude, whereas </w:t>
      </w:r>
      <w:r w:rsidRPr="00C431C9">
        <w:rPr>
          <w:b/>
          <w:bCs/>
        </w:rPr>
        <w:t>Geographic Distance</w:t>
      </w:r>
      <w:r w:rsidRPr="00C431C9">
        <w:t> measures physical separation that elevates information search, due diligence, and monitoring costs.</w:t>
      </w:r>
    </w:p>
    <w:p w14:paraId="1A09B926" w14:textId="77777777" w:rsidR="00C431C9" w:rsidRPr="00C431C9" w:rsidRDefault="00C431C9" w:rsidP="00C431C9">
      <w:pPr>
        <w:numPr>
          <w:ilvl w:val="0"/>
          <w:numId w:val="2"/>
        </w:numPr>
      </w:pPr>
      <w:r w:rsidRPr="00C431C9">
        <w:rPr>
          <w:b/>
          <w:bCs/>
        </w:rPr>
        <w:lastRenderedPageBreak/>
        <w:t>Social Capital Constructs:</w:t>
      </w:r>
      <w:r w:rsidRPr="00C431C9">
        <w:t> Social capital comprises </w:t>
      </w:r>
      <w:r w:rsidRPr="00C431C9">
        <w:rPr>
          <w:b/>
          <w:bCs/>
        </w:rPr>
        <w:t>Syndication Network Strength</w:t>
      </w:r>
      <w:r w:rsidRPr="00C431C9">
        <w:t> (a VC firm's centrality in co-investment networks facilitating information acquisition) and </w:t>
      </w:r>
      <w:r w:rsidRPr="00C431C9">
        <w:rPr>
          <w:b/>
          <w:bCs/>
        </w:rPr>
        <w:t>Generalized Trust</w:t>
      </w:r>
      <w:r w:rsidRPr="00C431C9">
        <w:t> (subjective belief that target regional investees will fulfill obligations without prior relational ties).</w:t>
      </w:r>
    </w:p>
    <w:p w14:paraId="02109FAE" w14:textId="77777777" w:rsidR="00C431C9" w:rsidRPr="00C431C9" w:rsidRDefault="00C431C9" w:rsidP="00C431C9">
      <w:pPr>
        <w:numPr>
          <w:ilvl w:val="0"/>
          <w:numId w:val="2"/>
        </w:numPr>
      </w:pPr>
      <w:r w:rsidRPr="00C431C9">
        <w:rPr>
          <w:b/>
          <w:bCs/>
        </w:rPr>
        <w:t>Baseline Frictions (H1 &amp; H2):</w:t>
      </w:r>
      <w:r w:rsidRPr="00C431C9">
        <w:t> </w:t>
      </w:r>
      <w:r w:rsidRPr="00C431C9">
        <w:rPr>
          <w:b/>
          <w:bCs/>
        </w:rPr>
        <w:t>Hypothesis 1</w:t>
      </w:r>
      <w:r w:rsidRPr="00C431C9">
        <w:t> posits that VC investment likelihood is inversely related to home-destination institutional distance due to elevated regulatory risks and weak legal protections; </w:t>
      </w:r>
      <w:r w:rsidRPr="00C431C9">
        <w:rPr>
          <w:b/>
          <w:bCs/>
        </w:rPr>
        <w:t>Hypothesis 2</w:t>
      </w:r>
      <w:r w:rsidRPr="00C431C9">
        <w:t> posits an inverse relationship with geographic distance due to travel and face-to-face meeting requirements.</w:t>
      </w:r>
    </w:p>
    <w:p w14:paraId="52CA8484" w14:textId="77777777" w:rsidR="00C431C9" w:rsidRPr="00C431C9" w:rsidRDefault="00C431C9" w:rsidP="00C431C9">
      <w:pPr>
        <w:numPr>
          <w:ilvl w:val="0"/>
          <w:numId w:val="2"/>
        </w:numPr>
      </w:pPr>
      <w:r w:rsidRPr="00C431C9">
        <w:rPr>
          <w:b/>
          <w:bCs/>
        </w:rPr>
        <w:t>Network Moderation Logic (H3):</w:t>
      </w:r>
      <w:r w:rsidRPr="00C431C9">
        <w:t> </w:t>
      </w:r>
      <w:r w:rsidRPr="00C431C9">
        <w:rPr>
          <w:b/>
          <w:bCs/>
        </w:rPr>
        <w:t>Hypothesis 3</w:t>
      </w:r>
      <w:r w:rsidRPr="00C431C9">
        <w:t xml:space="preserve"> asserts that syndication network strength reduces investment sensitivity to geographic distance by resolving information </w:t>
      </w:r>
      <w:proofErr w:type="gramStart"/>
      <w:r w:rsidRPr="00C431C9">
        <w:t>asymmetry, but</w:t>
      </w:r>
      <w:proofErr w:type="gramEnd"/>
      <w:r w:rsidRPr="00C431C9">
        <w:t xml:space="preserve"> amplifies sensitivity to institutional distance because superior network access heightens awareness of legal and expropriation risks in weak institutional regimes.</w:t>
      </w:r>
    </w:p>
    <w:p w14:paraId="3E4A9F89" w14:textId="77777777" w:rsidR="00C431C9" w:rsidRPr="00C431C9" w:rsidRDefault="00C431C9" w:rsidP="00C431C9">
      <w:pPr>
        <w:numPr>
          <w:ilvl w:val="0"/>
          <w:numId w:val="2"/>
        </w:numPr>
      </w:pPr>
      <w:r w:rsidRPr="00C431C9">
        <w:rPr>
          <w:b/>
          <w:bCs/>
        </w:rPr>
        <w:t>Trust Moderation Logic (H4):</w:t>
      </w:r>
      <w:r w:rsidRPr="00C431C9">
        <w:t> </w:t>
      </w:r>
      <w:r w:rsidRPr="00C431C9">
        <w:rPr>
          <w:b/>
          <w:bCs/>
        </w:rPr>
        <w:t>Hypothesis 4</w:t>
      </w:r>
      <w:r w:rsidRPr="00C431C9">
        <w:t> proposes that higher generalized trust reduces investment sensitivity to both geographic and institutional distances by lowering subjective risk perceptions.</w:t>
      </w:r>
    </w:p>
    <w:p w14:paraId="4FD7249C" w14:textId="77777777" w:rsidR="00C431C9" w:rsidRPr="00C431C9" w:rsidRDefault="00C431C9" w:rsidP="00C431C9">
      <w:r w:rsidRPr="00C431C9">
        <w:t>To evaluate these theoretical mechanisms empirically, the analysis examines the institutional context of China's venture capital market.</w:t>
      </w:r>
    </w:p>
    <w:p w14:paraId="0BA44659" w14:textId="77777777" w:rsidR="00C431C9" w:rsidRPr="00C431C9" w:rsidRDefault="00C431C9" w:rsidP="00C431C9">
      <w:r w:rsidRPr="00C431C9">
        <w:rPr>
          <w:b/>
          <w:bCs/>
        </w:rPr>
        <w:t>Takeaway:</w:t>
      </w:r>
      <w:r w:rsidRPr="00C431C9">
        <w:t> </w:t>
      </w:r>
      <w:r w:rsidRPr="00C431C9">
        <w:rPr>
          <w:b/>
          <w:bCs/>
        </w:rPr>
        <w:t>Geographic and institutional distances deter cross-regional VC investments, with syndication networks mitigating spatial costs while amplifying institutional risk awareness, whereas generalized trust attenuates both frictions.</w:t>
      </w:r>
    </w:p>
    <w:p w14:paraId="382B775C" w14:textId="77777777" w:rsidR="00C431C9" w:rsidRPr="00C431C9" w:rsidRDefault="00C431C9" w:rsidP="00C431C9">
      <w:pPr>
        <w:rPr>
          <w:b/>
          <w:bCs/>
        </w:rPr>
      </w:pPr>
      <w:r w:rsidRPr="00C431C9">
        <w:rPr>
          <w:b/>
          <w:bCs/>
        </w:rPr>
        <w:t>2. The Venture Capital Context in China</w:t>
      </w:r>
    </w:p>
    <w:p w14:paraId="768ED2A5" w14:textId="77777777" w:rsidR="00C431C9" w:rsidRPr="00C431C9" w:rsidRDefault="00C431C9" w:rsidP="00C431C9">
      <w:r w:rsidRPr="00C431C9">
        <w:t>China provides an ideal single-country laboratory to examine cross-regional VC flows because its substantive provincial disparities mirror cross-border international settings while holding national culture, language, and political systems constant. Analyzing China's unique institutional dynamics reveals how local government intervention and extreme spatial concentration shape private capital allocation.</w:t>
      </w:r>
    </w:p>
    <w:p w14:paraId="6033F60E" w14:textId="77777777" w:rsidR="00C431C9" w:rsidRPr="00C431C9" w:rsidRDefault="00C431C9" w:rsidP="00C431C9">
      <w:pPr>
        <w:numPr>
          <w:ilvl w:val="0"/>
          <w:numId w:val="3"/>
        </w:numPr>
      </w:pPr>
      <w:r w:rsidRPr="00C431C9">
        <w:rPr>
          <w:b/>
          <w:bCs/>
        </w:rPr>
        <w:t>Market Trajectory &amp; Key Regulations:</w:t>
      </w:r>
      <w:r w:rsidRPr="00C431C9">
        <w:t> China's VC market grew into the second largest globally by 2018, propelled by key policy frameworks including the 1998 Proposal of Speedily Developing Chinese Venture Capital, 2005 Interim Measures, and dedicated exit venues including the </w:t>
      </w:r>
      <w:r w:rsidRPr="00C431C9">
        <w:rPr>
          <w:b/>
          <w:bCs/>
        </w:rPr>
        <w:t>SME Board</w:t>
      </w:r>
      <w:r w:rsidRPr="00C431C9">
        <w:t> (2004) and </w:t>
      </w:r>
      <w:r w:rsidRPr="00C431C9">
        <w:rPr>
          <w:b/>
          <w:bCs/>
        </w:rPr>
        <w:t>ChiNext Board</w:t>
      </w:r>
      <w:r w:rsidRPr="00C431C9">
        <w:t> (2009).</w:t>
      </w:r>
    </w:p>
    <w:p w14:paraId="44736980" w14:textId="77777777" w:rsidR="00C431C9" w:rsidRPr="00C431C9" w:rsidRDefault="00C431C9" w:rsidP="00C431C9">
      <w:pPr>
        <w:numPr>
          <w:ilvl w:val="0"/>
          <w:numId w:val="3"/>
        </w:numPr>
      </w:pPr>
      <w:r w:rsidRPr="00C431C9">
        <w:rPr>
          <w:b/>
          <w:bCs/>
        </w:rPr>
        <w:lastRenderedPageBreak/>
        <w:t>Government Capital Backing:</w:t>
      </w:r>
      <w:r w:rsidRPr="00C431C9">
        <w:t> State capital plays a central role; by 2018, China established over 1,600 government-guided funds managing over CNY 4 trillion in assets (&gt;30% of total venture capital and private equity capital), operating alongside 168 national high-tech industrial development zones.</w:t>
      </w:r>
    </w:p>
    <w:p w14:paraId="1AA33B5A" w14:textId="77777777" w:rsidR="00C431C9" w:rsidRPr="00C431C9" w:rsidRDefault="00C431C9" w:rsidP="00C431C9">
      <w:pPr>
        <w:numPr>
          <w:ilvl w:val="0"/>
          <w:numId w:val="3"/>
        </w:numPr>
      </w:pPr>
      <w:r w:rsidRPr="00C431C9">
        <w:rPr>
          <w:b/>
          <w:bCs/>
        </w:rPr>
        <w:t>Spatial Clustering &amp; Local Bias:</w:t>
      </w:r>
      <w:r w:rsidRPr="00C431C9">
        <w:t> Venture capital is heavily concentrated in key hubs; Beijing, Shanghai, Guangdong, Zhejiang, and Jiangsu account for most investment inflows and outflows, with 37% of investments made within 50 km of the VC firm (sample mean distance = 1,256 km, standard deviation = 706 km).</w:t>
      </w:r>
    </w:p>
    <w:p w14:paraId="0328BC19" w14:textId="77777777" w:rsidR="00C431C9" w:rsidRPr="00C431C9" w:rsidRDefault="00C431C9" w:rsidP="00C431C9">
      <w:pPr>
        <w:numPr>
          <w:ilvl w:val="0"/>
          <w:numId w:val="3"/>
        </w:numPr>
      </w:pPr>
      <w:r w:rsidRPr="00C431C9">
        <w:rPr>
          <w:b/>
          <w:bCs/>
        </w:rPr>
        <w:t>Intra-National Heterogeneity:</w:t>
      </w:r>
      <w:r w:rsidRPr="00C431C9">
        <w:t> Significant provincial disparities exist regarding marketization, government efficiency, non-state sector growth, and legal enforcement, despite shared national governance, Mandarin language adoption (~80%), and Han ethnic homogeneity (91.60%).</w:t>
      </w:r>
    </w:p>
    <w:p w14:paraId="4CC4BABC" w14:textId="77777777" w:rsidR="00C431C9" w:rsidRPr="00C431C9" w:rsidRDefault="00C431C9" w:rsidP="00C431C9">
      <w:r w:rsidRPr="00C431C9">
        <w:t>These pronounced regional disparities in marketization directly dictate the empirical strategy used to measure institutional and geographic distances.</w:t>
      </w:r>
    </w:p>
    <w:p w14:paraId="323CAC38" w14:textId="77777777" w:rsidR="00C431C9" w:rsidRPr="00C431C9" w:rsidRDefault="00C431C9" w:rsidP="00C431C9">
      <w:r w:rsidRPr="00C431C9">
        <w:rPr>
          <w:b/>
          <w:bCs/>
        </w:rPr>
        <w:t>Takeaway:</w:t>
      </w:r>
      <w:r w:rsidRPr="00C431C9">
        <w:t> </w:t>
      </w:r>
      <w:r w:rsidRPr="00C431C9">
        <w:rPr>
          <w:b/>
          <w:bCs/>
        </w:rPr>
        <w:t>China's distinct market features—extreme spatial concentration, extensive state guidance, and profound provincial institutional variation—provide a controlled environment to test distance frictions without cross-border confounding variables.</w:t>
      </w:r>
    </w:p>
    <w:p w14:paraId="5CA7BCBB" w14:textId="77777777" w:rsidR="00C431C9" w:rsidRPr="00C431C9" w:rsidRDefault="00C431C9" w:rsidP="00C431C9">
      <w:pPr>
        <w:rPr>
          <w:b/>
          <w:bCs/>
        </w:rPr>
      </w:pPr>
      <w:r w:rsidRPr="00C431C9">
        <w:rPr>
          <w:b/>
          <w:bCs/>
        </w:rPr>
        <w:t>3. Data, Key Variables &amp; Estimation Methodology</w:t>
      </w:r>
    </w:p>
    <w:p w14:paraId="2A002A5A" w14:textId="77777777" w:rsidR="00C431C9" w:rsidRPr="00C431C9" w:rsidRDefault="00C431C9" w:rsidP="00C431C9">
      <w:r w:rsidRPr="00C431C9">
        <w:t>The empirical methodology deploys detailed econometric modeling to capture cross-provincial VC flows and exit performance over a multi-decade horizon. Synthesizing multi-dimensional distance metrics, principal component network centralities, survey-based regional trust measures, and fixed-effects specifications enables robust empirical identification.</w:t>
      </w:r>
    </w:p>
    <w:p w14:paraId="63657F0F" w14:textId="77777777" w:rsidR="00C431C9" w:rsidRPr="00C431C9" w:rsidRDefault="00C431C9" w:rsidP="00C431C9">
      <w:pPr>
        <w:numPr>
          <w:ilvl w:val="0"/>
          <w:numId w:val="4"/>
        </w:numPr>
      </w:pPr>
      <w:r w:rsidRPr="00C431C9">
        <w:rPr>
          <w:b/>
          <w:bCs/>
        </w:rPr>
        <w:t>Institutional Distance Measurement:</w:t>
      </w:r>
      <w:r w:rsidRPr="00C431C9">
        <w:t> Regional institutional quality is captured using NERI's </w:t>
      </w:r>
      <w:r w:rsidRPr="00C431C9">
        <w:rPr>
          <w:b/>
          <w:bCs/>
        </w:rPr>
        <w:t>Chinese Provincial Marketization Index (CPMI)</w:t>
      </w:r>
      <w:r w:rsidRPr="00C431C9">
        <w:t>, aggregating five sub-components: government-market relations, non-SOE development, product market development, factor market development, and intermediary organization development and legal environment; Institutional Distance is calculated as Quality_{Home} - Quality_{Destination}.</w:t>
      </w:r>
    </w:p>
    <w:p w14:paraId="47C83D69" w14:textId="77777777" w:rsidR="00C431C9" w:rsidRPr="00C431C9" w:rsidRDefault="00C431C9" w:rsidP="00C431C9">
      <w:pPr>
        <w:numPr>
          <w:ilvl w:val="0"/>
          <w:numId w:val="4"/>
        </w:numPr>
      </w:pPr>
      <w:r w:rsidRPr="00C431C9">
        <w:rPr>
          <w:b/>
          <w:bCs/>
        </w:rPr>
        <w:t>Geographic Distance Formula:</w:t>
      </w:r>
      <w:r w:rsidRPr="00C431C9">
        <w:t xml:space="preserve"> Geographic Distance = R * </w:t>
      </w:r>
      <w:proofErr w:type="spellStart"/>
      <w:r w:rsidRPr="00C431C9">
        <w:t>arccos</w:t>
      </w:r>
      <w:proofErr w:type="spellEnd"/>
      <w:r w:rsidRPr="00C431C9">
        <w:t>[sin(phi</w:t>
      </w:r>
      <w:proofErr w:type="gramStart"/>
      <w:r w:rsidRPr="00C431C9">
        <w:t>1)sin</w:t>
      </w:r>
      <w:proofErr w:type="gramEnd"/>
      <w:r w:rsidRPr="00C431C9">
        <w:t>(phi2) + cos(phi</w:t>
      </w:r>
      <w:proofErr w:type="gramStart"/>
      <w:r w:rsidRPr="00C431C9">
        <w:t>1)cos</w:t>
      </w:r>
      <w:proofErr w:type="gramEnd"/>
      <w:r w:rsidRPr="00C431C9">
        <w:t>(phi</w:t>
      </w:r>
      <w:proofErr w:type="gramStart"/>
      <w:r w:rsidRPr="00C431C9">
        <w:t>2)cos</w:t>
      </w:r>
      <w:proofErr w:type="gramEnd"/>
      <w:r w:rsidRPr="00C431C9">
        <w:t>(lambda1 - lambda2)], where R = Earth radius (6,371 km), phi1 and lambda1 are latitude and longitude of VC firm headquarter city, and phi2 and lambda2 represent target province capital or investee city coordinates.</w:t>
      </w:r>
    </w:p>
    <w:p w14:paraId="67E8D29D" w14:textId="77777777" w:rsidR="00C431C9" w:rsidRPr="00C431C9" w:rsidRDefault="00C431C9" w:rsidP="00C431C9">
      <w:pPr>
        <w:numPr>
          <w:ilvl w:val="0"/>
          <w:numId w:val="4"/>
        </w:numPr>
      </w:pPr>
      <w:r w:rsidRPr="00C431C9">
        <w:rPr>
          <w:b/>
          <w:bCs/>
        </w:rPr>
        <w:lastRenderedPageBreak/>
        <w:t>Social Capital Operationalization:</w:t>
      </w:r>
      <w:r w:rsidRPr="00C431C9">
        <w:t> </w:t>
      </w:r>
      <w:r w:rsidRPr="00C431C9">
        <w:rPr>
          <w:b/>
          <w:bCs/>
        </w:rPr>
        <w:t>Network</w:t>
      </w:r>
      <w:r w:rsidRPr="00C431C9">
        <w:t> is derived from the first principal component (</w:t>
      </w:r>
      <w:r w:rsidRPr="00C431C9">
        <w:rPr>
          <w:b/>
          <w:bCs/>
        </w:rPr>
        <w:t>PCA</w:t>
      </w:r>
      <w:r w:rsidRPr="00C431C9">
        <w:t>) of four centrality variables: </w:t>
      </w:r>
      <w:r w:rsidRPr="00C431C9">
        <w:rPr>
          <w:b/>
          <w:bCs/>
        </w:rPr>
        <w:t>Degree</w:t>
      </w:r>
      <w:r w:rsidRPr="00C431C9">
        <w:t> (co-investment ties), </w:t>
      </w:r>
      <w:r w:rsidRPr="00C431C9">
        <w:rPr>
          <w:b/>
          <w:bCs/>
        </w:rPr>
        <w:t>Closeness</w:t>
      </w:r>
      <w:r w:rsidRPr="00C431C9">
        <w:t> (inverse shortest path length), </w:t>
      </w:r>
      <w:r w:rsidRPr="00C431C9">
        <w:rPr>
          <w:b/>
          <w:bCs/>
        </w:rPr>
        <w:t>Betweenness</w:t>
      </w:r>
      <w:r w:rsidRPr="00C431C9">
        <w:t> (path control), and </w:t>
      </w:r>
      <w:r w:rsidRPr="00C431C9">
        <w:rPr>
          <w:b/>
          <w:bCs/>
        </w:rPr>
        <w:t>Eigenvector</w:t>
      </w:r>
      <w:r w:rsidRPr="00C431C9">
        <w:t> (influential ties); </w:t>
      </w:r>
      <w:r w:rsidRPr="00C431C9">
        <w:rPr>
          <w:b/>
          <w:bCs/>
        </w:rPr>
        <w:t>Trust</w:t>
      </w:r>
      <w:r w:rsidRPr="00C431C9">
        <w:t> is measured using the CESS survey score of cross-provincial trustworthiness.</w:t>
      </w:r>
    </w:p>
    <w:p w14:paraId="69E4B955" w14:textId="77777777" w:rsidR="00C431C9" w:rsidRPr="00C431C9" w:rsidRDefault="00C431C9" w:rsidP="00C431C9">
      <w:pPr>
        <w:numPr>
          <w:ilvl w:val="0"/>
          <w:numId w:val="4"/>
        </w:numPr>
      </w:pPr>
      <w:r w:rsidRPr="00C431C9">
        <w:rPr>
          <w:b/>
          <w:bCs/>
        </w:rPr>
        <w:t>Econometric Specifications:</w:t>
      </w:r>
      <w:r w:rsidRPr="00C431C9">
        <w:t> Pre-investment choices are analyzed using logit regressions on 936,293 VC firm–destination province–year observations; post-investment outcomes are evaluated via a </w:t>
      </w:r>
      <w:r w:rsidRPr="00C431C9">
        <w:rPr>
          <w:b/>
          <w:bCs/>
        </w:rPr>
        <w:t>Discrete-Time Survival Model</w:t>
      </w:r>
      <w:r w:rsidRPr="00C431C9">
        <w:t> tracking 15-year exit windows across 98,049 firm-portfolio-year observations.</w:t>
      </w:r>
    </w:p>
    <w:p w14:paraId="06A6EC17" w14:textId="77777777" w:rsidR="00C431C9" w:rsidRPr="00C431C9" w:rsidRDefault="00C431C9" w:rsidP="00C431C9">
      <w:r w:rsidRPr="00C431C9">
        <w:t>These econometric specifications allow for direct empirical testing of pre-investment deployment decisions and social capital interactions.</w:t>
      </w:r>
    </w:p>
    <w:p w14:paraId="4CBBEBA5" w14:textId="77777777" w:rsidR="00C431C9" w:rsidRPr="00C431C9" w:rsidRDefault="00C431C9" w:rsidP="00C431C9">
      <w:r w:rsidRPr="00C431C9">
        <w:rPr>
          <w:b/>
          <w:bCs/>
        </w:rPr>
        <w:t>Takeaway:</w:t>
      </w:r>
      <w:r w:rsidRPr="00C431C9">
        <w:t> </w:t>
      </w:r>
      <w:r w:rsidRPr="00C431C9">
        <w:rPr>
          <w:b/>
          <w:bCs/>
        </w:rPr>
        <w:t>The empirical methodology combines NERI marketization indices, haversine geographic formulas, network PCA centralities, and discrete-time survival models to evaluate cross-provincial investment decisions and exit success.</w:t>
      </w:r>
    </w:p>
    <w:p w14:paraId="604C091B" w14:textId="77777777" w:rsidR="00C431C9" w:rsidRPr="00C431C9" w:rsidRDefault="00C431C9" w:rsidP="00C431C9">
      <w:pPr>
        <w:rPr>
          <w:b/>
          <w:bCs/>
        </w:rPr>
      </w:pPr>
      <w:r w:rsidRPr="00C431C9">
        <w:rPr>
          <w:b/>
          <w:bCs/>
        </w:rPr>
        <w:t>4. Empirical Findings: VC Investment Decisions &amp; Social Capital Moderation</w:t>
      </w:r>
    </w:p>
    <w:p w14:paraId="60064DCA" w14:textId="77777777" w:rsidR="00C431C9" w:rsidRPr="00C431C9" w:rsidRDefault="00C431C9" w:rsidP="00C431C9">
      <w:r w:rsidRPr="00C431C9">
        <w:t>Empirical estimations confirm that institutional and geographic distances significantly deter cross-provincial venture capital allocation. Assessing baseline distance effects and moderation regressions demonstrates that network centralities and generalized trust display diverging channels when navigating regional frictions.</w:t>
      </w:r>
    </w:p>
    <w:p w14:paraId="6CE31752" w14:textId="77777777" w:rsidR="00C431C9" w:rsidRPr="00C431C9" w:rsidRDefault="00C431C9" w:rsidP="00C431C9">
      <w:pPr>
        <w:numPr>
          <w:ilvl w:val="0"/>
          <w:numId w:val="5"/>
        </w:numPr>
      </w:pPr>
      <w:r w:rsidRPr="00C431C9">
        <w:rPr>
          <w:b/>
          <w:bCs/>
        </w:rPr>
        <w:t>Baseline Distance Frictions:</w:t>
      </w:r>
      <w:r w:rsidRPr="00C431C9">
        <w:t> A 1-unit increase in institutional distance reduces investment likelihood by 0.23% (a 7.74% relative drop from the 2.97% unconditional mean); a 1,000-km increase in geographic distance reduces investment likelihood by 1.44% (a 48.48% relative drop).</w:t>
      </w:r>
    </w:p>
    <w:p w14:paraId="5F0295EE" w14:textId="77777777" w:rsidR="00C431C9" w:rsidRPr="00C431C9" w:rsidRDefault="00C431C9" w:rsidP="00C431C9">
      <w:pPr>
        <w:numPr>
          <w:ilvl w:val="0"/>
          <w:numId w:val="5"/>
        </w:numPr>
      </w:pPr>
      <w:r w:rsidRPr="00C431C9">
        <w:rPr>
          <w:b/>
          <w:bCs/>
        </w:rPr>
        <w:t>Network Moderation Dynamics:</w:t>
      </w:r>
      <w:r w:rsidRPr="00C431C9">
        <w:t> </w:t>
      </w:r>
      <w:r w:rsidRPr="00C431C9">
        <w:rPr>
          <w:b/>
          <w:bCs/>
        </w:rPr>
        <w:t>Network Strength</w:t>
      </w:r>
      <w:r w:rsidRPr="00C431C9">
        <w:t xml:space="preserve"> significantly decreases investment sensitivity to geographic distance (\beta = +0.023, p &lt; 0.05) by resolving information </w:t>
      </w:r>
      <w:proofErr w:type="gramStart"/>
      <w:r w:rsidRPr="00C431C9">
        <w:t>asymmetry, but</w:t>
      </w:r>
      <w:proofErr w:type="gramEnd"/>
      <w:r w:rsidRPr="00C431C9">
        <w:t xml:space="preserve"> intensifies sensitivity to institutional distance (\beta = -0.024, p &lt; 0.01) by amplifying risk awareness of weak legal environments.</w:t>
      </w:r>
    </w:p>
    <w:p w14:paraId="013EAFF2" w14:textId="77777777" w:rsidR="00C431C9" w:rsidRPr="00C431C9" w:rsidRDefault="00C431C9" w:rsidP="00C431C9">
      <w:pPr>
        <w:numPr>
          <w:ilvl w:val="0"/>
          <w:numId w:val="5"/>
        </w:numPr>
      </w:pPr>
      <w:r w:rsidRPr="00C431C9">
        <w:rPr>
          <w:b/>
          <w:bCs/>
        </w:rPr>
        <w:t>Trust Moderation Dynamics:</w:t>
      </w:r>
      <w:r w:rsidRPr="00C431C9">
        <w:t> </w:t>
      </w:r>
      <w:r w:rsidRPr="00C431C9">
        <w:rPr>
          <w:b/>
          <w:bCs/>
        </w:rPr>
        <w:t>Trust</w:t>
      </w:r>
      <w:r w:rsidRPr="00C431C9">
        <w:t> significantly dampens investment sensitivity to both institutional distance (\beta = +1.058, p &lt; 0.01) and geographic distance (\beta = +1.377, p &lt; 0.01) by lowering subjective risk perceptions.</w:t>
      </w:r>
    </w:p>
    <w:p w14:paraId="5CF07A47" w14:textId="77777777" w:rsidR="00C431C9" w:rsidRPr="00C431C9" w:rsidRDefault="00C431C9" w:rsidP="00C431C9">
      <w:pPr>
        <w:numPr>
          <w:ilvl w:val="0"/>
          <w:numId w:val="5"/>
        </w:numPr>
      </w:pPr>
      <w:r w:rsidRPr="00C431C9">
        <w:rPr>
          <w:b/>
          <w:bCs/>
        </w:rPr>
        <w:t>Robustness Checks:</w:t>
      </w:r>
      <w:r w:rsidRPr="00C431C9">
        <w:t xml:space="preserve"> Results hold across alternative CPMI measures (government/market components), alternative network centrality windows, CGSS/donation trust proxies, initial-round-only investments, post-2009 ChiNext </w:t>
      </w:r>
      <w:r w:rsidRPr="00C431C9">
        <w:lastRenderedPageBreak/>
        <w:t>subsamples, active VCs (\</w:t>
      </w:r>
      <w:proofErr w:type="spellStart"/>
      <w:r w:rsidRPr="00C431C9">
        <w:t>ge</w:t>
      </w:r>
      <w:proofErr w:type="spellEnd"/>
      <w:r w:rsidRPr="00C431C9">
        <w:t xml:space="preserve"> 10 deals), and non-hub subsamples (excluding Beijing/Shanghai).</w:t>
      </w:r>
    </w:p>
    <w:p w14:paraId="108FEBCF" w14:textId="77777777" w:rsidR="00C431C9" w:rsidRPr="00C431C9" w:rsidRDefault="00C431C9" w:rsidP="00C431C9">
      <w:pPr>
        <w:numPr>
          <w:ilvl w:val="0"/>
          <w:numId w:val="5"/>
        </w:numPr>
      </w:pPr>
      <w:r w:rsidRPr="00C431C9">
        <w:rPr>
          <w:b/>
          <w:bCs/>
        </w:rPr>
        <w:t>State Ownership Asymmetry:</w:t>
      </w:r>
      <w:r w:rsidRPr="00C431C9">
        <w:t> Investments by </w:t>
      </w:r>
      <w:r w:rsidRPr="00C431C9">
        <w:rPr>
          <w:b/>
          <w:bCs/>
        </w:rPr>
        <w:t>State-owned VC</w:t>
      </w:r>
      <w:r w:rsidRPr="00C431C9">
        <w:t> firms are less sensitive to institutional distance (policy mandate to reduce regional disparity) but more sensitive to geographic distance (bureaucratic and agency frictions).</w:t>
      </w:r>
    </w:p>
    <w:p w14:paraId="7C56265C" w14:textId="77777777" w:rsidR="00C431C9" w:rsidRPr="00C431C9" w:rsidRDefault="00C431C9" w:rsidP="00C431C9">
      <w:r w:rsidRPr="00C431C9">
        <w:t>Following the initial investment decision, these distance frictions and social capital moderators also impact long-term portfolio exit performance.</w:t>
      </w:r>
    </w:p>
    <w:p w14:paraId="100A802D" w14:textId="77777777" w:rsidR="00C431C9" w:rsidRPr="00C431C9" w:rsidRDefault="00C431C9" w:rsidP="00C431C9">
      <w:r w:rsidRPr="00C431C9">
        <w:rPr>
          <w:b/>
          <w:bCs/>
        </w:rPr>
        <w:t>Takeaway:</w:t>
      </w:r>
      <w:r w:rsidRPr="00C431C9">
        <w:t> </w:t>
      </w:r>
      <w:r w:rsidRPr="00C431C9">
        <w:rPr>
          <w:b/>
          <w:bCs/>
        </w:rPr>
        <w:t>Empirical results confirm that while trust lowers sensitivity to all distance frictions, syndication networks exhibit a dual role: expanding geographic investment reach while restricting capital deployment into institutionally underdeveloped provinces.</w:t>
      </w:r>
    </w:p>
    <w:p w14:paraId="7DE3EF46" w14:textId="77777777" w:rsidR="00C431C9" w:rsidRPr="00C431C9" w:rsidRDefault="00C431C9" w:rsidP="00C431C9">
      <w:pPr>
        <w:rPr>
          <w:b/>
          <w:bCs/>
        </w:rPr>
      </w:pPr>
      <w:r w:rsidRPr="00C431C9">
        <w:rPr>
          <w:b/>
          <w:bCs/>
        </w:rPr>
        <w:t>5. Empirical Findings: VC Exit Outcomes &amp; Survival Analysis</w:t>
      </w:r>
    </w:p>
    <w:p w14:paraId="2C5F41B9" w14:textId="77777777" w:rsidR="00C431C9" w:rsidRPr="00C431C9" w:rsidRDefault="00C431C9" w:rsidP="00C431C9">
      <w:r w:rsidRPr="00C431C9">
        <w:t>Evaluating post-investment exit outcomes using discrete-time survival models demonstrates that formal institutional barriers severely restrict successful exits via Initial Public Offering (</w:t>
      </w:r>
      <w:r w:rsidRPr="00C431C9">
        <w:rPr>
          <w:b/>
          <w:bCs/>
        </w:rPr>
        <w:t>IPO</w:t>
      </w:r>
      <w:r w:rsidRPr="00C431C9">
        <w:t>), Mergers and Acquisitions (</w:t>
      </w:r>
      <w:r w:rsidRPr="00C431C9">
        <w:rPr>
          <w:b/>
          <w:bCs/>
        </w:rPr>
        <w:t>M&amp;A</w:t>
      </w:r>
      <w:r w:rsidRPr="00C431C9">
        <w:t>), or trade sales. Assessing exit determinants reveals that post-investment exit barriers cannot be overcome by expanding informal social capital.</w:t>
      </w:r>
    </w:p>
    <w:p w14:paraId="5D692242" w14:textId="77777777" w:rsidR="00C431C9" w:rsidRPr="00C431C9" w:rsidRDefault="00C431C9" w:rsidP="00C431C9">
      <w:pPr>
        <w:numPr>
          <w:ilvl w:val="0"/>
          <w:numId w:val="6"/>
        </w:numPr>
      </w:pPr>
      <w:r w:rsidRPr="00C431C9">
        <w:rPr>
          <w:b/>
          <w:bCs/>
        </w:rPr>
        <w:t>Baseline Exit Determinants:</w:t>
      </w:r>
      <w:r w:rsidRPr="00C431C9">
        <w:t> </w:t>
      </w:r>
      <w:r w:rsidRPr="00C431C9">
        <w:rPr>
          <w:b/>
          <w:bCs/>
        </w:rPr>
        <w:t>Institutional Distance</w:t>
      </w:r>
      <w:r w:rsidRPr="00C431C9">
        <w:t> significantly decreases the probability of a successful exit (\beta = -0.058, p &lt; 0.01), whereas </w:t>
      </w:r>
      <w:r w:rsidRPr="00C431C9">
        <w:rPr>
          <w:b/>
          <w:bCs/>
        </w:rPr>
        <w:t>Geographic Distance</w:t>
      </w:r>
      <w:r w:rsidRPr="00C431C9">
        <w:t> exhibits no statistically significant effect on exit success.</w:t>
      </w:r>
    </w:p>
    <w:p w14:paraId="255425D4" w14:textId="77777777" w:rsidR="00C431C9" w:rsidRPr="00C431C9" w:rsidRDefault="00C431C9" w:rsidP="00C431C9">
      <w:pPr>
        <w:numPr>
          <w:ilvl w:val="0"/>
          <w:numId w:val="6"/>
        </w:numPr>
      </w:pPr>
      <w:r w:rsidRPr="00C431C9">
        <w:rPr>
          <w:b/>
          <w:bCs/>
        </w:rPr>
        <w:t>Network Role on Exits:</w:t>
      </w:r>
      <w:r w:rsidRPr="00C431C9">
        <w:t> High </w:t>
      </w:r>
      <w:r w:rsidRPr="00C431C9">
        <w:rPr>
          <w:b/>
          <w:bCs/>
        </w:rPr>
        <w:t>Network Strength</w:t>
      </w:r>
      <w:r w:rsidRPr="00C431C9">
        <w:t xml:space="preserve"> directly increases baseline exit success (\beta = +0.046, p &lt; 0.01) through value-added </w:t>
      </w:r>
      <w:proofErr w:type="gramStart"/>
      <w:r w:rsidRPr="00C431C9">
        <w:t>governance, but</w:t>
      </w:r>
      <w:proofErr w:type="gramEnd"/>
      <w:r w:rsidRPr="00C431C9">
        <w:t xml:space="preserve"> fails to mitigate the negative impact of institutional distance on exit outcomes (\beta = -0.001, insignificant).</w:t>
      </w:r>
    </w:p>
    <w:p w14:paraId="283C066A" w14:textId="77777777" w:rsidR="00C431C9" w:rsidRPr="00C431C9" w:rsidRDefault="00C431C9" w:rsidP="00C431C9">
      <w:pPr>
        <w:numPr>
          <w:ilvl w:val="0"/>
          <w:numId w:val="6"/>
        </w:numPr>
      </w:pPr>
      <w:r w:rsidRPr="00C431C9">
        <w:rPr>
          <w:b/>
          <w:bCs/>
        </w:rPr>
        <w:t>Trust Insignificance on Exits:</w:t>
      </w:r>
      <w:r w:rsidRPr="00C431C9">
        <w:t> </w:t>
      </w:r>
      <w:r w:rsidRPr="00C431C9">
        <w:rPr>
          <w:b/>
          <w:bCs/>
        </w:rPr>
        <w:t>Trust</w:t>
      </w:r>
      <w:r w:rsidRPr="00C431C9">
        <w:t> plays an insignificant direct role in driving exit performance and fails to moderate distance effects during the post-investment exit phase.</w:t>
      </w:r>
    </w:p>
    <w:p w14:paraId="21CEE687" w14:textId="77777777" w:rsidR="00C431C9" w:rsidRPr="00C431C9" w:rsidRDefault="00C431C9" w:rsidP="00C431C9">
      <w:pPr>
        <w:numPr>
          <w:ilvl w:val="0"/>
          <w:numId w:val="6"/>
        </w:numPr>
      </w:pPr>
      <w:r w:rsidRPr="00C431C9">
        <w:rPr>
          <w:b/>
          <w:bCs/>
        </w:rPr>
        <w:t>Exit Timing Dynamics:</w:t>
      </w:r>
      <w:r w:rsidRPr="00C431C9">
        <w:t> Kaplan-Meier survival curves indicate that the peak hazard rate for achieving a successful exit occurs between 4 to 6 years post-initial investment.</w:t>
      </w:r>
    </w:p>
    <w:p w14:paraId="196E909A" w14:textId="77777777" w:rsidR="00C431C9" w:rsidRPr="00C431C9" w:rsidRDefault="00C431C9" w:rsidP="00C431C9">
      <w:pPr>
        <w:numPr>
          <w:ilvl w:val="0"/>
          <w:numId w:val="6"/>
        </w:numPr>
      </w:pPr>
      <w:r w:rsidRPr="00C431C9">
        <w:t>Example: Distribution of 19,512 initial investments shows 13.95% exit via IPO, 4.34% via M&amp;A, 2.61% via trade sale, yielding a 20.9% overall successful exit rate.</w:t>
      </w:r>
    </w:p>
    <w:p w14:paraId="41AE2954" w14:textId="77777777" w:rsidR="00C431C9" w:rsidRPr="00C431C9" w:rsidRDefault="00C431C9" w:rsidP="00C431C9">
      <w:r w:rsidRPr="00C431C9">
        <w:lastRenderedPageBreak/>
        <w:t>These persistent institutional exit barriers highlight critical policy and strategic takeaways for emerging market investors and regional governments.</w:t>
      </w:r>
    </w:p>
    <w:p w14:paraId="51745CFF" w14:textId="77777777" w:rsidR="00C431C9" w:rsidRPr="00C431C9" w:rsidRDefault="00C431C9" w:rsidP="00C431C9">
      <w:r w:rsidRPr="00C431C9">
        <w:rPr>
          <w:b/>
          <w:bCs/>
        </w:rPr>
        <w:t>Takeaway:</w:t>
      </w:r>
      <w:r w:rsidRPr="00C431C9">
        <w:t> </w:t>
      </w:r>
      <w:r w:rsidRPr="00C431C9">
        <w:rPr>
          <w:b/>
          <w:bCs/>
        </w:rPr>
        <w:t>Institutional distance creates a persistent barrier to successful venture capital exits that cannot be mitigated by network centrality or regional trust, proving that formal institutional development is required for capital harvesting.</w:t>
      </w:r>
    </w:p>
    <w:p w14:paraId="78208889" w14:textId="77777777" w:rsidR="00C431C9" w:rsidRPr="00C431C9" w:rsidRDefault="00C431C9" w:rsidP="00C431C9">
      <w:pPr>
        <w:rPr>
          <w:b/>
          <w:bCs/>
        </w:rPr>
      </w:pPr>
      <w:r w:rsidRPr="00C431C9">
        <w:rPr>
          <w:b/>
          <w:bCs/>
        </w:rPr>
        <w:t>6. Policy Implications, Limitations &amp; Conclusions</w:t>
      </w:r>
    </w:p>
    <w:p w14:paraId="1322F12C" w14:textId="77777777" w:rsidR="00C431C9" w:rsidRPr="00C431C9" w:rsidRDefault="00C431C9" w:rsidP="00C431C9">
      <w:r w:rsidRPr="00C431C9">
        <w:t>The empirical conclusions deliver practical strategic imperatives for provincial policymakers and venture capital partners operating in emerging markets. Formulating effective regional development strategies requires prioritizing formal marketization reforms over sole reliance on informal network expansion.</w:t>
      </w:r>
    </w:p>
    <w:p w14:paraId="3E8AF323" w14:textId="77777777" w:rsidR="00C431C9" w:rsidRPr="00C431C9" w:rsidRDefault="00C431C9" w:rsidP="00C431C9">
      <w:pPr>
        <w:numPr>
          <w:ilvl w:val="0"/>
          <w:numId w:val="7"/>
        </w:numPr>
      </w:pPr>
      <w:r w:rsidRPr="00C431C9">
        <w:rPr>
          <w:b/>
          <w:bCs/>
        </w:rPr>
        <w:t>Policy Imperatives:</w:t>
      </w:r>
      <w:r w:rsidRPr="00C431C9">
        <w:t> Regional governments in underdeveloped provinces cannot rely solely on expanding local venture networks to attract capital; they must implement legal, market, and regulatory reforms, as expanding syndication networks accelerates capital flight toward better-governed provinces.</w:t>
      </w:r>
    </w:p>
    <w:p w14:paraId="739E4A7F" w14:textId="77777777" w:rsidR="00C431C9" w:rsidRPr="00C431C9" w:rsidRDefault="00C431C9" w:rsidP="00C431C9">
      <w:pPr>
        <w:numPr>
          <w:ilvl w:val="0"/>
          <w:numId w:val="7"/>
        </w:numPr>
      </w:pPr>
      <w:r w:rsidRPr="00C431C9">
        <w:rPr>
          <w:b/>
          <w:bCs/>
        </w:rPr>
        <w:t>Practitioner Insights:</w:t>
      </w:r>
      <w:r w:rsidRPr="00C431C9">
        <w:t xml:space="preserve"> VC fund managers can leverage syndication networks to mitigate distance-related information </w:t>
      </w:r>
      <w:proofErr w:type="gramStart"/>
      <w:r w:rsidRPr="00C431C9">
        <w:t>costs, but</w:t>
      </w:r>
      <w:proofErr w:type="gramEnd"/>
      <w:r w:rsidRPr="00C431C9">
        <w:t xml:space="preserve"> must rely on formal legal protections or regional trust when deploying capital across disparate institutional environments.</w:t>
      </w:r>
    </w:p>
    <w:p w14:paraId="1A9CE09A" w14:textId="77777777" w:rsidR="00C431C9" w:rsidRPr="00C431C9" w:rsidRDefault="00C431C9" w:rsidP="00C431C9">
      <w:pPr>
        <w:numPr>
          <w:ilvl w:val="0"/>
          <w:numId w:val="7"/>
        </w:numPr>
      </w:pPr>
      <w:r w:rsidRPr="00C431C9">
        <w:rPr>
          <w:b/>
          <w:bCs/>
        </w:rPr>
        <w:t>Study Limitations:</w:t>
      </w:r>
      <w:r w:rsidRPr="00C431C9">
        <w:t> Analysis is confined to single-country parameters within China and relies on firm-level syndication measures and regional trust scores without tracking individual manager-level interpersonal networks.</w:t>
      </w:r>
    </w:p>
    <w:p w14:paraId="0F612E2B" w14:textId="77777777" w:rsidR="00C431C9" w:rsidRPr="00C431C9" w:rsidRDefault="00C431C9" w:rsidP="00C431C9">
      <w:pPr>
        <w:numPr>
          <w:ilvl w:val="0"/>
          <w:numId w:val="7"/>
        </w:numPr>
      </w:pPr>
      <w:r w:rsidRPr="00C431C9">
        <w:rPr>
          <w:b/>
          <w:bCs/>
        </w:rPr>
        <w:t>Future Research Directions:</w:t>
      </w:r>
      <w:r w:rsidRPr="00C431C9">
        <w:t> Future research should extend cross-provincial frameworks to cross-border emerging market contexts and evaluate post-investment operational activities such as board representation and on-site due diligence visits.</w:t>
      </w:r>
    </w:p>
    <w:p w14:paraId="38A0297B" w14:textId="07590C63" w:rsidR="00C431C9" w:rsidRDefault="00C431C9">
      <w:r w:rsidRPr="00C431C9">
        <w:rPr>
          <w:b/>
          <w:bCs/>
        </w:rPr>
        <w:t>Takeaway:</w:t>
      </w:r>
      <w:r w:rsidRPr="00C431C9">
        <w:t> </w:t>
      </w:r>
      <w:r w:rsidRPr="00C431C9">
        <w:rPr>
          <w:b/>
          <w:bCs/>
        </w:rPr>
        <w:t>Formal marketization and institutional reform represent indispensable prerequisites for attracting venture capital and achieving successful exit outcomes in emerging markets.</w:t>
      </w:r>
    </w:p>
    <w:sectPr w:rsidR="00C43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0E786C"/>
    <w:multiLevelType w:val="multilevel"/>
    <w:tmpl w:val="1B1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25AC8"/>
    <w:multiLevelType w:val="multilevel"/>
    <w:tmpl w:val="F51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60540"/>
    <w:multiLevelType w:val="multilevel"/>
    <w:tmpl w:val="37C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010BF"/>
    <w:multiLevelType w:val="multilevel"/>
    <w:tmpl w:val="46F4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A239C"/>
    <w:multiLevelType w:val="multilevel"/>
    <w:tmpl w:val="8A7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0360F"/>
    <w:multiLevelType w:val="multilevel"/>
    <w:tmpl w:val="5A8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87F6F"/>
    <w:multiLevelType w:val="multilevel"/>
    <w:tmpl w:val="15C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7664">
    <w:abstractNumId w:val="4"/>
  </w:num>
  <w:num w:numId="2" w16cid:durableId="546994193">
    <w:abstractNumId w:val="1"/>
  </w:num>
  <w:num w:numId="3" w16cid:durableId="755899172">
    <w:abstractNumId w:val="6"/>
  </w:num>
  <w:num w:numId="4" w16cid:durableId="1094669288">
    <w:abstractNumId w:val="5"/>
  </w:num>
  <w:num w:numId="5" w16cid:durableId="1006634985">
    <w:abstractNumId w:val="2"/>
  </w:num>
  <w:num w:numId="6" w16cid:durableId="498621196">
    <w:abstractNumId w:val="0"/>
  </w:num>
  <w:num w:numId="7" w16cid:durableId="128870262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C9"/>
    <w:rsid w:val="00C431C9"/>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06152"/>
  <w15:chartTrackingRefBased/>
  <w15:docId w15:val="{DB7A8478-4E41-0642-AA28-A6C7AE89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1C9"/>
    <w:rPr>
      <w:rFonts w:eastAsiaTheme="majorEastAsia" w:cstheme="majorBidi"/>
      <w:color w:val="272727" w:themeColor="text1" w:themeTint="D8"/>
    </w:rPr>
  </w:style>
  <w:style w:type="paragraph" w:styleId="Title">
    <w:name w:val="Title"/>
    <w:basedOn w:val="Normal"/>
    <w:next w:val="Normal"/>
    <w:link w:val="TitleChar"/>
    <w:uiPriority w:val="10"/>
    <w:qFormat/>
    <w:rsid w:val="00C4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1C9"/>
    <w:pPr>
      <w:spacing w:before="160"/>
      <w:jc w:val="center"/>
    </w:pPr>
    <w:rPr>
      <w:i/>
      <w:iCs/>
      <w:color w:val="404040" w:themeColor="text1" w:themeTint="BF"/>
    </w:rPr>
  </w:style>
  <w:style w:type="character" w:customStyle="1" w:styleId="QuoteChar">
    <w:name w:val="Quote Char"/>
    <w:basedOn w:val="DefaultParagraphFont"/>
    <w:link w:val="Quote"/>
    <w:uiPriority w:val="29"/>
    <w:rsid w:val="00C431C9"/>
    <w:rPr>
      <w:i/>
      <w:iCs/>
      <w:color w:val="404040" w:themeColor="text1" w:themeTint="BF"/>
    </w:rPr>
  </w:style>
  <w:style w:type="paragraph" w:styleId="ListParagraph">
    <w:name w:val="List Paragraph"/>
    <w:basedOn w:val="Normal"/>
    <w:uiPriority w:val="34"/>
    <w:qFormat/>
    <w:rsid w:val="00C431C9"/>
    <w:pPr>
      <w:ind w:left="720"/>
      <w:contextualSpacing/>
    </w:pPr>
  </w:style>
  <w:style w:type="character" w:styleId="IntenseEmphasis">
    <w:name w:val="Intense Emphasis"/>
    <w:basedOn w:val="DefaultParagraphFont"/>
    <w:uiPriority w:val="21"/>
    <w:qFormat/>
    <w:rsid w:val="00C431C9"/>
    <w:rPr>
      <w:i/>
      <w:iCs/>
      <w:color w:val="0F4761" w:themeColor="accent1" w:themeShade="BF"/>
    </w:rPr>
  </w:style>
  <w:style w:type="paragraph" w:styleId="IntenseQuote">
    <w:name w:val="Intense Quote"/>
    <w:basedOn w:val="Normal"/>
    <w:next w:val="Normal"/>
    <w:link w:val="IntenseQuoteChar"/>
    <w:uiPriority w:val="30"/>
    <w:qFormat/>
    <w:rsid w:val="00C43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1C9"/>
    <w:rPr>
      <w:i/>
      <w:iCs/>
      <w:color w:val="0F4761" w:themeColor="accent1" w:themeShade="BF"/>
    </w:rPr>
  </w:style>
  <w:style w:type="character" w:styleId="IntenseReference">
    <w:name w:val="Intense Reference"/>
    <w:basedOn w:val="DefaultParagraphFont"/>
    <w:uiPriority w:val="32"/>
    <w:qFormat/>
    <w:rsid w:val="00C43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2021</Words>
  <Characters>11521</Characters>
  <Application>Microsoft Office Word</Application>
  <DocSecurity>0</DocSecurity>
  <Lines>96</Lines>
  <Paragraphs>27</Paragraphs>
  <ScaleCrop>false</ScaleCrop>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2026-09-30T09:14:00Z</dcterms:created>
  <dcterms:modified xsi:type="dcterms:W3CDTF">2026-09-30T09:14:00Z</dcterms:modified>
</cp:coreProperties>
</file>