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A22E5" w14:textId="77777777" w:rsidR="00192219" w:rsidRPr="00192219" w:rsidRDefault="00192219" w:rsidP="00192219">
      <w:pPr>
        <w:rPr>
          <w:b/>
          <w:bCs/>
        </w:rPr>
      </w:pPr>
      <w:r w:rsidRPr="00192219">
        <w:rPr>
          <w:b/>
          <w:bCs/>
        </w:rPr>
        <w:t xml:space="preserve">Exam Revision Report: </w:t>
      </w:r>
      <w:proofErr w:type="spellStart"/>
      <w:r w:rsidRPr="00192219">
        <w:rPr>
          <w:b/>
          <w:bCs/>
        </w:rPr>
        <w:t>Tykvová</w:t>
      </w:r>
      <w:proofErr w:type="spellEnd"/>
      <w:r w:rsidRPr="00192219">
        <w:rPr>
          <w:b/>
          <w:bCs/>
        </w:rPr>
        <w:t xml:space="preserve"> &amp; Schertler (2014) on Cross-Border Venture Capital Syndication</w:t>
      </w:r>
    </w:p>
    <w:p w14:paraId="39399212" w14:textId="77777777" w:rsidR="00192219" w:rsidRPr="00192219" w:rsidRDefault="00192219" w:rsidP="00192219">
      <w:proofErr w:type="spellStart"/>
      <w:r w:rsidRPr="00192219">
        <w:t>Tykvová</w:t>
      </w:r>
      <w:proofErr w:type="spellEnd"/>
      <w:r w:rsidRPr="00192219">
        <w:t>, T., &amp; Schertler, A. (2014). Does syndication with local venture capitalists moderate the effects of geographical and institutional distance? </w:t>
      </w:r>
      <w:r w:rsidRPr="00192219">
        <w:rPr>
          <w:i/>
          <w:iCs/>
        </w:rPr>
        <w:t>Journal of International Management</w:t>
      </w:r>
      <w:r w:rsidRPr="00192219">
        <w:t>, 20(4), 406–420. http://dx.doi.org/10.1016/j.intman.2014.09.001</w:t>
      </w:r>
    </w:p>
    <w:p w14:paraId="70A57F13" w14:textId="77777777" w:rsidR="00192219" w:rsidRPr="00192219" w:rsidRDefault="00192219" w:rsidP="00192219">
      <w:pPr>
        <w:rPr>
          <w:b/>
          <w:bCs/>
        </w:rPr>
      </w:pPr>
      <w:r w:rsidRPr="00192219">
        <w:rPr>
          <w:b/>
          <w:bCs/>
        </w:rPr>
        <w:t>1. Introduction and Core Research Problem</w:t>
      </w:r>
    </w:p>
    <w:p w14:paraId="1808E122" w14:textId="77777777" w:rsidR="00192219" w:rsidRPr="00192219" w:rsidRDefault="00192219" w:rsidP="00192219">
      <w:r w:rsidRPr="00192219">
        <w:t>Cross-border venture capital (VC) investments expand entrepreneurial financing globally, but spatial and institutional boundaries introduce severe operational friction. Because active venture capital governance requires continuous monitoring, intensive screening, and complex financial contracting, evaluating mechanisms that mitigate cross-border distance barriers is central to international corporate finance and corporate governance.</w:t>
      </w:r>
    </w:p>
    <w:p w14:paraId="27B1981D" w14:textId="77777777" w:rsidR="00192219" w:rsidRPr="00192219" w:rsidRDefault="00192219" w:rsidP="00192219">
      <w:pPr>
        <w:numPr>
          <w:ilvl w:val="0"/>
          <w:numId w:val="1"/>
        </w:numPr>
      </w:pPr>
      <w:r w:rsidRPr="00192219">
        <w:t>Evaluates whether </w:t>
      </w:r>
      <w:r w:rsidRPr="00192219">
        <w:rPr>
          <w:b/>
          <w:bCs/>
        </w:rPr>
        <w:t>syndication</w:t>
      </w:r>
      <w:r w:rsidRPr="00192219">
        <w:t> with a </w:t>
      </w:r>
      <w:proofErr w:type="gramStart"/>
      <w:r w:rsidRPr="00192219">
        <w:rPr>
          <w:b/>
          <w:bCs/>
        </w:rPr>
        <w:t>local VC</w:t>
      </w:r>
      <w:r w:rsidRPr="00192219">
        <w:t> acts</w:t>
      </w:r>
      <w:proofErr w:type="gramEnd"/>
      <w:r w:rsidRPr="00192219">
        <w:t xml:space="preserve"> as a moderating mechanism to reduce the cross-border investment obstacles caused by </w:t>
      </w:r>
      <w:r w:rsidRPr="00192219">
        <w:rPr>
          <w:b/>
          <w:bCs/>
        </w:rPr>
        <w:t>geographical distance</w:t>
      </w:r>
      <w:r w:rsidRPr="00192219">
        <w:t> and </w:t>
      </w:r>
      <w:r w:rsidRPr="00192219">
        <w:rPr>
          <w:b/>
          <w:bCs/>
        </w:rPr>
        <w:t>institutional distance</w:t>
      </w:r>
      <w:r w:rsidRPr="00192219">
        <w:t> for a </w:t>
      </w:r>
      <w:r w:rsidRPr="00192219">
        <w:rPr>
          <w:b/>
          <w:bCs/>
        </w:rPr>
        <w:t>foreign VC</w:t>
      </w:r>
      <w:r w:rsidRPr="00192219">
        <w:t>.</w:t>
      </w:r>
    </w:p>
    <w:p w14:paraId="6325644E" w14:textId="77777777" w:rsidR="00192219" w:rsidRPr="00192219" w:rsidRDefault="00192219" w:rsidP="00192219">
      <w:pPr>
        <w:numPr>
          <w:ilvl w:val="0"/>
          <w:numId w:val="1"/>
        </w:numPr>
      </w:pPr>
      <w:r w:rsidRPr="00192219">
        <w:t>Documents extensive internationalization: between 2000 and 2008, every third VC invested abroad, with cross-border deals representing </w:t>
      </w:r>
      <w:r w:rsidRPr="00192219">
        <w:rPr>
          <w:b/>
          <w:bCs/>
        </w:rPr>
        <w:t>33.5%</w:t>
      </w:r>
      <w:r w:rsidRPr="00192219">
        <w:t> of global VC volume (7,947 cross-border deals out of 23,826 total deals).</w:t>
      </w:r>
    </w:p>
    <w:p w14:paraId="2C85E106" w14:textId="77777777" w:rsidR="00192219" w:rsidRPr="00192219" w:rsidRDefault="00192219" w:rsidP="00192219">
      <w:pPr>
        <w:numPr>
          <w:ilvl w:val="0"/>
          <w:numId w:val="1"/>
        </w:numPr>
      </w:pPr>
      <w:r w:rsidRPr="00192219">
        <w:t>Frames operational friction: active VC governance requires intense information collection, specialized contracting, and frequent personal interactions, all severely obstructed by physical separation and institutional divergence.</w:t>
      </w:r>
    </w:p>
    <w:p w14:paraId="2716711B" w14:textId="77777777" w:rsidR="00192219" w:rsidRPr="00192219" w:rsidRDefault="00192219" w:rsidP="00192219">
      <w:pPr>
        <w:numPr>
          <w:ilvl w:val="0"/>
          <w:numId w:val="1"/>
        </w:numPr>
      </w:pPr>
      <w:r w:rsidRPr="00192219">
        <w:t>Delineates the strategic solution: foreign investors partner with local VCs as local guides who offer deal flow access, superior monitoring capacity, lower information search costs, and optimal risk allocation.</w:t>
      </w:r>
    </w:p>
    <w:p w14:paraId="22FDEF0E" w14:textId="77777777" w:rsidR="00192219" w:rsidRPr="00192219" w:rsidRDefault="00192219" w:rsidP="00192219">
      <w:pPr>
        <w:numPr>
          <w:ilvl w:val="0"/>
          <w:numId w:val="1"/>
        </w:numPr>
      </w:pPr>
      <w:r w:rsidRPr="00192219">
        <w:t>Highlights the empirical thesis: findings reveal a stark asymmetry—local VC syndication successfully mitigates geographical distance obstacles but fails to alleviate institutional distance friction.</w:t>
      </w:r>
    </w:p>
    <w:p w14:paraId="02C8A230" w14:textId="77777777" w:rsidR="00192219" w:rsidRPr="00192219" w:rsidRDefault="00192219" w:rsidP="00192219">
      <w:r w:rsidRPr="00192219">
        <w:rPr>
          <w:b/>
          <w:bCs/>
        </w:rPr>
        <w:t>Takeaway: Syndication with local venture capitalists successfully moderates the negative impact of geographical distance on cross-border investment likelihood, but it fails to mitigate the friction caused by institutional distance.</w:t>
      </w:r>
    </w:p>
    <w:p w14:paraId="6602C475" w14:textId="77777777" w:rsidR="00192219" w:rsidRPr="00192219" w:rsidRDefault="00192219" w:rsidP="00192219">
      <w:r w:rsidRPr="00192219">
        <w:t>This empirical asymmetry in international deal structures necessitates examining the theoretical mechanisms governing spatial and institutional friction.</w:t>
      </w:r>
    </w:p>
    <w:p w14:paraId="13379F1D" w14:textId="77777777" w:rsidR="00192219" w:rsidRPr="00192219" w:rsidRDefault="00192219" w:rsidP="00192219">
      <w:pPr>
        <w:rPr>
          <w:b/>
          <w:bCs/>
        </w:rPr>
      </w:pPr>
      <w:r w:rsidRPr="00192219">
        <w:rPr>
          <w:b/>
          <w:bCs/>
        </w:rPr>
        <w:t>2. Theoretical Framework and Hypotheses Development</w:t>
      </w:r>
    </w:p>
    <w:p w14:paraId="57DFE783" w14:textId="77777777" w:rsidR="00192219" w:rsidRPr="00192219" w:rsidRDefault="00192219" w:rsidP="00192219">
      <w:r w:rsidRPr="00192219">
        <w:lastRenderedPageBreak/>
        <w:t>The theoretical rationale for cross-border syndication rests on the interplay between </w:t>
      </w:r>
      <w:r w:rsidRPr="00192219">
        <w:rPr>
          <w:b/>
          <w:bCs/>
        </w:rPr>
        <w:t>agency costs</w:t>
      </w:r>
      <w:r w:rsidRPr="00192219">
        <w:t>, </w:t>
      </w:r>
      <w:r w:rsidRPr="00192219">
        <w:rPr>
          <w:b/>
          <w:bCs/>
        </w:rPr>
        <w:t>transaction cost economics</w:t>
      </w:r>
      <w:r w:rsidRPr="00192219">
        <w:t>, and institutional friction. Physical separation inflates monitoring expenses, while institutional disparities create contractual ambiguity and co-investor agency risks.</w:t>
      </w:r>
    </w:p>
    <w:p w14:paraId="43C16D79" w14:textId="77777777" w:rsidR="00192219" w:rsidRPr="00192219" w:rsidRDefault="00192219" w:rsidP="00192219">
      <w:pPr>
        <w:rPr>
          <w:b/>
          <w:bCs/>
        </w:rPr>
      </w:pPr>
      <w:r w:rsidRPr="00192219">
        <w:rPr>
          <w:b/>
          <w:bCs/>
        </w:rPr>
        <w:t>2.1 Geographical Distance and Local VC Moderation</w:t>
      </w:r>
    </w:p>
    <w:p w14:paraId="6E918F79" w14:textId="77777777" w:rsidR="00192219" w:rsidRPr="00192219" w:rsidRDefault="00192219" w:rsidP="00192219">
      <w:pPr>
        <w:numPr>
          <w:ilvl w:val="0"/>
          <w:numId w:val="2"/>
        </w:numPr>
      </w:pPr>
      <w:r w:rsidRPr="00192219">
        <w:t>Physical separation inflates screening costs, travel overhead, and interaction expenses, compelling risk-averse foreign VCs to demand higher expected returns and lowering cross-border deal likelihood.</w:t>
      </w:r>
    </w:p>
    <w:p w14:paraId="613A10F6" w14:textId="77777777" w:rsidR="00192219" w:rsidRPr="00192219" w:rsidRDefault="00192219" w:rsidP="00192219">
      <w:pPr>
        <w:numPr>
          <w:ilvl w:val="0"/>
          <w:numId w:val="2"/>
        </w:numPr>
      </w:pPr>
      <w:r w:rsidRPr="00192219">
        <w:t>Local VCs operate at a median distance of </w:t>
      </w:r>
      <w:r w:rsidRPr="00192219">
        <w:rPr>
          <w:b/>
          <w:bCs/>
        </w:rPr>
        <w:t>22 miles</w:t>
      </w:r>
      <w:r w:rsidRPr="00192219">
        <w:t> from the entrepreneurial firm (</w:t>
      </w:r>
      <w:r w:rsidRPr="00192219">
        <w:rPr>
          <w:b/>
          <w:bCs/>
        </w:rPr>
        <w:t>EF</w:t>
      </w:r>
      <w:r w:rsidRPr="00192219">
        <w:t>), placing them in an optimal position to lead syndicate monitoring, reduce travel overhead, and handle daily governance.</w:t>
      </w:r>
    </w:p>
    <w:p w14:paraId="0BA99EE3" w14:textId="77777777" w:rsidR="00192219" w:rsidRPr="00192219" w:rsidRDefault="00192219" w:rsidP="00192219">
      <w:pPr>
        <w:numPr>
          <w:ilvl w:val="0"/>
          <w:numId w:val="2"/>
        </w:numPr>
      </w:pPr>
      <w:r w:rsidRPr="00192219">
        <w:t>Hypothesis 1 (</w:t>
      </w:r>
      <w:r w:rsidRPr="00192219">
        <w:rPr>
          <w:b/>
          <w:bCs/>
        </w:rPr>
        <w:t>H1</w:t>
      </w:r>
      <w:r w:rsidRPr="00192219">
        <w:t>): </w:t>
      </w:r>
      <w:r w:rsidRPr="00192219">
        <w:rPr>
          <w:i/>
          <w:iCs/>
        </w:rPr>
        <w:t>The geographical distance between a foreign VC and an EF affects investment likelihood less negatively when a local VC is involved than when the foreign VC invests alone.</w:t>
      </w:r>
    </w:p>
    <w:p w14:paraId="05412510" w14:textId="77777777" w:rsidR="00192219" w:rsidRPr="00192219" w:rsidRDefault="00192219" w:rsidP="00192219">
      <w:r w:rsidRPr="00192219">
        <w:rPr>
          <w:b/>
          <w:bCs/>
        </w:rPr>
        <w:t>Takeaway: Local venture capitalists possess proximity advantages that absorb monitoring and travel overhead, effectively bridging physical separation.</w:t>
      </w:r>
    </w:p>
    <w:p w14:paraId="2F378BF0" w14:textId="77777777" w:rsidR="00192219" w:rsidRPr="00192219" w:rsidRDefault="00192219" w:rsidP="00192219">
      <w:pPr>
        <w:rPr>
          <w:b/>
          <w:bCs/>
        </w:rPr>
      </w:pPr>
      <w:r w:rsidRPr="00192219">
        <w:rPr>
          <w:b/>
          <w:bCs/>
        </w:rPr>
        <w:t>2.2 Institutional Distance Pillars and Local VC Moderation</w:t>
      </w:r>
    </w:p>
    <w:p w14:paraId="010047B7" w14:textId="77777777" w:rsidR="00192219" w:rsidRPr="00192219" w:rsidRDefault="00192219" w:rsidP="00192219">
      <w:pPr>
        <w:numPr>
          <w:ilvl w:val="0"/>
          <w:numId w:val="3"/>
        </w:numPr>
      </w:pPr>
      <w:r w:rsidRPr="00192219">
        <w:t>Following </w:t>
      </w:r>
      <w:r w:rsidRPr="00192219">
        <w:rPr>
          <w:b/>
          <w:bCs/>
        </w:rPr>
        <w:t>Scott's Institutional Theory</w:t>
      </w:r>
      <w:r w:rsidRPr="00192219">
        <w:t> framework, country institutional profiles are decomposed into three distinct pillars: the </w:t>
      </w:r>
      <w:r w:rsidRPr="00192219">
        <w:rPr>
          <w:b/>
          <w:bCs/>
        </w:rPr>
        <w:t>regulative pillar</w:t>
      </w:r>
      <w:r w:rsidRPr="00192219">
        <w:t> (formal laws, legal enforcement, shareholder rights), the </w:t>
      </w:r>
      <w:r w:rsidRPr="00192219">
        <w:rPr>
          <w:b/>
          <w:bCs/>
        </w:rPr>
        <w:t xml:space="preserve">normative </w:t>
      </w:r>
      <w:proofErr w:type="gramStart"/>
      <w:r w:rsidRPr="00192219">
        <w:rPr>
          <w:b/>
          <w:bCs/>
        </w:rPr>
        <w:t>pillar</w:t>
      </w:r>
      <w:r w:rsidRPr="00192219">
        <w:t>(</w:t>
      </w:r>
      <w:proofErr w:type="gramEnd"/>
      <w:r w:rsidRPr="00192219">
        <w:t>societal beliefs, values, Hofstede dimensions), and the </w:t>
      </w:r>
      <w:r w:rsidRPr="00192219">
        <w:rPr>
          <w:b/>
          <w:bCs/>
        </w:rPr>
        <w:t>cognitive pillar</w:t>
      </w:r>
      <w:r w:rsidRPr="00192219">
        <w:t> (shared social knowledge, national education levels).</w:t>
      </w:r>
    </w:p>
    <w:p w14:paraId="02CBDC93" w14:textId="77777777" w:rsidR="00192219" w:rsidRPr="00192219" w:rsidRDefault="00192219" w:rsidP="00192219">
      <w:pPr>
        <w:numPr>
          <w:ilvl w:val="0"/>
          <w:numId w:val="3"/>
        </w:numPr>
      </w:pPr>
      <w:r w:rsidRPr="00192219">
        <w:t>Regulative distance creates friction because formal legal disparities restrict foreign VCs from transferring home-country contracting templates (e.g., liquidation preferences, board control structures), raising unfamiliarity risks.</w:t>
      </w:r>
    </w:p>
    <w:p w14:paraId="61D9A381" w14:textId="77777777" w:rsidR="00192219" w:rsidRPr="00192219" w:rsidRDefault="00192219" w:rsidP="00192219">
      <w:pPr>
        <w:numPr>
          <w:ilvl w:val="0"/>
          <w:numId w:val="3"/>
        </w:numPr>
      </w:pPr>
      <w:r w:rsidRPr="00192219">
        <w:t>Normative and cognitive distances generate communication barriers, erode mutual trust between co-investors and founders, and impede operational guidance due to divergent societal values and educational backgrounds.</w:t>
      </w:r>
    </w:p>
    <w:p w14:paraId="756288BA" w14:textId="77777777" w:rsidR="00192219" w:rsidRPr="00192219" w:rsidRDefault="00192219" w:rsidP="00192219">
      <w:pPr>
        <w:numPr>
          <w:ilvl w:val="0"/>
          <w:numId w:val="3"/>
        </w:numPr>
      </w:pPr>
      <w:r w:rsidRPr="00192219">
        <w:t>Hypothesis 2 (</w:t>
      </w:r>
      <w:r w:rsidRPr="00192219">
        <w:rPr>
          <w:b/>
          <w:bCs/>
        </w:rPr>
        <w:t>H2</w:t>
      </w:r>
      <w:r w:rsidRPr="00192219">
        <w:t>): </w:t>
      </w:r>
      <w:r w:rsidRPr="00192219">
        <w:rPr>
          <w:i/>
          <w:iCs/>
        </w:rPr>
        <w:t>The institutional (regulative, normative, cognitive) distance between a foreign VC and an EF affects investment likelihood less negatively when a local VC is involved than when the foreign VC invests alone.</w:t>
      </w:r>
    </w:p>
    <w:p w14:paraId="602438A3" w14:textId="77777777" w:rsidR="00192219" w:rsidRPr="00192219" w:rsidRDefault="00192219" w:rsidP="00192219">
      <w:r w:rsidRPr="00192219">
        <w:rPr>
          <w:b/>
          <w:bCs/>
        </w:rPr>
        <w:t>Takeaway: Institutional differences across legal, cultural, and educational pillars were hypothesized to require local partner moderation to reduce transaction risks.</w:t>
      </w:r>
    </w:p>
    <w:p w14:paraId="689DA2CC" w14:textId="77777777" w:rsidR="00192219" w:rsidRPr="00192219" w:rsidRDefault="00192219" w:rsidP="00192219">
      <w:r w:rsidRPr="00192219">
        <w:lastRenderedPageBreak/>
        <w:t>Testing these theoretical hypotheses requires micro-level dyadic deal data and precise variable operationalization.</w:t>
      </w:r>
    </w:p>
    <w:p w14:paraId="027B674C" w14:textId="77777777" w:rsidR="00192219" w:rsidRPr="00192219" w:rsidRDefault="00192219" w:rsidP="00192219">
      <w:pPr>
        <w:rPr>
          <w:b/>
          <w:bCs/>
        </w:rPr>
      </w:pPr>
      <w:r w:rsidRPr="00192219">
        <w:rPr>
          <w:b/>
          <w:bCs/>
        </w:rPr>
        <w:t>3. Data Construction, Methodology, and Variables</w:t>
      </w:r>
    </w:p>
    <w:p w14:paraId="53367366" w14:textId="77777777" w:rsidR="00192219" w:rsidRPr="00192219" w:rsidRDefault="00192219" w:rsidP="00192219">
      <w:r w:rsidRPr="00192219">
        <w:t>Empirical evaluation relies on global micro-level deal dyads rather than macro country-level capital flows, isolating individual syndication choices from national macroeconomic trends.</w:t>
      </w:r>
    </w:p>
    <w:p w14:paraId="6AF5F103" w14:textId="77777777" w:rsidR="00192219" w:rsidRPr="00192219" w:rsidRDefault="00192219" w:rsidP="00192219">
      <w:pPr>
        <w:rPr>
          <w:b/>
          <w:bCs/>
        </w:rPr>
      </w:pPr>
      <w:r w:rsidRPr="00192219">
        <w:rPr>
          <w:b/>
          <w:bCs/>
        </w:rPr>
        <w:t>3.1 Sample Scope and Dyad Methodology</w:t>
      </w:r>
    </w:p>
    <w:p w14:paraId="782BF294" w14:textId="77777777" w:rsidR="00192219" w:rsidRPr="00192219" w:rsidRDefault="00192219" w:rsidP="00192219">
      <w:pPr>
        <w:numPr>
          <w:ilvl w:val="0"/>
          <w:numId w:val="4"/>
        </w:numPr>
      </w:pPr>
      <w:r w:rsidRPr="00192219">
        <w:t>Micro-data from the </w:t>
      </w:r>
      <w:r w:rsidRPr="00192219">
        <w:rPr>
          <w:b/>
          <w:bCs/>
        </w:rPr>
        <w:t>Bureau van Dijk Zephyr database</w:t>
      </w:r>
      <w:r w:rsidRPr="00192219">
        <w:t> (2000–2008, 48 countries) offers lower US home bias and superior deal volume disclosure compared to Thomson VentureXpert.</w:t>
      </w:r>
    </w:p>
    <w:p w14:paraId="49060696" w14:textId="77777777" w:rsidR="00192219" w:rsidRPr="00192219" w:rsidRDefault="00192219" w:rsidP="00192219">
      <w:pPr>
        <w:numPr>
          <w:ilvl w:val="0"/>
          <w:numId w:val="4"/>
        </w:numPr>
      </w:pPr>
      <w:r w:rsidRPr="00192219">
        <w:t>Filtering out financial sectors, corporate VCs, and governmental VCs yields </w:t>
      </w:r>
      <w:r w:rsidRPr="00192219">
        <w:rPr>
          <w:b/>
          <w:bCs/>
        </w:rPr>
        <w:t>23,826 deals</w:t>
      </w:r>
      <w:r w:rsidRPr="00192219">
        <w:t> and </w:t>
      </w:r>
      <w:r w:rsidRPr="00192219">
        <w:rPr>
          <w:b/>
          <w:bCs/>
        </w:rPr>
        <w:t>58,377 VC-deal dyads</w:t>
      </w:r>
      <w:r w:rsidRPr="00192219">
        <w:t>. Foreign-local syndicates represent </w:t>
      </w:r>
      <w:r w:rsidRPr="00192219">
        <w:rPr>
          <w:b/>
          <w:bCs/>
        </w:rPr>
        <w:t>56.9%</w:t>
      </w:r>
      <w:r w:rsidRPr="00192219">
        <w:t> (4,523 deals), stand-alone foreign deals </w:t>
      </w:r>
      <w:r w:rsidRPr="00192219">
        <w:rPr>
          <w:b/>
          <w:bCs/>
        </w:rPr>
        <w:t>35.0%</w:t>
      </w:r>
      <w:r w:rsidRPr="00192219">
        <w:t> (2,779 deals), and foreign-only syndicates </w:t>
      </w:r>
      <w:r w:rsidRPr="00192219">
        <w:rPr>
          <w:b/>
          <w:bCs/>
        </w:rPr>
        <w:t>8.1%</w:t>
      </w:r>
      <w:r w:rsidRPr="00192219">
        <w:t> (645 deals).</w:t>
      </w:r>
    </w:p>
    <w:p w14:paraId="073774D9" w14:textId="77777777" w:rsidR="00192219" w:rsidRPr="00192219" w:rsidRDefault="00192219" w:rsidP="00192219">
      <w:pPr>
        <w:numPr>
          <w:ilvl w:val="0"/>
          <w:numId w:val="4"/>
        </w:numPr>
      </w:pPr>
      <w:r w:rsidRPr="00192219">
        <w:t>The </w:t>
      </w:r>
      <w:r w:rsidRPr="00192219">
        <w:rPr>
          <w:b/>
          <w:bCs/>
        </w:rPr>
        <w:t>Pairwise Combination Approach (PCA)</w:t>
      </w:r>
      <w:r w:rsidRPr="00192219">
        <w:t> generates ~28 million potential dyads for deal fixed-effect estimation.</w:t>
      </w:r>
    </w:p>
    <w:p w14:paraId="758A5FD4" w14:textId="77777777" w:rsidR="00192219" w:rsidRPr="00192219" w:rsidRDefault="00192219" w:rsidP="00192219">
      <w:pPr>
        <w:numPr>
          <w:ilvl w:val="0"/>
          <w:numId w:val="4"/>
        </w:numPr>
      </w:pPr>
      <w:r w:rsidRPr="00192219">
        <w:t>PCA combined with deal fixed effects is methodologically superior because it eliminates unobserved firm-, industry-, deal-, and host-country heterogeneity while avoiding severe sample selection bias inherent in 1:1 Propensity Score Matching (which discarded over 70% of valid cross-border dyads due to missing firm-level covariates).</w:t>
      </w:r>
    </w:p>
    <w:p w14:paraId="588B2E4B" w14:textId="77777777" w:rsidR="00192219" w:rsidRPr="00192219" w:rsidRDefault="00192219" w:rsidP="00192219">
      <w:pPr>
        <w:numPr>
          <w:ilvl w:val="0"/>
          <w:numId w:val="4"/>
        </w:numPr>
      </w:pPr>
      <w:r w:rsidRPr="00192219">
        <w:t>The baseline PCA estimation utilizes </w:t>
      </w:r>
      <w:r w:rsidRPr="00192219">
        <w:rPr>
          <w:b/>
          <w:bCs/>
        </w:rPr>
        <w:t>2,647 existing cross-border dyads</w:t>
      </w:r>
      <w:r w:rsidRPr="00192219">
        <w:t> across 2,064 deals, whereas the matched logit sample drops to </w:t>
      </w:r>
      <w:r w:rsidRPr="00192219">
        <w:rPr>
          <w:b/>
          <w:bCs/>
        </w:rPr>
        <w:t>786 existing dyads</w:t>
      </w:r>
      <w:r w:rsidRPr="00192219">
        <w:t> (1,572 total observations across 571 deals).</w:t>
      </w:r>
    </w:p>
    <w:p w14:paraId="6E7BCAD6" w14:textId="77777777" w:rsidR="00192219" w:rsidRPr="00192219" w:rsidRDefault="00192219" w:rsidP="00192219">
      <w:r w:rsidRPr="00192219">
        <w:rPr>
          <w:b/>
          <w:bCs/>
        </w:rPr>
        <w:t>Takeaway: Micro-level dyadic data paired with deal fixed-effect modeling eliminates unobserved cross-sectional heterogeneity while preserving sample representativeness.</w:t>
      </w:r>
    </w:p>
    <w:p w14:paraId="1E215A8C" w14:textId="77777777" w:rsidR="00192219" w:rsidRPr="00192219" w:rsidRDefault="00192219" w:rsidP="00192219">
      <w:pPr>
        <w:rPr>
          <w:b/>
          <w:bCs/>
        </w:rPr>
      </w:pPr>
      <w:r w:rsidRPr="00192219">
        <w:rPr>
          <w:b/>
          <w:bCs/>
        </w:rPr>
        <w:t>3.2 Variable Definitions and Operationalization</w:t>
      </w:r>
    </w:p>
    <w:p w14:paraId="009B686E" w14:textId="77777777" w:rsidR="00192219" w:rsidRPr="00192219" w:rsidRDefault="00192219" w:rsidP="00192219">
      <w:pPr>
        <w:numPr>
          <w:ilvl w:val="0"/>
          <w:numId w:val="5"/>
        </w:numPr>
      </w:pPr>
      <w:r w:rsidRPr="00192219">
        <w:rPr>
          <w:b/>
          <w:bCs/>
        </w:rPr>
        <w:t>Geographical Distance</w:t>
      </w:r>
      <w:r w:rsidRPr="00192219">
        <w:t> is calculated via </w:t>
      </w:r>
      <w:r w:rsidRPr="00192219">
        <w:rPr>
          <w:b/>
          <w:bCs/>
        </w:rPr>
        <w:t>Vincenty's formula</w:t>
      </w:r>
      <w:r w:rsidRPr="00192219">
        <w:t> using exact latitude/longitude zip-code coordinates and enters models as a natural logarithm (\ln(\text{distance})) to capture non-linear effects (mean foreign distance: ~2,700 miles; median foreign-local syndicate distance: 3,272 miles).</w:t>
      </w:r>
    </w:p>
    <w:p w14:paraId="650206F2" w14:textId="77777777" w:rsidR="00192219" w:rsidRPr="00192219" w:rsidRDefault="00192219" w:rsidP="00192219">
      <w:pPr>
        <w:numPr>
          <w:ilvl w:val="0"/>
          <w:numId w:val="5"/>
        </w:numPr>
      </w:pPr>
      <w:r w:rsidRPr="00192219">
        <w:rPr>
          <w:b/>
          <w:bCs/>
        </w:rPr>
        <w:lastRenderedPageBreak/>
        <w:t>Regulative Distance</w:t>
      </w:r>
      <w:r w:rsidRPr="00192219">
        <w:t> is constructed as an absolute difference index based on </w:t>
      </w:r>
      <w:r w:rsidRPr="00192219">
        <w:rPr>
          <w:b/>
          <w:bCs/>
        </w:rPr>
        <w:t>Berkowitz et al. indices</w:t>
      </w:r>
      <w:r w:rsidRPr="00192219">
        <w:t> (judicial efficiency, rule of law, corruption, expropriation risk, contract repudiation, shareholder rights).</w:t>
      </w:r>
    </w:p>
    <w:p w14:paraId="19D15A98" w14:textId="77777777" w:rsidR="00192219" w:rsidRPr="00192219" w:rsidRDefault="00192219" w:rsidP="00192219">
      <w:pPr>
        <w:numPr>
          <w:ilvl w:val="0"/>
          <w:numId w:val="5"/>
        </w:numPr>
      </w:pPr>
      <w:r w:rsidRPr="00192219">
        <w:rPr>
          <w:b/>
          <w:bCs/>
        </w:rPr>
        <w:t>Normative Distance</w:t>
      </w:r>
      <w:r w:rsidRPr="00192219">
        <w:t> is measured using a modified 5-dimension </w:t>
      </w:r>
      <w:r w:rsidRPr="00192219">
        <w:rPr>
          <w:b/>
          <w:bCs/>
        </w:rPr>
        <w:t>Kogut and Singh index</w:t>
      </w:r>
      <w:r w:rsidRPr="00192219">
        <w:t> incorporating Hofstede's dimensions (power distance, individualism, masculinity, uncertainty avoidance, long-term orientation).</w:t>
      </w:r>
    </w:p>
    <w:p w14:paraId="0F8D2EA5" w14:textId="77777777" w:rsidR="00192219" w:rsidRPr="00192219" w:rsidRDefault="00192219" w:rsidP="00192219">
      <w:pPr>
        <w:numPr>
          <w:ilvl w:val="0"/>
          <w:numId w:val="5"/>
        </w:numPr>
      </w:pPr>
      <w:r w:rsidRPr="00192219">
        <w:rPr>
          <w:b/>
          <w:bCs/>
        </w:rPr>
        <w:t>Cognitive Distance</w:t>
      </w:r>
      <w:r w:rsidRPr="00192219">
        <w:t> is defined as a 3-dimension index using IMD World Competitiveness dataset indicators (secondary school enrollment, higher education achievement, total public education spending).</w:t>
      </w:r>
    </w:p>
    <w:p w14:paraId="364336F9" w14:textId="77777777" w:rsidR="00192219" w:rsidRPr="00192219" w:rsidRDefault="00192219" w:rsidP="00192219">
      <w:pPr>
        <w:numPr>
          <w:ilvl w:val="0"/>
          <w:numId w:val="5"/>
        </w:numPr>
      </w:pPr>
      <w:r w:rsidRPr="00192219">
        <w:t>Key control variables include </w:t>
      </w:r>
      <w:r w:rsidRPr="00192219">
        <w:rPr>
          <w:b/>
          <w:bCs/>
        </w:rPr>
        <w:t>newcomer</w:t>
      </w:r>
      <w:r w:rsidRPr="00192219">
        <w:t> status (no investment in host country in prior 3 years), </w:t>
      </w:r>
      <w:r w:rsidRPr="00192219">
        <w:rPr>
          <w:b/>
          <w:bCs/>
        </w:rPr>
        <w:t>repeated relationship</w:t>
      </w:r>
      <w:r w:rsidRPr="00192219">
        <w:t> (prior joint deal with local VC in past 3 years; present in 67% of foreign-local syndicates), and 3-year rolling </w:t>
      </w:r>
      <w:r w:rsidRPr="00192219">
        <w:rPr>
          <w:b/>
          <w:bCs/>
        </w:rPr>
        <w:t>experience</w:t>
      </w:r>
      <w:r w:rsidRPr="00192219">
        <w:t> metrics.</w:t>
      </w:r>
    </w:p>
    <w:p w14:paraId="4BA0CFCA" w14:textId="77777777" w:rsidR="00192219" w:rsidRPr="00192219" w:rsidRDefault="00192219" w:rsidP="00192219">
      <w:r w:rsidRPr="00192219">
        <w:rPr>
          <w:b/>
          <w:bCs/>
        </w:rPr>
        <w:t>Takeaway: Precise multi-dimensional distance metrics enable granular empirical distinction between spatial, legal, cultural, and educational barriers.</w:t>
      </w:r>
    </w:p>
    <w:p w14:paraId="73505059" w14:textId="77777777" w:rsidR="00192219" w:rsidRPr="00192219" w:rsidRDefault="00192219" w:rsidP="00192219">
      <w:r w:rsidRPr="00192219">
        <w:t>These operationalized variables are evaluated using deal fixed-effect econometric specifications to test H1 and H2.</w:t>
      </w:r>
    </w:p>
    <w:p w14:paraId="6B27499C" w14:textId="77777777" w:rsidR="00192219" w:rsidRPr="00192219" w:rsidRDefault="00192219" w:rsidP="00192219">
      <w:pPr>
        <w:rPr>
          <w:b/>
          <w:bCs/>
        </w:rPr>
      </w:pPr>
      <w:r w:rsidRPr="00192219">
        <w:rPr>
          <w:b/>
          <w:bCs/>
        </w:rPr>
        <w:t>4. Empirical Results and Hypothesis Testing</w:t>
      </w:r>
    </w:p>
    <w:p w14:paraId="5D3FD96F" w14:textId="77777777" w:rsidR="00192219" w:rsidRPr="00192219" w:rsidRDefault="00192219" w:rsidP="00192219">
      <w:r w:rsidRPr="00192219">
        <w:t>The econometric setup applies a </w:t>
      </w:r>
      <w:r w:rsidRPr="00192219">
        <w:rPr>
          <w:b/>
          <w:bCs/>
        </w:rPr>
        <w:t>conditional logit model</w:t>
      </w:r>
      <w:r w:rsidRPr="00192219">
        <w:t> incorporating </w:t>
      </w:r>
      <w:r w:rsidRPr="00192219">
        <w:rPr>
          <w:b/>
          <w:bCs/>
        </w:rPr>
        <w:t>deal fixed effects</w:t>
      </w:r>
      <w:r w:rsidRPr="00192219">
        <w:t>, absorbing all deal-, firm-, industry-, and host-country unobserved heterogeneity.</w:t>
      </w:r>
    </w:p>
    <w:p w14:paraId="75856996" w14:textId="77777777" w:rsidR="00192219" w:rsidRPr="00192219" w:rsidRDefault="00192219" w:rsidP="00192219">
      <w:pPr>
        <w:rPr>
          <w:b/>
          <w:bCs/>
        </w:rPr>
      </w:pPr>
      <w:r w:rsidRPr="00192219">
        <w:rPr>
          <w:b/>
          <w:bCs/>
        </w:rPr>
        <w:t>4.1 Econometric Model and Findings</w:t>
      </w:r>
    </w:p>
    <w:p w14:paraId="1A309FC6" w14:textId="77777777" w:rsidR="00192219" w:rsidRPr="00192219" w:rsidRDefault="00192219" w:rsidP="00192219">
      <w:pPr>
        <w:numPr>
          <w:ilvl w:val="0"/>
          <w:numId w:val="6"/>
        </w:numPr>
      </w:pPr>
      <w:r w:rsidRPr="00192219">
        <w:rPr>
          <w:b/>
          <w:bCs/>
        </w:rPr>
        <w:t>H1 (Geographical Distance Moderation - Supported)</w:t>
      </w:r>
      <w:r w:rsidRPr="00192219">
        <w:t>: Doubling geographical distance decreases investment probability by </w:t>
      </w:r>
      <w:r w:rsidRPr="00192219">
        <w:rPr>
          <w:b/>
          <w:bCs/>
        </w:rPr>
        <w:t>0.21 percentage points</w:t>
      </w:r>
      <w:r w:rsidRPr="00192219">
        <w:t> in stand-alone foreign deals, but only by </w:t>
      </w:r>
      <w:r w:rsidRPr="00192219">
        <w:rPr>
          <w:b/>
          <w:bCs/>
        </w:rPr>
        <w:t>0.07 percentage points</w:t>
      </w:r>
      <w:r w:rsidRPr="00192219">
        <w:t> in foreign-local syndicates (p &lt; 0.10).</w:t>
      </w:r>
    </w:p>
    <w:p w14:paraId="566E2135" w14:textId="77777777" w:rsidR="00192219" w:rsidRPr="00192219" w:rsidRDefault="00192219" w:rsidP="00192219">
      <w:pPr>
        <w:numPr>
          <w:ilvl w:val="0"/>
          <w:numId w:val="6"/>
        </w:numPr>
      </w:pPr>
      <w:r w:rsidRPr="00192219">
        <w:rPr>
          <w:b/>
          <w:bCs/>
        </w:rPr>
        <w:t>H2 (Institutional Distance Moderation - Rejected)</w:t>
      </w:r>
      <w:r w:rsidRPr="00192219">
        <w:t>: Across regulative, normative, and cognitive pillars, marginal effects show no statistically significant difference between stand-alone foreign deals and foreign-local syndicates.</w:t>
      </w:r>
    </w:p>
    <w:p w14:paraId="59FCC385" w14:textId="77777777" w:rsidR="00192219" w:rsidRPr="00192219" w:rsidRDefault="00192219" w:rsidP="00192219">
      <w:pPr>
        <w:numPr>
          <w:ilvl w:val="0"/>
          <w:numId w:val="6"/>
        </w:numPr>
      </w:pPr>
      <w:r w:rsidRPr="00192219">
        <w:t>General experience, industry experience, and especially </w:t>
      </w:r>
      <w:r w:rsidRPr="00192219">
        <w:rPr>
          <w:b/>
          <w:bCs/>
        </w:rPr>
        <w:t>repeated relationships</w:t>
      </w:r>
      <w:r w:rsidRPr="00192219">
        <w:t> (+0.008 to +0.012 marginal likelihood) significantly increase cross-border deal probability, whereas </w:t>
      </w:r>
      <w:r w:rsidRPr="00192219">
        <w:rPr>
          <w:b/>
          <w:bCs/>
        </w:rPr>
        <w:t>newcomer</w:t>
      </w:r>
      <w:r w:rsidRPr="00192219">
        <w:t> status imposes a penalty (-0.024 to -0.041).</w:t>
      </w:r>
    </w:p>
    <w:p w14:paraId="50E5BA47" w14:textId="77777777" w:rsidR="00192219" w:rsidRPr="00192219" w:rsidRDefault="00192219" w:rsidP="00192219">
      <w:pPr>
        <w:numPr>
          <w:ilvl w:val="0"/>
          <w:numId w:val="6"/>
        </w:numPr>
      </w:pPr>
      <w:r w:rsidRPr="00192219">
        <w:lastRenderedPageBreak/>
        <w:t>Excluding US deals intensifies institutional distance penalties; in European deals, all institutional pillars hinder foreign VCs, whereas normative distance (cultural fit) is the primary barrier for US targets.</w:t>
      </w:r>
    </w:p>
    <w:p w14:paraId="18282464" w14:textId="77777777" w:rsidR="00192219" w:rsidRPr="00192219" w:rsidRDefault="00192219" w:rsidP="00192219">
      <w:r w:rsidRPr="00192219">
        <w:rPr>
          <w:b/>
          <w:bCs/>
        </w:rPr>
        <w:t>Takeaway: Empirical findings confirm Hypothesis 1 and reject Hypothesis 2, establishing that local syndication alleviates geographical friction but fails to moderate institutional distance.</w:t>
      </w:r>
    </w:p>
    <w:p w14:paraId="5708C7B3" w14:textId="77777777" w:rsidR="00192219" w:rsidRPr="00192219" w:rsidRDefault="00192219" w:rsidP="00192219">
      <w:r w:rsidRPr="00192219">
        <w:t>The empirical divergence between geographical moderation and institutional non-moderation requires deeper theoretical interpretation.</w:t>
      </w:r>
    </w:p>
    <w:p w14:paraId="06E200C9" w14:textId="77777777" w:rsidR="00192219" w:rsidRPr="00192219" w:rsidRDefault="00192219" w:rsidP="00192219">
      <w:pPr>
        <w:rPr>
          <w:b/>
          <w:bCs/>
        </w:rPr>
      </w:pPr>
      <w:r w:rsidRPr="00192219">
        <w:rPr>
          <w:b/>
          <w:bCs/>
        </w:rPr>
        <w:t>5. Discussion, Theoretical Mechanisms, and Research Agenda</w:t>
      </w:r>
    </w:p>
    <w:p w14:paraId="2744E1EF" w14:textId="77777777" w:rsidR="00192219" w:rsidRPr="00192219" w:rsidRDefault="00192219" w:rsidP="00192219">
      <w:r w:rsidRPr="00192219">
        <w:t>This empirical asymmetry highlights fundamental theoretical distinctions in how financial intermediaries navigate physical versus institutional boundaries across global capital markets.</w:t>
      </w:r>
    </w:p>
    <w:p w14:paraId="189C492C" w14:textId="77777777" w:rsidR="00192219" w:rsidRPr="00192219" w:rsidRDefault="00192219" w:rsidP="00192219">
      <w:pPr>
        <w:rPr>
          <w:b/>
          <w:bCs/>
        </w:rPr>
      </w:pPr>
      <w:r w:rsidRPr="00192219">
        <w:rPr>
          <w:b/>
          <w:bCs/>
        </w:rPr>
        <w:t>5.1 Theoretical Synthesis of Asymmetry</w:t>
      </w:r>
    </w:p>
    <w:p w14:paraId="3EAFCB11" w14:textId="77777777" w:rsidR="00192219" w:rsidRPr="00192219" w:rsidRDefault="00192219" w:rsidP="00192219">
      <w:pPr>
        <w:numPr>
          <w:ilvl w:val="0"/>
          <w:numId w:val="7"/>
        </w:numPr>
      </w:pPr>
      <w:r w:rsidRPr="00192219">
        <w:t>Geographical moderation succeeds because venture capitalists share standardized professional business models, evaluation metrics, and monitoring tools globally, allowing physical separation to be managed via travel and local presence.</w:t>
      </w:r>
    </w:p>
    <w:p w14:paraId="790E19D9" w14:textId="77777777" w:rsidR="00192219" w:rsidRPr="00192219" w:rsidRDefault="00192219" w:rsidP="00192219">
      <w:pPr>
        <w:numPr>
          <w:ilvl w:val="0"/>
          <w:numId w:val="7"/>
        </w:numPr>
      </w:pPr>
      <w:r w:rsidRPr="00192219">
        <w:t>Institutional moderation fails because institutional distance generates intra-syndicate co-investor agency friction between foreign and local VCs over conflicting contracting norms (e.g., liquidation preferences, anti-dilution provisions, board governance enforcement), preventing effective syndicate alignment.</w:t>
      </w:r>
    </w:p>
    <w:p w14:paraId="2D028F65" w14:textId="77777777" w:rsidR="00192219" w:rsidRPr="00192219" w:rsidRDefault="00192219" w:rsidP="00192219">
      <w:pPr>
        <w:numPr>
          <w:ilvl w:val="0"/>
          <w:numId w:val="7"/>
        </w:numPr>
      </w:pPr>
      <w:r w:rsidRPr="00192219">
        <w:t>Framed within the </w:t>
      </w:r>
      <w:r w:rsidRPr="00192219">
        <w:rPr>
          <w:b/>
          <w:bCs/>
        </w:rPr>
        <w:t>Cumming &amp; Chakrabarti framework</w:t>
      </w:r>
      <w:r w:rsidRPr="00192219">
        <w:t> of </w:t>
      </w:r>
      <w:r w:rsidRPr="00192219">
        <w:rPr>
          <w:b/>
          <w:bCs/>
        </w:rPr>
        <w:t>public governance</w:t>
      </w:r>
      <w:r w:rsidRPr="00192219">
        <w:t> versus </w:t>
      </w:r>
      <w:r w:rsidRPr="00192219">
        <w:rPr>
          <w:b/>
          <w:bCs/>
        </w:rPr>
        <w:t>corporate governance</w:t>
      </w:r>
      <w:r w:rsidRPr="00192219">
        <w:t>, unfamiliarity with host country public governance cannot be neutralized by local partners operating under incompatible internal corporate governance practices.</w:t>
      </w:r>
    </w:p>
    <w:p w14:paraId="5643EF61" w14:textId="77777777" w:rsidR="00192219" w:rsidRPr="00192219" w:rsidRDefault="00192219" w:rsidP="00192219">
      <w:pPr>
        <w:numPr>
          <w:ilvl w:val="0"/>
          <w:numId w:val="7"/>
        </w:numPr>
      </w:pPr>
      <w:r w:rsidRPr="00192219">
        <w:t>Institutionally distant co-investors encounter fundamental intra-syndicate agency costs, governance friction, and communication breakdowns that local VC partnerships fail to resolve.</w:t>
      </w:r>
    </w:p>
    <w:p w14:paraId="07434657" w14:textId="77777777" w:rsidR="00192219" w:rsidRPr="00192219" w:rsidRDefault="00192219" w:rsidP="00192219">
      <w:r w:rsidRPr="00192219">
        <w:rPr>
          <w:b/>
          <w:bCs/>
        </w:rPr>
        <w:t>Takeaway: Physical distance is bridged by local operational oversight and standardized practices, whereas institutional distance generates intra-syndicate agency friction that syndication cannot eliminate.</w:t>
      </w:r>
    </w:p>
    <w:p w14:paraId="3AEE32E0" w14:textId="77777777" w:rsidR="00192219" w:rsidRPr="00192219" w:rsidRDefault="00192219" w:rsidP="00192219">
      <w:pPr>
        <w:rPr>
          <w:b/>
          <w:bCs/>
        </w:rPr>
      </w:pPr>
      <w:r w:rsidRPr="00192219">
        <w:rPr>
          <w:b/>
          <w:bCs/>
        </w:rPr>
        <w:t>5.2 Research Limitations and Future Directions</w:t>
      </w:r>
    </w:p>
    <w:p w14:paraId="5F2288D9" w14:textId="77777777" w:rsidR="00192219" w:rsidRPr="00192219" w:rsidRDefault="00192219" w:rsidP="00192219">
      <w:pPr>
        <w:numPr>
          <w:ilvl w:val="0"/>
          <w:numId w:val="8"/>
        </w:numPr>
      </w:pPr>
      <w:r w:rsidRPr="00192219">
        <w:lastRenderedPageBreak/>
        <w:t>The 2000–2008 timeframe represents a specific macroeconomic period that may obscure dynamic learning curves and long-term institutional adaptation.</w:t>
      </w:r>
    </w:p>
    <w:p w14:paraId="4AE8E5FE" w14:textId="77777777" w:rsidR="00192219" w:rsidRPr="00192219" w:rsidRDefault="00192219" w:rsidP="00192219">
      <w:pPr>
        <w:numPr>
          <w:ilvl w:val="0"/>
          <w:numId w:val="8"/>
        </w:numPr>
      </w:pPr>
      <w:r w:rsidRPr="00192219">
        <w:t>Future research should evaluate whether non-VC local intermediaries (e.g., corporate VCs, specialized law firms, financial advisors, state development agencies) offer superior institutional bridging capabilities.</w:t>
      </w:r>
    </w:p>
    <w:p w14:paraId="63CC1019" w14:textId="77777777" w:rsidR="00192219" w:rsidRPr="00192219" w:rsidRDefault="00192219" w:rsidP="00192219">
      <w:pPr>
        <w:numPr>
          <w:ilvl w:val="0"/>
          <w:numId w:val="8"/>
        </w:numPr>
      </w:pPr>
      <w:r w:rsidRPr="00192219">
        <w:t>Promising research paths include analyzing corporate relocation strategies as distance-mitigation tools, assessing cross-border exit performance, and examining experience complementarities within international syndicates.</w:t>
      </w:r>
    </w:p>
    <w:p w14:paraId="488D93C5" w14:textId="1A44BD15" w:rsidR="009E451C" w:rsidRDefault="00192219">
      <w:r w:rsidRPr="00192219">
        <w:rPr>
          <w:b/>
          <w:bCs/>
        </w:rPr>
        <w:t>Takeaway: Future research must explore alternative institutional bridging mechanisms and dynamic longitudinal learning in global venture capital.</w:t>
      </w:r>
    </w:p>
    <w:sectPr w:rsidR="009E4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3060FC"/>
    <w:multiLevelType w:val="multilevel"/>
    <w:tmpl w:val="FD3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D3F6C"/>
    <w:multiLevelType w:val="multilevel"/>
    <w:tmpl w:val="AC3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93026"/>
    <w:multiLevelType w:val="multilevel"/>
    <w:tmpl w:val="A17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74C2"/>
    <w:multiLevelType w:val="multilevel"/>
    <w:tmpl w:val="FE9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E27A9"/>
    <w:multiLevelType w:val="multilevel"/>
    <w:tmpl w:val="6F4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D645E"/>
    <w:multiLevelType w:val="multilevel"/>
    <w:tmpl w:val="7C7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32672"/>
    <w:multiLevelType w:val="multilevel"/>
    <w:tmpl w:val="3D8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C2372"/>
    <w:multiLevelType w:val="multilevel"/>
    <w:tmpl w:val="0D4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77628">
    <w:abstractNumId w:val="4"/>
  </w:num>
  <w:num w:numId="2" w16cid:durableId="579828526">
    <w:abstractNumId w:val="7"/>
  </w:num>
  <w:num w:numId="3" w16cid:durableId="1239052102">
    <w:abstractNumId w:val="5"/>
  </w:num>
  <w:num w:numId="4" w16cid:durableId="1616473986">
    <w:abstractNumId w:val="0"/>
  </w:num>
  <w:num w:numId="5" w16cid:durableId="1825926177">
    <w:abstractNumId w:val="1"/>
  </w:num>
  <w:num w:numId="6" w16cid:durableId="1112283862">
    <w:abstractNumId w:val="6"/>
  </w:num>
  <w:num w:numId="7" w16cid:durableId="973094834">
    <w:abstractNumId w:val="3"/>
  </w:num>
  <w:num w:numId="8" w16cid:durableId="16192198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1C"/>
    <w:rsid w:val="00192219"/>
    <w:rsid w:val="009E451C"/>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2B7945"/>
  <w15:chartTrackingRefBased/>
  <w15:docId w15:val="{D3115760-F8E9-114B-B5FA-40F62DA2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51C"/>
    <w:rPr>
      <w:rFonts w:eastAsiaTheme="majorEastAsia" w:cstheme="majorBidi"/>
      <w:color w:val="272727" w:themeColor="text1" w:themeTint="D8"/>
    </w:rPr>
  </w:style>
  <w:style w:type="paragraph" w:styleId="Title">
    <w:name w:val="Title"/>
    <w:basedOn w:val="Normal"/>
    <w:next w:val="Normal"/>
    <w:link w:val="TitleChar"/>
    <w:uiPriority w:val="10"/>
    <w:qFormat/>
    <w:rsid w:val="009E4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51C"/>
    <w:pPr>
      <w:spacing w:before="160"/>
      <w:jc w:val="center"/>
    </w:pPr>
    <w:rPr>
      <w:i/>
      <w:iCs/>
      <w:color w:val="404040" w:themeColor="text1" w:themeTint="BF"/>
    </w:rPr>
  </w:style>
  <w:style w:type="character" w:customStyle="1" w:styleId="QuoteChar">
    <w:name w:val="Quote Char"/>
    <w:basedOn w:val="DefaultParagraphFont"/>
    <w:link w:val="Quote"/>
    <w:uiPriority w:val="29"/>
    <w:rsid w:val="009E451C"/>
    <w:rPr>
      <w:i/>
      <w:iCs/>
      <w:color w:val="404040" w:themeColor="text1" w:themeTint="BF"/>
    </w:rPr>
  </w:style>
  <w:style w:type="paragraph" w:styleId="ListParagraph">
    <w:name w:val="List Paragraph"/>
    <w:basedOn w:val="Normal"/>
    <w:uiPriority w:val="34"/>
    <w:qFormat/>
    <w:rsid w:val="009E451C"/>
    <w:pPr>
      <w:ind w:left="720"/>
      <w:contextualSpacing/>
    </w:pPr>
  </w:style>
  <w:style w:type="character" w:styleId="IntenseEmphasis">
    <w:name w:val="Intense Emphasis"/>
    <w:basedOn w:val="DefaultParagraphFont"/>
    <w:uiPriority w:val="21"/>
    <w:qFormat/>
    <w:rsid w:val="009E451C"/>
    <w:rPr>
      <w:i/>
      <w:iCs/>
      <w:color w:val="0F4761" w:themeColor="accent1" w:themeShade="BF"/>
    </w:rPr>
  </w:style>
  <w:style w:type="paragraph" w:styleId="IntenseQuote">
    <w:name w:val="Intense Quote"/>
    <w:basedOn w:val="Normal"/>
    <w:next w:val="Normal"/>
    <w:link w:val="IntenseQuoteChar"/>
    <w:uiPriority w:val="30"/>
    <w:qFormat/>
    <w:rsid w:val="009E4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51C"/>
    <w:rPr>
      <w:i/>
      <w:iCs/>
      <w:color w:val="0F4761" w:themeColor="accent1" w:themeShade="BF"/>
    </w:rPr>
  </w:style>
  <w:style w:type="character" w:styleId="IntenseReference">
    <w:name w:val="Intense Reference"/>
    <w:basedOn w:val="DefaultParagraphFont"/>
    <w:uiPriority w:val="32"/>
    <w:qFormat/>
    <w:rsid w:val="009E4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1721</Words>
  <Characters>9811</Characters>
  <Application>Microsoft Office Word</Application>
  <DocSecurity>0</DocSecurity>
  <Lines>81</Lines>
  <Paragraphs>23</Paragraphs>
  <ScaleCrop>false</ScaleCrop>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2026-09-30T12:11:00Z</dcterms:created>
  <dcterms:modified xsi:type="dcterms:W3CDTF">2026-09-30T12:17:00Z</dcterms:modified>
</cp:coreProperties>
</file>