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21DD04" w14:textId="77777777" w:rsidR="00A47EAB" w:rsidRPr="00A47EAB" w:rsidRDefault="00A47EAB" w:rsidP="00A47EAB">
      <w:r w:rsidRPr="00A47EAB">
        <w:rPr>
          <w:lang w:val="de-DE"/>
        </w:rPr>
        <w:t xml:space="preserve">Kollmann, H., Müllner, J., &amp; Puck, J. (2025). </w:t>
      </w:r>
      <w:r w:rsidRPr="00A47EAB">
        <w:t>The company you keep: Syndicate formation in venture capitalists’ cross-border investments. </w:t>
      </w:r>
      <w:r w:rsidRPr="00A47EAB">
        <w:rPr>
          <w:i/>
          <w:iCs/>
        </w:rPr>
        <w:t>International Business Review</w:t>
      </w:r>
      <w:r w:rsidRPr="00A47EAB">
        <w:t>, 34(1), Article 102424. https://doi.org/10.1016/j.ibusrev.2025.102424</w:t>
      </w:r>
    </w:p>
    <w:p w14:paraId="66289241" w14:textId="77777777" w:rsidR="00A47EAB" w:rsidRPr="00A47EAB" w:rsidRDefault="00A47EAB" w:rsidP="00A47EAB">
      <w:pPr>
        <w:rPr>
          <w:b/>
          <w:bCs/>
        </w:rPr>
      </w:pPr>
      <w:r w:rsidRPr="00A47EAB">
        <w:rPr>
          <w:b/>
          <w:bCs/>
        </w:rPr>
        <w:t>Study Guide: The Company You Keep — Syndicate Formation in Venture Capitalists’ Cross-Border Investments</w:t>
      </w:r>
    </w:p>
    <w:p w14:paraId="3D7FC378" w14:textId="77777777" w:rsidR="00A47EAB" w:rsidRPr="00A47EAB" w:rsidRDefault="00A47EAB" w:rsidP="00A47EAB">
      <w:pPr>
        <w:rPr>
          <w:b/>
          <w:bCs/>
        </w:rPr>
      </w:pPr>
      <w:r w:rsidRPr="00A47EAB">
        <w:rPr>
          <w:b/>
          <w:bCs/>
        </w:rPr>
        <w:t>1. Introduction</w:t>
      </w:r>
    </w:p>
    <w:p w14:paraId="697AB619" w14:textId="77777777" w:rsidR="00A47EAB" w:rsidRPr="00A47EAB" w:rsidRDefault="00A47EAB" w:rsidP="00A47EAB">
      <w:r w:rsidRPr="00A47EAB">
        <w:t>Analyzing cross-border venture capital (VC) internationalization requires evaluating how financial intermediaries optimize syndicate architecture to balance distance-induced horizontal agency friction against collective resource aggregation.</w:t>
      </w:r>
    </w:p>
    <w:p w14:paraId="23A8BF51" w14:textId="77777777" w:rsidR="00A47EAB" w:rsidRPr="00A47EAB" w:rsidRDefault="00A47EAB" w:rsidP="00A47EAB">
      <w:pPr>
        <w:numPr>
          <w:ilvl w:val="0"/>
          <w:numId w:val="1"/>
        </w:numPr>
      </w:pPr>
      <w:r w:rsidRPr="00A47EAB">
        <w:rPr>
          <w:b/>
          <w:bCs/>
        </w:rPr>
        <w:t>Capital Market Liabilities of Foreignness (CMLOF):</w:t>
      </w:r>
      <w:r w:rsidRPr="00A47EAB">
        <w:t> Internationalizing VCs face severe information asymmetries, access barriers, and monitoring deficits caused by institutional and spatial distance, necessitating localized deal sourcing, specialized market intelligence, and intensive governance mechanisms.</w:t>
      </w:r>
    </w:p>
    <w:p w14:paraId="1BC03EED" w14:textId="77777777" w:rsidR="00A47EAB" w:rsidRPr="00A47EAB" w:rsidRDefault="00A47EAB" w:rsidP="00A47EAB">
      <w:pPr>
        <w:numPr>
          <w:ilvl w:val="0"/>
          <w:numId w:val="1"/>
        </w:numPr>
      </w:pPr>
      <w:r w:rsidRPr="00A47EAB">
        <w:rPr>
          <w:b/>
          <w:bCs/>
        </w:rPr>
        <w:t>Syndication Architecture and Agency Friction:</w:t>
      </w:r>
      <w:r w:rsidRPr="00A47EAB">
        <w:t> VC syndication operates as a strategic co-investment framework where "form follows function," requiring partners to continuously balance the pooling of complementary resource endowments against exponentially escalating coordination costs and horizontal agency friction between co-investors.</w:t>
      </w:r>
    </w:p>
    <w:p w14:paraId="393ABBED" w14:textId="77777777" w:rsidR="00A47EAB" w:rsidRPr="00A47EAB" w:rsidRDefault="00A47EAB" w:rsidP="00A47EAB">
      <w:pPr>
        <w:numPr>
          <w:ilvl w:val="0"/>
          <w:numId w:val="1"/>
        </w:numPr>
      </w:pPr>
      <w:r w:rsidRPr="00A47EAB">
        <w:rPr>
          <w:b/>
          <w:bCs/>
        </w:rPr>
        <w:t>Macro Internationalization Trajectory:</w:t>
      </w:r>
      <w:r w:rsidRPr="00A47EAB">
        <w:t> Cross-border venture capital activity expanded dramatically from 20% of total deal volume in 2000 to 30% in 2020, with foreign-backed deals frequently generating superior risk-adjusted returns compared to purely domestic transactions despite acute foreignness liabilities.</w:t>
      </w:r>
    </w:p>
    <w:p w14:paraId="1D4844EC" w14:textId="77777777" w:rsidR="00A47EAB" w:rsidRPr="00A47EAB" w:rsidRDefault="00A47EAB" w:rsidP="00A47EAB">
      <w:pPr>
        <w:numPr>
          <w:ilvl w:val="0"/>
          <w:numId w:val="1"/>
        </w:numPr>
      </w:pPr>
      <w:r w:rsidRPr="00A47EAB">
        <w:rPr>
          <w:b/>
          <w:bCs/>
        </w:rPr>
        <w:t>Analytical Shift and Research Scope:</w:t>
      </w:r>
      <w:r w:rsidRPr="00A47EAB">
        <w:t> The study moves beyond traditional investor-investee liability of foreignness (LOF) to examine how within-syndicate </w:t>
      </w:r>
      <w:r w:rsidRPr="00A47EAB">
        <w:rPr>
          <w:b/>
          <w:bCs/>
        </w:rPr>
        <w:t>geographic distance</w:t>
      </w:r>
      <w:r w:rsidRPr="00A47EAB">
        <w:t>, </w:t>
      </w:r>
      <w:r w:rsidRPr="00A47EAB">
        <w:rPr>
          <w:b/>
          <w:bCs/>
        </w:rPr>
        <w:t>psychic distance</w:t>
      </w:r>
      <w:r w:rsidRPr="00A47EAB">
        <w:t>, </w:t>
      </w:r>
      <w:r w:rsidRPr="00A47EAB">
        <w:rPr>
          <w:b/>
          <w:bCs/>
        </w:rPr>
        <w:t>global recognition</w:t>
      </w:r>
      <w:r w:rsidRPr="00A47EAB">
        <w:t>, and </w:t>
      </w:r>
      <w:r w:rsidRPr="00A47EAB">
        <w:rPr>
          <w:b/>
          <w:bCs/>
        </w:rPr>
        <w:t>host-country recognition</w:t>
      </w:r>
      <w:r w:rsidRPr="00A47EAB">
        <w:t> reconfigure the resource-agency cost equilibrium across </w:t>
      </w:r>
      <w:r w:rsidRPr="00A47EAB">
        <w:rPr>
          <w:b/>
          <w:bCs/>
        </w:rPr>
        <w:t>syndicate size</w:t>
      </w:r>
      <w:r w:rsidRPr="00A47EAB">
        <w:t> and </w:t>
      </w:r>
      <w:r w:rsidRPr="00A47EAB">
        <w:rPr>
          <w:b/>
          <w:bCs/>
        </w:rPr>
        <w:t>local partner inclusion</w:t>
      </w:r>
      <w:r w:rsidRPr="00A47EAB">
        <w:t>.</w:t>
      </w:r>
    </w:p>
    <w:p w14:paraId="7888D2B2" w14:textId="77777777" w:rsidR="00A47EAB" w:rsidRPr="00A47EAB" w:rsidRDefault="00A47EAB" w:rsidP="00A47EAB">
      <w:pPr>
        <w:numPr>
          <w:ilvl w:val="0"/>
          <w:numId w:val="1"/>
        </w:numPr>
      </w:pPr>
      <w:r w:rsidRPr="00A47EAB">
        <w:rPr>
          <w:b/>
          <w:bCs/>
        </w:rPr>
        <w:t>Core Theoretical Findings:</w:t>
      </w:r>
      <w:r w:rsidRPr="00A47EAB">
        <w:t> Inter-partner distances elevate horizontal agency friction (yielding smaller syndicates and higher local VC participation), global recognition reduces structural dependence on broad syndicates, and host-country recognition increases local partner inclusion via reciprocal two-sided matching dynamics.</w:t>
      </w:r>
    </w:p>
    <w:p w14:paraId="3407E303" w14:textId="77777777" w:rsidR="00A47EAB" w:rsidRPr="00A47EAB" w:rsidRDefault="00A47EAB" w:rsidP="00A47EAB">
      <w:r w:rsidRPr="00A47EAB">
        <w:rPr>
          <w:b/>
          <w:bCs/>
        </w:rPr>
        <w:t>Takeaway:</w:t>
      </w:r>
      <w:r w:rsidRPr="00A47EAB">
        <w:t> Cross-border VC syndication represents an explicit trade-off between resource pooling benefits and distance-induced horizontal agency costs.</w:t>
      </w:r>
    </w:p>
    <w:p w14:paraId="2D9CB698" w14:textId="77777777" w:rsidR="00A47EAB" w:rsidRPr="00A47EAB" w:rsidRDefault="00A47EAB" w:rsidP="00A47EAB">
      <w:r w:rsidRPr="00A47EAB">
        <w:lastRenderedPageBreak/>
        <w:t>Having delineated the primary strategic trade-offs governing cross-border co-investments, the analysis turns to the underlying theoretical framework and theoretical hypothesis development.</w:t>
      </w:r>
    </w:p>
    <w:p w14:paraId="7015AA26" w14:textId="77777777" w:rsidR="00A47EAB" w:rsidRPr="00A47EAB" w:rsidRDefault="00A47EAB" w:rsidP="00A47EAB">
      <w:pPr>
        <w:rPr>
          <w:b/>
          <w:bCs/>
        </w:rPr>
      </w:pPr>
      <w:r w:rsidRPr="00A47EAB">
        <w:rPr>
          <w:b/>
          <w:bCs/>
        </w:rPr>
        <w:t>2. Theory and Hypotheses</w:t>
      </w:r>
    </w:p>
    <w:p w14:paraId="0A2D7835" w14:textId="77777777" w:rsidR="00A47EAB" w:rsidRPr="00A47EAB" w:rsidRDefault="00A47EAB" w:rsidP="00A47EAB">
      <w:pPr>
        <w:rPr>
          <w:b/>
          <w:bCs/>
        </w:rPr>
      </w:pPr>
      <w:r w:rsidRPr="00A47EAB">
        <w:rPr>
          <w:b/>
          <w:bCs/>
        </w:rPr>
        <w:t>2.1. Cross-Border Venture Capital Investment and Research</w:t>
      </w:r>
    </w:p>
    <w:p w14:paraId="0D693B3C" w14:textId="77777777" w:rsidR="00A47EAB" w:rsidRPr="00A47EAB" w:rsidRDefault="00A47EAB" w:rsidP="00A47EAB">
      <w:r w:rsidRPr="00A47EAB">
        <w:t>Integrating foundational perspectives from corporate finance and International Business (IB) synthesizes how venture capital firms mitigate operational friction while executing cross-border investment strategies.</w:t>
      </w:r>
    </w:p>
    <w:p w14:paraId="19122632" w14:textId="77777777" w:rsidR="00A47EAB" w:rsidRPr="00A47EAB" w:rsidRDefault="00A47EAB" w:rsidP="00A47EAB">
      <w:pPr>
        <w:numPr>
          <w:ilvl w:val="0"/>
          <w:numId w:val="2"/>
        </w:numPr>
      </w:pPr>
      <w:r w:rsidRPr="00A47EAB">
        <w:rPr>
          <w:b/>
          <w:bCs/>
        </w:rPr>
        <w:t>Liability of Foreignness (LOF) in Venture Capital:</w:t>
      </w:r>
      <w:r w:rsidRPr="00A47EAB">
        <w:t> Foreign venture capitalists suffer from acute governance disadvantages, limited local network centrality, and information opaqueness, which constrain effective deal screening and hands-on portfolio management in host markets.</w:t>
      </w:r>
    </w:p>
    <w:p w14:paraId="685004E2" w14:textId="77777777" w:rsidR="00A47EAB" w:rsidRPr="00A47EAB" w:rsidRDefault="00A47EAB" w:rsidP="00A47EAB">
      <w:pPr>
        <w:numPr>
          <w:ilvl w:val="0"/>
          <w:numId w:val="2"/>
        </w:numPr>
      </w:pPr>
      <w:r w:rsidRPr="00A47EAB">
        <w:rPr>
          <w:b/>
          <w:bCs/>
        </w:rPr>
        <w:t>Resource-Based View (RBV) and Strategic Endowments:</w:t>
      </w:r>
      <w:r w:rsidRPr="00A47EAB">
        <w:t> According to RBV principles, foreign VCs introduce valuable, rare, non-imitable, and organizationally embedded capabilities—including cross-border network ties and global scaling expertise—enabling cross-border deals to outperform domestic benchmarks.</w:t>
      </w:r>
    </w:p>
    <w:p w14:paraId="60D83F32" w14:textId="77777777" w:rsidR="00A47EAB" w:rsidRPr="00A47EAB" w:rsidRDefault="00A47EAB" w:rsidP="00A47EAB">
      <w:pPr>
        <w:numPr>
          <w:ilvl w:val="0"/>
          <w:numId w:val="2"/>
        </w:numPr>
      </w:pPr>
      <w:r w:rsidRPr="00A47EAB">
        <w:rPr>
          <w:b/>
          <w:bCs/>
        </w:rPr>
        <w:t>Conceptual Paradigm Shift:</w:t>
      </w:r>
      <w:r w:rsidRPr="00A47EAB">
        <w:t> The study executes a critical paradigm shift by moving past conventional investor-investee dyadic LOF to directly evaluate within-syndicate dyadic agency friction generated by distances between co-investing foreign VCs.</w:t>
      </w:r>
    </w:p>
    <w:p w14:paraId="62FD4CFC" w14:textId="77777777" w:rsidR="00A47EAB" w:rsidRPr="00A47EAB" w:rsidRDefault="00A47EAB" w:rsidP="00A47EAB">
      <w:r w:rsidRPr="00A47EAB">
        <w:rPr>
          <w:b/>
          <w:bCs/>
        </w:rPr>
        <w:t>Takeaway:</w:t>
      </w:r>
      <w:r w:rsidRPr="00A47EAB">
        <w:t> While foreign VCs face heightened operational LOF, foreign resource endowments can generate superior investment returns if agency friction between co-investors is contained.</w:t>
      </w:r>
    </w:p>
    <w:p w14:paraId="2A7F4800" w14:textId="77777777" w:rsidR="00A47EAB" w:rsidRPr="00A47EAB" w:rsidRDefault="00A47EAB" w:rsidP="00A47EAB">
      <w:r w:rsidRPr="00A47EAB">
        <w:t>To manage these relational and operational risks while capturing complementary assets, VCs strategically engineer syndicate configurations.</w:t>
      </w:r>
    </w:p>
    <w:p w14:paraId="6FF9E36A" w14:textId="77777777" w:rsidR="00A47EAB" w:rsidRPr="00A47EAB" w:rsidRDefault="00A47EAB" w:rsidP="00A47EAB">
      <w:pPr>
        <w:rPr>
          <w:b/>
          <w:bCs/>
        </w:rPr>
      </w:pPr>
      <w:r w:rsidRPr="00A47EAB">
        <w:rPr>
          <w:b/>
          <w:bCs/>
        </w:rPr>
        <w:t>2.2. Syndication in Cross-Border VC</w:t>
      </w:r>
    </w:p>
    <w:p w14:paraId="60965B48" w14:textId="77777777" w:rsidR="00A47EAB" w:rsidRPr="00A47EAB" w:rsidRDefault="00A47EAB" w:rsidP="00A47EAB">
      <w:r w:rsidRPr="00A47EAB">
        <w:t>The organizational design of a venture capital syndicate is strategically tailored to limit governance complexity while optimizing joint resource pooling.</w:t>
      </w:r>
    </w:p>
    <w:p w14:paraId="0338CA14" w14:textId="77777777" w:rsidR="00A47EAB" w:rsidRPr="00A47EAB" w:rsidRDefault="00A47EAB" w:rsidP="00A47EAB">
      <w:pPr>
        <w:numPr>
          <w:ilvl w:val="0"/>
          <w:numId w:val="3"/>
        </w:numPr>
      </w:pPr>
      <w:r w:rsidRPr="00A47EAB">
        <w:rPr>
          <w:b/>
          <w:bCs/>
        </w:rPr>
        <w:t>Reciprocal Two-Sided Matching Dynamics:</w:t>
      </w:r>
      <w:r w:rsidRPr="00A47EAB">
        <w:t> Syndicate formation is not a unilateral investor selection process but a reciprocal, two-sided matching process where foreign VCs, local co-investors, and entrepreneurs select partners based on status signaling and network centrality within closed capital networks.</w:t>
      </w:r>
    </w:p>
    <w:p w14:paraId="34AD0A7A" w14:textId="77777777" w:rsidR="00A47EAB" w:rsidRPr="00A47EAB" w:rsidRDefault="00A47EAB" w:rsidP="00A47EAB">
      <w:pPr>
        <w:numPr>
          <w:ilvl w:val="0"/>
          <w:numId w:val="3"/>
        </w:numPr>
      </w:pPr>
      <w:r w:rsidRPr="00A47EAB">
        <w:rPr>
          <w:b/>
          <w:bCs/>
        </w:rPr>
        <w:lastRenderedPageBreak/>
        <w:t>Syndicate Size and Non-Linear Governance Friction:</w:t>
      </w:r>
      <w:r w:rsidRPr="00A47EAB">
        <w:t> Expanding syndicate size aggregates capital and non-overlapping expertise, yet creates exponentially higher horizontal agency and coordination costs, establishing an inverted U-shaped relationship with portfolio firm performance.</w:t>
      </w:r>
    </w:p>
    <w:p w14:paraId="6D77C06A" w14:textId="77777777" w:rsidR="00A47EAB" w:rsidRPr="00A47EAB" w:rsidRDefault="00A47EAB" w:rsidP="00A47EAB">
      <w:pPr>
        <w:numPr>
          <w:ilvl w:val="0"/>
          <w:numId w:val="3"/>
        </w:numPr>
      </w:pPr>
      <w:r w:rsidRPr="00A47EAB">
        <w:rPr>
          <w:b/>
          <w:bCs/>
        </w:rPr>
        <w:t>Local Partner Inclusion Mechanics:</w:t>
      </w:r>
      <w:r w:rsidRPr="00A47EAB">
        <w:t> Partnering with host-country VCs mitigates foreignness liabilities through local monitoring capabilities, regulatory navigation, and deal sourcing, though it introduces potential cultural friction and inter-firm coordination delays.</w:t>
      </w:r>
    </w:p>
    <w:p w14:paraId="261D880A" w14:textId="77777777" w:rsidR="00A47EAB" w:rsidRPr="00A47EAB" w:rsidRDefault="00A47EAB" w:rsidP="00A47EAB">
      <w:r w:rsidRPr="00A47EAB">
        <w:rPr>
          <w:b/>
          <w:bCs/>
        </w:rPr>
        <w:t>Takeaway:</w:t>
      </w:r>
      <w:r w:rsidRPr="00A47EAB">
        <w:t> VC syndicate structure is driven by two key operational levers—syndicate size and local partner participation—to balance governance friction against localized capability needs.</w:t>
      </w:r>
    </w:p>
    <w:p w14:paraId="55F89FE7" w14:textId="77777777" w:rsidR="00A47EAB" w:rsidRPr="00A47EAB" w:rsidRDefault="00A47EAB" w:rsidP="00A47EAB">
      <w:r w:rsidRPr="00A47EAB">
        <w:t>These structural levers respond directly to specific inter-partner distance metrics and external institutional recognition signals.</w:t>
      </w:r>
    </w:p>
    <w:p w14:paraId="3E1B4A91" w14:textId="77777777" w:rsidR="00A47EAB" w:rsidRPr="00A47EAB" w:rsidRDefault="00A47EAB" w:rsidP="00A47EAB">
      <w:pPr>
        <w:rPr>
          <w:b/>
          <w:bCs/>
        </w:rPr>
      </w:pPr>
      <w:r w:rsidRPr="00A47EAB">
        <w:rPr>
          <w:b/>
          <w:bCs/>
        </w:rPr>
        <w:t>2.3. Determinants of Syndicate Characteristics in Cross-Border Investments</w:t>
      </w:r>
    </w:p>
    <w:p w14:paraId="38087ADD" w14:textId="77777777" w:rsidR="00A47EAB" w:rsidRPr="00A47EAB" w:rsidRDefault="00A47EAB" w:rsidP="00A47EAB">
      <w:r w:rsidRPr="00A47EAB">
        <w:t>Hypotheses 1 through 4 model how inter-partner distances elevate horizontal agency risk while firm recognition mobilizes external relational assets to alter syndicate design.</w:t>
      </w:r>
    </w:p>
    <w:p w14:paraId="385E3020" w14:textId="77777777" w:rsidR="00A47EAB" w:rsidRPr="00A47EAB" w:rsidRDefault="00A47EAB" w:rsidP="00A47EAB">
      <w:pPr>
        <w:numPr>
          <w:ilvl w:val="0"/>
          <w:numId w:val="4"/>
        </w:numPr>
      </w:pPr>
      <w:r w:rsidRPr="00A47EAB">
        <w:rPr>
          <w:b/>
          <w:bCs/>
        </w:rPr>
        <w:t>Psychic Distance vs. Cultural Distance:</w:t>
      </w:r>
      <w:r w:rsidRPr="00A47EAB">
        <w:t xml:space="preserve"> Utilizing Dow’s (2021) formative index (encompassing industrial development, education, democracy, language, and religion), psychic distance captures </w:t>
      </w:r>
      <w:proofErr w:type="gramStart"/>
      <w:r w:rsidRPr="00A47EAB">
        <w:t>decision-makers</w:t>
      </w:r>
      <w:proofErr w:type="gramEnd"/>
      <w:r w:rsidRPr="00A47EAB">
        <w:t>' subjective cognitive uncertainty in closed partner networks far more effectively than traditional macro-cultural distance scales.</w:t>
      </w:r>
    </w:p>
    <w:p w14:paraId="10690C2D" w14:textId="77777777" w:rsidR="00A47EAB" w:rsidRPr="00A47EAB" w:rsidRDefault="00A47EAB" w:rsidP="00A47EAB">
      <w:pPr>
        <w:numPr>
          <w:ilvl w:val="0"/>
          <w:numId w:val="4"/>
        </w:numPr>
      </w:pPr>
      <w:r w:rsidRPr="00A47EAB">
        <w:rPr>
          <w:b/>
          <w:bCs/>
        </w:rPr>
        <w:t>Distance Hypotheses (H1a/b &amp; H2a/b):</w:t>
      </w:r>
      <w:r w:rsidRPr="00A47EAB">
        <w:t> Heightened </w:t>
      </w:r>
      <w:r w:rsidRPr="00A47EAB">
        <w:rPr>
          <w:b/>
          <w:bCs/>
        </w:rPr>
        <w:t>geographic distance</w:t>
      </w:r>
      <w:r w:rsidRPr="00A47EAB">
        <w:t> and </w:t>
      </w:r>
      <w:r w:rsidRPr="00A47EAB">
        <w:rPr>
          <w:b/>
          <w:bCs/>
        </w:rPr>
        <w:t>psychic distance</w:t>
      </w:r>
      <w:r w:rsidRPr="00A47EAB">
        <w:t> across co-investing VCs amplify horizontal agency friction, predicting (a) reduced syndicate size to contain coordination costs and (b) an increased likelihood of local partner inclusion to maintain on-site oversight.</w:t>
      </w:r>
    </w:p>
    <w:p w14:paraId="2904D7F1" w14:textId="77777777" w:rsidR="00A47EAB" w:rsidRPr="00A47EAB" w:rsidRDefault="00A47EAB" w:rsidP="00A47EAB">
      <w:pPr>
        <w:numPr>
          <w:ilvl w:val="0"/>
          <w:numId w:val="4"/>
        </w:numPr>
      </w:pPr>
      <w:r w:rsidRPr="00A47EAB">
        <w:rPr>
          <w:b/>
          <w:bCs/>
        </w:rPr>
        <w:t>Internal Experience vs. External Recognition:</w:t>
      </w:r>
      <w:r w:rsidRPr="00A47EAB">
        <w:t> Internal investment experience generates tacit, firm-bound knowledge that remains highly context-dependent, whereas external </w:t>
      </w:r>
      <w:r w:rsidRPr="00A47EAB">
        <w:rPr>
          <w:b/>
          <w:bCs/>
        </w:rPr>
        <w:t>Recognition</w:t>
      </w:r>
      <w:r w:rsidRPr="00A47EAB">
        <w:t> (global and host-country) acts as portable status signaling that grants ad-hoc mobilization of relational assets without requiring equity dilution through broad co-investment.</w:t>
      </w:r>
    </w:p>
    <w:p w14:paraId="39DCF7DE" w14:textId="77777777" w:rsidR="00A47EAB" w:rsidRPr="00A47EAB" w:rsidRDefault="00A47EAB" w:rsidP="00A47EAB">
      <w:pPr>
        <w:numPr>
          <w:ilvl w:val="0"/>
          <w:numId w:val="4"/>
        </w:numPr>
      </w:pPr>
      <w:r w:rsidRPr="00A47EAB">
        <w:rPr>
          <w:b/>
          <w:bCs/>
        </w:rPr>
        <w:t>Recognition Hypotheses (H3a/b &amp; H4a/b):</w:t>
      </w:r>
      <w:r w:rsidRPr="00A47EAB">
        <w:t> High </w:t>
      </w:r>
      <w:r w:rsidRPr="00A47EAB">
        <w:rPr>
          <w:b/>
          <w:bCs/>
        </w:rPr>
        <w:t>global recognition</w:t>
      </w:r>
      <w:r w:rsidRPr="00A47EAB">
        <w:t> lowers resource dependencies on broad co-investor networks, predicting (a) smaller syndicates (H4a) and (b) lower local partner participation (H4b); conversely, </w:t>
      </w:r>
      <w:r w:rsidRPr="00A47EAB">
        <w:rPr>
          <w:b/>
          <w:bCs/>
        </w:rPr>
        <w:t>host-country recognition</w:t>
      </w:r>
      <w:r w:rsidRPr="00A47EAB">
        <w:t xml:space="preserve"> lowers partner search costs and triggers a reciprocal "local </w:t>
      </w:r>
      <w:r w:rsidRPr="00A47EAB">
        <w:lastRenderedPageBreak/>
        <w:t>recognition bonus," where local VCs actively invite high-status foreign investors into deals (H3b reversal).</w:t>
      </w:r>
    </w:p>
    <w:p w14:paraId="6D1DC5C7" w14:textId="77777777" w:rsidR="00A47EAB" w:rsidRPr="00A47EAB" w:rsidRDefault="00A47EAB" w:rsidP="00A47EAB">
      <w:r w:rsidRPr="00A47EAB">
        <w:rPr>
          <w:b/>
          <w:bCs/>
        </w:rPr>
        <w:t>Takeaway:</w:t>
      </w:r>
      <w:r w:rsidRPr="00A47EAB">
        <w:t xml:space="preserve"> Inter-partner distances increase agency risk (favoring smaller, </w:t>
      </w:r>
      <w:proofErr w:type="gramStart"/>
      <w:r w:rsidRPr="00A47EAB">
        <w:t>locally-anchored</w:t>
      </w:r>
      <w:proofErr w:type="gramEnd"/>
      <w:r w:rsidRPr="00A47EAB">
        <w:t xml:space="preserve"> syndicates), while recognition provides external relationship capital that alters resource reliance.</w:t>
      </w:r>
    </w:p>
    <w:p w14:paraId="2A396419" w14:textId="77777777" w:rsidR="00A47EAB" w:rsidRPr="00A47EAB" w:rsidRDefault="00A47EAB" w:rsidP="00A47EAB">
      <w:r w:rsidRPr="00A47EAB">
        <w:t>These theoretical linkages are empirically evaluated using a comprehensive international venture capital dataset.</w:t>
      </w:r>
    </w:p>
    <w:p w14:paraId="76C1CFD9" w14:textId="77777777" w:rsidR="00A47EAB" w:rsidRPr="00A47EAB" w:rsidRDefault="00A47EAB" w:rsidP="00A47EAB">
      <w:pPr>
        <w:rPr>
          <w:b/>
          <w:bCs/>
        </w:rPr>
      </w:pPr>
      <w:r w:rsidRPr="00A47EAB">
        <w:rPr>
          <w:b/>
          <w:bCs/>
        </w:rPr>
        <w:t>3. Data and Methodology</w:t>
      </w:r>
    </w:p>
    <w:p w14:paraId="044F9D97" w14:textId="77777777" w:rsidR="00A47EAB" w:rsidRPr="00A47EAB" w:rsidRDefault="00A47EAB" w:rsidP="00A47EAB">
      <w:pPr>
        <w:rPr>
          <w:b/>
          <w:bCs/>
        </w:rPr>
      </w:pPr>
      <w:r w:rsidRPr="00A47EAB">
        <w:rPr>
          <w:b/>
          <w:bCs/>
        </w:rPr>
        <w:t>3.1. Data Sources and Sample</w:t>
      </w:r>
    </w:p>
    <w:p w14:paraId="7D5D5097" w14:textId="77777777" w:rsidR="00A47EAB" w:rsidRPr="00A47EAB" w:rsidRDefault="00A47EAB" w:rsidP="00A47EAB">
      <w:r w:rsidRPr="00A47EAB">
        <w:t>The empirical investigation leverages a multi-source international dataset capturing syndicated cross-border VC investments across a decade of expanding capital mobility.</w:t>
      </w:r>
    </w:p>
    <w:p w14:paraId="7FE9AD88" w14:textId="77777777" w:rsidR="00A47EAB" w:rsidRPr="00A47EAB" w:rsidRDefault="00A47EAB" w:rsidP="00A47EAB">
      <w:pPr>
        <w:numPr>
          <w:ilvl w:val="0"/>
          <w:numId w:val="5"/>
        </w:numPr>
      </w:pPr>
      <w:r w:rsidRPr="00A47EAB">
        <w:rPr>
          <w:b/>
          <w:bCs/>
        </w:rPr>
        <w:t>Data Integration Architecture:</w:t>
      </w:r>
      <w:r w:rsidRPr="00A47EAB">
        <w:t> Transaction records are extracted from </w:t>
      </w:r>
      <w:proofErr w:type="spellStart"/>
      <w:r w:rsidRPr="00A47EAB">
        <w:rPr>
          <w:b/>
          <w:bCs/>
        </w:rPr>
        <w:t>Preqin</w:t>
      </w:r>
      <w:proofErr w:type="spellEnd"/>
      <w:r w:rsidRPr="00A47EAB">
        <w:rPr>
          <w:b/>
          <w:bCs/>
        </w:rPr>
        <w:t xml:space="preserve"> Pro</w:t>
      </w:r>
      <w:r w:rsidRPr="00A47EAB">
        <w:t> (2010–2020), dyadic distance metrics from </w:t>
      </w:r>
      <w:r w:rsidRPr="00A47EAB">
        <w:rPr>
          <w:b/>
          <w:bCs/>
        </w:rPr>
        <w:t>Berry (2020)</w:t>
      </w:r>
      <w:r w:rsidRPr="00A47EAB">
        <w:t> and </w:t>
      </w:r>
      <w:r w:rsidRPr="00A47EAB">
        <w:rPr>
          <w:b/>
          <w:bCs/>
        </w:rPr>
        <w:t>Dow (2021)</w:t>
      </w:r>
      <w:r w:rsidRPr="00A47EAB">
        <w:t>, firm recognition metrics from </w:t>
      </w:r>
      <w:r w:rsidRPr="00A47EAB">
        <w:rPr>
          <w:b/>
          <w:bCs/>
        </w:rPr>
        <w:t>Google Trends</w:t>
      </w:r>
      <w:r w:rsidRPr="00A47EAB">
        <w:t>, and institutional governance quality from the World Bank's </w:t>
      </w:r>
      <w:r w:rsidRPr="00A47EAB">
        <w:rPr>
          <w:b/>
          <w:bCs/>
        </w:rPr>
        <w:t>World Governance Indicators (WGI)</w:t>
      </w:r>
      <w:r w:rsidRPr="00A47EAB">
        <w:t>.</w:t>
      </w:r>
    </w:p>
    <w:p w14:paraId="42B34433" w14:textId="77777777" w:rsidR="00A47EAB" w:rsidRPr="00A47EAB" w:rsidRDefault="00A47EAB" w:rsidP="00A47EAB">
      <w:pPr>
        <w:numPr>
          <w:ilvl w:val="0"/>
          <w:numId w:val="5"/>
        </w:numPr>
      </w:pPr>
      <w:r w:rsidRPr="00A47EAB">
        <w:rPr>
          <w:b/>
          <w:bCs/>
        </w:rPr>
        <w:t>Sample Scope and Unit of Analysis:</w:t>
      </w:r>
      <w:r w:rsidRPr="00A47EAB">
        <w:t> The final micro-level dataset contains 15,725 VC-level deal observations (derived from 18,964 raw transactions), covering 1,556 unique VC firms, 7,606 portfolio companies, 55 host markets, and 67 home markets.</w:t>
      </w:r>
    </w:p>
    <w:p w14:paraId="724C33DD" w14:textId="77777777" w:rsidR="00A47EAB" w:rsidRPr="00A47EAB" w:rsidRDefault="00A47EAB" w:rsidP="00A47EAB">
      <w:pPr>
        <w:numPr>
          <w:ilvl w:val="0"/>
          <w:numId w:val="5"/>
        </w:numPr>
      </w:pPr>
      <w:r w:rsidRPr="00A47EAB">
        <w:rPr>
          <w:b/>
          <w:bCs/>
        </w:rPr>
        <w:t>Geographic and Sectoral Concentration:</w:t>
      </w:r>
      <w:r w:rsidRPr="00A47EAB">
        <w:t> Primary destination markets include the US (24.3%), China (11.1%), India (10.5%), UK (8.7%), and Canada (5.8%), while top source markets are the US (40.9%), UK (11.5%), France (6.0%), Hong Kong (4.4%), and Germany (3.4%); 81% of investments are concentrated in IT (n = 8,337), Healthcare (n = 2,626), and Consumer Discretionary (n = 1,718).</w:t>
      </w:r>
    </w:p>
    <w:p w14:paraId="706E8F3B" w14:textId="77777777" w:rsidR="00A47EAB" w:rsidRPr="00A47EAB" w:rsidRDefault="00A47EAB" w:rsidP="00A47EAB">
      <w:pPr>
        <w:numPr>
          <w:ilvl w:val="0"/>
          <w:numId w:val="5"/>
        </w:numPr>
      </w:pPr>
      <w:r w:rsidRPr="00A47EAB">
        <w:rPr>
          <w:b/>
          <w:bCs/>
        </w:rPr>
        <w:t>Investment Stage Distribution and Averages:</w:t>
      </w:r>
      <w:r w:rsidRPr="00A47EAB">
        <w:t> Early-stage and late-stage investments account for 84% of total deal volume; average syndicate size is 4.5 VCs (ranging from 2 to 35 VCs per deal), with 72.1% of cross-border transactions incorporating a host-country local partner.</w:t>
      </w:r>
    </w:p>
    <w:p w14:paraId="5C79C47E" w14:textId="77777777" w:rsidR="00A47EAB" w:rsidRPr="00A47EAB" w:rsidRDefault="00A47EAB" w:rsidP="00A47EAB">
      <w:r w:rsidRPr="00A47EAB">
        <w:rPr>
          <w:b/>
          <w:bCs/>
        </w:rPr>
        <w:t>Takeaway:</w:t>
      </w:r>
      <w:r w:rsidRPr="00A47EAB">
        <w:t> The study employs a highly robust multi-country sample of 15,725 cross-border deal observations across a decade of peak VC internationalization.</w:t>
      </w:r>
    </w:p>
    <w:p w14:paraId="4673EB91" w14:textId="77777777" w:rsidR="00A47EAB" w:rsidRPr="00A47EAB" w:rsidRDefault="00A47EAB" w:rsidP="00A47EAB">
      <w:r w:rsidRPr="00A47EAB">
        <w:t>To model these discrete and binary behavioral outcomes, specialized econometric estimation techniques were deployed.</w:t>
      </w:r>
    </w:p>
    <w:p w14:paraId="6820F2B0" w14:textId="77777777" w:rsidR="00A47EAB" w:rsidRPr="00A47EAB" w:rsidRDefault="00A47EAB" w:rsidP="00A47EAB">
      <w:pPr>
        <w:rPr>
          <w:b/>
          <w:bCs/>
        </w:rPr>
      </w:pPr>
      <w:r w:rsidRPr="00A47EAB">
        <w:rPr>
          <w:b/>
          <w:bCs/>
        </w:rPr>
        <w:lastRenderedPageBreak/>
        <w:t>3.2. Methodology</w:t>
      </w:r>
    </w:p>
    <w:p w14:paraId="530B420C" w14:textId="77777777" w:rsidR="00A47EAB" w:rsidRPr="00A47EAB" w:rsidRDefault="00A47EAB" w:rsidP="00A47EAB">
      <w:r w:rsidRPr="00A47EAB">
        <w:t>The quantitative framework employs Generalized Linear Models (GLM) structured specifically around the mathematical and distributional properties of count and binary dependent variables.</w:t>
      </w:r>
    </w:p>
    <w:p w14:paraId="71F1A6B7" w14:textId="77777777" w:rsidR="00A47EAB" w:rsidRPr="00A47EAB" w:rsidRDefault="00A47EAB" w:rsidP="00A47EAB">
      <w:pPr>
        <w:numPr>
          <w:ilvl w:val="0"/>
          <w:numId w:val="6"/>
        </w:numPr>
      </w:pPr>
      <w:r w:rsidRPr="00A47EAB">
        <w:rPr>
          <w:b/>
          <w:bCs/>
        </w:rPr>
        <w:t>Econometric Model Specification:</w:t>
      </w:r>
      <w:r w:rsidRPr="00A47EAB">
        <w:t> Estimations utilize a </w:t>
      </w:r>
      <w:r w:rsidRPr="00A47EAB">
        <w:rPr>
          <w:b/>
          <w:bCs/>
        </w:rPr>
        <w:t>Generalized Linear Model (GLM)</w:t>
      </w:r>
      <w:r w:rsidRPr="00A47EAB">
        <w:t> with a Poisson link function for bounded, non-negative discrete count data (</w:t>
      </w:r>
      <w:r w:rsidRPr="00A47EAB">
        <w:rPr>
          <w:b/>
          <w:bCs/>
        </w:rPr>
        <w:t>Syndicate Size</w:t>
      </w:r>
      <w:r w:rsidRPr="00A47EAB">
        <w:t>) and a Logit link function for binary outcomes (</w:t>
      </w:r>
      <w:r w:rsidRPr="00A47EAB">
        <w:rPr>
          <w:b/>
          <w:bCs/>
        </w:rPr>
        <w:t>Likelihood of Local Partnering</w:t>
      </w:r>
      <w:r w:rsidRPr="00A47EAB">
        <w:t>).</w:t>
      </w:r>
    </w:p>
    <w:p w14:paraId="5E95AAF2" w14:textId="77777777" w:rsidR="00A47EAB" w:rsidRPr="00A47EAB" w:rsidRDefault="00A47EAB" w:rsidP="00A47EAB">
      <w:pPr>
        <w:numPr>
          <w:ilvl w:val="0"/>
          <w:numId w:val="6"/>
        </w:numPr>
      </w:pPr>
      <w:r w:rsidRPr="00A47EAB">
        <w:rPr>
          <w:b/>
          <w:bCs/>
        </w:rPr>
        <w:t>Endogeneity and Structural Cross-Controls:</w:t>
      </w:r>
      <w:r w:rsidRPr="00A47EAB">
        <w:t> To account for structural interdependencies between the two dependent variables, each regression incorporates the alternative outcome variable as a focal control (</w:t>
      </w:r>
      <w:r w:rsidRPr="00A47EAB">
        <w:rPr>
          <w:b/>
          <w:bCs/>
        </w:rPr>
        <w:t>Local Partner</w:t>
      </w:r>
      <w:r w:rsidRPr="00A47EAB">
        <w:t> in size regressions; </w:t>
      </w:r>
      <w:r w:rsidRPr="00A47EAB">
        <w:rPr>
          <w:b/>
          <w:bCs/>
        </w:rPr>
        <w:t>Syndicate Size</w:t>
      </w:r>
      <w:r w:rsidRPr="00A47EAB">
        <w:t> in local partner regressions).</w:t>
      </w:r>
    </w:p>
    <w:p w14:paraId="2ECBF87B" w14:textId="77777777" w:rsidR="00A47EAB" w:rsidRPr="00A47EAB" w:rsidRDefault="00A47EAB" w:rsidP="00A47EAB">
      <w:r w:rsidRPr="00A47EAB">
        <w:rPr>
          <w:b/>
          <w:bCs/>
        </w:rPr>
        <w:t>Takeaway:</w:t>
      </w:r>
      <w:r w:rsidRPr="00A47EAB">
        <w:t> Empirical testing utilizes Poisson and Logit GLM estimations while explicitly controlling for systemic interdependencies between syndicate size and local partner presence.</w:t>
      </w:r>
    </w:p>
    <w:p w14:paraId="6208561B" w14:textId="77777777" w:rsidR="00A47EAB" w:rsidRPr="00A47EAB" w:rsidRDefault="00A47EAB" w:rsidP="00A47EAB">
      <w:r w:rsidRPr="00A47EAB">
        <w:t xml:space="preserve">The operational validity of these statistical </w:t>
      </w:r>
      <w:proofErr w:type="gramStart"/>
      <w:r w:rsidRPr="00A47EAB">
        <w:t>models</w:t>
      </w:r>
      <w:proofErr w:type="gramEnd"/>
      <w:r w:rsidRPr="00A47EAB">
        <w:t xml:space="preserve"> rests on precise construct measurement and normalization protocols.</w:t>
      </w:r>
    </w:p>
    <w:p w14:paraId="74DC3853" w14:textId="77777777" w:rsidR="00A47EAB" w:rsidRPr="00A47EAB" w:rsidRDefault="00A47EAB" w:rsidP="00A47EAB">
      <w:pPr>
        <w:rPr>
          <w:b/>
          <w:bCs/>
        </w:rPr>
      </w:pPr>
      <w:r w:rsidRPr="00A47EAB">
        <w:rPr>
          <w:b/>
          <w:bCs/>
        </w:rPr>
        <w:t>3.3. Measures</w:t>
      </w:r>
    </w:p>
    <w:p w14:paraId="3F69C548" w14:textId="77777777" w:rsidR="00A47EAB" w:rsidRPr="00A47EAB" w:rsidRDefault="00A47EAB" w:rsidP="00A47EAB">
      <w:r w:rsidRPr="00A47EAB">
        <w:t>The operationalization of variables pairs established dyadic distance scales with innovative digital proxies for organizational recognition and extensive institutional controls.</w:t>
      </w:r>
    </w:p>
    <w:p w14:paraId="57C24208" w14:textId="77777777" w:rsidR="00A47EAB" w:rsidRPr="00A47EAB" w:rsidRDefault="00A47EAB" w:rsidP="00A47EAB">
      <w:pPr>
        <w:numPr>
          <w:ilvl w:val="0"/>
          <w:numId w:val="7"/>
        </w:numPr>
      </w:pPr>
      <w:r w:rsidRPr="00A47EAB">
        <w:rPr>
          <w:b/>
          <w:bCs/>
        </w:rPr>
        <w:t>Dependent Variables:</w:t>
      </w:r>
      <w:r w:rsidRPr="00A47EAB">
        <w:t> </w:t>
      </w:r>
      <w:r w:rsidRPr="00A47EAB">
        <w:rPr>
          <w:b/>
          <w:bCs/>
        </w:rPr>
        <w:t>Syndicate Size</w:t>
      </w:r>
      <w:r w:rsidRPr="00A47EAB">
        <w:t> (total count of participating VC firms in a transaction dyad); </w:t>
      </w:r>
      <w:r w:rsidRPr="00A47EAB">
        <w:rPr>
          <w:b/>
          <w:bCs/>
        </w:rPr>
        <w:t>Likelihood of Local Partnering</w:t>
      </w:r>
      <w:r w:rsidRPr="00A47EAB">
        <w:t> (binary indicator: 1 if syndicate includes a host-country VC firm, 0 otherwise).</w:t>
      </w:r>
    </w:p>
    <w:p w14:paraId="526C15CE" w14:textId="77777777" w:rsidR="00A47EAB" w:rsidRPr="00A47EAB" w:rsidRDefault="00A47EAB" w:rsidP="00A47EAB">
      <w:pPr>
        <w:numPr>
          <w:ilvl w:val="0"/>
          <w:numId w:val="7"/>
        </w:numPr>
      </w:pPr>
      <w:r w:rsidRPr="00A47EAB">
        <w:rPr>
          <w:b/>
          <w:bCs/>
        </w:rPr>
        <w:t>Dyadic Distance Normalization:</w:t>
      </w:r>
      <w:r w:rsidRPr="00A47EAB">
        <w:t> To eliminate syndicate size bias, </w:t>
      </w:r>
      <w:r w:rsidRPr="00A47EAB">
        <w:rPr>
          <w:b/>
          <w:bCs/>
        </w:rPr>
        <w:t>Geographic Distance</w:t>
      </w:r>
      <w:r w:rsidRPr="00A47EAB">
        <w:t> (great-circle distance between home centers) and </w:t>
      </w:r>
      <w:r w:rsidRPr="00A47EAB">
        <w:rPr>
          <w:b/>
          <w:bCs/>
        </w:rPr>
        <w:t>Psychic Distance</w:t>
      </w:r>
      <w:r w:rsidRPr="00A47EAB">
        <w:t> (Dow's 5-component stimulus index) are calculated across all dyadic permutations within a syndicate and scaled by the permutation formula N(N-1)/2.</w:t>
      </w:r>
    </w:p>
    <w:p w14:paraId="178D6511" w14:textId="77777777" w:rsidR="00A47EAB" w:rsidRPr="00A47EAB" w:rsidRDefault="00A47EAB" w:rsidP="00A47EAB">
      <w:pPr>
        <w:numPr>
          <w:ilvl w:val="0"/>
          <w:numId w:val="7"/>
        </w:numPr>
      </w:pPr>
      <w:r w:rsidRPr="00A47EAB">
        <w:rPr>
          <w:b/>
          <w:bCs/>
        </w:rPr>
        <w:t>Google Trends Recognition Metrics:</w:t>
      </w:r>
      <w:r w:rsidRPr="00A47EAB">
        <w:t> </w:t>
      </w:r>
      <w:r w:rsidRPr="00A47EAB">
        <w:rPr>
          <w:b/>
          <w:bCs/>
        </w:rPr>
        <w:t>Global Recognition</w:t>
      </w:r>
      <w:r w:rsidRPr="00A47EAB">
        <w:t> measures cross-national search query uniformity using an inverted Gini coefficient via the </w:t>
      </w:r>
      <w:proofErr w:type="spellStart"/>
      <w:r w:rsidRPr="00A47EAB">
        <w:t>globaltrends</w:t>
      </w:r>
      <w:proofErr w:type="spellEnd"/>
      <w:r w:rsidRPr="00A47EAB">
        <w:t> R package; </w:t>
      </w:r>
      <w:r w:rsidRPr="00A47EAB">
        <w:rPr>
          <w:b/>
          <w:bCs/>
        </w:rPr>
        <w:t>Host Market Recognition</w:t>
      </w:r>
      <w:r w:rsidRPr="00A47EAB">
        <w:t> measures targeted search volume benchmarked against five Google baseline reference queries (Gmail, Maps, Translate, Wikipedia, YouTube) to ensure cross-country comparability.</w:t>
      </w:r>
    </w:p>
    <w:p w14:paraId="266AFFDD" w14:textId="77777777" w:rsidR="00A47EAB" w:rsidRPr="00A47EAB" w:rsidRDefault="00A47EAB" w:rsidP="00A47EAB">
      <w:pPr>
        <w:numPr>
          <w:ilvl w:val="0"/>
          <w:numId w:val="7"/>
        </w:numPr>
      </w:pPr>
      <w:r w:rsidRPr="00A47EAB">
        <w:rPr>
          <w:b/>
          <w:bCs/>
        </w:rPr>
        <w:lastRenderedPageBreak/>
        <w:t>Control Variables:</w:t>
      </w:r>
      <w:r w:rsidRPr="00A47EAB">
        <w:t> Target market VC deal volume, host market IPO exits, host </w:t>
      </w:r>
      <w:r w:rsidRPr="00A47EAB">
        <w:rPr>
          <w:b/>
          <w:bCs/>
        </w:rPr>
        <w:t xml:space="preserve">WGI Governance </w:t>
      </w:r>
      <w:proofErr w:type="gramStart"/>
      <w:r w:rsidRPr="00A47EAB">
        <w:rPr>
          <w:b/>
          <w:bCs/>
        </w:rPr>
        <w:t>Quality</w:t>
      </w:r>
      <w:r w:rsidRPr="00A47EAB">
        <w:t>(</w:t>
      </w:r>
      <w:proofErr w:type="gramEnd"/>
      <w:r w:rsidRPr="00A47EAB">
        <w:t>composite factor index via factor analysis capturing 85% variance), VC firm/fund size, VC firm/fund age, deal size, alongside investment round, industry, and year fixed effects.</w:t>
      </w:r>
    </w:p>
    <w:p w14:paraId="71E68E15" w14:textId="77777777" w:rsidR="00A47EAB" w:rsidRPr="00A47EAB" w:rsidRDefault="00A47EAB" w:rsidP="00A47EAB">
      <w:r w:rsidRPr="00A47EAB">
        <w:rPr>
          <w:b/>
          <w:bCs/>
        </w:rPr>
        <w:t>Takeaway:</w:t>
      </w:r>
      <w:r w:rsidRPr="00A47EAB">
        <w:t> Key constructs utilize novel Google Trends metrics for external recognition alongside established inter-partner psychic and geographic distance scales.</w:t>
      </w:r>
    </w:p>
    <w:p w14:paraId="34E5C2CD" w14:textId="77777777" w:rsidR="00A47EAB" w:rsidRPr="00A47EAB" w:rsidRDefault="00A47EAB" w:rsidP="00A47EAB">
      <w:r w:rsidRPr="00A47EAB">
        <w:t>These operationalized metrics form the foundation for evaluating descriptive patterns and multivariate regression estimations.</w:t>
      </w:r>
    </w:p>
    <w:p w14:paraId="6D6F0005" w14:textId="77777777" w:rsidR="00A47EAB" w:rsidRPr="00A47EAB" w:rsidRDefault="00A47EAB" w:rsidP="00A47EAB">
      <w:pPr>
        <w:rPr>
          <w:b/>
          <w:bCs/>
        </w:rPr>
      </w:pPr>
      <w:r w:rsidRPr="00A47EAB">
        <w:rPr>
          <w:b/>
          <w:bCs/>
        </w:rPr>
        <w:t>4. Results</w:t>
      </w:r>
    </w:p>
    <w:p w14:paraId="5660BFF1" w14:textId="77777777" w:rsidR="00A47EAB" w:rsidRPr="00A47EAB" w:rsidRDefault="00A47EAB" w:rsidP="00A47EAB">
      <w:pPr>
        <w:rPr>
          <w:b/>
          <w:bCs/>
        </w:rPr>
      </w:pPr>
      <w:r w:rsidRPr="00A47EAB">
        <w:rPr>
          <w:b/>
          <w:bCs/>
        </w:rPr>
        <w:t>4.1. Descriptive Statistics</w:t>
      </w:r>
    </w:p>
    <w:p w14:paraId="58B0719E" w14:textId="77777777" w:rsidR="00A47EAB" w:rsidRPr="00A47EAB" w:rsidRDefault="00A47EAB" w:rsidP="00A47EAB">
      <w:r w:rsidRPr="00A47EAB">
        <w:t>Univariate metrics and correlation matrices reveal foundational relationships between inter-partner distance, firm status, institutional quality, and syndicate structure.</w:t>
      </w:r>
    </w:p>
    <w:p w14:paraId="040397EA" w14:textId="77777777" w:rsidR="00A47EAB" w:rsidRPr="00A47EAB" w:rsidRDefault="00A47EAB" w:rsidP="00A47EAB">
      <w:pPr>
        <w:numPr>
          <w:ilvl w:val="0"/>
          <w:numId w:val="8"/>
        </w:numPr>
      </w:pPr>
      <w:r w:rsidRPr="00A47EAB">
        <w:rPr>
          <w:b/>
          <w:bCs/>
        </w:rPr>
        <w:t>Distance Distributions:</w:t>
      </w:r>
      <w:r w:rsidRPr="00A47EAB">
        <w:t> Mean within-syndicate dyadic geographic distance is 4,786 km (equivalent to the spatial separation between the US and Ecuador); average dyadic psychic distance is 3.18 (equivalent to the distance between the US and South Africa).</w:t>
      </w:r>
    </w:p>
    <w:p w14:paraId="18E7937F" w14:textId="77777777" w:rsidR="00A47EAB" w:rsidRPr="00A47EAB" w:rsidRDefault="00A47EAB" w:rsidP="00A47EAB">
      <w:pPr>
        <w:numPr>
          <w:ilvl w:val="0"/>
          <w:numId w:val="8"/>
        </w:numPr>
      </w:pPr>
      <w:r w:rsidRPr="00A47EAB">
        <w:rPr>
          <w:b/>
          <w:bCs/>
        </w:rPr>
        <w:t>Experience vs. Recognition Correlation:</w:t>
      </w:r>
      <w:r w:rsidRPr="00A47EAB">
        <w:t> International investment experience correlates moderately with global recognition (r = 0.31, p &lt; 0.001), confirming that external recognition is distinct from cumulative internal investment experience.</w:t>
      </w:r>
    </w:p>
    <w:p w14:paraId="07123E6A" w14:textId="77777777" w:rsidR="00A47EAB" w:rsidRPr="00A47EAB" w:rsidRDefault="00A47EAB" w:rsidP="00A47EAB">
      <w:pPr>
        <w:numPr>
          <w:ilvl w:val="0"/>
          <w:numId w:val="8"/>
        </w:numPr>
      </w:pPr>
      <w:r w:rsidRPr="00A47EAB">
        <w:rPr>
          <w:b/>
          <w:bCs/>
        </w:rPr>
        <w:t>Institutional Quality Dynamics:</w:t>
      </w:r>
      <w:r w:rsidRPr="00A47EAB">
        <w:t> Host-country institutional quality (</w:t>
      </w:r>
      <w:r w:rsidRPr="00A47EAB">
        <w:rPr>
          <w:b/>
          <w:bCs/>
        </w:rPr>
        <w:t>WGI Governance Quality</w:t>
      </w:r>
      <w:r w:rsidRPr="00A47EAB">
        <w:t>) correlates strongly with local VC participation (p &lt; 0.01), whereas it exhibits no statistically significant correlation with overall syndicate size.</w:t>
      </w:r>
    </w:p>
    <w:p w14:paraId="61F122BA" w14:textId="77777777" w:rsidR="00A47EAB" w:rsidRPr="00A47EAB" w:rsidRDefault="00A47EAB" w:rsidP="00A47EAB">
      <w:r w:rsidRPr="00A47EAB">
        <w:rPr>
          <w:b/>
          <w:bCs/>
        </w:rPr>
        <w:t>Takeaway:</w:t>
      </w:r>
      <w:r w:rsidRPr="00A47EAB">
        <w:t> Data confirms substantial variance in partner distance and recognition, with institutional quality strongly driving local partner inclusion.</w:t>
      </w:r>
    </w:p>
    <w:p w14:paraId="7ACE1893" w14:textId="77777777" w:rsidR="00A47EAB" w:rsidRPr="00A47EAB" w:rsidRDefault="00A47EAB" w:rsidP="00A47EAB">
      <w:r w:rsidRPr="00A47EAB">
        <w:t>Multivariate GLM estimations provide formal empirical tests of the hypothesized agency and resource mechanisms.</w:t>
      </w:r>
    </w:p>
    <w:p w14:paraId="4F91CBE4" w14:textId="77777777" w:rsidR="00A47EAB" w:rsidRPr="00A47EAB" w:rsidRDefault="00A47EAB" w:rsidP="00A47EAB">
      <w:pPr>
        <w:rPr>
          <w:b/>
          <w:bCs/>
        </w:rPr>
      </w:pPr>
      <w:r w:rsidRPr="00A47EAB">
        <w:rPr>
          <w:b/>
          <w:bCs/>
        </w:rPr>
        <w:t>4.2. Regression Results</w:t>
      </w:r>
    </w:p>
    <w:p w14:paraId="2747D9D9" w14:textId="77777777" w:rsidR="00A47EAB" w:rsidRPr="00A47EAB" w:rsidRDefault="00A47EAB" w:rsidP="00A47EAB">
      <w:r w:rsidRPr="00A47EAB">
        <w:t>Hypotheses 1a/b through 4a/b are evaluated through full-sample GLM specifications and restricted first-time investor models.</w:t>
      </w:r>
    </w:p>
    <w:p w14:paraId="0A7D2284" w14:textId="77777777" w:rsidR="00A47EAB" w:rsidRPr="00A47EAB" w:rsidRDefault="00A47EAB" w:rsidP="00A47EAB">
      <w:pPr>
        <w:numPr>
          <w:ilvl w:val="0"/>
          <w:numId w:val="9"/>
        </w:numPr>
      </w:pPr>
      <w:r w:rsidRPr="00A47EAB">
        <w:rPr>
          <w:b/>
          <w:bCs/>
        </w:rPr>
        <w:t>Syndicate Size Tests (H1a, H2a, H3a, H4a):</w:t>
      </w:r>
      <w:r w:rsidRPr="00A47EAB">
        <w:t> Inter-partner </w:t>
      </w:r>
      <w:r w:rsidRPr="00A47EAB">
        <w:rPr>
          <w:b/>
          <w:bCs/>
        </w:rPr>
        <w:t>geographic distance</w:t>
      </w:r>
      <w:r w:rsidRPr="00A47EAB">
        <w:t> (p &lt; 0.01) and </w:t>
      </w:r>
      <w:r w:rsidRPr="00A47EAB">
        <w:rPr>
          <w:b/>
          <w:bCs/>
        </w:rPr>
        <w:t xml:space="preserve">psychic </w:t>
      </w:r>
      <w:proofErr w:type="gramStart"/>
      <w:r w:rsidRPr="00A47EAB">
        <w:rPr>
          <w:b/>
          <w:bCs/>
        </w:rPr>
        <w:t>distance</w:t>
      </w:r>
      <w:r w:rsidRPr="00A47EAB">
        <w:t>(</w:t>
      </w:r>
      <w:proofErr w:type="gramEnd"/>
      <w:r w:rsidRPr="00A47EAB">
        <w:t>p &lt; 0.01) significantly reduce syndicate size, supporting H1a and H2a. </w:t>
      </w:r>
      <w:r w:rsidRPr="00A47EAB">
        <w:rPr>
          <w:b/>
          <w:bCs/>
        </w:rPr>
        <w:t>Global recognition</w:t>
      </w:r>
      <w:r w:rsidRPr="00A47EAB">
        <w:t xml:space="preserve"> significantly decreases syndicate size (p &lt; 0.01, </w:t>
      </w:r>
      <w:r w:rsidRPr="00A47EAB">
        <w:lastRenderedPageBreak/>
        <w:t>supporting H4a), whereas </w:t>
      </w:r>
      <w:r w:rsidRPr="00A47EAB">
        <w:rPr>
          <w:b/>
          <w:bCs/>
        </w:rPr>
        <w:t>host market recognition</w:t>
      </w:r>
      <w:r w:rsidRPr="00A47EAB">
        <w:t> is negative but narrowly insignificant (p = 0.113, leaving H3a unsupported).</w:t>
      </w:r>
    </w:p>
    <w:p w14:paraId="7DA1DCC5" w14:textId="77777777" w:rsidR="00A47EAB" w:rsidRPr="00A47EAB" w:rsidRDefault="00A47EAB" w:rsidP="00A47EAB">
      <w:pPr>
        <w:numPr>
          <w:ilvl w:val="0"/>
          <w:numId w:val="9"/>
        </w:numPr>
      </w:pPr>
      <w:r w:rsidRPr="00A47EAB">
        <w:rPr>
          <w:b/>
          <w:bCs/>
        </w:rPr>
        <w:t>Local Partnering Tests (H1b, H2b, H3b, H4b):</w:t>
      </w:r>
      <w:r w:rsidRPr="00A47EAB">
        <w:t> Inter-partner </w:t>
      </w:r>
      <w:r w:rsidRPr="00A47EAB">
        <w:rPr>
          <w:b/>
          <w:bCs/>
        </w:rPr>
        <w:t>geographic distance</w:t>
      </w:r>
      <w:r w:rsidRPr="00A47EAB">
        <w:t> (p &lt; 0.01) and </w:t>
      </w:r>
      <w:r w:rsidRPr="00A47EAB">
        <w:rPr>
          <w:b/>
          <w:bCs/>
        </w:rPr>
        <w:t>psychic distance</w:t>
      </w:r>
      <w:r w:rsidRPr="00A47EAB">
        <w:t> (p &lt; 0.05) significantly increase local partner inclusion, supporting H1b and H2b. </w:t>
      </w:r>
      <w:r w:rsidRPr="00A47EAB">
        <w:rPr>
          <w:b/>
          <w:bCs/>
        </w:rPr>
        <w:t>Host market recognition</w:t>
      </w:r>
      <w:r w:rsidRPr="00A47EAB">
        <w:t> exerts a significant </w:t>
      </w:r>
      <w:r w:rsidRPr="00A47EAB">
        <w:rPr>
          <w:i/>
          <w:iCs/>
        </w:rPr>
        <w:t>positive</w:t>
      </w:r>
      <w:r w:rsidRPr="00A47EAB">
        <w:t> effect on local partnering (p &lt; 0.05), opposing H3b, while </w:t>
      </w:r>
      <w:r w:rsidRPr="00A47EAB">
        <w:rPr>
          <w:b/>
          <w:bCs/>
        </w:rPr>
        <w:t>global recognition</w:t>
      </w:r>
      <w:r w:rsidRPr="00A47EAB">
        <w:t> is statistically insignificant (H4b unsupported).</w:t>
      </w:r>
    </w:p>
    <w:p w14:paraId="459F61F5" w14:textId="77777777" w:rsidR="00A47EAB" w:rsidRPr="00A47EAB" w:rsidRDefault="00A47EAB" w:rsidP="00A47EAB">
      <w:pPr>
        <w:numPr>
          <w:ilvl w:val="0"/>
          <w:numId w:val="9"/>
        </w:numPr>
      </w:pPr>
      <w:r w:rsidRPr="00A47EAB">
        <w:rPr>
          <w:b/>
          <w:bCs/>
        </w:rPr>
        <w:t>Reciprocal Two-Sided Matching Mechanism (H3b Reversal):</w:t>
      </w:r>
      <w:r w:rsidRPr="00A47EAB">
        <w:t> The positive relationship between host market recognition and local co-investment stems from reciprocal two-sided matching friction; highly recognized foreign VCs face lower partner search costs and receive proactive invitations from local VCs seeking status affiliation.</w:t>
      </w:r>
    </w:p>
    <w:p w14:paraId="0E7DDF88" w14:textId="77777777" w:rsidR="00A47EAB" w:rsidRPr="00A47EAB" w:rsidRDefault="00A47EAB" w:rsidP="00A47EAB">
      <w:pPr>
        <w:numPr>
          <w:ilvl w:val="0"/>
          <w:numId w:val="9"/>
        </w:numPr>
      </w:pPr>
      <w:r w:rsidRPr="00A47EAB">
        <w:rPr>
          <w:b/>
          <w:bCs/>
        </w:rPr>
        <w:t>Control Variable Effects:</w:t>
      </w:r>
      <w:r w:rsidRPr="00A47EAB">
        <w:t> Larger deal size and local partner presence significantly expand syndicate size (p &lt; 0.01), whereas larger VC firm size significantly decreases syndicate size (p &lt; 0.01) due to internal capital autonomy.</w:t>
      </w:r>
    </w:p>
    <w:p w14:paraId="0DF50AA0" w14:textId="77777777" w:rsidR="00A47EAB" w:rsidRPr="00A47EAB" w:rsidRDefault="00A47EAB" w:rsidP="00A47EAB">
      <w:r w:rsidRPr="00A47EAB">
        <w:rPr>
          <w:b/>
          <w:bCs/>
        </w:rPr>
        <w:t>Takeaway:</w:t>
      </w:r>
      <w:r w:rsidRPr="00A47EAB">
        <w:t> Empirical results fully support distance-induced agency hypotheses (H1a/b, H2a/b) and global recognition size-reduction (H4a), while revealing host recognition increases local co-investment through two-sided matching dynamics.</w:t>
      </w:r>
    </w:p>
    <w:p w14:paraId="0CA541AB" w14:textId="77777777" w:rsidR="00A47EAB" w:rsidRPr="00A47EAB" w:rsidRDefault="00A47EAB" w:rsidP="00A47EAB">
      <w:r w:rsidRPr="00A47EAB">
        <w:t>A series of rigorous robustness checks were conducted to verify model stability and rule out alternative explanations.</w:t>
      </w:r>
    </w:p>
    <w:p w14:paraId="3AD4F0AC" w14:textId="77777777" w:rsidR="00A47EAB" w:rsidRPr="00A47EAB" w:rsidRDefault="00A47EAB" w:rsidP="00A47EAB">
      <w:pPr>
        <w:rPr>
          <w:b/>
          <w:bCs/>
        </w:rPr>
      </w:pPr>
      <w:r w:rsidRPr="00A47EAB">
        <w:rPr>
          <w:b/>
          <w:bCs/>
        </w:rPr>
        <w:t>4.3. Robustness Checks</w:t>
      </w:r>
    </w:p>
    <w:p w14:paraId="1621CF21" w14:textId="77777777" w:rsidR="00A47EAB" w:rsidRPr="00A47EAB" w:rsidRDefault="00A47EAB" w:rsidP="00A47EAB">
      <w:r w:rsidRPr="00A47EAB">
        <w:t>Robustness checks evaluate sensitivity across alternative fixed effects, random-coefficient hierarchical models, experience-versus-recognition specifications, and endogeneity controls.</w:t>
      </w:r>
    </w:p>
    <w:p w14:paraId="2A13D3E5" w14:textId="77777777" w:rsidR="00A47EAB" w:rsidRPr="00A47EAB" w:rsidRDefault="00A47EAB" w:rsidP="00A47EAB">
      <w:pPr>
        <w:numPr>
          <w:ilvl w:val="0"/>
          <w:numId w:val="10"/>
        </w:numPr>
      </w:pPr>
      <w:r w:rsidRPr="00A47EAB">
        <w:rPr>
          <w:b/>
          <w:bCs/>
        </w:rPr>
        <w:t>Fixed Effects and Hierarchical GLM Formulations:</w:t>
      </w:r>
      <w:r w:rsidRPr="00A47EAB">
        <w:t> Baseline coefficients remain stable when introducing home country fixed effects, target country fixed effects, joint home-target fixed effects, and hierarchical GLM specifications featuring VC home-country random intercepts and random slopes.</w:t>
      </w:r>
    </w:p>
    <w:p w14:paraId="55B4C6CA" w14:textId="77777777" w:rsidR="00A47EAB" w:rsidRPr="00A47EAB" w:rsidRDefault="00A47EAB" w:rsidP="00A47EAB">
      <w:pPr>
        <w:numPr>
          <w:ilvl w:val="0"/>
          <w:numId w:val="10"/>
        </w:numPr>
      </w:pPr>
      <w:r w:rsidRPr="00A47EAB">
        <w:rPr>
          <w:b/>
          <w:bCs/>
        </w:rPr>
        <w:t>Experience vs. Recognition Comparison:</w:t>
      </w:r>
      <w:r w:rsidRPr="00A47EAB">
        <w:t> Post-hoc models replacing Google metrics with prior deal counts confirm that </w:t>
      </w:r>
      <w:r w:rsidRPr="00A47EAB">
        <w:rPr>
          <w:b/>
          <w:bCs/>
        </w:rPr>
        <w:t>global recognition</w:t>
      </w:r>
      <w:r w:rsidRPr="00A47EAB">
        <w:t> significantly contracts syndicate size where general experience does not, proving recognition is a portable asset that transfers across non-contiguous markets more effectively than tacit experience.</w:t>
      </w:r>
    </w:p>
    <w:p w14:paraId="133B21FB" w14:textId="77777777" w:rsidR="00A47EAB" w:rsidRPr="00A47EAB" w:rsidRDefault="00A47EAB" w:rsidP="00A47EAB">
      <w:pPr>
        <w:numPr>
          <w:ilvl w:val="0"/>
          <w:numId w:val="10"/>
        </w:numPr>
      </w:pPr>
      <w:r w:rsidRPr="00A47EAB">
        <w:rPr>
          <w:b/>
          <w:bCs/>
        </w:rPr>
        <w:lastRenderedPageBreak/>
        <w:t>Formal Endogeneity Controls:</w:t>
      </w:r>
      <w:r w:rsidRPr="00A47EAB">
        <w:t xml:space="preserve"> Applying Wooldridge’s (2015) two-stage control function approach—regressing experience metrics on partner outcomes in the first stage and inserting first-stage residuals into second-stage GLMs—yields </w:t>
      </w:r>
      <w:proofErr w:type="gramStart"/>
      <w:r w:rsidRPr="00A47EAB">
        <w:t>results</w:t>
      </w:r>
      <w:proofErr w:type="gramEnd"/>
      <w:r w:rsidRPr="00A47EAB">
        <w:t xml:space="preserve"> identical to baseline models, ruling out endogeneity bias.</w:t>
      </w:r>
    </w:p>
    <w:p w14:paraId="5E93518E" w14:textId="77777777" w:rsidR="00A47EAB" w:rsidRPr="00A47EAB" w:rsidRDefault="00A47EAB" w:rsidP="00A47EAB">
      <w:r w:rsidRPr="00A47EAB">
        <w:rPr>
          <w:b/>
          <w:bCs/>
        </w:rPr>
        <w:t>Takeaway:</w:t>
      </w:r>
      <w:r w:rsidRPr="00A47EAB">
        <w:t> Findings are highly robust across alternative fixed effects, random slope specifications, endogeneity controls, and distinct experience-versus-recognition models.</w:t>
      </w:r>
    </w:p>
    <w:p w14:paraId="54AC9757" w14:textId="77777777" w:rsidR="00A47EAB" w:rsidRPr="00A47EAB" w:rsidRDefault="00A47EAB" w:rsidP="00A47EAB">
      <w:r w:rsidRPr="00A47EAB">
        <w:t>These empirical insights generate significant contributions for academic theory, venture capital practice, and economic policy.</w:t>
      </w:r>
    </w:p>
    <w:p w14:paraId="7C36CDE0" w14:textId="77777777" w:rsidR="00A47EAB" w:rsidRPr="00A47EAB" w:rsidRDefault="00A47EAB" w:rsidP="00A47EAB">
      <w:pPr>
        <w:rPr>
          <w:b/>
          <w:bCs/>
        </w:rPr>
      </w:pPr>
      <w:r w:rsidRPr="00A47EAB">
        <w:rPr>
          <w:b/>
          <w:bCs/>
        </w:rPr>
        <w:t>5. Discussion and Conclusion</w:t>
      </w:r>
    </w:p>
    <w:p w14:paraId="5D851271" w14:textId="77777777" w:rsidR="00A47EAB" w:rsidRPr="00A47EAB" w:rsidRDefault="00A47EAB" w:rsidP="00A47EAB">
      <w:r w:rsidRPr="00A47EAB">
        <w:t>This study integrates corporate finance and international business to construct a holistic framework explaining how distance-induced agency friction and external status signals govern international VC syndication.</w:t>
      </w:r>
    </w:p>
    <w:p w14:paraId="552173DB" w14:textId="77777777" w:rsidR="00A47EAB" w:rsidRPr="00A47EAB" w:rsidRDefault="00A47EAB" w:rsidP="00A47EAB">
      <w:pPr>
        <w:numPr>
          <w:ilvl w:val="0"/>
          <w:numId w:val="11"/>
        </w:numPr>
      </w:pPr>
      <w:r w:rsidRPr="00A47EAB">
        <w:rPr>
          <w:b/>
          <w:bCs/>
        </w:rPr>
        <w:t>3D Theoretical Integration:</w:t>
      </w:r>
      <w:r w:rsidRPr="00A47EAB">
        <w:t> Establishes a comprehensive framework demonstrating that cross-border syndicate architecture is jointly determined by inter-partner distance (horizontal agency friction) and external recognition (portable relational assets).</w:t>
      </w:r>
    </w:p>
    <w:p w14:paraId="7F668D98" w14:textId="77777777" w:rsidR="00A47EAB" w:rsidRPr="00A47EAB" w:rsidRDefault="00A47EAB" w:rsidP="00A47EAB">
      <w:pPr>
        <w:numPr>
          <w:ilvl w:val="0"/>
          <w:numId w:val="11"/>
        </w:numPr>
      </w:pPr>
      <w:r w:rsidRPr="00A47EAB">
        <w:rPr>
          <w:b/>
          <w:bCs/>
        </w:rPr>
        <w:t>Methodological Validation:</w:t>
      </w:r>
      <w:r w:rsidRPr="00A47EAB">
        <w:t> Validates Google Trends search volume metrics in international strategy as objective, real-time proxies for firm status and external relationship capital within opaque private capital markets.</w:t>
      </w:r>
    </w:p>
    <w:p w14:paraId="1C52F5C9" w14:textId="77777777" w:rsidR="00A47EAB" w:rsidRPr="00A47EAB" w:rsidRDefault="00A47EAB" w:rsidP="00A47EAB">
      <w:pPr>
        <w:numPr>
          <w:ilvl w:val="0"/>
          <w:numId w:val="11"/>
        </w:numPr>
      </w:pPr>
      <w:r w:rsidRPr="00A47EAB">
        <w:rPr>
          <w:b/>
          <w:bCs/>
        </w:rPr>
        <w:t>Practical Implications for Venture Capitalists:</w:t>
      </w:r>
      <w:r w:rsidRPr="00A47EAB">
        <w:t> Guides foreign VC fund managers in calibrating co-investment syndicates, illustrating that inter-partner psychic distance creates severe coordination costs that compact syndicates and local co-investors effectively streamline.</w:t>
      </w:r>
    </w:p>
    <w:p w14:paraId="35ABD359" w14:textId="77777777" w:rsidR="00A47EAB" w:rsidRPr="00A47EAB" w:rsidRDefault="00A47EAB" w:rsidP="00A47EAB">
      <w:pPr>
        <w:numPr>
          <w:ilvl w:val="0"/>
          <w:numId w:val="11"/>
        </w:numPr>
      </w:pPr>
      <w:r w:rsidRPr="00A47EAB">
        <w:rPr>
          <w:b/>
          <w:bCs/>
        </w:rPr>
        <w:t>Practical Implications for Entrepreneurs:</w:t>
      </w:r>
      <w:r w:rsidRPr="00A47EAB">
        <w:t> Clarifies for venture founders that globally recognized foreign VCs prefer compact syndicates, whereas securing co-investments from mutually distant foreign VCs requires incorporating a host-country local partner.</w:t>
      </w:r>
    </w:p>
    <w:p w14:paraId="1BD7C112" w14:textId="77777777" w:rsidR="00A47EAB" w:rsidRPr="00A47EAB" w:rsidRDefault="00A47EAB" w:rsidP="00A47EAB">
      <w:pPr>
        <w:numPr>
          <w:ilvl w:val="0"/>
          <w:numId w:val="11"/>
        </w:numPr>
      </w:pPr>
      <w:r w:rsidRPr="00A47EAB">
        <w:rPr>
          <w:b/>
          <w:bCs/>
        </w:rPr>
        <w:t>Policy Implications for Host Governments:</w:t>
      </w:r>
      <w:r w:rsidRPr="00A47EAB">
        <w:t> Highlights that improving national institutional governance (</w:t>
      </w:r>
      <w:r w:rsidRPr="00A47EAB">
        <w:rPr>
          <w:b/>
          <w:bCs/>
        </w:rPr>
        <w:t>WGI</w:t>
      </w:r>
      <w:r w:rsidRPr="00A47EAB">
        <w:t>) and cultivating liquid exit channels (IPO markets) significantly increases cross-border VC syndicate inflows.</w:t>
      </w:r>
    </w:p>
    <w:p w14:paraId="3F168ACF" w14:textId="77777777" w:rsidR="00A47EAB" w:rsidRPr="00A47EAB" w:rsidRDefault="00A47EAB" w:rsidP="00A47EAB">
      <w:r w:rsidRPr="00A47EAB">
        <w:rPr>
          <w:b/>
          <w:bCs/>
        </w:rPr>
        <w:t>Takeaway:</w:t>
      </w:r>
      <w:r w:rsidRPr="00A47EAB">
        <w:t> The study integrates agency and resource perspectives, establishing that inter-partner distances and external recognition dictate international VC syndicate architecture.</w:t>
      </w:r>
    </w:p>
    <w:p w14:paraId="5ED7F4AC" w14:textId="77777777" w:rsidR="00A47EAB" w:rsidRPr="00A47EAB" w:rsidRDefault="00A47EAB" w:rsidP="00A47EAB">
      <w:r w:rsidRPr="00A47EAB">
        <w:lastRenderedPageBreak/>
        <w:t>The paper concludes by establishing empirical boundaries and identifying prospective avenues for future research.</w:t>
      </w:r>
    </w:p>
    <w:p w14:paraId="1DD263A5" w14:textId="77777777" w:rsidR="00A47EAB" w:rsidRPr="00A47EAB" w:rsidRDefault="00A47EAB" w:rsidP="00A47EAB">
      <w:pPr>
        <w:rPr>
          <w:b/>
          <w:bCs/>
        </w:rPr>
      </w:pPr>
      <w:r w:rsidRPr="00A47EAB">
        <w:rPr>
          <w:b/>
          <w:bCs/>
        </w:rPr>
        <w:t>6. Limitations and Future Research</w:t>
      </w:r>
    </w:p>
    <w:p w14:paraId="2B457FC4" w14:textId="77777777" w:rsidR="00A47EAB" w:rsidRPr="00A47EAB" w:rsidRDefault="00A47EAB" w:rsidP="00A47EAB">
      <w:r w:rsidRPr="00A47EAB">
        <w:t>Defining the methodological boundaries of this investigation reveals compelling opportunities for future academic research.</w:t>
      </w:r>
    </w:p>
    <w:p w14:paraId="24435F57" w14:textId="77777777" w:rsidR="00A47EAB" w:rsidRPr="00A47EAB" w:rsidRDefault="00A47EAB" w:rsidP="00A47EAB">
      <w:pPr>
        <w:numPr>
          <w:ilvl w:val="0"/>
          <w:numId w:val="12"/>
        </w:numPr>
      </w:pPr>
      <w:r w:rsidRPr="00A47EAB">
        <w:rPr>
          <w:b/>
          <w:bCs/>
        </w:rPr>
        <w:t>Unobserved Local Office Presence:</w:t>
      </w:r>
      <w:r w:rsidRPr="00A47EAB">
        <w:t> While transaction databases omit unrecorded representative offices, empirical verification across the top 3 sample VC funds (Sequoia, Index, Accel; accounting for 1,375 investments across 31+ countries) revealed only 4 foreign offices, proving local recognition reflects network status rather than physical subsidiary presence.</w:t>
      </w:r>
    </w:p>
    <w:p w14:paraId="47AD5DFA" w14:textId="77777777" w:rsidR="00A47EAB" w:rsidRPr="00A47EAB" w:rsidRDefault="00A47EAB" w:rsidP="00A47EAB">
      <w:pPr>
        <w:numPr>
          <w:ilvl w:val="0"/>
          <w:numId w:val="12"/>
        </w:numPr>
      </w:pPr>
      <w:r w:rsidRPr="00A47EAB">
        <w:rPr>
          <w:b/>
          <w:bCs/>
        </w:rPr>
        <w:t>Micro-Level Governance and Investor Attributes:</w:t>
      </w:r>
      <w:r w:rsidRPr="00A47EAB">
        <w:t> Future research should contrast macro-level institutional governance with micro-level firm governance (e.g., board seat allocation) and individual partner attributes (e.g., career networks, educational background).</w:t>
      </w:r>
    </w:p>
    <w:p w14:paraId="60FB23B3" w14:textId="77777777" w:rsidR="00A47EAB" w:rsidRPr="00A47EAB" w:rsidRDefault="00A47EAB" w:rsidP="00A47EAB">
      <w:pPr>
        <w:numPr>
          <w:ilvl w:val="0"/>
          <w:numId w:val="12"/>
        </w:numPr>
      </w:pPr>
      <w:r w:rsidRPr="00A47EAB">
        <w:rPr>
          <w:b/>
          <w:bCs/>
        </w:rPr>
        <w:t>Investee Recognition and Digital Governance Substitutes:</w:t>
      </w:r>
      <w:r w:rsidRPr="00A47EAB">
        <w:t> Scholars should explore comparative status dynamics across all syndicate partners, investee-level recognition signals, and post-COVID digital oversight technologies as potential operational substitutes for local VC partners.</w:t>
      </w:r>
    </w:p>
    <w:p w14:paraId="347E7CA7" w14:textId="2CDA107F" w:rsidR="00E65C23" w:rsidRDefault="00A47EAB">
      <w:r w:rsidRPr="00A47EAB">
        <w:rPr>
          <w:b/>
          <w:bCs/>
        </w:rPr>
        <w:t>Takeaway:</w:t>
      </w:r>
      <w:r w:rsidRPr="00A47EAB">
        <w:t> Future research should extend this framework to individual investor networks, comparative partner status, and digital governance substitutes</w:t>
      </w:r>
      <w:r>
        <w:t>.</w:t>
      </w:r>
    </w:p>
    <w:sectPr w:rsidR="00E65C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6959BD"/>
    <w:multiLevelType w:val="multilevel"/>
    <w:tmpl w:val="ECE8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F5D7F"/>
    <w:multiLevelType w:val="multilevel"/>
    <w:tmpl w:val="42E6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E5CCF"/>
    <w:multiLevelType w:val="multilevel"/>
    <w:tmpl w:val="6D48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E434C4"/>
    <w:multiLevelType w:val="multilevel"/>
    <w:tmpl w:val="1F94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383C19"/>
    <w:multiLevelType w:val="multilevel"/>
    <w:tmpl w:val="8AB4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8F38F0"/>
    <w:multiLevelType w:val="multilevel"/>
    <w:tmpl w:val="1CC8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8710D4"/>
    <w:multiLevelType w:val="multilevel"/>
    <w:tmpl w:val="73C4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125BA0"/>
    <w:multiLevelType w:val="multilevel"/>
    <w:tmpl w:val="C2EE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6A009D"/>
    <w:multiLevelType w:val="multilevel"/>
    <w:tmpl w:val="7A04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157771"/>
    <w:multiLevelType w:val="multilevel"/>
    <w:tmpl w:val="F512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C945F4"/>
    <w:multiLevelType w:val="multilevel"/>
    <w:tmpl w:val="C59E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0106EA"/>
    <w:multiLevelType w:val="multilevel"/>
    <w:tmpl w:val="CC50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3306172">
    <w:abstractNumId w:val="2"/>
  </w:num>
  <w:num w:numId="2" w16cid:durableId="635181166">
    <w:abstractNumId w:val="9"/>
  </w:num>
  <w:num w:numId="3" w16cid:durableId="1840341737">
    <w:abstractNumId w:val="10"/>
  </w:num>
  <w:num w:numId="4" w16cid:durableId="799689967">
    <w:abstractNumId w:val="7"/>
  </w:num>
  <w:num w:numId="5" w16cid:durableId="2069110710">
    <w:abstractNumId w:val="4"/>
  </w:num>
  <w:num w:numId="6" w16cid:durableId="430052047">
    <w:abstractNumId w:val="5"/>
  </w:num>
  <w:num w:numId="7" w16cid:durableId="495538047">
    <w:abstractNumId w:val="3"/>
  </w:num>
  <w:num w:numId="8" w16cid:durableId="404062198">
    <w:abstractNumId w:val="0"/>
  </w:num>
  <w:num w:numId="9" w16cid:durableId="1249459890">
    <w:abstractNumId w:val="6"/>
  </w:num>
  <w:num w:numId="10" w16cid:durableId="1173648902">
    <w:abstractNumId w:val="11"/>
  </w:num>
  <w:num w:numId="11" w16cid:durableId="2018463274">
    <w:abstractNumId w:val="1"/>
  </w:num>
  <w:num w:numId="12" w16cid:durableId="1136222479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C23"/>
    <w:rsid w:val="00A47EAB"/>
    <w:rsid w:val="00D22A89"/>
    <w:rsid w:val="00E65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191794"/>
  <w15:chartTrackingRefBased/>
  <w15:docId w15:val="{5A269407-2CF8-0644-96CA-6CA5DCBED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C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C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C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C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C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C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C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C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C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C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C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C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C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C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C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C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C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2860</Words>
  <Characters>16308</Characters>
  <Application>Microsoft Office Word</Application>
  <DocSecurity>0</DocSecurity>
  <Lines>135</Lines>
  <Paragraphs>38</Paragraphs>
  <ScaleCrop>false</ScaleCrop>
  <Company/>
  <LinksUpToDate>false</LinksUpToDate>
  <CharactersWithSpaces>19130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Sarman</dc:creator>
  <cp:keywords/>
  <dc:description/>
  <cp:lastModifiedBy>Mark Sarman</cp:lastModifiedBy>
  <cp:revision>2</cp:revision>
  <dcterms:created xsi:type="dcterms:W3CDTF">2026-09-30T12:17:00Z</dcterms:created>
  <dcterms:modified xsi:type="dcterms:W3CDTF">2026-09-30T12:35:00Z</dcterms:modified>
</cp:coreProperties>
</file>