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17E66" w14:textId="77777777" w:rsidR="00986254" w:rsidRPr="00986254" w:rsidRDefault="00986254" w:rsidP="00986254">
      <w:pPr>
        <w:rPr>
          <w:b/>
          <w:bCs/>
        </w:rPr>
      </w:pPr>
      <w:r w:rsidRPr="00986254">
        <w:rPr>
          <w:b/>
          <w:bCs/>
        </w:rPr>
        <w:t>Study Report: Looking for Complementarities (Lehner, 2023)</w:t>
      </w:r>
    </w:p>
    <w:p w14:paraId="452AB6D7" w14:textId="77777777" w:rsidR="00986254" w:rsidRPr="00986254" w:rsidRDefault="00986254" w:rsidP="00986254">
      <w:r w:rsidRPr="00986254">
        <w:t>Lehner, J. M. (2023). Looking for complementarities. Within-industry diversification and geographic diversification of Venture Capital Firms. </w:t>
      </w:r>
      <w:r w:rsidRPr="00986254">
        <w:rPr>
          <w:i/>
          <w:iCs/>
        </w:rPr>
        <w:t>Venture Capital</w:t>
      </w:r>
      <w:r w:rsidRPr="00986254">
        <w:t>, 25(4), 431–456. https://doi.org/10.1080/13691066.2022.2139206</w:t>
      </w:r>
    </w:p>
    <w:p w14:paraId="12B54142" w14:textId="77777777" w:rsidR="00986254" w:rsidRPr="00986254" w:rsidRDefault="00986254" w:rsidP="00986254">
      <w:pPr>
        <w:rPr>
          <w:b/>
          <w:bCs/>
        </w:rPr>
      </w:pPr>
      <w:r w:rsidRPr="00986254">
        <w:rPr>
          <w:b/>
          <w:bCs/>
        </w:rPr>
        <w:t>1. Introduction &amp; Core Research Problem</w:t>
      </w:r>
    </w:p>
    <w:p w14:paraId="4E952AB6" w14:textId="77777777" w:rsidR="00986254" w:rsidRPr="00986254" w:rsidRDefault="00986254" w:rsidP="00986254">
      <w:r w:rsidRPr="00986254">
        <w:t>Analyzing venture capital portfolio strategies requires addressing a central economic paradox: why venture capitalists (VCs) systematically pursue </w:t>
      </w:r>
      <w:r w:rsidRPr="00986254">
        <w:rPr>
          <w:b/>
          <w:bCs/>
        </w:rPr>
        <w:t>within-industry diversification</w:t>
      </w:r>
      <w:r w:rsidRPr="00986254">
        <w:t> rather than spreading risk across disparate markets, and why they concentrate investments geographically rather than maximizing global reach. While classical financial theory advocates </w:t>
      </w:r>
      <w:r w:rsidRPr="00986254">
        <w:rPr>
          <w:b/>
          <w:bCs/>
        </w:rPr>
        <w:t>unrelated diversification</w:t>
      </w:r>
      <w:r w:rsidRPr="00986254">
        <w:t> to minimize unsystematic risk, strategic management emphasizes capturing </w:t>
      </w:r>
      <w:r w:rsidRPr="00986254">
        <w:rPr>
          <w:b/>
          <w:bCs/>
        </w:rPr>
        <w:t>economies of scope</w:t>
      </w:r>
      <w:r w:rsidRPr="00986254">
        <w:t> through </w:t>
      </w:r>
      <w:r w:rsidRPr="00986254">
        <w:rPr>
          <w:b/>
          <w:bCs/>
        </w:rPr>
        <w:t>related diversification</w:t>
      </w:r>
      <w:r w:rsidRPr="00986254">
        <w:t>. Understanding how VCs reconcile these opposing drivers provides critical insight into venture governance, capital allocation, and spatial clustering across high-uncertainty industrial markets.</w:t>
      </w:r>
    </w:p>
    <w:p w14:paraId="4B9468A0" w14:textId="77777777" w:rsidR="00986254" w:rsidRPr="00986254" w:rsidRDefault="00986254" w:rsidP="00986254">
      <w:pPr>
        <w:numPr>
          <w:ilvl w:val="0"/>
          <w:numId w:val="1"/>
        </w:numPr>
      </w:pPr>
      <w:r w:rsidRPr="00986254">
        <w:rPr>
          <w:b/>
          <w:bCs/>
        </w:rPr>
        <w:t>Central Research Question</w:t>
      </w:r>
      <w:r w:rsidRPr="00986254">
        <w:t>: Investigates how VCs structure within-industry diversification along an industry's </w:t>
      </w:r>
      <w:r w:rsidRPr="00986254">
        <w:rPr>
          <w:b/>
          <w:bCs/>
        </w:rPr>
        <w:t>value chain</w:t>
      </w:r>
      <w:r w:rsidRPr="00986254">
        <w:t> and how this positioning interacts with geographic concentration to generate superior returns.</w:t>
      </w:r>
    </w:p>
    <w:p w14:paraId="177E9A2B" w14:textId="77777777" w:rsidR="00986254" w:rsidRPr="00986254" w:rsidRDefault="00986254" w:rsidP="00986254">
      <w:pPr>
        <w:numPr>
          <w:ilvl w:val="0"/>
          <w:numId w:val="1"/>
        </w:numPr>
      </w:pPr>
      <w:r w:rsidRPr="00986254">
        <w:rPr>
          <w:b/>
          <w:bCs/>
        </w:rPr>
        <w:t>Theoretical Tension</w:t>
      </w:r>
      <w:r w:rsidRPr="00986254">
        <w:t>: Reconciles financial portfolio theory (cross-industry risk spreading) with strategic management principles (capturing scope economies via domain expertise and information networks).</w:t>
      </w:r>
    </w:p>
    <w:p w14:paraId="6EED2781" w14:textId="77777777" w:rsidR="00986254" w:rsidRPr="00986254" w:rsidRDefault="00986254" w:rsidP="00986254">
      <w:pPr>
        <w:numPr>
          <w:ilvl w:val="0"/>
          <w:numId w:val="1"/>
        </w:numPr>
      </w:pPr>
      <w:r w:rsidRPr="00986254">
        <w:rPr>
          <w:b/>
          <w:bCs/>
        </w:rPr>
        <w:t>Literature Gap</w:t>
      </w:r>
      <w:r w:rsidRPr="00986254">
        <w:t>: Traditional VC research focuses on stage-of-development diversification or basic relatedness continuums, neglecting structural positioning along ordered value stages and industry-level </w:t>
      </w:r>
      <w:r w:rsidRPr="00986254">
        <w:rPr>
          <w:b/>
          <w:bCs/>
        </w:rPr>
        <w:t>network externalities</w:t>
      </w:r>
      <w:r w:rsidRPr="00986254">
        <w:t>.</w:t>
      </w:r>
    </w:p>
    <w:p w14:paraId="1B116F6F" w14:textId="77777777" w:rsidR="00986254" w:rsidRPr="00986254" w:rsidRDefault="00986254" w:rsidP="00986254">
      <w:pPr>
        <w:numPr>
          <w:ilvl w:val="0"/>
          <w:numId w:val="1"/>
        </w:numPr>
      </w:pPr>
      <w:r w:rsidRPr="00986254">
        <w:rPr>
          <w:b/>
          <w:bCs/>
        </w:rPr>
        <w:t>Core Thesis</w:t>
      </w:r>
      <w:r w:rsidRPr="00986254">
        <w:t>: VCs construct portfolios of complementary ventures aligned along single industrial value chains; realizing these structural synergies mandates localized geographic concentration, particularly in sectors dominated by network effects.</w:t>
      </w:r>
    </w:p>
    <w:p w14:paraId="06ECBAA3" w14:textId="77777777" w:rsidR="00986254" w:rsidRPr="00986254" w:rsidRDefault="00986254" w:rsidP="00986254">
      <w:r w:rsidRPr="00986254">
        <w:rPr>
          <w:b/>
          <w:bCs/>
        </w:rPr>
        <w:t>Takeaway:</w:t>
      </w:r>
      <w:r w:rsidRPr="00986254">
        <w:t> VCs intentionally trade off cross-industry risk diversification to capture high-margin value-chain synergies that require localized investment clustering.</w:t>
      </w:r>
    </w:p>
    <w:p w14:paraId="42C0B35D" w14:textId="77777777" w:rsidR="00986254" w:rsidRPr="00986254" w:rsidRDefault="00986254" w:rsidP="00986254">
      <w:r w:rsidRPr="00986254">
        <w:t xml:space="preserve">This strategic trade-off necessitates a formal examination of the underlying microeconomic mechanisms of complementarity and </w:t>
      </w:r>
      <w:proofErr w:type="spellStart"/>
      <w:r w:rsidRPr="00986254">
        <w:t>supermodularity</w:t>
      </w:r>
      <w:proofErr w:type="spellEnd"/>
      <w:r w:rsidRPr="00986254">
        <w:t xml:space="preserve"> that govern investment returns.</w:t>
      </w:r>
    </w:p>
    <w:p w14:paraId="75ADE0CE" w14:textId="77777777" w:rsidR="00986254" w:rsidRPr="00986254" w:rsidRDefault="00986254" w:rsidP="00986254">
      <w:pPr>
        <w:rPr>
          <w:b/>
          <w:bCs/>
        </w:rPr>
      </w:pPr>
      <w:r w:rsidRPr="00986254">
        <w:rPr>
          <w:b/>
          <w:bCs/>
        </w:rPr>
        <w:t>2. Theoretical Foundations &amp; Hypotheses Development</w:t>
      </w:r>
    </w:p>
    <w:p w14:paraId="2A963FDD" w14:textId="77777777" w:rsidR="00986254" w:rsidRPr="00986254" w:rsidRDefault="00986254" w:rsidP="00986254">
      <w:r w:rsidRPr="00986254">
        <w:lastRenderedPageBreak/>
        <w:t>Formal economic modeling offers a rigorous framework for evaluating firm choices under acute market ambiguity and coordination friction. By mapping portfolio company interdependencies onto structural value chains, strategic investment theory demonstrates how localized venture clustering optimizes capital allocation and mitigates agency risks.</w:t>
      </w:r>
    </w:p>
    <w:p w14:paraId="611CD2E1" w14:textId="77777777" w:rsidR="00986254" w:rsidRPr="00986254" w:rsidRDefault="00986254" w:rsidP="00986254">
      <w:pPr>
        <w:rPr>
          <w:b/>
          <w:bCs/>
        </w:rPr>
      </w:pPr>
      <w:r w:rsidRPr="00986254">
        <w:rPr>
          <w:b/>
          <w:bCs/>
        </w:rPr>
        <w:t xml:space="preserve">2.1 Types of Diversification &amp; </w:t>
      </w:r>
      <w:proofErr w:type="gramStart"/>
      <w:r w:rsidRPr="00986254">
        <w:rPr>
          <w:b/>
          <w:bCs/>
        </w:rPr>
        <w:t>Complementarity</w:t>
      </w:r>
      <w:proofErr w:type="gramEnd"/>
      <w:r w:rsidRPr="00986254">
        <w:rPr>
          <w:b/>
          <w:bCs/>
        </w:rPr>
        <w:t xml:space="preserve"> as Value</w:t>
      </w:r>
    </w:p>
    <w:p w14:paraId="29D2FA86" w14:textId="77777777" w:rsidR="00986254" w:rsidRPr="00986254" w:rsidRDefault="00986254" w:rsidP="00986254">
      <w:pPr>
        <w:numPr>
          <w:ilvl w:val="0"/>
          <w:numId w:val="2"/>
        </w:numPr>
      </w:pPr>
      <w:r w:rsidRPr="00986254">
        <w:rPr>
          <w:b/>
          <w:bCs/>
        </w:rPr>
        <w:t>Structural Taxonomy</w:t>
      </w:r>
      <w:r w:rsidRPr="00986254">
        <w:t>: Distinguishes </w:t>
      </w:r>
      <w:r w:rsidRPr="00986254">
        <w:rPr>
          <w:b/>
          <w:bCs/>
        </w:rPr>
        <w:t>within-segment diversification</w:t>
      </w:r>
      <w:r w:rsidRPr="00986254">
        <w:t> (investing in direct competitors targeting an identical customer base) from </w:t>
      </w:r>
      <w:r w:rsidRPr="00986254">
        <w:rPr>
          <w:b/>
          <w:bCs/>
        </w:rPr>
        <w:t>value chain diversification</w:t>
      </w:r>
      <w:r w:rsidRPr="00986254">
        <w:t> (allocating capital across ordered upstream and downstream activities).</w:t>
      </w:r>
    </w:p>
    <w:p w14:paraId="1DE1B907" w14:textId="77777777" w:rsidR="00986254" w:rsidRPr="00986254" w:rsidRDefault="00986254" w:rsidP="00986254">
      <w:pPr>
        <w:numPr>
          <w:ilvl w:val="0"/>
          <w:numId w:val="2"/>
        </w:numPr>
      </w:pPr>
      <w:r w:rsidRPr="00986254">
        <w:rPr>
          <w:b/>
          <w:bCs/>
        </w:rPr>
        <w:t>Mathematical Synergies</w:t>
      </w:r>
      <w:r w:rsidRPr="00986254">
        <w:t>: Defines </w:t>
      </w:r>
      <w:r w:rsidRPr="00986254">
        <w:rPr>
          <w:b/>
          <w:bCs/>
        </w:rPr>
        <w:t>complementarity</w:t>
      </w:r>
      <w:r w:rsidRPr="00986254">
        <w:t> through a </w:t>
      </w:r>
      <w:proofErr w:type="spellStart"/>
      <w:r w:rsidRPr="00986254">
        <w:rPr>
          <w:b/>
          <w:bCs/>
        </w:rPr>
        <w:t>supermodular</w:t>
      </w:r>
      <w:proofErr w:type="spellEnd"/>
      <w:r w:rsidRPr="00986254">
        <w:rPr>
          <w:b/>
          <w:bCs/>
        </w:rPr>
        <w:t xml:space="preserve"> return function</w:t>
      </w:r>
      <w:r w:rsidRPr="00986254">
        <w:t> (</w:t>
      </w:r>
      <w:proofErr w:type="gramStart"/>
      <w:r w:rsidRPr="00986254">
        <w:t>f(</w:t>
      </w:r>
      <w:proofErr w:type="gramEnd"/>
      <w:r w:rsidRPr="00986254">
        <w:t xml:space="preserve">a_1, b_1) - </w:t>
      </w:r>
      <w:proofErr w:type="gramStart"/>
      <w:r w:rsidRPr="00986254">
        <w:t>f(</w:t>
      </w:r>
      <w:proofErr w:type="gramEnd"/>
      <w:r w:rsidRPr="00986254">
        <w:t>a_0, b_0) &gt; [</w:t>
      </w:r>
      <w:proofErr w:type="gramStart"/>
      <w:r w:rsidRPr="00986254">
        <w:t>f(</w:t>
      </w:r>
      <w:proofErr w:type="gramEnd"/>
      <w:r w:rsidRPr="00986254">
        <w:t xml:space="preserve">a_1, b_0) - </w:t>
      </w:r>
      <w:proofErr w:type="gramStart"/>
      <w:r w:rsidRPr="00986254">
        <w:t>f(</w:t>
      </w:r>
      <w:proofErr w:type="gramEnd"/>
      <w:r w:rsidRPr="00986254">
        <w:t>a_0, b_0)] + [</w:t>
      </w:r>
      <w:proofErr w:type="gramStart"/>
      <w:r w:rsidRPr="00986254">
        <w:t>f(</w:t>
      </w:r>
      <w:proofErr w:type="gramEnd"/>
      <w:r w:rsidRPr="00986254">
        <w:t xml:space="preserve">a_0, b_1) - </w:t>
      </w:r>
      <w:proofErr w:type="gramStart"/>
      <w:r w:rsidRPr="00986254">
        <w:t>f(</w:t>
      </w:r>
      <w:proofErr w:type="gramEnd"/>
      <w:r w:rsidRPr="00986254">
        <w:t>a_0, b_0)]), wherein joint improvement across ordered lattices yields returns exceeding individual baseline shifts.</w:t>
      </w:r>
    </w:p>
    <w:p w14:paraId="77840CEB" w14:textId="77777777" w:rsidR="00986254" w:rsidRPr="00986254" w:rsidRDefault="00986254" w:rsidP="00986254">
      <w:pPr>
        <w:numPr>
          <w:ilvl w:val="0"/>
          <w:numId w:val="2"/>
        </w:numPr>
      </w:pPr>
      <w:r w:rsidRPr="00986254">
        <w:rPr>
          <w:b/>
          <w:bCs/>
        </w:rPr>
        <w:t>Quasi-Firm Governance</w:t>
      </w:r>
      <w:r w:rsidRPr="00986254">
        <w:t>: Contrasts corporate scope diseconomies with VC portfolio structures; VCs orchestrate portfolio companies as </w:t>
      </w:r>
      <w:r w:rsidRPr="00986254">
        <w:rPr>
          <w:b/>
          <w:bCs/>
        </w:rPr>
        <w:t>quasi-firms</w:t>
      </w:r>
      <w:r w:rsidRPr="00986254">
        <w:t>, enabling ventures to harvest value-chain synergies without incurring internal corporate coordination costs.</w:t>
      </w:r>
    </w:p>
    <w:p w14:paraId="1FF0893C" w14:textId="77777777" w:rsidR="00986254" w:rsidRPr="00986254" w:rsidRDefault="00986254" w:rsidP="00986254">
      <w:pPr>
        <w:numPr>
          <w:ilvl w:val="0"/>
          <w:numId w:val="2"/>
        </w:numPr>
      </w:pPr>
      <w:r w:rsidRPr="00986254">
        <w:rPr>
          <w:b/>
          <w:bCs/>
        </w:rPr>
        <w:t>Value Chain Dynamics</w:t>
      </w:r>
      <w:r w:rsidRPr="00986254">
        <w:t>: Explains how </w:t>
      </w:r>
      <w:r w:rsidRPr="00986254">
        <w:rPr>
          <w:b/>
          <w:bCs/>
        </w:rPr>
        <w:t>upstream push factors</w:t>
      </w:r>
      <w:r w:rsidRPr="00986254">
        <w:t> (e.g., core platform standards) interact with </w:t>
      </w:r>
      <w:r w:rsidRPr="00986254">
        <w:rPr>
          <w:b/>
          <w:bCs/>
        </w:rPr>
        <w:t>downstream pull factors</w:t>
      </w:r>
      <w:r w:rsidRPr="00986254">
        <w:t> (e.g., market demand acceleration) to reinforce venture growth and exit valuations.</w:t>
      </w:r>
    </w:p>
    <w:p w14:paraId="69CD91FE" w14:textId="77777777" w:rsidR="00986254" w:rsidRPr="00986254" w:rsidRDefault="00986254" w:rsidP="00986254">
      <w:pPr>
        <w:numPr>
          <w:ilvl w:val="0"/>
          <w:numId w:val="2"/>
        </w:numPr>
      </w:pPr>
      <w:r w:rsidRPr="00986254">
        <w:rPr>
          <w:b/>
          <w:bCs/>
        </w:rPr>
        <w:t>Hypothesis 1 (H1)</w:t>
      </w:r>
      <w:r w:rsidRPr="00986254">
        <w:t>: The more portfolio firms VCs devote to an industry, the higher the degree of within-industry diversification along the single value chain of this industry (as opposed to within-segment diversification).</w:t>
      </w:r>
    </w:p>
    <w:p w14:paraId="0E66BD41" w14:textId="77777777" w:rsidR="00986254" w:rsidRPr="00986254" w:rsidRDefault="00986254" w:rsidP="00986254">
      <w:r w:rsidRPr="00986254">
        <w:rPr>
          <w:b/>
          <w:bCs/>
        </w:rPr>
        <w:t>Takeaway:</w:t>
      </w:r>
      <w:r w:rsidRPr="00986254">
        <w:t xml:space="preserve"> Value-chain diversification generates </w:t>
      </w:r>
      <w:proofErr w:type="spellStart"/>
      <w:r w:rsidRPr="00986254">
        <w:t>supermodular</w:t>
      </w:r>
      <w:proofErr w:type="spellEnd"/>
      <w:r w:rsidRPr="00986254">
        <w:t xml:space="preserve"> returns for VCs by aligning complementary ventures as quasi-firms while avoiding internal corporate overhead.</w:t>
      </w:r>
    </w:p>
    <w:p w14:paraId="16772362" w14:textId="77777777" w:rsidR="00986254" w:rsidRPr="00986254" w:rsidRDefault="00986254" w:rsidP="00986254">
      <w:pPr>
        <w:rPr>
          <w:b/>
          <w:bCs/>
        </w:rPr>
      </w:pPr>
      <w:r w:rsidRPr="00986254">
        <w:rPr>
          <w:b/>
          <w:bCs/>
        </w:rPr>
        <w:t>2.2 Network Externalities &amp; Industry Specialization</w:t>
      </w:r>
    </w:p>
    <w:p w14:paraId="739525FD" w14:textId="77777777" w:rsidR="00986254" w:rsidRPr="00986254" w:rsidRDefault="00986254" w:rsidP="00986254">
      <w:pPr>
        <w:numPr>
          <w:ilvl w:val="0"/>
          <w:numId w:val="3"/>
        </w:numPr>
      </w:pPr>
      <w:r w:rsidRPr="00986254">
        <w:rPr>
          <w:b/>
          <w:bCs/>
        </w:rPr>
        <w:t>Externalities Taxonomy</w:t>
      </w:r>
      <w:r w:rsidRPr="00986254">
        <w:t>: Categorizes </w:t>
      </w:r>
      <w:r w:rsidRPr="00986254">
        <w:rPr>
          <w:b/>
          <w:bCs/>
        </w:rPr>
        <w:t>direct network effects</w:t>
      </w:r>
      <w:r w:rsidRPr="00986254">
        <w:t> (utility expanding alongside total customer adoption) and </w:t>
      </w:r>
      <w:r w:rsidRPr="00986254">
        <w:rPr>
          <w:b/>
          <w:bCs/>
        </w:rPr>
        <w:t>indirect network effects</w:t>
      </w:r>
      <w:r w:rsidRPr="00986254">
        <w:t> (interdependence between platform infrastructure and complementary downstream applications).</w:t>
      </w:r>
    </w:p>
    <w:p w14:paraId="3BDF4E60" w14:textId="77777777" w:rsidR="00986254" w:rsidRPr="00986254" w:rsidRDefault="00986254" w:rsidP="00986254">
      <w:pPr>
        <w:numPr>
          <w:ilvl w:val="0"/>
          <w:numId w:val="3"/>
        </w:numPr>
      </w:pPr>
      <w:r w:rsidRPr="00986254">
        <w:rPr>
          <w:b/>
          <w:bCs/>
        </w:rPr>
        <w:t>Digital Industry Dynamics</w:t>
      </w:r>
      <w:r w:rsidRPr="00986254">
        <w:t>: Demonstrates that high-externality sectors incentivize VCs to concentrate capital, accelerating standard-setting and creating self-reinforcing market ecosystems.</w:t>
      </w:r>
    </w:p>
    <w:p w14:paraId="00CE8F46" w14:textId="77777777" w:rsidR="00986254" w:rsidRPr="00986254" w:rsidRDefault="00986254" w:rsidP="00986254">
      <w:pPr>
        <w:numPr>
          <w:ilvl w:val="0"/>
          <w:numId w:val="3"/>
        </w:numPr>
      </w:pPr>
      <w:r w:rsidRPr="00986254">
        <w:rPr>
          <w:b/>
          <w:bCs/>
        </w:rPr>
        <w:lastRenderedPageBreak/>
        <w:t>Life Sciences Contrast</w:t>
      </w:r>
      <w:r w:rsidRPr="00986254">
        <w:t>: Delineates health and life sciences as low-externality sectors governed by institutional regulations, clinical milestones, and biological research progress rather than platform standards.</w:t>
      </w:r>
    </w:p>
    <w:p w14:paraId="0F5B0E1B" w14:textId="77777777" w:rsidR="00986254" w:rsidRPr="00986254" w:rsidRDefault="00986254" w:rsidP="00986254">
      <w:pPr>
        <w:numPr>
          <w:ilvl w:val="0"/>
          <w:numId w:val="3"/>
        </w:numPr>
      </w:pPr>
      <w:r w:rsidRPr="00986254">
        <w:rPr>
          <w:b/>
          <w:bCs/>
        </w:rPr>
        <w:t>Hypothesis 2 (H2)</w:t>
      </w:r>
      <w:r w:rsidRPr="00986254">
        <w:t>: VCs moving into an industry characterized by network externalities will devote more portfolio firms to this industry (higher degree of </w:t>
      </w:r>
      <w:r w:rsidRPr="00986254">
        <w:rPr>
          <w:b/>
          <w:bCs/>
        </w:rPr>
        <w:t>specialization</w:t>
      </w:r>
      <w:r w:rsidRPr="00986254">
        <w:t>) compared to industries with lesser or no network effects.</w:t>
      </w:r>
    </w:p>
    <w:p w14:paraId="3338D297" w14:textId="77777777" w:rsidR="00986254" w:rsidRPr="00986254" w:rsidRDefault="00986254" w:rsidP="00986254">
      <w:r w:rsidRPr="00986254">
        <w:rPr>
          <w:b/>
          <w:bCs/>
        </w:rPr>
        <w:t>Takeaway:</w:t>
      </w:r>
      <w:r w:rsidRPr="00986254">
        <w:t> High network externalities compel VCs to heavily concentrate sector capital to establish industry standards and catalyze self-reinforcing market ecosystems.</w:t>
      </w:r>
    </w:p>
    <w:p w14:paraId="25F3B35A" w14:textId="77777777" w:rsidR="00986254" w:rsidRPr="00986254" w:rsidRDefault="00986254" w:rsidP="00986254">
      <w:pPr>
        <w:rPr>
          <w:b/>
          <w:bCs/>
        </w:rPr>
      </w:pPr>
      <w:r w:rsidRPr="00986254">
        <w:rPr>
          <w:b/>
          <w:bCs/>
        </w:rPr>
        <w:t>2.3 Geographic Diversification &amp; Spatial Trade-offs</w:t>
      </w:r>
    </w:p>
    <w:p w14:paraId="11344047" w14:textId="77777777" w:rsidR="00986254" w:rsidRPr="00986254" w:rsidRDefault="00986254" w:rsidP="00986254">
      <w:pPr>
        <w:numPr>
          <w:ilvl w:val="0"/>
          <w:numId w:val="4"/>
        </w:numPr>
      </w:pPr>
      <w:r w:rsidRPr="00986254">
        <w:rPr>
          <w:b/>
          <w:bCs/>
        </w:rPr>
        <w:t>Proximity Benefits</w:t>
      </w:r>
      <w:r w:rsidRPr="00986254">
        <w:t>: Establishes that </w:t>
      </w:r>
      <w:r w:rsidRPr="00986254">
        <w:rPr>
          <w:b/>
          <w:bCs/>
        </w:rPr>
        <w:t>geographic proximity</w:t>
      </w:r>
      <w:r w:rsidRPr="00986254">
        <w:t> reduces information asymmetry, fosters face-to-face interaction, strengthens social ties, and enhances hands-on VC monitoring and coaching.</w:t>
      </w:r>
    </w:p>
    <w:p w14:paraId="1C92A4F2" w14:textId="77777777" w:rsidR="00986254" w:rsidRPr="00986254" w:rsidRDefault="00986254" w:rsidP="00986254">
      <w:pPr>
        <w:numPr>
          <w:ilvl w:val="0"/>
          <w:numId w:val="4"/>
        </w:numPr>
      </w:pPr>
      <w:r w:rsidRPr="00986254">
        <w:rPr>
          <w:b/>
          <w:bCs/>
        </w:rPr>
        <w:t>Segment Separation Logic</w:t>
      </w:r>
      <w:r w:rsidRPr="00986254">
        <w:t>: Shows that within-segment diversification requires high geographic dispersion to prevent direct product rivalry, customer cannibalization, and mutual interference among portfolio firms.</w:t>
      </w:r>
    </w:p>
    <w:p w14:paraId="40CE9C23" w14:textId="77777777" w:rsidR="00986254" w:rsidRPr="00986254" w:rsidRDefault="00986254" w:rsidP="00986254">
      <w:pPr>
        <w:numPr>
          <w:ilvl w:val="0"/>
          <w:numId w:val="4"/>
        </w:numPr>
      </w:pPr>
      <w:r w:rsidRPr="00986254">
        <w:rPr>
          <w:b/>
          <w:bCs/>
        </w:rPr>
        <w:t>Value Chain Agglomeration</w:t>
      </w:r>
      <w:r w:rsidRPr="00986254">
        <w:t>: Demonstrates that value-chain diversification requires spatial proximity to facilitate knowledge spillovers, inter-firm alliances, and coordinated standard establishment.</w:t>
      </w:r>
    </w:p>
    <w:p w14:paraId="5148C018" w14:textId="77777777" w:rsidR="00986254" w:rsidRPr="00986254" w:rsidRDefault="00986254" w:rsidP="00986254">
      <w:pPr>
        <w:numPr>
          <w:ilvl w:val="0"/>
          <w:numId w:val="4"/>
        </w:numPr>
      </w:pPr>
      <w:r w:rsidRPr="00986254">
        <w:rPr>
          <w:b/>
          <w:bCs/>
        </w:rPr>
        <w:t>Hypothesis 3 (H3)</w:t>
      </w:r>
      <w:r w:rsidRPr="00986254">
        <w:t>: The more VCs diversify along an industry’s value chain, the less they will diversify geographically for such portfolio firms.</w:t>
      </w:r>
    </w:p>
    <w:p w14:paraId="6EFE44FD" w14:textId="77777777" w:rsidR="00986254" w:rsidRPr="00986254" w:rsidRDefault="00986254" w:rsidP="00986254">
      <w:r w:rsidRPr="00986254">
        <w:rPr>
          <w:b/>
          <w:bCs/>
        </w:rPr>
        <w:t>Takeaway:</w:t>
      </w:r>
      <w:r w:rsidRPr="00986254">
        <w:t> Complementary value-chain strategies require regional geographic concentration, whereas competing within-segment investments necessitate spatial separation to avoid cannibalization.</w:t>
      </w:r>
    </w:p>
    <w:p w14:paraId="2BA989CF" w14:textId="77777777" w:rsidR="00986254" w:rsidRPr="00986254" w:rsidRDefault="00986254" w:rsidP="00986254">
      <w:r w:rsidRPr="00986254">
        <w:t>Translating these theoretical predictions into empirical propositions requires robust econometric modeling applied to multi-country investment datasets.</w:t>
      </w:r>
    </w:p>
    <w:p w14:paraId="22189342" w14:textId="77777777" w:rsidR="00986254" w:rsidRPr="00986254" w:rsidRDefault="00986254" w:rsidP="00986254">
      <w:pPr>
        <w:rPr>
          <w:b/>
          <w:bCs/>
        </w:rPr>
      </w:pPr>
      <w:r w:rsidRPr="00986254">
        <w:rPr>
          <w:b/>
          <w:bCs/>
        </w:rPr>
        <w:t>3. Research Design &amp; Methodology</w:t>
      </w:r>
    </w:p>
    <w:p w14:paraId="23D60247" w14:textId="77777777" w:rsidR="00986254" w:rsidRPr="00986254" w:rsidRDefault="00986254" w:rsidP="00986254">
      <w:r w:rsidRPr="00986254">
        <w:t>Empirical testing of strategic diversification models demands high analytical rigor to isolate causal mechanisms from severe endogeneity and selection biases. Robust econometric design ensures that observed spatial clustering reflects deliberate investment logic rather than unobserved firm-level heterogeneity.</w:t>
      </w:r>
    </w:p>
    <w:p w14:paraId="64221337" w14:textId="77777777" w:rsidR="00986254" w:rsidRPr="00986254" w:rsidRDefault="00986254" w:rsidP="00986254">
      <w:pPr>
        <w:numPr>
          <w:ilvl w:val="0"/>
          <w:numId w:val="5"/>
        </w:numPr>
      </w:pPr>
      <w:r w:rsidRPr="00986254">
        <w:rPr>
          <w:b/>
          <w:bCs/>
        </w:rPr>
        <w:lastRenderedPageBreak/>
        <w:t>Sample Dataset</w:t>
      </w:r>
      <w:r w:rsidRPr="00986254">
        <w:t>: Harvested from ORBIS, covering n = 894 VCs (n_1 = 474 US VCs; n_2 = 420 European VCs) maintaining total portfolio sizes between 10 and 1,000 firms across active investment locations.</w:t>
      </w:r>
    </w:p>
    <w:p w14:paraId="0A481261" w14:textId="77777777" w:rsidR="00986254" w:rsidRPr="00986254" w:rsidRDefault="00986254" w:rsidP="00986254">
      <w:pPr>
        <w:numPr>
          <w:ilvl w:val="0"/>
          <w:numId w:val="5"/>
        </w:numPr>
      </w:pPr>
      <w:r w:rsidRPr="00986254">
        <w:rPr>
          <w:b/>
          <w:bCs/>
        </w:rPr>
        <w:t>Industry Stratification</w:t>
      </w:r>
      <w:r w:rsidRPr="00986254">
        <w:t>: Contrasts high-externality Digital Industry (NACE 26, 465, 474, 62, 63, 9511) against low-externality Health/Life Sciences Industry (NACE 266, 21, 325, 4774, 721, 86, 87, 88).</w:t>
      </w:r>
    </w:p>
    <w:p w14:paraId="09F5CE36" w14:textId="77777777" w:rsidR="00986254" w:rsidRPr="00986254" w:rsidRDefault="00986254" w:rsidP="00986254">
      <w:pPr>
        <w:numPr>
          <w:ilvl w:val="0"/>
          <w:numId w:val="5"/>
        </w:numPr>
      </w:pPr>
      <w:r w:rsidRPr="00986254">
        <w:rPr>
          <w:b/>
          <w:bCs/>
        </w:rPr>
        <w:t>Operational Measures</w:t>
      </w:r>
      <w:r w:rsidRPr="00986254">
        <w:t>: Captures industry specialization via portfolio count (</w:t>
      </w:r>
      <w:proofErr w:type="spellStart"/>
      <w:r w:rsidRPr="00986254">
        <w:t>nChain</w:t>
      </w:r>
      <w:proofErr w:type="spellEnd"/>
      <w:r w:rsidRPr="00986254">
        <w:t>); value-chain diversification via an </w:t>
      </w:r>
      <w:r w:rsidRPr="00986254">
        <w:rPr>
          <w:b/>
          <w:bCs/>
        </w:rPr>
        <w:t>entropy measure</w:t>
      </w:r>
      <w:r w:rsidRPr="00986254">
        <w:t xml:space="preserve"> (\sum </w:t>
      </w:r>
      <w:proofErr w:type="spellStart"/>
      <w:r w:rsidRPr="00986254">
        <w:t>p_k</w:t>
      </w:r>
      <w:proofErr w:type="spellEnd"/>
      <w:r w:rsidRPr="00986254">
        <w:t xml:space="preserve"> \</w:t>
      </w:r>
      <w:proofErr w:type="spellStart"/>
      <w:r w:rsidRPr="00986254">
        <w:t>cdot</w:t>
      </w:r>
      <w:proofErr w:type="spellEnd"/>
      <w:r w:rsidRPr="00986254">
        <w:t xml:space="preserve"> \ln(1/</w:t>
      </w:r>
      <w:proofErr w:type="spellStart"/>
      <w:r w:rsidRPr="00986254">
        <w:t>p_k</w:t>
      </w:r>
      <w:proofErr w:type="spellEnd"/>
      <w:r w:rsidRPr="00986254">
        <w:t>) across stages); and geographic diversification (</w:t>
      </w:r>
      <w:proofErr w:type="spellStart"/>
      <w:r w:rsidRPr="00986254">
        <w:t>GeoDiv</w:t>
      </w:r>
      <w:proofErr w:type="spellEnd"/>
      <w:r w:rsidRPr="00986254">
        <w:t>) via a two-stage sorting process (sorting VCs along longitude to approximate the shortest path) calculating the logarithm of mean pairwise </w:t>
      </w:r>
      <w:r w:rsidRPr="00986254">
        <w:rPr>
          <w:b/>
          <w:bCs/>
        </w:rPr>
        <w:t>geodesic distances</w:t>
      </w:r>
      <w:r w:rsidRPr="00986254">
        <w:t>: \text{geodesic}_{</w:t>
      </w:r>
      <w:proofErr w:type="spellStart"/>
      <w:r w:rsidRPr="00986254">
        <w:t>ij</w:t>
      </w:r>
      <w:proofErr w:type="spellEnd"/>
      <w:r w:rsidRPr="00986254">
        <w:t>} = \</w:t>
      </w:r>
      <w:proofErr w:type="spellStart"/>
      <w:r w:rsidRPr="00986254">
        <w:t>arccos</w:t>
      </w:r>
      <w:proofErr w:type="spellEnd"/>
      <w:r w:rsidRPr="00986254">
        <w:t>\left[\sin\</w:t>
      </w:r>
      <w:proofErr w:type="spellStart"/>
      <w:r w:rsidRPr="00986254">
        <w:t>phi_i</w:t>
      </w:r>
      <w:proofErr w:type="spellEnd"/>
      <w:r w:rsidRPr="00986254">
        <w:t xml:space="preserve"> \</w:t>
      </w:r>
      <w:proofErr w:type="spellStart"/>
      <w:r w:rsidRPr="00986254">
        <w:t>cdot</w:t>
      </w:r>
      <w:proofErr w:type="spellEnd"/>
      <w:r w:rsidRPr="00986254">
        <w:t xml:space="preserve"> \sin\</w:t>
      </w:r>
      <w:proofErr w:type="spellStart"/>
      <w:r w:rsidRPr="00986254">
        <w:t>phi_j</w:t>
      </w:r>
      <w:proofErr w:type="spellEnd"/>
      <w:r w:rsidRPr="00986254">
        <w:t xml:space="preserve"> + \cos\</w:t>
      </w:r>
      <w:proofErr w:type="spellStart"/>
      <w:r w:rsidRPr="00986254">
        <w:t>phi_i</w:t>
      </w:r>
      <w:proofErr w:type="spellEnd"/>
      <w:r w:rsidRPr="00986254">
        <w:t xml:space="preserve"> \</w:t>
      </w:r>
      <w:proofErr w:type="spellStart"/>
      <w:r w:rsidRPr="00986254">
        <w:t>cdot</w:t>
      </w:r>
      <w:proofErr w:type="spellEnd"/>
      <w:r w:rsidRPr="00986254">
        <w:t xml:space="preserve"> \cos\</w:t>
      </w:r>
      <w:proofErr w:type="spellStart"/>
      <w:r w:rsidRPr="00986254">
        <w:t>phi_j</w:t>
      </w:r>
      <w:proofErr w:type="spellEnd"/>
      <w:r w:rsidRPr="00986254">
        <w:t xml:space="preserve"> \</w:t>
      </w:r>
      <w:proofErr w:type="spellStart"/>
      <w:r w:rsidRPr="00986254">
        <w:t>cdot</w:t>
      </w:r>
      <w:proofErr w:type="spellEnd"/>
      <w:r w:rsidRPr="00986254">
        <w:t xml:space="preserve"> \cos(|\</w:t>
      </w:r>
      <w:proofErr w:type="spellStart"/>
      <w:r w:rsidRPr="00986254">
        <w:t>theta_i</w:t>
      </w:r>
      <w:proofErr w:type="spellEnd"/>
      <w:r w:rsidRPr="00986254">
        <w:t xml:space="preserve"> - \</w:t>
      </w:r>
      <w:proofErr w:type="spellStart"/>
      <w:r w:rsidRPr="00986254">
        <w:t>theta_j</w:t>
      </w:r>
      <w:proofErr w:type="spellEnd"/>
      <w:r w:rsidRPr="00986254">
        <w:t>|)\right] \times 6371.</w:t>
      </w:r>
    </w:p>
    <w:p w14:paraId="35F49F38" w14:textId="77777777" w:rsidR="00986254" w:rsidRPr="00986254" w:rsidRDefault="00986254" w:rsidP="00986254">
      <w:pPr>
        <w:numPr>
          <w:ilvl w:val="0"/>
          <w:numId w:val="5"/>
        </w:numPr>
      </w:pPr>
      <w:r w:rsidRPr="00986254">
        <w:rPr>
          <w:b/>
          <w:bCs/>
        </w:rPr>
        <w:t>Control Framework</w:t>
      </w:r>
      <w:r w:rsidRPr="00986254">
        <w:t>: Incorporates total portfolio size (</w:t>
      </w:r>
      <w:proofErr w:type="spellStart"/>
      <w:r w:rsidRPr="00986254">
        <w:t>nSub</w:t>
      </w:r>
      <w:proofErr w:type="spellEnd"/>
      <w:r w:rsidRPr="00986254">
        <w:t>), VC location (11 regional dummies), syndication intensity (syndic), number of shareholders (#shares), and within-segment geographic distance (</w:t>
      </w:r>
      <w:proofErr w:type="spellStart"/>
      <w:r w:rsidRPr="00986254">
        <w:t>GeoDivIntern</w:t>
      </w:r>
      <w:proofErr w:type="spellEnd"/>
      <w:r w:rsidRPr="00986254">
        <w:t>).</w:t>
      </w:r>
    </w:p>
    <w:p w14:paraId="048D0AA1" w14:textId="77777777" w:rsidR="00986254" w:rsidRPr="00986254" w:rsidRDefault="00986254" w:rsidP="00986254">
      <w:pPr>
        <w:numPr>
          <w:ilvl w:val="0"/>
          <w:numId w:val="5"/>
        </w:numPr>
      </w:pPr>
      <w:r w:rsidRPr="00986254">
        <w:rPr>
          <w:b/>
          <w:bCs/>
        </w:rPr>
        <w:t>Econometric Technique</w:t>
      </w:r>
      <w:r w:rsidRPr="00986254">
        <w:t>: Employs </w:t>
      </w:r>
      <w:r w:rsidRPr="00986254">
        <w:rPr>
          <w:b/>
          <w:bCs/>
        </w:rPr>
        <w:t>Two-Stage Least Squares (2SLS)</w:t>
      </w:r>
      <w:r w:rsidRPr="00986254">
        <w:t> regression to address endogeneity, validated against </w:t>
      </w:r>
      <w:r w:rsidRPr="00986254">
        <w:rPr>
          <w:b/>
          <w:bCs/>
        </w:rPr>
        <w:t>Three-Stage Least Squares [3SLS]</w:t>
      </w:r>
      <w:r w:rsidRPr="00986254">
        <w:t> models, White heteroscedasticity tests, and Hausman specification tests.</w:t>
      </w:r>
    </w:p>
    <w:p w14:paraId="31DD6974" w14:textId="77777777" w:rsidR="00986254" w:rsidRPr="00986254" w:rsidRDefault="00986254" w:rsidP="00986254">
      <w:r w:rsidRPr="00986254">
        <w:rPr>
          <w:b/>
          <w:bCs/>
        </w:rPr>
        <w:t>Takeaway:</w:t>
      </w:r>
      <w:r w:rsidRPr="00986254">
        <w:t> The methodology leverages a multi-region sample and 2SLS econometric controls to rigorously evaluate value-chain and spatial diversification across distinct industry regimes.</w:t>
      </w:r>
    </w:p>
    <w:p w14:paraId="16234C01" w14:textId="77777777" w:rsidR="00986254" w:rsidRPr="00986254" w:rsidRDefault="00986254" w:rsidP="00986254">
      <w:r w:rsidRPr="00986254">
        <w:t>The resulting empirical estimations offer definitive statistical evaluation of the central research hypotheses.</w:t>
      </w:r>
    </w:p>
    <w:p w14:paraId="63277311" w14:textId="77777777" w:rsidR="00986254" w:rsidRPr="00986254" w:rsidRDefault="00986254" w:rsidP="00986254">
      <w:pPr>
        <w:rPr>
          <w:b/>
          <w:bCs/>
        </w:rPr>
      </w:pPr>
      <w:r w:rsidRPr="00986254">
        <w:rPr>
          <w:b/>
          <w:bCs/>
        </w:rPr>
        <w:t>4. Empirical Findings &amp; Hypotheses Testing</w:t>
      </w:r>
    </w:p>
    <w:p w14:paraId="7B762F8F" w14:textId="77777777" w:rsidR="00986254" w:rsidRPr="00986254" w:rsidRDefault="00986254" w:rsidP="00986254">
      <w:r w:rsidRPr="00986254">
        <w:t>Quantitative evaluation of the multi-stage system provides clear statistical confirmation of the theoretical model, demonstrating highly significant coefficient estimates and strong explanatory power across equations.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38"/>
        <w:gridCol w:w="2303"/>
        <w:gridCol w:w="1252"/>
        <w:gridCol w:w="1005"/>
        <w:gridCol w:w="717"/>
        <w:gridCol w:w="1229"/>
      </w:tblGrid>
      <w:tr w:rsidR="00986254" w:rsidRPr="00986254" w14:paraId="68DC1705" w14:textId="77777777" w:rsidTr="00986254">
        <w:tc>
          <w:tcPr>
            <w:tcW w:w="1522" w:type="pct"/>
            <w:tcBorders>
              <w:top w:val="outset" w:sz="6" w:space="0" w:color="auto"/>
              <w:left w:val="outset" w:sz="6" w:space="0" w:color="auto"/>
              <w:bottom w:val="outset" w:sz="6" w:space="0" w:color="auto"/>
              <w:right w:val="outset" w:sz="6" w:space="0" w:color="auto"/>
            </w:tcBorders>
            <w:vAlign w:val="center"/>
            <w:hideMark/>
          </w:tcPr>
          <w:p w14:paraId="000B7FBB" w14:textId="77777777" w:rsidR="00986254" w:rsidRPr="00986254" w:rsidRDefault="00986254" w:rsidP="00986254">
            <w:r w:rsidRPr="00986254">
              <w:t>Model Dependent Variable</w:t>
            </w:r>
          </w:p>
        </w:tc>
        <w:tc>
          <w:tcPr>
            <w:tcW w:w="1268" w:type="pct"/>
            <w:tcBorders>
              <w:top w:val="outset" w:sz="6" w:space="0" w:color="auto"/>
              <w:left w:val="outset" w:sz="6" w:space="0" w:color="auto"/>
              <w:bottom w:val="outset" w:sz="6" w:space="0" w:color="auto"/>
              <w:right w:val="outset" w:sz="6" w:space="0" w:color="auto"/>
            </w:tcBorders>
            <w:vAlign w:val="center"/>
            <w:hideMark/>
          </w:tcPr>
          <w:p w14:paraId="542FE94C" w14:textId="77777777" w:rsidR="00986254" w:rsidRPr="00986254" w:rsidRDefault="00986254" w:rsidP="00986254">
            <w:r w:rsidRPr="00986254">
              <w:t>Key Independent Variable</w:t>
            </w:r>
          </w:p>
        </w:tc>
        <w:tc>
          <w:tcPr>
            <w:tcW w:w="689" w:type="pct"/>
            <w:tcBorders>
              <w:top w:val="outset" w:sz="6" w:space="0" w:color="auto"/>
              <w:left w:val="outset" w:sz="6" w:space="0" w:color="auto"/>
              <w:bottom w:val="outset" w:sz="6" w:space="0" w:color="auto"/>
              <w:right w:val="outset" w:sz="6" w:space="0" w:color="auto"/>
            </w:tcBorders>
            <w:vAlign w:val="center"/>
            <w:hideMark/>
          </w:tcPr>
          <w:p w14:paraId="4D15E393" w14:textId="77777777" w:rsidR="00986254" w:rsidRPr="00986254" w:rsidRDefault="00986254" w:rsidP="00986254">
            <w:r w:rsidRPr="00986254">
              <w:t>Coefficient (\beta)</w:t>
            </w:r>
          </w:p>
        </w:tc>
        <w:tc>
          <w:tcPr>
            <w:tcW w:w="557" w:type="pct"/>
            <w:tcBorders>
              <w:top w:val="outset" w:sz="6" w:space="0" w:color="auto"/>
              <w:left w:val="outset" w:sz="6" w:space="0" w:color="auto"/>
              <w:bottom w:val="outset" w:sz="6" w:space="0" w:color="auto"/>
              <w:right w:val="outset" w:sz="6" w:space="0" w:color="auto"/>
            </w:tcBorders>
            <w:vAlign w:val="center"/>
            <w:hideMark/>
          </w:tcPr>
          <w:p w14:paraId="5BC85325" w14:textId="77777777" w:rsidR="00986254" w:rsidRPr="00986254" w:rsidRDefault="00986254" w:rsidP="00986254">
            <w:r w:rsidRPr="00986254">
              <w:t>Standard Error</w:t>
            </w:r>
          </w:p>
        </w:tc>
        <w:tc>
          <w:tcPr>
            <w:tcW w:w="403" w:type="pct"/>
            <w:tcBorders>
              <w:top w:val="outset" w:sz="6" w:space="0" w:color="auto"/>
              <w:left w:val="outset" w:sz="6" w:space="0" w:color="auto"/>
              <w:bottom w:val="outset" w:sz="6" w:space="0" w:color="auto"/>
              <w:right w:val="outset" w:sz="6" w:space="0" w:color="auto"/>
            </w:tcBorders>
            <w:vAlign w:val="center"/>
            <w:hideMark/>
          </w:tcPr>
          <w:p w14:paraId="2F2A9CFE" w14:textId="77777777" w:rsidR="00986254" w:rsidRPr="00986254" w:rsidRDefault="00986254" w:rsidP="00986254">
            <w:r w:rsidRPr="00986254">
              <w:t>Model R^2</w:t>
            </w:r>
          </w:p>
        </w:tc>
        <w:tc>
          <w:tcPr>
            <w:tcW w:w="561" w:type="pct"/>
            <w:tcBorders>
              <w:top w:val="outset" w:sz="6" w:space="0" w:color="auto"/>
              <w:left w:val="outset" w:sz="6" w:space="0" w:color="auto"/>
              <w:bottom w:val="outset" w:sz="6" w:space="0" w:color="auto"/>
              <w:right w:val="outset" w:sz="6" w:space="0" w:color="auto"/>
            </w:tcBorders>
            <w:vAlign w:val="center"/>
            <w:hideMark/>
          </w:tcPr>
          <w:p w14:paraId="10D57AFE" w14:textId="77777777" w:rsidR="00986254" w:rsidRPr="00986254" w:rsidRDefault="00986254" w:rsidP="00986254">
            <w:r w:rsidRPr="00986254">
              <w:t>Model \chi^2</w:t>
            </w:r>
          </w:p>
        </w:tc>
      </w:tr>
      <w:tr w:rsidR="00986254" w:rsidRPr="00986254" w14:paraId="6C516BF1" w14:textId="77777777" w:rsidTr="00986254">
        <w:tc>
          <w:tcPr>
            <w:tcW w:w="1522" w:type="pct"/>
            <w:tcBorders>
              <w:top w:val="outset" w:sz="6" w:space="0" w:color="auto"/>
              <w:left w:val="outset" w:sz="6" w:space="0" w:color="auto"/>
              <w:bottom w:val="outset" w:sz="6" w:space="0" w:color="auto"/>
              <w:right w:val="outset" w:sz="6" w:space="0" w:color="auto"/>
            </w:tcBorders>
            <w:vAlign w:val="center"/>
            <w:hideMark/>
          </w:tcPr>
          <w:p w14:paraId="5E6C1639" w14:textId="77777777" w:rsidR="00986254" w:rsidRPr="00986254" w:rsidRDefault="00986254" w:rsidP="00986254">
            <w:r w:rsidRPr="00986254">
              <w:rPr>
                <w:b/>
                <w:bCs/>
              </w:rPr>
              <w:t>Model 1: </w:t>
            </w:r>
            <w:proofErr w:type="spellStart"/>
            <w:r w:rsidRPr="00986254">
              <w:rPr>
                <w:b/>
                <w:bCs/>
              </w:rPr>
              <w:t>nChain</w:t>
            </w:r>
            <w:proofErr w:type="spellEnd"/>
            <w:r w:rsidRPr="00986254">
              <w:t> (Specialization)</w:t>
            </w:r>
          </w:p>
        </w:tc>
        <w:tc>
          <w:tcPr>
            <w:tcW w:w="1268" w:type="pct"/>
            <w:tcBorders>
              <w:top w:val="outset" w:sz="6" w:space="0" w:color="auto"/>
              <w:left w:val="outset" w:sz="6" w:space="0" w:color="auto"/>
              <w:bottom w:val="outset" w:sz="6" w:space="0" w:color="auto"/>
              <w:right w:val="outset" w:sz="6" w:space="0" w:color="auto"/>
            </w:tcBorders>
            <w:vAlign w:val="center"/>
            <w:hideMark/>
          </w:tcPr>
          <w:p w14:paraId="739D68C3" w14:textId="77777777" w:rsidR="00986254" w:rsidRPr="00986254" w:rsidRDefault="00986254" w:rsidP="00986254">
            <w:r w:rsidRPr="00986254">
              <w:t>Digital Industry Dummy (</w:t>
            </w:r>
            <w:proofErr w:type="spellStart"/>
            <w:r w:rsidRPr="00986254">
              <w:t>DigDum</w:t>
            </w:r>
            <w:proofErr w:type="spellEnd"/>
            <w:r w:rsidRPr="00986254">
              <w:t>)</w:t>
            </w:r>
          </w:p>
        </w:tc>
        <w:tc>
          <w:tcPr>
            <w:tcW w:w="689" w:type="pct"/>
            <w:tcBorders>
              <w:top w:val="outset" w:sz="6" w:space="0" w:color="auto"/>
              <w:left w:val="outset" w:sz="6" w:space="0" w:color="auto"/>
              <w:bottom w:val="outset" w:sz="6" w:space="0" w:color="auto"/>
              <w:right w:val="outset" w:sz="6" w:space="0" w:color="auto"/>
            </w:tcBorders>
            <w:vAlign w:val="center"/>
            <w:hideMark/>
          </w:tcPr>
          <w:p w14:paraId="78C8FBCB" w14:textId="77777777" w:rsidR="00986254" w:rsidRPr="00986254" w:rsidRDefault="00986254" w:rsidP="00986254">
            <w:r w:rsidRPr="00986254">
              <w:t>1.51</w:t>
            </w:r>
            <w:proofErr w:type="gramStart"/>
            <w:r w:rsidRPr="00986254">
              <w:t>^{</w:t>
            </w:r>
            <w:proofErr w:type="gramEnd"/>
            <w:r w:rsidRPr="00986254">
              <w:t>**}</w:t>
            </w:r>
          </w:p>
        </w:tc>
        <w:tc>
          <w:tcPr>
            <w:tcW w:w="557" w:type="pct"/>
            <w:tcBorders>
              <w:top w:val="outset" w:sz="6" w:space="0" w:color="auto"/>
              <w:left w:val="outset" w:sz="6" w:space="0" w:color="auto"/>
              <w:bottom w:val="outset" w:sz="6" w:space="0" w:color="auto"/>
              <w:right w:val="outset" w:sz="6" w:space="0" w:color="auto"/>
            </w:tcBorders>
            <w:vAlign w:val="center"/>
            <w:hideMark/>
          </w:tcPr>
          <w:p w14:paraId="51709DCC" w14:textId="77777777" w:rsidR="00986254" w:rsidRPr="00986254" w:rsidRDefault="00986254" w:rsidP="00986254">
            <w:r w:rsidRPr="00986254">
              <w:t>0.580</w:t>
            </w:r>
          </w:p>
        </w:tc>
        <w:tc>
          <w:tcPr>
            <w:tcW w:w="403" w:type="pct"/>
            <w:tcBorders>
              <w:top w:val="outset" w:sz="6" w:space="0" w:color="auto"/>
              <w:left w:val="outset" w:sz="6" w:space="0" w:color="auto"/>
              <w:bottom w:val="outset" w:sz="6" w:space="0" w:color="auto"/>
              <w:right w:val="outset" w:sz="6" w:space="0" w:color="auto"/>
            </w:tcBorders>
            <w:vAlign w:val="center"/>
            <w:hideMark/>
          </w:tcPr>
          <w:p w14:paraId="6862691C" w14:textId="77777777" w:rsidR="00986254" w:rsidRPr="00986254" w:rsidRDefault="00986254" w:rsidP="00986254">
            <w:r w:rsidRPr="00986254">
              <w:t>0.55</w:t>
            </w:r>
          </w:p>
        </w:tc>
        <w:tc>
          <w:tcPr>
            <w:tcW w:w="561" w:type="pct"/>
            <w:tcBorders>
              <w:top w:val="outset" w:sz="6" w:space="0" w:color="auto"/>
              <w:left w:val="outset" w:sz="6" w:space="0" w:color="auto"/>
              <w:bottom w:val="outset" w:sz="6" w:space="0" w:color="auto"/>
              <w:right w:val="outset" w:sz="6" w:space="0" w:color="auto"/>
            </w:tcBorders>
            <w:vAlign w:val="center"/>
            <w:hideMark/>
          </w:tcPr>
          <w:p w14:paraId="22673463" w14:textId="77777777" w:rsidR="00986254" w:rsidRPr="00986254" w:rsidRDefault="00986254" w:rsidP="00986254">
            <w:r w:rsidRPr="00986254">
              <w:t>1085.2</w:t>
            </w:r>
            <w:proofErr w:type="gramStart"/>
            <w:r w:rsidRPr="00986254">
              <w:t>^{</w:t>
            </w:r>
            <w:proofErr w:type="gramEnd"/>
            <w:r w:rsidRPr="00986254">
              <w:t>**}</w:t>
            </w:r>
          </w:p>
        </w:tc>
      </w:tr>
      <w:tr w:rsidR="00986254" w:rsidRPr="00986254" w14:paraId="51AA8436" w14:textId="77777777" w:rsidTr="00986254">
        <w:tc>
          <w:tcPr>
            <w:tcW w:w="1522" w:type="pct"/>
            <w:tcBorders>
              <w:top w:val="outset" w:sz="6" w:space="0" w:color="auto"/>
              <w:left w:val="outset" w:sz="6" w:space="0" w:color="auto"/>
              <w:bottom w:val="outset" w:sz="6" w:space="0" w:color="auto"/>
              <w:right w:val="outset" w:sz="6" w:space="0" w:color="auto"/>
            </w:tcBorders>
            <w:vAlign w:val="center"/>
            <w:hideMark/>
          </w:tcPr>
          <w:p w14:paraId="0AA6DC50" w14:textId="77777777" w:rsidR="00986254" w:rsidRPr="00986254" w:rsidRDefault="00986254" w:rsidP="00986254">
            <w:r w:rsidRPr="00986254">
              <w:rPr>
                <w:b/>
                <w:bCs/>
              </w:rPr>
              <w:lastRenderedPageBreak/>
              <w:t>Model 2: </w:t>
            </w:r>
            <w:proofErr w:type="spellStart"/>
            <w:r w:rsidRPr="00986254">
              <w:rPr>
                <w:b/>
                <w:bCs/>
              </w:rPr>
              <w:t>DivChain</w:t>
            </w:r>
            <w:proofErr w:type="spellEnd"/>
            <w:r w:rsidRPr="00986254">
              <w:t> (Value Chain Div.)</w:t>
            </w:r>
          </w:p>
        </w:tc>
        <w:tc>
          <w:tcPr>
            <w:tcW w:w="1268" w:type="pct"/>
            <w:tcBorders>
              <w:top w:val="outset" w:sz="6" w:space="0" w:color="auto"/>
              <w:left w:val="outset" w:sz="6" w:space="0" w:color="auto"/>
              <w:bottom w:val="outset" w:sz="6" w:space="0" w:color="auto"/>
              <w:right w:val="outset" w:sz="6" w:space="0" w:color="auto"/>
            </w:tcBorders>
            <w:vAlign w:val="center"/>
            <w:hideMark/>
          </w:tcPr>
          <w:p w14:paraId="3E5EA1C9" w14:textId="77777777" w:rsidR="00986254" w:rsidRPr="00986254" w:rsidRDefault="00986254" w:rsidP="00986254">
            <w:r w:rsidRPr="00986254">
              <w:t>Industry Specialization (</w:t>
            </w:r>
            <w:proofErr w:type="spellStart"/>
            <w:r w:rsidRPr="00986254">
              <w:t>nChain</w:t>
            </w:r>
            <w:proofErr w:type="spellEnd"/>
            <w:r w:rsidRPr="00986254">
              <w:t>)</w:t>
            </w:r>
          </w:p>
        </w:tc>
        <w:tc>
          <w:tcPr>
            <w:tcW w:w="689" w:type="pct"/>
            <w:tcBorders>
              <w:top w:val="outset" w:sz="6" w:space="0" w:color="auto"/>
              <w:left w:val="outset" w:sz="6" w:space="0" w:color="auto"/>
              <w:bottom w:val="outset" w:sz="6" w:space="0" w:color="auto"/>
              <w:right w:val="outset" w:sz="6" w:space="0" w:color="auto"/>
            </w:tcBorders>
            <w:vAlign w:val="center"/>
            <w:hideMark/>
          </w:tcPr>
          <w:p w14:paraId="4F7162C0" w14:textId="77777777" w:rsidR="00986254" w:rsidRPr="00986254" w:rsidRDefault="00986254" w:rsidP="00986254">
            <w:r w:rsidRPr="00986254">
              <w:t>0.01</w:t>
            </w:r>
            <w:proofErr w:type="gramStart"/>
            <w:r w:rsidRPr="00986254">
              <w:t>^{</w:t>
            </w:r>
            <w:proofErr w:type="gramEnd"/>
            <w:r w:rsidRPr="00986254">
              <w:t>**}</w:t>
            </w:r>
          </w:p>
        </w:tc>
        <w:tc>
          <w:tcPr>
            <w:tcW w:w="557" w:type="pct"/>
            <w:tcBorders>
              <w:top w:val="outset" w:sz="6" w:space="0" w:color="auto"/>
              <w:left w:val="outset" w:sz="6" w:space="0" w:color="auto"/>
              <w:bottom w:val="outset" w:sz="6" w:space="0" w:color="auto"/>
              <w:right w:val="outset" w:sz="6" w:space="0" w:color="auto"/>
            </w:tcBorders>
            <w:vAlign w:val="center"/>
            <w:hideMark/>
          </w:tcPr>
          <w:p w14:paraId="4BE64B92" w14:textId="77777777" w:rsidR="00986254" w:rsidRPr="00986254" w:rsidRDefault="00986254" w:rsidP="00986254">
            <w:r w:rsidRPr="00986254">
              <w:t>0.001</w:t>
            </w:r>
          </w:p>
        </w:tc>
        <w:tc>
          <w:tcPr>
            <w:tcW w:w="403" w:type="pct"/>
            <w:tcBorders>
              <w:top w:val="outset" w:sz="6" w:space="0" w:color="auto"/>
              <w:left w:val="outset" w:sz="6" w:space="0" w:color="auto"/>
              <w:bottom w:val="outset" w:sz="6" w:space="0" w:color="auto"/>
              <w:right w:val="outset" w:sz="6" w:space="0" w:color="auto"/>
            </w:tcBorders>
            <w:vAlign w:val="center"/>
            <w:hideMark/>
          </w:tcPr>
          <w:p w14:paraId="5CEE087D" w14:textId="77777777" w:rsidR="00986254" w:rsidRPr="00986254" w:rsidRDefault="00986254" w:rsidP="00986254">
            <w:r w:rsidRPr="00986254">
              <w:t>0.20</w:t>
            </w:r>
          </w:p>
        </w:tc>
        <w:tc>
          <w:tcPr>
            <w:tcW w:w="561" w:type="pct"/>
            <w:tcBorders>
              <w:top w:val="outset" w:sz="6" w:space="0" w:color="auto"/>
              <w:left w:val="outset" w:sz="6" w:space="0" w:color="auto"/>
              <w:bottom w:val="outset" w:sz="6" w:space="0" w:color="auto"/>
              <w:right w:val="outset" w:sz="6" w:space="0" w:color="auto"/>
            </w:tcBorders>
            <w:vAlign w:val="center"/>
            <w:hideMark/>
          </w:tcPr>
          <w:p w14:paraId="32C88531" w14:textId="77777777" w:rsidR="00986254" w:rsidRPr="00986254" w:rsidRDefault="00986254" w:rsidP="00986254">
            <w:r w:rsidRPr="00986254">
              <w:t>195.1</w:t>
            </w:r>
            <w:proofErr w:type="gramStart"/>
            <w:r w:rsidRPr="00986254">
              <w:t>^{</w:t>
            </w:r>
            <w:proofErr w:type="gramEnd"/>
            <w:r w:rsidRPr="00986254">
              <w:t>**}</w:t>
            </w:r>
          </w:p>
        </w:tc>
      </w:tr>
      <w:tr w:rsidR="00986254" w:rsidRPr="00986254" w14:paraId="6989901D" w14:textId="77777777" w:rsidTr="00986254">
        <w:tc>
          <w:tcPr>
            <w:tcW w:w="1522" w:type="pct"/>
            <w:tcBorders>
              <w:top w:val="outset" w:sz="6" w:space="0" w:color="auto"/>
              <w:left w:val="outset" w:sz="6" w:space="0" w:color="auto"/>
              <w:bottom w:val="outset" w:sz="6" w:space="0" w:color="auto"/>
              <w:right w:val="outset" w:sz="6" w:space="0" w:color="auto"/>
            </w:tcBorders>
            <w:vAlign w:val="center"/>
            <w:hideMark/>
          </w:tcPr>
          <w:p w14:paraId="159EFC89" w14:textId="77777777" w:rsidR="00986254" w:rsidRPr="00986254" w:rsidRDefault="00986254" w:rsidP="00986254">
            <w:r w:rsidRPr="00986254">
              <w:rPr>
                <w:b/>
                <w:bCs/>
              </w:rPr>
              <w:t>Model 3: </w:t>
            </w:r>
            <w:proofErr w:type="spellStart"/>
            <w:r w:rsidRPr="00986254">
              <w:rPr>
                <w:b/>
                <w:bCs/>
              </w:rPr>
              <w:t>GeoDiv</w:t>
            </w:r>
            <w:proofErr w:type="spellEnd"/>
            <w:r w:rsidRPr="00986254">
              <w:rPr>
                <w:b/>
                <w:bCs/>
              </w:rPr>
              <w:t>(\</w:t>
            </w:r>
            <w:proofErr w:type="gramStart"/>
            <w:r w:rsidRPr="00986254">
              <w:rPr>
                <w:b/>
                <w:bCs/>
              </w:rPr>
              <w:t>text{</w:t>
            </w:r>
            <w:proofErr w:type="gramEnd"/>
            <w:r w:rsidRPr="00986254">
              <w:rPr>
                <w:b/>
                <w:bCs/>
              </w:rPr>
              <w:t>Log</w:t>
            </w:r>
            <w:proofErr w:type="gramStart"/>
            <w:r w:rsidRPr="00986254">
              <w:rPr>
                <w:b/>
                <w:bCs/>
              </w:rPr>
              <w:t>})</w:t>
            </w:r>
            <w:r w:rsidRPr="00986254">
              <w:t>(</w:t>
            </w:r>
            <w:proofErr w:type="gramEnd"/>
            <w:r w:rsidRPr="00986254">
              <w:t>Geo. Div.)</w:t>
            </w:r>
          </w:p>
        </w:tc>
        <w:tc>
          <w:tcPr>
            <w:tcW w:w="1268" w:type="pct"/>
            <w:tcBorders>
              <w:top w:val="outset" w:sz="6" w:space="0" w:color="auto"/>
              <w:left w:val="outset" w:sz="6" w:space="0" w:color="auto"/>
              <w:bottom w:val="outset" w:sz="6" w:space="0" w:color="auto"/>
              <w:right w:val="outset" w:sz="6" w:space="0" w:color="auto"/>
            </w:tcBorders>
            <w:vAlign w:val="center"/>
            <w:hideMark/>
          </w:tcPr>
          <w:p w14:paraId="0F4AE359" w14:textId="77777777" w:rsidR="00986254" w:rsidRPr="00986254" w:rsidRDefault="00986254" w:rsidP="00986254">
            <w:r w:rsidRPr="00986254">
              <w:t>Value Chain Diversification (</w:t>
            </w:r>
            <w:proofErr w:type="spellStart"/>
            <w:r w:rsidRPr="00986254">
              <w:t>DivChain</w:t>
            </w:r>
            <w:proofErr w:type="spellEnd"/>
            <w:r w:rsidRPr="00986254">
              <w:t>)</w:t>
            </w:r>
          </w:p>
        </w:tc>
        <w:tc>
          <w:tcPr>
            <w:tcW w:w="689" w:type="pct"/>
            <w:tcBorders>
              <w:top w:val="outset" w:sz="6" w:space="0" w:color="auto"/>
              <w:left w:val="outset" w:sz="6" w:space="0" w:color="auto"/>
              <w:bottom w:val="outset" w:sz="6" w:space="0" w:color="auto"/>
              <w:right w:val="outset" w:sz="6" w:space="0" w:color="auto"/>
            </w:tcBorders>
            <w:vAlign w:val="center"/>
            <w:hideMark/>
          </w:tcPr>
          <w:p w14:paraId="47007D10" w14:textId="77777777" w:rsidR="00986254" w:rsidRPr="00986254" w:rsidRDefault="00986254" w:rsidP="00986254">
            <w:r w:rsidRPr="00986254">
              <w:t>-1.67</w:t>
            </w:r>
            <w:proofErr w:type="gramStart"/>
            <w:r w:rsidRPr="00986254">
              <w:t>^{</w:t>
            </w:r>
            <w:proofErr w:type="gramEnd"/>
            <w:r w:rsidRPr="00986254">
              <w:t>**}</w:t>
            </w:r>
          </w:p>
        </w:tc>
        <w:tc>
          <w:tcPr>
            <w:tcW w:w="557" w:type="pct"/>
            <w:tcBorders>
              <w:top w:val="outset" w:sz="6" w:space="0" w:color="auto"/>
              <w:left w:val="outset" w:sz="6" w:space="0" w:color="auto"/>
              <w:bottom w:val="outset" w:sz="6" w:space="0" w:color="auto"/>
              <w:right w:val="outset" w:sz="6" w:space="0" w:color="auto"/>
            </w:tcBorders>
            <w:vAlign w:val="center"/>
            <w:hideMark/>
          </w:tcPr>
          <w:p w14:paraId="78CA9D56" w14:textId="77777777" w:rsidR="00986254" w:rsidRPr="00986254" w:rsidRDefault="00986254" w:rsidP="00986254">
            <w:r w:rsidRPr="00986254">
              <w:t>0.364</w:t>
            </w:r>
          </w:p>
        </w:tc>
        <w:tc>
          <w:tcPr>
            <w:tcW w:w="403" w:type="pct"/>
            <w:tcBorders>
              <w:top w:val="outset" w:sz="6" w:space="0" w:color="auto"/>
              <w:left w:val="outset" w:sz="6" w:space="0" w:color="auto"/>
              <w:bottom w:val="outset" w:sz="6" w:space="0" w:color="auto"/>
              <w:right w:val="outset" w:sz="6" w:space="0" w:color="auto"/>
            </w:tcBorders>
            <w:vAlign w:val="center"/>
            <w:hideMark/>
          </w:tcPr>
          <w:p w14:paraId="1002D3DF" w14:textId="77777777" w:rsidR="00986254" w:rsidRPr="00986254" w:rsidRDefault="00986254" w:rsidP="00986254">
            <w:r w:rsidRPr="00986254">
              <w:t>0.61</w:t>
            </w:r>
          </w:p>
        </w:tc>
        <w:tc>
          <w:tcPr>
            <w:tcW w:w="561" w:type="pct"/>
            <w:tcBorders>
              <w:top w:val="outset" w:sz="6" w:space="0" w:color="auto"/>
              <w:left w:val="outset" w:sz="6" w:space="0" w:color="auto"/>
              <w:bottom w:val="outset" w:sz="6" w:space="0" w:color="auto"/>
              <w:right w:val="outset" w:sz="6" w:space="0" w:color="auto"/>
            </w:tcBorders>
            <w:vAlign w:val="center"/>
            <w:hideMark/>
          </w:tcPr>
          <w:p w14:paraId="5786CD94" w14:textId="77777777" w:rsidR="00986254" w:rsidRPr="00986254" w:rsidRDefault="00986254" w:rsidP="00986254">
            <w:r w:rsidRPr="00986254">
              <w:t>610.3</w:t>
            </w:r>
            <w:proofErr w:type="gramStart"/>
            <w:r w:rsidRPr="00986254">
              <w:t>^{</w:t>
            </w:r>
            <w:proofErr w:type="gramEnd"/>
            <w:r w:rsidRPr="00986254">
              <w:t>**}</w:t>
            </w:r>
          </w:p>
        </w:tc>
      </w:tr>
    </w:tbl>
    <w:p w14:paraId="5D6A9135" w14:textId="77777777" w:rsidR="00986254" w:rsidRPr="00986254" w:rsidRDefault="00986254" w:rsidP="00986254">
      <w:r w:rsidRPr="00986254">
        <w:rPr>
          <w:i/>
          <w:iCs/>
        </w:rPr>
        <w:t>Note: </w:t>
      </w:r>
      <w:proofErr w:type="gramStart"/>
      <w:r w:rsidRPr="00986254">
        <w:rPr>
          <w:i/>
          <w:iCs/>
        </w:rPr>
        <w:t>^{</w:t>
      </w:r>
      <w:proofErr w:type="gramEnd"/>
      <w:r w:rsidRPr="00986254">
        <w:rPr>
          <w:i/>
          <w:iCs/>
        </w:rPr>
        <w:t>*</w:t>
      </w:r>
      <w:proofErr w:type="gramStart"/>
      <w:r w:rsidRPr="00986254">
        <w:rPr>
          <w:i/>
          <w:iCs/>
        </w:rPr>
        <w:t>*}p</w:t>
      </w:r>
      <w:proofErr w:type="gramEnd"/>
      <w:r w:rsidRPr="00986254">
        <w:rPr>
          <w:i/>
          <w:iCs/>
        </w:rPr>
        <w:t xml:space="preserve"> &lt; 0.01. Controls included: </w:t>
      </w:r>
      <w:proofErr w:type="spellStart"/>
      <w:r w:rsidRPr="00986254">
        <w:rPr>
          <w:i/>
          <w:iCs/>
        </w:rPr>
        <w:t>nSub</w:t>
      </w:r>
      <w:proofErr w:type="spellEnd"/>
      <w:r w:rsidRPr="00986254">
        <w:rPr>
          <w:i/>
          <w:iCs/>
        </w:rPr>
        <w:t>, #shares, syndic, </w:t>
      </w:r>
      <w:proofErr w:type="spellStart"/>
      <w:r w:rsidRPr="00986254">
        <w:rPr>
          <w:i/>
          <w:iCs/>
        </w:rPr>
        <w:t>GeoDivIntern</w:t>
      </w:r>
      <w:proofErr w:type="spellEnd"/>
      <w:r w:rsidRPr="00986254">
        <w:rPr>
          <w:i/>
          <w:iCs/>
        </w:rPr>
        <w:t>, regional dummies. Model 2 estimates </w:t>
      </w:r>
      <w:proofErr w:type="spellStart"/>
      <w:r w:rsidRPr="00986254">
        <w:rPr>
          <w:i/>
          <w:iCs/>
        </w:rPr>
        <w:t>DigDum</w:t>
      </w:r>
      <w:proofErr w:type="spellEnd"/>
      <w:r w:rsidRPr="00986254">
        <w:rPr>
          <w:i/>
          <w:iCs/>
        </w:rPr>
        <w:t> at \beta = -0.065 (p &lt; 0.01). Model 3 estimates </w:t>
      </w:r>
      <w:proofErr w:type="spellStart"/>
      <w:r w:rsidRPr="00986254">
        <w:rPr>
          <w:i/>
          <w:iCs/>
        </w:rPr>
        <w:t>GeoDivIntern</w:t>
      </w:r>
      <w:proofErr w:type="spellEnd"/>
      <w:r w:rsidRPr="00986254">
        <w:rPr>
          <w:i/>
          <w:iCs/>
        </w:rPr>
        <w:t> at \beta = 1.13 (p &lt; 0.01).</w:t>
      </w:r>
    </w:p>
    <w:p w14:paraId="5C5194F0" w14:textId="77777777" w:rsidR="00986254" w:rsidRPr="00986254" w:rsidRDefault="00986254" w:rsidP="00986254">
      <w:pPr>
        <w:numPr>
          <w:ilvl w:val="0"/>
          <w:numId w:val="6"/>
        </w:numPr>
      </w:pPr>
      <w:r w:rsidRPr="00986254">
        <w:rPr>
          <w:b/>
          <w:bCs/>
        </w:rPr>
        <w:t>H2 Test Result (Supported)</w:t>
      </w:r>
      <w:r w:rsidRPr="00986254">
        <w:t>: Digital Industry Dummy (\beta = 1.51, p &lt; 0.01) shows VCs acquire ~55% more portfolio firms in digital sectors than in life sciences, confirming network externalities drive industry specialization.</w:t>
      </w:r>
    </w:p>
    <w:p w14:paraId="40CBB09A" w14:textId="77777777" w:rsidR="00986254" w:rsidRPr="00986254" w:rsidRDefault="00986254" w:rsidP="00986254">
      <w:pPr>
        <w:numPr>
          <w:ilvl w:val="0"/>
          <w:numId w:val="6"/>
        </w:numPr>
      </w:pPr>
      <w:r w:rsidRPr="00986254">
        <w:rPr>
          <w:b/>
          <w:bCs/>
        </w:rPr>
        <w:t>H1 Test Result (Supported)</w:t>
      </w:r>
      <w:r w:rsidRPr="00986254">
        <w:t>: Industry specialization positively predicts value-chain diversification (\beta = 0.01, p &lt; 0.01), establishing that sector-focused VCs spread capital across ordered value stages rather than within direct segments.</w:t>
      </w:r>
    </w:p>
    <w:p w14:paraId="6142CF9F" w14:textId="77777777" w:rsidR="00986254" w:rsidRPr="00986254" w:rsidRDefault="00986254" w:rsidP="00986254">
      <w:pPr>
        <w:numPr>
          <w:ilvl w:val="0"/>
          <w:numId w:val="6"/>
        </w:numPr>
      </w:pPr>
      <w:r w:rsidRPr="00986254">
        <w:rPr>
          <w:b/>
          <w:bCs/>
        </w:rPr>
        <w:t>H3 Test Result (Supported)</w:t>
      </w:r>
      <w:r w:rsidRPr="00986254">
        <w:t>: Value-chain diversification significantly depresses geographic diversification (\beta = -1.67, p &lt; 0.01), proving that complementary investment strategies rely on regional clustering.</w:t>
      </w:r>
    </w:p>
    <w:p w14:paraId="5B23F222" w14:textId="77777777" w:rsidR="00986254" w:rsidRPr="00986254" w:rsidRDefault="00986254" w:rsidP="00986254">
      <w:pPr>
        <w:numPr>
          <w:ilvl w:val="0"/>
          <w:numId w:val="6"/>
        </w:numPr>
      </w:pPr>
      <w:r w:rsidRPr="00986254">
        <w:rPr>
          <w:b/>
          <w:bCs/>
        </w:rPr>
        <w:t>Robustness Contrast Test</w:t>
      </w:r>
      <w:r w:rsidRPr="00986254">
        <w:t>: Replacing value-chain diversification with within-segment diversification reveals a positive relationship with geographic spread (\beta = 0.33, p &lt; 0.01), proving direct competitors are deliberately separated geographically.</w:t>
      </w:r>
    </w:p>
    <w:p w14:paraId="0D0CE75C" w14:textId="77777777" w:rsidR="00986254" w:rsidRPr="00986254" w:rsidRDefault="00986254" w:rsidP="00986254">
      <w:r w:rsidRPr="00986254">
        <w:rPr>
          <w:b/>
          <w:bCs/>
        </w:rPr>
        <w:t>Takeaway:</w:t>
      </w:r>
      <w:r w:rsidRPr="00986254">
        <w:t> Empirical testing confirms H1, H2, and H3, proving that network externalities drive sector specialization, which fosters value-chain diversification and localized spatial concentration.</w:t>
      </w:r>
    </w:p>
    <w:p w14:paraId="43146234" w14:textId="77777777" w:rsidR="00986254" w:rsidRPr="00986254" w:rsidRDefault="00986254" w:rsidP="00986254">
      <w:r w:rsidRPr="00986254">
        <w:t>These empirical findings establish a robust foundation for re-evaluating strategic venture governance and economic geography.</w:t>
      </w:r>
    </w:p>
    <w:p w14:paraId="00083E0F" w14:textId="77777777" w:rsidR="00986254" w:rsidRPr="00986254" w:rsidRDefault="00986254" w:rsidP="00986254">
      <w:pPr>
        <w:rPr>
          <w:b/>
          <w:bCs/>
        </w:rPr>
      </w:pPr>
      <w:r w:rsidRPr="00986254">
        <w:rPr>
          <w:b/>
          <w:bCs/>
        </w:rPr>
        <w:t>5. Discussion, Implications &amp; Future Research</w:t>
      </w:r>
    </w:p>
    <w:p w14:paraId="57417EC5" w14:textId="77777777" w:rsidR="00986254" w:rsidRPr="00986254" w:rsidRDefault="00986254" w:rsidP="00986254">
      <w:r w:rsidRPr="00986254">
        <w:t xml:space="preserve">The empirical validation of </w:t>
      </w:r>
      <w:proofErr w:type="spellStart"/>
      <w:r w:rsidRPr="00986254">
        <w:t>supermodular</w:t>
      </w:r>
      <w:proofErr w:type="spellEnd"/>
      <w:r w:rsidRPr="00986254">
        <w:t xml:space="preserve"> portfolio strategies fundamentally transforms academic understanding of venture capital orchestration, regional cluster evolution, and entrepreneurial governance.</w:t>
      </w:r>
    </w:p>
    <w:p w14:paraId="06A923B0" w14:textId="77777777" w:rsidR="00986254" w:rsidRPr="00986254" w:rsidRDefault="00986254" w:rsidP="00986254">
      <w:pPr>
        <w:rPr>
          <w:b/>
          <w:bCs/>
        </w:rPr>
      </w:pPr>
      <w:r w:rsidRPr="00986254">
        <w:rPr>
          <w:b/>
          <w:bCs/>
        </w:rPr>
        <w:t>5.1 Strategic Contributions &amp; Managerial Implications</w:t>
      </w:r>
    </w:p>
    <w:p w14:paraId="21CAC911" w14:textId="77777777" w:rsidR="00986254" w:rsidRPr="00986254" w:rsidRDefault="00986254" w:rsidP="00986254">
      <w:pPr>
        <w:numPr>
          <w:ilvl w:val="0"/>
          <w:numId w:val="7"/>
        </w:numPr>
      </w:pPr>
      <w:r w:rsidRPr="00986254">
        <w:rPr>
          <w:b/>
          <w:bCs/>
        </w:rPr>
        <w:lastRenderedPageBreak/>
        <w:t>Strategic Evolution</w:t>
      </w:r>
      <w:r w:rsidRPr="00986254">
        <w:t>: Re-conceptualizes VC strategy from simple deal-level stock picking to active ecosystem engineering through value-chain orchestration.</w:t>
      </w:r>
    </w:p>
    <w:p w14:paraId="7B905881" w14:textId="77777777" w:rsidR="00986254" w:rsidRPr="00986254" w:rsidRDefault="00986254" w:rsidP="00986254">
      <w:pPr>
        <w:numPr>
          <w:ilvl w:val="0"/>
          <w:numId w:val="7"/>
        </w:numPr>
      </w:pPr>
      <w:r w:rsidRPr="00986254">
        <w:rPr>
          <w:b/>
          <w:bCs/>
        </w:rPr>
        <w:t>Economic Geography Insights</w:t>
      </w:r>
      <w:r w:rsidRPr="00986254">
        <w:t>: Resolves regional cluster debates by proving geographic concentration is driven by complementary asset networks rather than mere supply-side labor pooling for competing ventures.</w:t>
      </w:r>
    </w:p>
    <w:p w14:paraId="6BA04A11" w14:textId="77777777" w:rsidR="00986254" w:rsidRPr="00986254" w:rsidRDefault="00986254" w:rsidP="00986254">
      <w:pPr>
        <w:numPr>
          <w:ilvl w:val="0"/>
          <w:numId w:val="7"/>
        </w:numPr>
      </w:pPr>
      <w:r w:rsidRPr="00986254">
        <w:rPr>
          <w:b/>
          <w:bCs/>
        </w:rPr>
        <w:t>VC Managerial Guidance</w:t>
      </w:r>
      <w:r w:rsidRPr="00986254">
        <w:t xml:space="preserve">: Advises VCs to conduct pre-investment </w:t>
      </w:r>
      <w:proofErr w:type="spellStart"/>
      <w:r w:rsidRPr="00986254">
        <w:t>supermodularity</w:t>
      </w:r>
      <w:proofErr w:type="spellEnd"/>
      <w:r w:rsidRPr="00986254">
        <w:t xml:space="preserve"> audits, managing portfolio investments as coordinated quasi-firms to establish platform standards in network-driven industries.</w:t>
      </w:r>
    </w:p>
    <w:p w14:paraId="7F465C18" w14:textId="77777777" w:rsidR="00986254" w:rsidRPr="00986254" w:rsidRDefault="00986254" w:rsidP="00986254">
      <w:pPr>
        <w:numPr>
          <w:ilvl w:val="0"/>
          <w:numId w:val="7"/>
        </w:numPr>
      </w:pPr>
      <w:r w:rsidRPr="00986254">
        <w:rPr>
          <w:b/>
          <w:bCs/>
        </w:rPr>
        <w:t>Entrepreneurial Guidance</w:t>
      </w:r>
      <w:r w:rsidRPr="00986254">
        <w:t>: Instructs start-up founders to evaluate VC portfolio structures to ensure alignment with complementary upstream/downstream assets rather than direct internal rivals.</w:t>
      </w:r>
    </w:p>
    <w:p w14:paraId="4947F08A" w14:textId="77777777" w:rsidR="00986254" w:rsidRPr="00986254" w:rsidRDefault="00986254" w:rsidP="00986254">
      <w:r w:rsidRPr="00986254">
        <w:rPr>
          <w:b/>
          <w:bCs/>
        </w:rPr>
        <w:t>Takeaway:</w:t>
      </w:r>
      <w:r w:rsidRPr="00986254">
        <w:t> VCs must act as ecosystem builders by aligning complementary portfolio ventures geographically, while start-ups should seek VCs with non-competing value-chain assets.</w:t>
      </w:r>
    </w:p>
    <w:p w14:paraId="67E3C6A8" w14:textId="77777777" w:rsidR="00986254" w:rsidRPr="00986254" w:rsidRDefault="00986254" w:rsidP="00986254">
      <w:pPr>
        <w:rPr>
          <w:b/>
          <w:bCs/>
        </w:rPr>
      </w:pPr>
      <w:r w:rsidRPr="00986254">
        <w:rPr>
          <w:b/>
          <w:bCs/>
        </w:rPr>
        <w:t>5.2 Limitations &amp; Future Research Agenda</w:t>
      </w:r>
    </w:p>
    <w:p w14:paraId="284903C8" w14:textId="77777777" w:rsidR="00986254" w:rsidRPr="00986254" w:rsidRDefault="00986254" w:rsidP="00986254">
      <w:pPr>
        <w:numPr>
          <w:ilvl w:val="0"/>
          <w:numId w:val="8"/>
        </w:numPr>
      </w:pPr>
      <w:r w:rsidRPr="00986254">
        <w:rPr>
          <w:b/>
          <w:bCs/>
        </w:rPr>
        <w:t>Study Limitations</w:t>
      </w:r>
      <w:r w:rsidRPr="00986254">
        <w:t>: Omission of explicit empirical controls for </w:t>
      </w:r>
      <w:r w:rsidRPr="00986254">
        <w:rPr>
          <w:b/>
          <w:bCs/>
        </w:rPr>
        <w:t>active vs. passive investors</w:t>
      </w:r>
      <w:r w:rsidRPr="00986254">
        <w:t>, VC firm age/experience, and direct portfolio performance or exit returns.</w:t>
      </w:r>
    </w:p>
    <w:p w14:paraId="1422E6F3" w14:textId="77777777" w:rsidR="00986254" w:rsidRPr="00986254" w:rsidRDefault="00986254" w:rsidP="00986254">
      <w:pPr>
        <w:numPr>
          <w:ilvl w:val="0"/>
          <w:numId w:val="8"/>
        </w:numPr>
      </w:pPr>
      <w:r w:rsidRPr="00986254">
        <w:rPr>
          <w:b/>
          <w:bCs/>
        </w:rPr>
        <w:t>Longitudinal Agenda</w:t>
      </w:r>
      <w:r w:rsidRPr="00986254">
        <w:t>: Calls for long-term longitudinal studies tracking how VC value-chain strategies influence the historical birth and growth of tech clusters across diverse institutional environments (US, Europe, Asia).</w:t>
      </w:r>
    </w:p>
    <w:p w14:paraId="1A02C335" w14:textId="77777777" w:rsidR="00986254" w:rsidRPr="00986254" w:rsidRDefault="00986254" w:rsidP="00986254">
      <w:r w:rsidRPr="00986254">
        <w:rPr>
          <w:b/>
          <w:bCs/>
        </w:rPr>
        <w:t>Takeaway:</w:t>
      </w:r>
      <w:r w:rsidRPr="00986254">
        <w:t xml:space="preserve"> Future research should evaluate how active venture governance and longitudinal ecosystem dynamics moderate </w:t>
      </w:r>
      <w:proofErr w:type="spellStart"/>
      <w:r w:rsidRPr="00986254">
        <w:t>supermodular</w:t>
      </w:r>
      <w:proofErr w:type="spellEnd"/>
      <w:r w:rsidRPr="00986254">
        <w:t xml:space="preserve"> portfolio returns across global regions.</w:t>
      </w:r>
    </w:p>
    <w:p w14:paraId="24A9DBA5" w14:textId="665F0C41" w:rsidR="009D7649" w:rsidRDefault="00986254">
      <w:r w:rsidRPr="00986254">
        <w:t xml:space="preserve">Ultimately, recognizing value-chain orchestration redefines the future research agenda for venture strategy, showing that spatial clustering is fundamentally driven by the systematic pursuit of </w:t>
      </w:r>
      <w:proofErr w:type="spellStart"/>
      <w:r w:rsidRPr="00986254">
        <w:t>supermodular</w:t>
      </w:r>
      <w:proofErr w:type="spellEnd"/>
      <w:r w:rsidRPr="00986254">
        <w:t xml:space="preserve"> complementarities.</w:t>
      </w:r>
    </w:p>
    <w:sectPr w:rsidR="009D7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EB24B0"/>
    <w:multiLevelType w:val="multilevel"/>
    <w:tmpl w:val="7078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117A0"/>
    <w:multiLevelType w:val="multilevel"/>
    <w:tmpl w:val="0A8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F1452"/>
    <w:multiLevelType w:val="multilevel"/>
    <w:tmpl w:val="669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27327"/>
    <w:multiLevelType w:val="multilevel"/>
    <w:tmpl w:val="F67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F4F2D"/>
    <w:multiLevelType w:val="multilevel"/>
    <w:tmpl w:val="4DB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70909"/>
    <w:multiLevelType w:val="multilevel"/>
    <w:tmpl w:val="B5F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835DB"/>
    <w:multiLevelType w:val="multilevel"/>
    <w:tmpl w:val="C3F4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53873"/>
    <w:multiLevelType w:val="multilevel"/>
    <w:tmpl w:val="9C6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27387">
    <w:abstractNumId w:val="0"/>
  </w:num>
  <w:num w:numId="2" w16cid:durableId="1240868358">
    <w:abstractNumId w:val="7"/>
  </w:num>
  <w:num w:numId="3" w16cid:durableId="537351849">
    <w:abstractNumId w:val="5"/>
  </w:num>
  <w:num w:numId="4" w16cid:durableId="1733692437">
    <w:abstractNumId w:val="4"/>
  </w:num>
  <w:num w:numId="5" w16cid:durableId="1705716446">
    <w:abstractNumId w:val="2"/>
  </w:num>
  <w:num w:numId="6" w16cid:durableId="38745826">
    <w:abstractNumId w:val="1"/>
  </w:num>
  <w:num w:numId="7" w16cid:durableId="840117823">
    <w:abstractNumId w:val="3"/>
  </w:num>
  <w:num w:numId="8" w16cid:durableId="134521055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49"/>
    <w:rsid w:val="00986254"/>
    <w:rsid w:val="009D7649"/>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B3A72"/>
  <w15:chartTrackingRefBased/>
  <w15:docId w15:val="{7CC9813D-7804-AD49-8531-005A6D43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649"/>
    <w:rPr>
      <w:rFonts w:eastAsiaTheme="majorEastAsia" w:cstheme="majorBidi"/>
      <w:color w:val="272727" w:themeColor="text1" w:themeTint="D8"/>
    </w:rPr>
  </w:style>
  <w:style w:type="paragraph" w:styleId="Title">
    <w:name w:val="Title"/>
    <w:basedOn w:val="Normal"/>
    <w:next w:val="Normal"/>
    <w:link w:val="TitleChar"/>
    <w:uiPriority w:val="10"/>
    <w:qFormat/>
    <w:rsid w:val="009D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649"/>
    <w:pPr>
      <w:spacing w:before="160"/>
      <w:jc w:val="center"/>
    </w:pPr>
    <w:rPr>
      <w:i/>
      <w:iCs/>
      <w:color w:val="404040" w:themeColor="text1" w:themeTint="BF"/>
    </w:rPr>
  </w:style>
  <w:style w:type="character" w:customStyle="1" w:styleId="QuoteChar">
    <w:name w:val="Quote Char"/>
    <w:basedOn w:val="DefaultParagraphFont"/>
    <w:link w:val="Quote"/>
    <w:uiPriority w:val="29"/>
    <w:rsid w:val="009D7649"/>
    <w:rPr>
      <w:i/>
      <w:iCs/>
      <w:color w:val="404040" w:themeColor="text1" w:themeTint="BF"/>
    </w:rPr>
  </w:style>
  <w:style w:type="paragraph" w:styleId="ListParagraph">
    <w:name w:val="List Paragraph"/>
    <w:basedOn w:val="Normal"/>
    <w:uiPriority w:val="34"/>
    <w:qFormat/>
    <w:rsid w:val="009D7649"/>
    <w:pPr>
      <w:ind w:left="720"/>
      <w:contextualSpacing/>
    </w:pPr>
  </w:style>
  <w:style w:type="character" w:styleId="IntenseEmphasis">
    <w:name w:val="Intense Emphasis"/>
    <w:basedOn w:val="DefaultParagraphFont"/>
    <w:uiPriority w:val="21"/>
    <w:qFormat/>
    <w:rsid w:val="009D7649"/>
    <w:rPr>
      <w:i/>
      <w:iCs/>
      <w:color w:val="0F4761" w:themeColor="accent1" w:themeShade="BF"/>
    </w:rPr>
  </w:style>
  <w:style w:type="paragraph" w:styleId="IntenseQuote">
    <w:name w:val="Intense Quote"/>
    <w:basedOn w:val="Normal"/>
    <w:next w:val="Normal"/>
    <w:link w:val="IntenseQuoteChar"/>
    <w:uiPriority w:val="30"/>
    <w:qFormat/>
    <w:rsid w:val="009D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649"/>
    <w:rPr>
      <w:i/>
      <w:iCs/>
      <w:color w:val="0F4761" w:themeColor="accent1" w:themeShade="BF"/>
    </w:rPr>
  </w:style>
  <w:style w:type="character" w:styleId="IntenseReference">
    <w:name w:val="Intense Reference"/>
    <w:basedOn w:val="DefaultParagraphFont"/>
    <w:uiPriority w:val="32"/>
    <w:qFormat/>
    <w:rsid w:val="009D7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1871</Words>
  <Characters>10668</Characters>
  <Application>Microsoft Office Word</Application>
  <DocSecurity>0</DocSecurity>
  <Lines>88</Lines>
  <Paragraphs>25</Paragraphs>
  <ScaleCrop>false</ScaleCrop>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2026-10-01T07:35:00Z</dcterms:created>
  <dcterms:modified xsi:type="dcterms:W3CDTF">2026-10-01T07:53:00Z</dcterms:modified>
</cp:coreProperties>
</file>