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7E552E" w14:textId="77777777" w:rsidR="0029256D" w:rsidRPr="0029256D" w:rsidRDefault="0029256D" w:rsidP="0029256D">
      <w:r w:rsidRPr="0029256D">
        <w:t>Joshi, K. (2018). Managing the risks from high-tech investments in India: differential strategies of foreign and domestic venture capital firms. </w:t>
      </w:r>
      <w:r w:rsidRPr="0029256D">
        <w:rPr>
          <w:i/>
          <w:iCs/>
        </w:rPr>
        <w:t>Journal of Global Entrepreneurship Research</w:t>
      </w:r>
      <w:r w:rsidRPr="0029256D">
        <w:t>, 8(21), 1–26.</w:t>
      </w:r>
    </w:p>
    <w:p w14:paraId="6C96A22C" w14:textId="77777777" w:rsidR="0029256D" w:rsidRPr="0029256D" w:rsidRDefault="0029256D" w:rsidP="0029256D">
      <w:pPr>
        <w:rPr>
          <w:b/>
          <w:bCs/>
        </w:rPr>
      </w:pPr>
      <w:r w:rsidRPr="0029256D">
        <w:rPr>
          <w:b/>
          <w:bCs/>
        </w:rPr>
        <w:t>Managing High-Tech Investment Risks in India: Differential Strategies of Foreign and Domestic Venture Capital Firms</w:t>
      </w:r>
    </w:p>
    <w:p w14:paraId="69D8515E" w14:textId="77777777" w:rsidR="0029256D" w:rsidRPr="0029256D" w:rsidRDefault="0029256D" w:rsidP="0029256D">
      <w:r w:rsidRPr="0029256D">
        <w:t>High-technology venture capital (VC) investments offer substantial growth potential but encounter severe information asymmetry in emerging markets. Consequently, venture capital firms deploy targeted risk-mitigation frameworks to evaluate and govern opaque entrepreneurial ventures.</w:t>
      </w:r>
    </w:p>
    <w:p w14:paraId="2AB665D5" w14:textId="77777777" w:rsidR="0029256D" w:rsidRPr="0029256D" w:rsidRDefault="0029256D" w:rsidP="0029256D">
      <w:pPr>
        <w:rPr>
          <w:b/>
          <w:bCs/>
        </w:rPr>
      </w:pPr>
      <w:r w:rsidRPr="0029256D">
        <w:rPr>
          <w:b/>
          <w:bCs/>
        </w:rPr>
        <w:t>1.1 Information Asymmetry and Risk Mechanisms</w:t>
      </w:r>
    </w:p>
    <w:p w14:paraId="326D5853" w14:textId="77777777" w:rsidR="0029256D" w:rsidRPr="0029256D" w:rsidRDefault="0029256D" w:rsidP="0029256D">
      <w:pPr>
        <w:numPr>
          <w:ilvl w:val="0"/>
          <w:numId w:val="1"/>
        </w:numPr>
      </w:pPr>
      <w:r w:rsidRPr="0029256D">
        <w:t>High-tech investments face acute </w:t>
      </w:r>
      <w:r w:rsidRPr="0029256D">
        <w:rPr>
          <w:b/>
          <w:bCs/>
        </w:rPr>
        <w:t>adverse selection</w:t>
      </w:r>
      <w:r w:rsidRPr="0029256D">
        <w:t> ("hidden information" pre-investment) and </w:t>
      </w:r>
      <w:r w:rsidRPr="0029256D">
        <w:rPr>
          <w:b/>
          <w:bCs/>
        </w:rPr>
        <w:t xml:space="preserve">agency </w:t>
      </w:r>
      <w:proofErr w:type="gramStart"/>
      <w:r w:rsidRPr="0029256D">
        <w:rPr>
          <w:b/>
          <w:bCs/>
        </w:rPr>
        <w:t>risks</w:t>
      </w:r>
      <w:r w:rsidRPr="0029256D">
        <w:t>(</w:t>
      </w:r>
      <w:proofErr w:type="gramEnd"/>
      <w:r w:rsidRPr="0029256D">
        <w:t>"hidden actions" post-investment).</w:t>
      </w:r>
    </w:p>
    <w:p w14:paraId="27E2279E" w14:textId="77777777" w:rsidR="0029256D" w:rsidRPr="0029256D" w:rsidRDefault="0029256D" w:rsidP="0029256D">
      <w:pPr>
        <w:numPr>
          <w:ilvl w:val="0"/>
          <w:numId w:val="1"/>
        </w:numPr>
      </w:pPr>
      <w:r w:rsidRPr="0029256D">
        <w:t>Early-stage tech ventures endure a pronounced </w:t>
      </w:r>
      <w:r w:rsidRPr="0029256D">
        <w:rPr>
          <w:b/>
          <w:bCs/>
        </w:rPr>
        <w:t>liability of newness</w:t>
      </w:r>
      <w:r w:rsidRPr="0029256D">
        <w:t> and extreme asset intangibility, leaving negligible physical salvage value upon failure.</w:t>
      </w:r>
    </w:p>
    <w:p w14:paraId="2A16AC78" w14:textId="77777777" w:rsidR="0029256D" w:rsidRPr="0029256D" w:rsidRDefault="0029256D" w:rsidP="0029256D">
      <w:pPr>
        <w:numPr>
          <w:ilvl w:val="0"/>
          <w:numId w:val="1"/>
        </w:numPr>
      </w:pPr>
      <w:r w:rsidRPr="0029256D">
        <w:t>Intangible assets complicate screening and monitoring routines, requiring specialized organizational mitigation tools.</w:t>
      </w:r>
    </w:p>
    <w:p w14:paraId="42E349CA" w14:textId="77777777" w:rsidR="0029256D" w:rsidRPr="0029256D" w:rsidRDefault="0029256D" w:rsidP="0029256D">
      <w:pPr>
        <w:numPr>
          <w:ilvl w:val="0"/>
          <w:numId w:val="1"/>
        </w:numPr>
      </w:pPr>
      <w:r w:rsidRPr="0029256D">
        <w:t>Primary research question: How do foreign VCs (</w:t>
      </w:r>
      <w:r w:rsidRPr="0029256D">
        <w:rPr>
          <w:b/>
          <w:bCs/>
        </w:rPr>
        <w:t>FVCs</w:t>
      </w:r>
      <w:r w:rsidRPr="0029256D">
        <w:t>) and domestic VCs (</w:t>
      </w:r>
      <w:r w:rsidRPr="0029256D">
        <w:rPr>
          <w:b/>
          <w:bCs/>
        </w:rPr>
        <w:t>DVCs</w:t>
      </w:r>
      <w:r w:rsidRPr="0029256D">
        <w:t>) differentially mitigate information asymmetry risks in Indian high-tech domains?</w:t>
      </w:r>
    </w:p>
    <w:p w14:paraId="2492AE30" w14:textId="77777777" w:rsidR="0029256D" w:rsidRPr="0029256D" w:rsidRDefault="0029256D" w:rsidP="0029256D">
      <w:pPr>
        <w:numPr>
          <w:ilvl w:val="0"/>
          <w:numId w:val="1"/>
        </w:numPr>
      </w:pPr>
      <w:r w:rsidRPr="0029256D">
        <w:rPr>
          <w:b/>
          <w:bCs/>
        </w:rPr>
        <w:t>Takeaway:</w:t>
      </w:r>
      <w:r w:rsidRPr="0029256D">
        <w:t> Information asymmetry in high-tech investing creates severe adverse selection and agency risks, forcing VCs to adopt specialized mitigation strategies that set the stage for institutional differences between foreign and domestic firms.</w:t>
      </w:r>
    </w:p>
    <w:p w14:paraId="2A313F2E" w14:textId="77777777" w:rsidR="0029256D" w:rsidRPr="0029256D" w:rsidRDefault="0029256D" w:rsidP="0029256D">
      <w:pPr>
        <w:rPr>
          <w:b/>
          <w:bCs/>
        </w:rPr>
      </w:pPr>
      <w:r w:rsidRPr="0029256D">
        <w:rPr>
          <w:b/>
          <w:bCs/>
        </w:rPr>
        <w:t>1.2 Institutional Trade-offs Between FVCs and DVCs</w:t>
      </w:r>
    </w:p>
    <w:p w14:paraId="3E519616" w14:textId="77777777" w:rsidR="0029256D" w:rsidRPr="0029256D" w:rsidRDefault="0029256D" w:rsidP="0029256D">
      <w:pPr>
        <w:numPr>
          <w:ilvl w:val="0"/>
          <w:numId w:val="2"/>
        </w:numPr>
      </w:pPr>
      <w:r w:rsidRPr="0029256D">
        <w:t xml:space="preserve">FVCs command deep sector knowledge and global </w:t>
      </w:r>
      <w:proofErr w:type="gramStart"/>
      <w:r w:rsidRPr="0029256D">
        <w:t>networks, but</w:t>
      </w:r>
      <w:proofErr w:type="gramEnd"/>
      <w:r w:rsidRPr="0029256D">
        <w:t xml:space="preserve"> suffer from </w:t>
      </w:r>
      <w:r w:rsidRPr="0029256D">
        <w:rPr>
          <w:b/>
          <w:bCs/>
        </w:rPr>
        <w:t>information friction</w:t>
      </w:r>
      <w:r w:rsidRPr="0029256D">
        <w:t> and socio-cultural distance.</w:t>
      </w:r>
    </w:p>
    <w:p w14:paraId="5AF7A3AE" w14:textId="77777777" w:rsidR="0029256D" w:rsidRPr="0029256D" w:rsidRDefault="0029256D" w:rsidP="0029256D">
      <w:pPr>
        <w:numPr>
          <w:ilvl w:val="0"/>
          <w:numId w:val="2"/>
        </w:numPr>
      </w:pPr>
      <w:r w:rsidRPr="0029256D">
        <w:t>FVCs lack local soft information, restricting direct evaluation of opaque emerging market ventures without intermediaries.</w:t>
      </w:r>
    </w:p>
    <w:p w14:paraId="694F344F" w14:textId="77777777" w:rsidR="0029256D" w:rsidRPr="0029256D" w:rsidRDefault="0029256D" w:rsidP="0029256D">
      <w:pPr>
        <w:numPr>
          <w:ilvl w:val="0"/>
          <w:numId w:val="2"/>
        </w:numPr>
      </w:pPr>
      <w:r w:rsidRPr="0029256D">
        <w:t>DVCs possess local network connectivity and institutional familiarity, insulating them from socio-cultural distance.</w:t>
      </w:r>
    </w:p>
    <w:p w14:paraId="1E969C55" w14:textId="77777777" w:rsidR="0029256D" w:rsidRPr="0029256D" w:rsidRDefault="0029256D" w:rsidP="0029256D">
      <w:pPr>
        <w:numPr>
          <w:ilvl w:val="0"/>
          <w:numId w:val="2"/>
        </w:numPr>
      </w:pPr>
      <w:r w:rsidRPr="0029256D">
        <w:t>DVCs historically lack </w:t>
      </w:r>
      <w:r w:rsidRPr="0029256D">
        <w:rPr>
          <w:b/>
          <w:bCs/>
        </w:rPr>
        <w:t>opportunity recognition</w:t>
      </w:r>
      <w:r w:rsidRPr="0029256D">
        <w:t> in technology sectors, famously exemplified by the domestic rejection of Infosys.</w:t>
      </w:r>
    </w:p>
    <w:p w14:paraId="12F8365C" w14:textId="77777777" w:rsidR="0029256D" w:rsidRPr="0029256D" w:rsidRDefault="0029256D" w:rsidP="0029256D">
      <w:pPr>
        <w:numPr>
          <w:ilvl w:val="0"/>
          <w:numId w:val="2"/>
        </w:numPr>
      </w:pPr>
      <w:r w:rsidRPr="0029256D">
        <w:lastRenderedPageBreak/>
        <w:t>Comparative trade-offs drive empirical investigation: FVCs leverage global domain expertise, whereas DVCs rely on local network ties.</w:t>
      </w:r>
    </w:p>
    <w:p w14:paraId="574A13DA" w14:textId="77777777" w:rsidR="0029256D" w:rsidRPr="0029256D" w:rsidRDefault="0029256D" w:rsidP="0029256D">
      <w:pPr>
        <w:numPr>
          <w:ilvl w:val="0"/>
          <w:numId w:val="2"/>
        </w:numPr>
      </w:pPr>
      <w:r w:rsidRPr="0029256D">
        <w:rPr>
          <w:b/>
          <w:bCs/>
        </w:rPr>
        <w:t>Takeaway:</w:t>
      </w:r>
      <w:r w:rsidRPr="0029256D">
        <w:t> FVCs possess superior domain expertise but suffer from cultural and geographic distance, whereas DVCs leverage superior local networks but face historical gaps in tech opportunity recognition.</w:t>
      </w:r>
    </w:p>
    <w:p w14:paraId="4FE88762" w14:textId="77777777" w:rsidR="0029256D" w:rsidRPr="0029256D" w:rsidRDefault="0029256D" w:rsidP="0029256D">
      <w:r w:rsidRPr="0029256D">
        <w:rPr>
          <w:b/>
          <w:bCs/>
        </w:rPr>
        <w:t>Takeaway:</w:t>
      </w:r>
      <w:r w:rsidRPr="0029256D">
        <w:t> Severe information asymmetries in high-tech investing compel FVCs and DVCs to leverage contrasting comparative advantages, establishing differential operational strategies across host-country environments.</w:t>
      </w:r>
    </w:p>
    <w:p w14:paraId="269E97BD" w14:textId="77777777" w:rsidR="0029256D" w:rsidRPr="0029256D" w:rsidRDefault="0029256D" w:rsidP="0029256D">
      <w:pPr>
        <w:rPr>
          <w:b/>
          <w:bCs/>
        </w:rPr>
      </w:pPr>
      <w:r w:rsidRPr="0029256D">
        <w:rPr>
          <w:b/>
          <w:bCs/>
        </w:rPr>
        <w:t>2. Macroeconomic Context and Venture Capital in India</w:t>
      </w:r>
    </w:p>
    <w:p w14:paraId="2D2FFF09" w14:textId="77777777" w:rsidR="0029256D" w:rsidRPr="0029256D" w:rsidRDefault="0029256D" w:rsidP="0029256D">
      <w:r w:rsidRPr="0029256D">
        <w:t>Global macroeconomic shifts and domestic liquidity needs drove the rapid expansion of India's venture capital ecosystem. However, severe legal, tax, and institutional barriers continue to elevate baseline transaction costs for active funds.</w:t>
      </w:r>
    </w:p>
    <w:p w14:paraId="2557B9CA" w14:textId="77777777" w:rsidR="0029256D" w:rsidRPr="0029256D" w:rsidRDefault="0029256D" w:rsidP="0029256D">
      <w:pPr>
        <w:rPr>
          <w:b/>
          <w:bCs/>
        </w:rPr>
      </w:pPr>
      <w:r w:rsidRPr="0029256D">
        <w:rPr>
          <w:b/>
          <w:bCs/>
        </w:rPr>
        <w:t>2.1 Growth Drivers and Regulatory Environment</w:t>
      </w:r>
    </w:p>
    <w:p w14:paraId="317F32BB" w14:textId="77777777" w:rsidR="0029256D" w:rsidRPr="0029256D" w:rsidRDefault="0029256D" w:rsidP="0029256D">
      <w:pPr>
        <w:numPr>
          <w:ilvl w:val="0"/>
          <w:numId w:val="3"/>
        </w:numPr>
      </w:pPr>
      <w:r w:rsidRPr="0029256D">
        <w:t>Indian VC expanded at ~30% CAGR post-2005, funding &gt;5,000 businesses across 309 active VCs by 2013 (85% established post-2005).</w:t>
      </w:r>
    </w:p>
    <w:p w14:paraId="77C9FA2F" w14:textId="77777777" w:rsidR="0029256D" w:rsidRPr="0029256D" w:rsidRDefault="0029256D" w:rsidP="0029256D">
      <w:pPr>
        <w:numPr>
          <w:ilvl w:val="0"/>
          <w:numId w:val="3"/>
        </w:numPr>
      </w:pPr>
      <w:r w:rsidRPr="0029256D">
        <w:t>Growth was catalyzed by Western credit crisis "push" factors and Indian high debt/interest "pull" factors.</w:t>
      </w:r>
    </w:p>
    <w:p w14:paraId="1A8FDD81" w14:textId="77777777" w:rsidR="0029256D" w:rsidRPr="0029256D" w:rsidRDefault="0029256D" w:rsidP="0029256D">
      <w:pPr>
        <w:numPr>
          <w:ilvl w:val="0"/>
          <w:numId w:val="3"/>
        </w:numPr>
      </w:pPr>
      <w:r w:rsidRPr="0029256D">
        <w:t>Foreign capital dominates: ~54% of Foreign Direct Investment (</w:t>
      </w:r>
      <w:r w:rsidRPr="0029256D">
        <w:rPr>
          <w:b/>
          <w:bCs/>
        </w:rPr>
        <w:t>FDI</w:t>
      </w:r>
      <w:r w:rsidRPr="0029256D">
        <w:t>) in India is VC/PE, and 80% of total VC capital is raised overseas.</w:t>
      </w:r>
    </w:p>
    <w:p w14:paraId="1C315E14" w14:textId="77777777" w:rsidR="0029256D" w:rsidRPr="0029256D" w:rsidRDefault="0029256D" w:rsidP="0029256D">
      <w:pPr>
        <w:numPr>
          <w:ilvl w:val="0"/>
          <w:numId w:val="3"/>
        </w:numPr>
      </w:pPr>
      <w:r w:rsidRPr="0029256D">
        <w:t>Domestic institutional capital is constrained by statutory prohibitions on pension, insurance, provident, mutual funds, and public reserve entities.</w:t>
      </w:r>
    </w:p>
    <w:p w14:paraId="2CF2F24B" w14:textId="77777777" w:rsidR="0029256D" w:rsidRPr="0029256D" w:rsidRDefault="0029256D" w:rsidP="0029256D">
      <w:pPr>
        <w:numPr>
          <w:ilvl w:val="0"/>
          <w:numId w:val="3"/>
        </w:numPr>
      </w:pPr>
      <w:r w:rsidRPr="0029256D">
        <w:t>Half of DVCs register with </w:t>
      </w:r>
      <w:r w:rsidRPr="0029256D">
        <w:rPr>
          <w:b/>
          <w:bCs/>
        </w:rPr>
        <w:t>SEBI</w:t>
      </w:r>
      <w:r w:rsidRPr="0029256D">
        <w:t>, whereas FVCs use FDI regulatory arbitrage via automatic </w:t>
      </w:r>
      <w:r w:rsidRPr="0029256D">
        <w:rPr>
          <w:b/>
          <w:bCs/>
        </w:rPr>
        <w:t>RBI</w:t>
      </w:r>
      <w:r w:rsidRPr="0029256D">
        <w:t> approval, building larger fund corpuses ($441.29M vs. $232.46M) to absorb cross-border risk.</w:t>
      </w:r>
    </w:p>
    <w:p w14:paraId="7F45F697" w14:textId="77777777" w:rsidR="0029256D" w:rsidRPr="0029256D" w:rsidRDefault="0029256D" w:rsidP="0029256D">
      <w:pPr>
        <w:numPr>
          <w:ilvl w:val="0"/>
          <w:numId w:val="3"/>
        </w:numPr>
      </w:pPr>
      <w:r w:rsidRPr="0029256D">
        <w:rPr>
          <w:b/>
          <w:bCs/>
        </w:rPr>
        <w:t>Takeaway:</w:t>
      </w:r>
      <w:r w:rsidRPr="0029256D">
        <w:t> Global macroeconomic shifts and regulatory arbitrage via the FDI route enabled foreign capital to dominate the rapidly growing Indian VC landscape despite stringent domestic capital constraints.</w:t>
      </w:r>
    </w:p>
    <w:p w14:paraId="3A120CC5" w14:textId="77777777" w:rsidR="0029256D" w:rsidRPr="0029256D" w:rsidRDefault="0029256D" w:rsidP="0029256D">
      <w:pPr>
        <w:rPr>
          <w:b/>
          <w:bCs/>
        </w:rPr>
      </w:pPr>
      <w:r w:rsidRPr="0029256D">
        <w:rPr>
          <w:b/>
          <w:bCs/>
        </w:rPr>
        <w:t>2.2 Operating Barriers in the Indian Market</w:t>
      </w:r>
    </w:p>
    <w:p w14:paraId="6180BC74" w14:textId="77777777" w:rsidR="0029256D" w:rsidRPr="0029256D" w:rsidRDefault="0029256D" w:rsidP="0029256D">
      <w:pPr>
        <w:numPr>
          <w:ilvl w:val="0"/>
          <w:numId w:val="4"/>
        </w:numPr>
      </w:pPr>
      <w:r w:rsidRPr="0029256D">
        <w:t>India ranks 100/158 on Ease of Doing Business and 85/175 on Corruption Perception Index.</w:t>
      </w:r>
    </w:p>
    <w:p w14:paraId="22CA94A5" w14:textId="77777777" w:rsidR="0029256D" w:rsidRPr="0029256D" w:rsidRDefault="0029256D" w:rsidP="0029256D">
      <w:pPr>
        <w:numPr>
          <w:ilvl w:val="0"/>
          <w:numId w:val="4"/>
        </w:numPr>
      </w:pPr>
      <w:r w:rsidRPr="0029256D">
        <w:lastRenderedPageBreak/>
        <w:t>Hurdles include tier-2 city language barriers, tax fragmentation under </w:t>
      </w:r>
      <w:r w:rsidRPr="0029256D">
        <w:rPr>
          <w:b/>
          <w:bCs/>
        </w:rPr>
        <w:t>GST</w:t>
      </w:r>
      <w:r w:rsidRPr="0029256D">
        <w:t>, complex liquidation procedures, and entrepreneur resistance to governance.</w:t>
      </w:r>
    </w:p>
    <w:p w14:paraId="50B54400" w14:textId="77777777" w:rsidR="0029256D" w:rsidRPr="0029256D" w:rsidRDefault="0029256D" w:rsidP="0029256D">
      <w:pPr>
        <w:numPr>
          <w:ilvl w:val="0"/>
          <w:numId w:val="4"/>
        </w:numPr>
      </w:pPr>
      <w:r w:rsidRPr="0029256D">
        <w:t>A pervasive </w:t>
      </w:r>
      <w:r w:rsidRPr="0029256D">
        <w:rPr>
          <w:b/>
          <w:bCs/>
        </w:rPr>
        <w:t>trust deficit</w:t>
      </w:r>
      <w:r w:rsidRPr="0029256D">
        <w:t> exists between early-stage entrepreneurs and investors, alongside weak venture contract enforcement.</w:t>
      </w:r>
    </w:p>
    <w:p w14:paraId="54FE8778" w14:textId="77777777" w:rsidR="0029256D" w:rsidRPr="0029256D" w:rsidRDefault="0029256D" w:rsidP="0029256D">
      <w:pPr>
        <w:numPr>
          <w:ilvl w:val="0"/>
          <w:numId w:val="4"/>
        </w:numPr>
      </w:pPr>
      <w:r w:rsidRPr="0029256D">
        <w:t>Strategic workarounds are required to navigate institutional enforcement delays and entrepreneur governance resistance.</w:t>
      </w:r>
    </w:p>
    <w:p w14:paraId="439FEDC5" w14:textId="77777777" w:rsidR="0029256D" w:rsidRPr="0029256D" w:rsidRDefault="0029256D" w:rsidP="0029256D">
      <w:pPr>
        <w:numPr>
          <w:ilvl w:val="0"/>
          <w:numId w:val="4"/>
        </w:numPr>
      </w:pPr>
      <w:r w:rsidRPr="0029256D">
        <w:rPr>
          <w:b/>
          <w:bCs/>
        </w:rPr>
        <w:t>Takeaway:</w:t>
      </w:r>
      <w:r w:rsidRPr="0029256D">
        <w:t> Severe institutional frictions, legal enforcement delays, and entrepreneur trust deficits in India amplify investment risks, compelling foreign investors to seek robust strategic workarounds.</w:t>
      </w:r>
    </w:p>
    <w:p w14:paraId="69717CF9" w14:textId="77777777" w:rsidR="0029256D" w:rsidRPr="0029256D" w:rsidRDefault="0029256D" w:rsidP="0029256D">
      <w:r w:rsidRPr="0029256D">
        <w:rPr>
          <w:b/>
          <w:bCs/>
        </w:rPr>
        <w:t>Takeaway:</w:t>
      </w:r>
      <w:r w:rsidRPr="0029256D">
        <w:t> Regulatory arbitrage enables foreign capital dominance in India, yet pervasive institutional friction and trust deficits force both fund types to innovate structural risk controls.</w:t>
      </w:r>
    </w:p>
    <w:p w14:paraId="41D45790" w14:textId="77777777" w:rsidR="0029256D" w:rsidRPr="0029256D" w:rsidRDefault="0029256D" w:rsidP="0029256D">
      <w:pPr>
        <w:rPr>
          <w:b/>
          <w:bCs/>
        </w:rPr>
      </w:pPr>
      <w:r w:rsidRPr="0029256D">
        <w:rPr>
          <w:b/>
          <w:bCs/>
        </w:rPr>
        <w:t>3. Theoretical Frameworks and Literature Review</w:t>
      </w:r>
    </w:p>
    <w:p w14:paraId="0A3019DD" w14:textId="77777777" w:rsidR="0029256D" w:rsidRPr="0029256D" w:rsidRDefault="0029256D" w:rsidP="0029256D">
      <w:r w:rsidRPr="0029256D">
        <w:t>Synthesizing resource allocation and cost-minimization paradigms provides a comprehensive lens for analyzing venture capital risk management. Together, firm capabilities and transaction friction dictate how investors structure deal selection and monitoring.</w:t>
      </w:r>
    </w:p>
    <w:p w14:paraId="725CF1FF" w14:textId="77777777" w:rsidR="0029256D" w:rsidRPr="0029256D" w:rsidRDefault="0029256D" w:rsidP="0029256D">
      <w:pPr>
        <w:rPr>
          <w:b/>
          <w:bCs/>
        </w:rPr>
      </w:pPr>
      <w:r w:rsidRPr="0029256D">
        <w:rPr>
          <w:b/>
          <w:bCs/>
        </w:rPr>
        <w:t>3.1 Resource-Based View (RBV) and Transaction Costs Theory (TCT)</w:t>
      </w:r>
    </w:p>
    <w:p w14:paraId="72BCC51C" w14:textId="77777777" w:rsidR="0029256D" w:rsidRPr="0029256D" w:rsidRDefault="0029256D" w:rsidP="0029256D">
      <w:pPr>
        <w:numPr>
          <w:ilvl w:val="0"/>
          <w:numId w:val="5"/>
        </w:numPr>
      </w:pPr>
      <w:r w:rsidRPr="0029256D">
        <w:t>The </w:t>
      </w:r>
      <w:r w:rsidRPr="0029256D">
        <w:rPr>
          <w:b/>
          <w:bCs/>
        </w:rPr>
        <w:t>Resource-Based View (RBV)</w:t>
      </w:r>
      <w:r w:rsidRPr="0029256D">
        <w:t> posits that VC performance relies on valuable, rare, inimitable, and non-substitutable financial, human, and social capital.</w:t>
      </w:r>
    </w:p>
    <w:p w14:paraId="4EE2BE94" w14:textId="77777777" w:rsidR="0029256D" w:rsidRPr="0029256D" w:rsidRDefault="0029256D" w:rsidP="0029256D">
      <w:pPr>
        <w:numPr>
          <w:ilvl w:val="0"/>
          <w:numId w:val="5"/>
        </w:numPr>
      </w:pPr>
      <w:r w:rsidRPr="0029256D">
        <w:rPr>
          <w:b/>
          <w:bCs/>
        </w:rPr>
        <w:t>Transaction Costs Theory (TCT)</w:t>
      </w:r>
      <w:r w:rsidRPr="0029256D">
        <w:t> identifies three investment cost components: </w:t>
      </w:r>
      <w:r w:rsidRPr="0029256D">
        <w:rPr>
          <w:b/>
          <w:bCs/>
        </w:rPr>
        <w:t>search and information costs</w:t>
      </w:r>
      <w:r w:rsidRPr="0029256D">
        <w:t>(screening), </w:t>
      </w:r>
      <w:r w:rsidRPr="0029256D">
        <w:rPr>
          <w:b/>
          <w:bCs/>
        </w:rPr>
        <w:t>bargaining and decision costs</w:t>
      </w:r>
      <w:r w:rsidRPr="0029256D">
        <w:t> (contracting), and </w:t>
      </w:r>
      <w:r w:rsidRPr="0029256D">
        <w:rPr>
          <w:b/>
          <w:bCs/>
        </w:rPr>
        <w:t>policing and enforcement costs</w:t>
      </w:r>
      <w:r w:rsidRPr="0029256D">
        <w:t> (monitoring).</w:t>
      </w:r>
    </w:p>
    <w:p w14:paraId="6BB613E5" w14:textId="77777777" w:rsidR="0029256D" w:rsidRPr="0029256D" w:rsidRDefault="0029256D" w:rsidP="0029256D">
      <w:pPr>
        <w:numPr>
          <w:ilvl w:val="0"/>
          <w:numId w:val="5"/>
        </w:numPr>
      </w:pPr>
      <w:r w:rsidRPr="0029256D">
        <w:t>High-tech investing increases TCT components due to valuation complexity and heightened agency hazards.</w:t>
      </w:r>
    </w:p>
    <w:p w14:paraId="43263A1E" w14:textId="77777777" w:rsidR="0029256D" w:rsidRPr="0029256D" w:rsidRDefault="0029256D" w:rsidP="0029256D">
      <w:pPr>
        <w:numPr>
          <w:ilvl w:val="0"/>
          <w:numId w:val="5"/>
        </w:numPr>
      </w:pPr>
      <w:r w:rsidRPr="0029256D">
        <w:t>Accumulating superior human and social capital under RBV directly reduces recurring transaction costs across the investment cycle under TCT.</w:t>
      </w:r>
    </w:p>
    <w:p w14:paraId="2C906964" w14:textId="77777777" w:rsidR="0029256D" w:rsidRPr="0029256D" w:rsidRDefault="0029256D" w:rsidP="0029256D">
      <w:pPr>
        <w:numPr>
          <w:ilvl w:val="0"/>
          <w:numId w:val="5"/>
        </w:numPr>
      </w:pPr>
      <w:r w:rsidRPr="0029256D">
        <w:rPr>
          <w:b/>
          <w:bCs/>
        </w:rPr>
        <w:t>Takeaway:</w:t>
      </w:r>
      <w:r w:rsidRPr="0029256D">
        <w:t> Combining RBV and TCT reveals that accumulating human and social capital is essential for minimizing search, bargaining, and enforcement transaction costs in high-risk environments.</w:t>
      </w:r>
    </w:p>
    <w:p w14:paraId="3B27E8A9" w14:textId="77777777" w:rsidR="0029256D" w:rsidRPr="0029256D" w:rsidRDefault="0029256D" w:rsidP="0029256D">
      <w:pPr>
        <w:rPr>
          <w:b/>
          <w:bCs/>
        </w:rPr>
      </w:pPr>
      <w:r w:rsidRPr="0029256D">
        <w:rPr>
          <w:b/>
          <w:bCs/>
        </w:rPr>
        <w:t>3.2 Cross-Border FDI and Technology Risk Literature</w:t>
      </w:r>
    </w:p>
    <w:p w14:paraId="0515723E" w14:textId="77777777" w:rsidR="0029256D" w:rsidRPr="0029256D" w:rsidRDefault="0029256D" w:rsidP="0029256D">
      <w:pPr>
        <w:numPr>
          <w:ilvl w:val="0"/>
          <w:numId w:val="6"/>
        </w:numPr>
      </w:pPr>
      <w:r w:rsidRPr="0029256D">
        <w:lastRenderedPageBreak/>
        <w:t>High-tech ventures center on intangible </w:t>
      </w:r>
      <w:r w:rsidRPr="0029256D">
        <w:rPr>
          <w:b/>
          <w:bCs/>
        </w:rPr>
        <w:t>Intellectual Property (IP)</w:t>
      </w:r>
      <w:r w:rsidRPr="0029256D">
        <w:t>, maximizing total capital loss upon failure.</w:t>
      </w:r>
    </w:p>
    <w:p w14:paraId="22CC55A5" w14:textId="77777777" w:rsidR="0029256D" w:rsidRPr="0029256D" w:rsidRDefault="0029256D" w:rsidP="0029256D">
      <w:pPr>
        <w:numPr>
          <w:ilvl w:val="0"/>
          <w:numId w:val="6"/>
        </w:numPr>
      </w:pPr>
      <w:r w:rsidRPr="0029256D">
        <w:t>Geographic and cultural distance impedes foreign investors from processing "soft" contextual information regarding unlisted emerging market firms.</w:t>
      </w:r>
    </w:p>
    <w:p w14:paraId="13FE595C" w14:textId="77777777" w:rsidR="0029256D" w:rsidRPr="0029256D" w:rsidRDefault="0029256D" w:rsidP="0029256D">
      <w:pPr>
        <w:numPr>
          <w:ilvl w:val="0"/>
          <w:numId w:val="6"/>
        </w:numPr>
      </w:pPr>
      <w:r w:rsidRPr="0029256D">
        <w:t>Emerging market nuances (e.g., family business groups) require localized contextual knowledge that foreign investors lack.</w:t>
      </w:r>
    </w:p>
    <w:p w14:paraId="1FB6DDAA" w14:textId="77777777" w:rsidR="0029256D" w:rsidRPr="0029256D" w:rsidRDefault="0029256D" w:rsidP="0029256D">
      <w:pPr>
        <w:numPr>
          <w:ilvl w:val="0"/>
          <w:numId w:val="6"/>
        </w:numPr>
      </w:pPr>
      <w:r w:rsidRPr="0029256D">
        <w:t>Structural institutional differences between India and China establish the novelty of treating cross-border VC as FDI in India.</w:t>
      </w:r>
    </w:p>
    <w:p w14:paraId="456281EC" w14:textId="77777777" w:rsidR="0029256D" w:rsidRPr="0029256D" w:rsidRDefault="0029256D" w:rsidP="0029256D">
      <w:pPr>
        <w:numPr>
          <w:ilvl w:val="0"/>
          <w:numId w:val="6"/>
        </w:numPr>
      </w:pPr>
      <w:r w:rsidRPr="0029256D">
        <w:rPr>
          <w:b/>
          <w:bCs/>
        </w:rPr>
        <w:t>Takeaway:</w:t>
      </w:r>
      <w:r w:rsidRPr="0029256D">
        <w:t> Cross-border VCs face heightened soft-information barriers in intangible tech investments, requiring specific structural mechanisms to overcome host-country institutional nuances.</w:t>
      </w:r>
    </w:p>
    <w:p w14:paraId="6F1F194B" w14:textId="77777777" w:rsidR="0029256D" w:rsidRPr="0029256D" w:rsidRDefault="0029256D" w:rsidP="0029256D">
      <w:r w:rsidRPr="0029256D">
        <w:rPr>
          <w:b/>
          <w:bCs/>
        </w:rPr>
        <w:t>Takeaway:</w:t>
      </w:r>
      <w:r w:rsidRPr="0029256D">
        <w:t> Integrating RBV and TCT explains how strategic accumulation of human and social capital lowers transaction costs when managing intangible intellectual property across international borders.</w:t>
      </w:r>
    </w:p>
    <w:p w14:paraId="171A34EE" w14:textId="77777777" w:rsidR="0029256D" w:rsidRPr="0029256D" w:rsidRDefault="0029256D" w:rsidP="0029256D">
      <w:pPr>
        <w:rPr>
          <w:b/>
          <w:bCs/>
        </w:rPr>
      </w:pPr>
      <w:r w:rsidRPr="0029256D">
        <w:rPr>
          <w:b/>
          <w:bCs/>
        </w:rPr>
        <w:t>4. Research Propositions</w:t>
      </w:r>
    </w:p>
    <w:p w14:paraId="636D4A7A" w14:textId="77777777" w:rsidR="0029256D" w:rsidRPr="0029256D" w:rsidRDefault="0029256D" w:rsidP="0029256D">
      <w:r w:rsidRPr="0029256D">
        <w:t>Theoretical paradigms delineate specific operational levers through which venture capital firms mitigate information risks. Five core propositions frame how specialization, networks, human capital, and geography influence investment strategy.</w:t>
      </w:r>
    </w:p>
    <w:p w14:paraId="72CF171D" w14:textId="77777777" w:rsidR="0029256D" w:rsidRPr="0029256D" w:rsidRDefault="0029256D" w:rsidP="0029256D">
      <w:pPr>
        <w:rPr>
          <w:b/>
          <w:bCs/>
        </w:rPr>
      </w:pPr>
      <w:r w:rsidRPr="0029256D">
        <w:rPr>
          <w:b/>
          <w:bCs/>
        </w:rPr>
        <w:t>4.1 Specialization, Syndication, and Social Capital (Props 1–3)</w:t>
      </w:r>
    </w:p>
    <w:p w14:paraId="0DB6A9DA" w14:textId="77777777" w:rsidR="0029256D" w:rsidRPr="0029256D" w:rsidRDefault="0029256D" w:rsidP="0029256D">
      <w:pPr>
        <w:numPr>
          <w:ilvl w:val="0"/>
          <w:numId w:val="7"/>
        </w:numPr>
      </w:pPr>
      <w:r w:rsidRPr="0029256D">
        <w:rPr>
          <w:b/>
          <w:bCs/>
        </w:rPr>
        <w:t>Proposition 1 (Domain Specialization)</w:t>
      </w:r>
      <w:r w:rsidRPr="0029256D">
        <w:t>: Domain specialization by stage, sector, or geography builds learning-curve advantages, reducing search and monitoring transaction costs differentially for DVCs and FVCs.</w:t>
      </w:r>
    </w:p>
    <w:p w14:paraId="339EBC7B" w14:textId="77777777" w:rsidR="0029256D" w:rsidRPr="0029256D" w:rsidRDefault="0029256D" w:rsidP="0029256D">
      <w:pPr>
        <w:numPr>
          <w:ilvl w:val="0"/>
          <w:numId w:val="7"/>
        </w:numPr>
      </w:pPr>
      <w:r w:rsidRPr="0029256D">
        <w:rPr>
          <w:b/>
          <w:bCs/>
        </w:rPr>
        <w:t>Proposition 2 (Deal Syndication)</w:t>
      </w:r>
      <w:r w:rsidRPr="0029256D">
        <w:t>: </w:t>
      </w:r>
      <w:r w:rsidRPr="0029256D">
        <w:rPr>
          <w:b/>
          <w:bCs/>
        </w:rPr>
        <w:t>Syndication</w:t>
      </w:r>
      <w:r w:rsidRPr="0029256D">
        <w:t> pools external </w:t>
      </w:r>
      <w:r w:rsidRPr="0029256D">
        <w:rPr>
          <w:b/>
          <w:bCs/>
        </w:rPr>
        <w:t>social capital</w:t>
      </w:r>
      <w:r w:rsidRPr="0029256D">
        <w:t> and diagnostic skills to mitigate adverse selection, though partner opportunism introduces offsetting bargaining costs.</w:t>
      </w:r>
    </w:p>
    <w:p w14:paraId="6BB17B92" w14:textId="77777777" w:rsidR="0029256D" w:rsidRPr="0029256D" w:rsidRDefault="0029256D" w:rsidP="0029256D">
      <w:pPr>
        <w:numPr>
          <w:ilvl w:val="0"/>
          <w:numId w:val="7"/>
        </w:numPr>
      </w:pPr>
      <w:r w:rsidRPr="0029256D">
        <w:rPr>
          <w:b/>
          <w:bCs/>
        </w:rPr>
        <w:t>Proposition 3 (Age and Experience)</w:t>
      </w:r>
      <w:r w:rsidRPr="0029256D">
        <w:t>: Firm age and investment experience act as proxies for social capital, lowering enforcement transaction costs regarding regulatory and legal bottlenecks.</w:t>
      </w:r>
    </w:p>
    <w:p w14:paraId="12DE756C" w14:textId="77777777" w:rsidR="0029256D" w:rsidRPr="0029256D" w:rsidRDefault="0029256D" w:rsidP="0029256D">
      <w:pPr>
        <w:numPr>
          <w:ilvl w:val="0"/>
          <w:numId w:val="7"/>
        </w:numPr>
      </w:pPr>
      <w:r w:rsidRPr="0029256D">
        <w:rPr>
          <w:b/>
          <w:bCs/>
        </w:rPr>
        <w:t>Takeaway:</w:t>
      </w:r>
      <w:r w:rsidRPr="0029256D">
        <w:t> Domain specialization, deal syndication, and firm maturity serve as primary strategic levers to decrease information costs, though DVCs and FVCs deploy them asymmetrically.</w:t>
      </w:r>
    </w:p>
    <w:p w14:paraId="7B4B5A91" w14:textId="77777777" w:rsidR="0029256D" w:rsidRPr="0029256D" w:rsidRDefault="0029256D" w:rsidP="0029256D">
      <w:pPr>
        <w:rPr>
          <w:b/>
          <w:bCs/>
        </w:rPr>
      </w:pPr>
      <w:r w:rsidRPr="0029256D">
        <w:rPr>
          <w:b/>
          <w:bCs/>
        </w:rPr>
        <w:t>4.2 Team Structure and Spatial Clustering (Props 4–5)</w:t>
      </w:r>
    </w:p>
    <w:p w14:paraId="14DE5E92" w14:textId="77777777" w:rsidR="0029256D" w:rsidRPr="0029256D" w:rsidRDefault="0029256D" w:rsidP="0029256D">
      <w:pPr>
        <w:numPr>
          <w:ilvl w:val="0"/>
          <w:numId w:val="8"/>
        </w:numPr>
      </w:pPr>
      <w:r w:rsidRPr="0029256D">
        <w:rPr>
          <w:b/>
          <w:bCs/>
        </w:rPr>
        <w:lastRenderedPageBreak/>
        <w:t>Proposition 4 (Team Size &amp; Composition)</w:t>
      </w:r>
      <w:r w:rsidRPr="0029256D">
        <w:t>: Larger teams expand analytical capacity; integrating local </w:t>
      </w:r>
      <w:proofErr w:type="gramStart"/>
      <w:r w:rsidRPr="0029256D">
        <w:rPr>
          <w:b/>
          <w:bCs/>
        </w:rPr>
        <w:t>ethnicity</w:t>
      </w:r>
      <w:r w:rsidRPr="0029256D">
        <w:t>(</w:t>
      </w:r>
      <w:proofErr w:type="gramEnd"/>
      <w:r w:rsidRPr="0029256D">
        <w:rPr>
          <w:b/>
          <w:bCs/>
        </w:rPr>
        <w:t>homophily sentiment</w:t>
      </w:r>
      <w:r w:rsidRPr="0029256D">
        <w:t>) or erstwhile founder experience improves screening, agency detection, and governance.</w:t>
      </w:r>
    </w:p>
    <w:p w14:paraId="31DEBE1D" w14:textId="77777777" w:rsidR="0029256D" w:rsidRPr="0029256D" w:rsidRDefault="0029256D" w:rsidP="0029256D">
      <w:pPr>
        <w:numPr>
          <w:ilvl w:val="0"/>
          <w:numId w:val="8"/>
        </w:numPr>
      </w:pPr>
      <w:r w:rsidRPr="0029256D">
        <w:rPr>
          <w:b/>
          <w:bCs/>
        </w:rPr>
        <w:t>Proposition 5 (Cluster Location)</w:t>
      </w:r>
      <w:r w:rsidRPr="0029256D">
        <w:t>: Co-locating in vibrant start-up clusters (e.g., Bangalore, NCR, Mumbai) provides proximity to a </w:t>
      </w:r>
      <w:r w:rsidRPr="0029256D">
        <w:rPr>
          <w:b/>
          <w:bCs/>
        </w:rPr>
        <w:t>critical mass</w:t>
      </w:r>
      <w:r w:rsidRPr="0029256D">
        <w:t> of human capital and spillovers, reducing search costs.</w:t>
      </w:r>
    </w:p>
    <w:p w14:paraId="4930256B" w14:textId="77777777" w:rsidR="0029256D" w:rsidRPr="0029256D" w:rsidRDefault="0029256D" w:rsidP="0029256D">
      <w:pPr>
        <w:numPr>
          <w:ilvl w:val="0"/>
          <w:numId w:val="8"/>
        </w:numPr>
      </w:pPr>
      <w:r w:rsidRPr="0029256D">
        <w:rPr>
          <w:b/>
          <w:bCs/>
        </w:rPr>
        <w:t>Takeaway:</w:t>
      </w:r>
      <w:r w:rsidRPr="0029256D">
        <w:t> Optimizing team human capital and co-locating within dense innovation clusters reduce information friction and enhance deal-screening efficiency for both foreign and domestic investors.</w:t>
      </w:r>
    </w:p>
    <w:p w14:paraId="57184D44" w14:textId="77777777" w:rsidR="0029256D" w:rsidRPr="0029256D" w:rsidRDefault="0029256D" w:rsidP="0029256D">
      <w:r w:rsidRPr="0029256D">
        <w:rPr>
          <w:b/>
          <w:bCs/>
        </w:rPr>
        <w:t>Takeaway:</w:t>
      </w:r>
      <w:r w:rsidRPr="0029256D">
        <w:t> Empirical propositions demonstrate that specialization, syndication, human capital, and spatial clustering serve as non-uniform strategic levers to minimize transaction costs.</w:t>
      </w:r>
    </w:p>
    <w:p w14:paraId="5A5909E9" w14:textId="77777777" w:rsidR="0029256D" w:rsidRPr="0029256D" w:rsidRDefault="0029256D" w:rsidP="0029256D">
      <w:pPr>
        <w:rPr>
          <w:b/>
          <w:bCs/>
        </w:rPr>
      </w:pPr>
      <w:r w:rsidRPr="0029256D">
        <w:rPr>
          <w:b/>
          <w:bCs/>
        </w:rPr>
        <w:t>5. Data and Methodology</w:t>
      </w:r>
    </w:p>
    <w:p w14:paraId="24DE122D" w14:textId="77777777" w:rsidR="0029256D" w:rsidRPr="0029256D" w:rsidRDefault="0029256D" w:rsidP="0029256D">
      <w:r w:rsidRPr="0029256D">
        <w:t>Evaluating heterogeneous venture capital strategies requires non-linear classification models capable of isolating distinct operational profiles. A combined empirical dataset of Indian VC funds forms the basis for algorithmic segmentation.</w:t>
      </w:r>
    </w:p>
    <w:p w14:paraId="766C1CB7" w14:textId="77777777" w:rsidR="0029256D" w:rsidRPr="0029256D" w:rsidRDefault="0029256D" w:rsidP="0029256D">
      <w:pPr>
        <w:rPr>
          <w:b/>
          <w:bCs/>
        </w:rPr>
      </w:pPr>
      <w:r w:rsidRPr="0029256D">
        <w:rPr>
          <w:b/>
          <w:bCs/>
        </w:rPr>
        <w:t>5.1 Sample Selection and Variable Definitions</w:t>
      </w:r>
    </w:p>
    <w:p w14:paraId="2C96868D" w14:textId="77777777" w:rsidR="0029256D" w:rsidRPr="0029256D" w:rsidRDefault="0029256D" w:rsidP="0029256D">
      <w:pPr>
        <w:numPr>
          <w:ilvl w:val="0"/>
          <w:numId w:val="9"/>
        </w:numPr>
      </w:pPr>
      <w:r w:rsidRPr="0029256D">
        <w:t>Sample comprises 70 active VCs (44 DVCs, 26 FVCs) from </w:t>
      </w:r>
      <w:r w:rsidRPr="0029256D">
        <w:rPr>
          <w:b/>
          <w:bCs/>
        </w:rPr>
        <w:t>Venture Intelligence</w:t>
      </w:r>
      <w:r w:rsidRPr="0029256D">
        <w:t> (2005–2013), representing &gt;80% of total Indian deal volume, supplemented by executive interviews.</w:t>
      </w:r>
    </w:p>
    <w:p w14:paraId="25B4A29F" w14:textId="77777777" w:rsidR="0029256D" w:rsidRPr="0029256D" w:rsidRDefault="0029256D" w:rsidP="0029256D">
      <w:pPr>
        <w:numPr>
          <w:ilvl w:val="0"/>
          <w:numId w:val="9"/>
        </w:numPr>
      </w:pPr>
      <w:r w:rsidRPr="0029256D">
        <w:t>Dependent Variable: </w:t>
      </w:r>
      <w:r w:rsidRPr="0029256D">
        <w:rPr>
          <w:b/>
          <w:bCs/>
        </w:rPr>
        <w:t>High-Technology Focus</w:t>
      </w:r>
      <w:r w:rsidRPr="0029256D">
        <w:t xml:space="preserve"> (binary 1/0, validated by self-reporting and deal concentration in IT, </w:t>
      </w:r>
      <w:proofErr w:type="spellStart"/>
      <w:r w:rsidRPr="0029256D">
        <w:t>ITeS</w:t>
      </w:r>
      <w:proofErr w:type="spellEnd"/>
      <w:r w:rsidRPr="0029256D">
        <w:t>, Healthcare, and Biotech).</w:t>
      </w:r>
    </w:p>
    <w:p w14:paraId="1DCF679C" w14:textId="77777777" w:rsidR="0029256D" w:rsidRPr="0029256D" w:rsidRDefault="0029256D" w:rsidP="0029256D">
      <w:pPr>
        <w:numPr>
          <w:ilvl w:val="0"/>
          <w:numId w:val="9"/>
        </w:numPr>
      </w:pPr>
      <w:r w:rsidRPr="0029256D">
        <w:t>Independent Variables: </w:t>
      </w:r>
      <w:r w:rsidRPr="0029256D">
        <w:rPr>
          <w:b/>
          <w:bCs/>
        </w:rPr>
        <w:t>VC Age</w:t>
      </w:r>
      <w:r w:rsidRPr="0029256D">
        <w:t>, </w:t>
      </w:r>
      <w:r w:rsidRPr="0029256D">
        <w:rPr>
          <w:b/>
          <w:bCs/>
        </w:rPr>
        <w:t>Syndication Proportion</w:t>
      </w:r>
      <w:r w:rsidRPr="0029256D">
        <w:t>, </w:t>
      </w:r>
      <w:r w:rsidRPr="0029256D">
        <w:rPr>
          <w:b/>
          <w:bCs/>
        </w:rPr>
        <w:t>Historically Funded Deals</w:t>
      </w:r>
      <w:r w:rsidRPr="0029256D">
        <w:t>, </w:t>
      </w:r>
      <w:r w:rsidRPr="0029256D">
        <w:rPr>
          <w:b/>
          <w:bCs/>
        </w:rPr>
        <w:t>Early-Stage Focus</w:t>
      </w:r>
      <w:r w:rsidRPr="0029256D">
        <w:t>, </w:t>
      </w:r>
      <w:r w:rsidRPr="0029256D">
        <w:rPr>
          <w:b/>
          <w:bCs/>
        </w:rPr>
        <w:t>Industry Concentration Index</w:t>
      </w:r>
      <w:r w:rsidRPr="0029256D">
        <w:t> (</w:t>
      </w:r>
      <w:r w:rsidRPr="0029256D">
        <w:rPr>
          <w:b/>
          <w:bCs/>
        </w:rPr>
        <w:t>Herfindahl-Hirschman Index / HHI</w:t>
      </w:r>
      <w:r w:rsidRPr="0029256D">
        <w:t>), team size/ethnicity/founder experience, and location dummies.</w:t>
      </w:r>
    </w:p>
    <w:p w14:paraId="38C687D7" w14:textId="77777777" w:rsidR="0029256D" w:rsidRPr="0029256D" w:rsidRDefault="0029256D" w:rsidP="0029256D">
      <w:pPr>
        <w:numPr>
          <w:ilvl w:val="0"/>
          <w:numId w:val="9"/>
        </w:numPr>
      </w:pPr>
      <w:r w:rsidRPr="0029256D">
        <w:t>Robust sample design captures core market activity through dynamic portfolio-level and team-level metrics.</w:t>
      </w:r>
    </w:p>
    <w:p w14:paraId="3356177A" w14:textId="77777777" w:rsidR="0029256D" w:rsidRPr="0029256D" w:rsidRDefault="0029256D" w:rsidP="0029256D">
      <w:pPr>
        <w:numPr>
          <w:ilvl w:val="0"/>
          <w:numId w:val="9"/>
        </w:numPr>
      </w:pPr>
      <w:r w:rsidRPr="0029256D">
        <w:rPr>
          <w:b/>
          <w:bCs/>
        </w:rPr>
        <w:t>Takeaway:</w:t>
      </w:r>
      <w:r w:rsidRPr="0029256D">
        <w:t xml:space="preserve"> The study employs a robust sample of 70 core VC firms representing </w:t>
      </w:r>
      <w:proofErr w:type="gramStart"/>
      <w:r w:rsidRPr="0029256D">
        <w:t>the vast majority of</w:t>
      </w:r>
      <w:proofErr w:type="gramEnd"/>
      <w:r w:rsidRPr="0029256D">
        <w:t xml:space="preserve"> Indian market activity, operationalizing strategy through detailed portfolio and team-level metrics.</w:t>
      </w:r>
    </w:p>
    <w:p w14:paraId="08CF6B08" w14:textId="77777777" w:rsidR="0029256D" w:rsidRPr="0029256D" w:rsidRDefault="0029256D" w:rsidP="0029256D">
      <w:pPr>
        <w:rPr>
          <w:b/>
          <w:bCs/>
        </w:rPr>
      </w:pPr>
      <w:r w:rsidRPr="0029256D">
        <w:rPr>
          <w:b/>
          <w:bCs/>
        </w:rPr>
        <w:t>5.2 Classification and Regression Trees (CART) Methodology</w:t>
      </w:r>
    </w:p>
    <w:p w14:paraId="1849BEDE" w14:textId="77777777" w:rsidR="0029256D" w:rsidRPr="0029256D" w:rsidRDefault="0029256D" w:rsidP="0029256D">
      <w:pPr>
        <w:numPr>
          <w:ilvl w:val="0"/>
          <w:numId w:val="10"/>
        </w:numPr>
      </w:pPr>
      <w:r w:rsidRPr="0029256D">
        <w:rPr>
          <w:b/>
          <w:bCs/>
        </w:rPr>
        <w:lastRenderedPageBreak/>
        <w:t>CART</w:t>
      </w:r>
      <w:r w:rsidRPr="0029256D">
        <w:t> is a non-parametric decision tree technique recursively partitioning data into homogenous subgroups by minimizing the </w:t>
      </w:r>
      <w:r w:rsidRPr="0029256D">
        <w:rPr>
          <w:b/>
          <w:bCs/>
        </w:rPr>
        <w:t>Gini Index</w:t>
      </w:r>
      <w:r w:rsidRPr="0029256D">
        <w:t> (node impurity).</w:t>
      </w:r>
    </w:p>
    <w:p w14:paraId="602BFD86" w14:textId="77777777" w:rsidR="0029256D" w:rsidRPr="0029256D" w:rsidRDefault="0029256D" w:rsidP="0029256D">
      <w:pPr>
        <w:numPr>
          <w:ilvl w:val="0"/>
          <w:numId w:val="10"/>
        </w:numPr>
      </w:pPr>
      <w:r w:rsidRPr="0029256D">
        <w:t>Forced initial split on Foreign VC Dummy; minimum end-node size = 4 firms; achieved 87.1% accuracy (risk estimate = 0.129).</w:t>
      </w:r>
    </w:p>
    <w:p w14:paraId="12A9E456" w14:textId="77777777" w:rsidR="0029256D" w:rsidRPr="0029256D" w:rsidRDefault="0029256D" w:rsidP="0029256D">
      <w:pPr>
        <w:numPr>
          <w:ilvl w:val="0"/>
          <w:numId w:val="10"/>
        </w:numPr>
      </w:pPr>
      <w:r w:rsidRPr="0029256D">
        <w:t>Evaluated via </w:t>
      </w:r>
      <w:r w:rsidRPr="0029256D">
        <w:rPr>
          <w:b/>
          <w:bCs/>
        </w:rPr>
        <w:t>High-Tech Concentration Index</w:t>
      </w:r>
      <w:r w:rsidRPr="0029256D">
        <w:t> (segment high-tech proportion divided by sample average 38.6%); values &gt;1 signify above-average tech focus.</w:t>
      </w:r>
    </w:p>
    <w:p w14:paraId="1AA964E0" w14:textId="77777777" w:rsidR="0029256D" w:rsidRPr="0029256D" w:rsidRDefault="0029256D" w:rsidP="0029256D">
      <w:pPr>
        <w:numPr>
          <w:ilvl w:val="0"/>
          <w:numId w:val="10"/>
        </w:numPr>
      </w:pPr>
      <w:r w:rsidRPr="0029256D">
        <w:t>Non-linear decision trees capture complex interactions superior to linear regression models.</w:t>
      </w:r>
    </w:p>
    <w:p w14:paraId="6F8FB09A" w14:textId="77777777" w:rsidR="0029256D" w:rsidRPr="0029256D" w:rsidRDefault="0029256D" w:rsidP="0029256D">
      <w:pPr>
        <w:numPr>
          <w:ilvl w:val="0"/>
          <w:numId w:val="10"/>
        </w:numPr>
      </w:pPr>
      <w:r w:rsidRPr="0029256D">
        <w:rPr>
          <w:b/>
          <w:bCs/>
        </w:rPr>
        <w:t>Takeaway:</w:t>
      </w:r>
      <w:r w:rsidRPr="0029256D">
        <w:t> Non-linear CART modeling effectively isolates distinct, mutually exclusive VC segments based on their strategic choices without forcing linear structural assumptions.</w:t>
      </w:r>
    </w:p>
    <w:p w14:paraId="7676EBDE" w14:textId="77777777" w:rsidR="0029256D" w:rsidRPr="0029256D" w:rsidRDefault="0029256D" w:rsidP="0029256D">
      <w:r w:rsidRPr="0029256D">
        <w:rPr>
          <w:b/>
          <w:bCs/>
        </w:rPr>
        <w:t>Takeaway:</w:t>
      </w:r>
      <w:r w:rsidRPr="0029256D">
        <w:t> Non-parametric CART modeling on 70 active funds offers a robust empirical structure to segment complex, non-linear risk strategies across foreign and domestic firms.</w:t>
      </w:r>
    </w:p>
    <w:p w14:paraId="4B43A174" w14:textId="77777777" w:rsidR="0029256D" w:rsidRPr="0029256D" w:rsidRDefault="0029256D" w:rsidP="0029256D">
      <w:pPr>
        <w:rPr>
          <w:b/>
          <w:bCs/>
        </w:rPr>
      </w:pPr>
      <w:r w:rsidRPr="0029256D">
        <w:rPr>
          <w:b/>
          <w:bCs/>
        </w:rPr>
        <w:t>6. Empirical Findings and Comparative Profiles</w:t>
      </w:r>
    </w:p>
    <w:p w14:paraId="7C95B814" w14:textId="77777777" w:rsidR="0029256D" w:rsidRPr="0029256D" w:rsidRDefault="0029256D" w:rsidP="0029256D">
      <w:r w:rsidRPr="0029256D">
        <w:t>Quantitative baseline comparison reveals fundamental differences in fund size, deal intensity, and geographic focus between foreign and domestic venture capital firms. Algorithmic CART decision trees successfully isolate distinct high-tech investor segments.</w:t>
      </w:r>
    </w:p>
    <w:p w14:paraId="16C3C869" w14:textId="77777777" w:rsidR="0029256D" w:rsidRPr="0029256D" w:rsidRDefault="0029256D" w:rsidP="0029256D">
      <w:pPr>
        <w:rPr>
          <w:b/>
          <w:bCs/>
        </w:rPr>
      </w:pPr>
      <w:r w:rsidRPr="0029256D">
        <w:rPr>
          <w:b/>
          <w:bCs/>
        </w:rPr>
        <w:t>6.1 Baseline Descriptive Characteristics</w:t>
      </w:r>
    </w:p>
    <w:p w14:paraId="6FEC2242" w14:textId="77777777" w:rsidR="0029256D" w:rsidRPr="0029256D" w:rsidRDefault="0029256D" w:rsidP="0029256D">
      <w:pPr>
        <w:numPr>
          <w:ilvl w:val="0"/>
          <w:numId w:val="11"/>
        </w:numPr>
      </w:pPr>
      <w:r w:rsidRPr="0029256D">
        <w:t>FVCs possess larger average fund corpuses ($441.29M vs. $232.46M) and higher deal volume (35 vs. 20 deals/firm) than DVCs.</w:t>
      </w:r>
    </w:p>
    <w:p w14:paraId="50EB2E12" w14:textId="77777777" w:rsidR="0029256D" w:rsidRPr="0029256D" w:rsidRDefault="0029256D" w:rsidP="0029256D">
      <w:pPr>
        <w:numPr>
          <w:ilvl w:val="0"/>
          <w:numId w:val="11"/>
        </w:numPr>
      </w:pPr>
      <w:r w:rsidRPr="0029256D">
        <w:t>FVCs exhibit higher high-tech deal focus (46% vs. 33%), while DVCs show greater early-stage focus (45% vs. 25%).</w:t>
      </w:r>
    </w:p>
    <w:p w14:paraId="69533830" w14:textId="77777777" w:rsidR="0029256D" w:rsidRPr="0029256D" w:rsidRDefault="0029256D" w:rsidP="0029256D">
      <w:pPr>
        <w:numPr>
          <w:ilvl w:val="0"/>
          <w:numId w:val="11"/>
        </w:numPr>
      </w:pPr>
      <w:r w:rsidRPr="0029256D">
        <w:t>Location splits: 48% of DVCs favor Mumbai (BFSI hub), while 46% of FVCs cluster in Bangalore (tech hub).</w:t>
      </w:r>
    </w:p>
    <w:p w14:paraId="389F6680" w14:textId="77777777" w:rsidR="0029256D" w:rsidRPr="0029256D" w:rsidRDefault="0029256D" w:rsidP="0029256D">
      <w:pPr>
        <w:numPr>
          <w:ilvl w:val="0"/>
          <w:numId w:val="11"/>
        </w:numPr>
      </w:pPr>
      <w:r w:rsidRPr="0029256D">
        <w:t>Teams average ~6 members, high Indian ethnicity (97% DVC vs. 93% FVC), and similar syndication intensity (~52–56%).</w:t>
      </w:r>
    </w:p>
    <w:p w14:paraId="562C06E7" w14:textId="77777777" w:rsidR="0029256D" w:rsidRPr="0029256D" w:rsidRDefault="0029256D" w:rsidP="0029256D">
      <w:pPr>
        <w:numPr>
          <w:ilvl w:val="0"/>
          <w:numId w:val="11"/>
        </w:numPr>
      </w:pPr>
      <w:r w:rsidRPr="0029256D">
        <w:rPr>
          <w:b/>
          <w:bCs/>
        </w:rPr>
        <w:t>Takeaway:</w:t>
      </w:r>
      <w:r w:rsidRPr="0029256D">
        <w:t> While FVCs bring superior capital scale and tech focus, DVCs display greater willingness to fund early-stage ventures and cluster around financial centers like Mumbai.</w:t>
      </w:r>
    </w:p>
    <w:p w14:paraId="7211B3EA" w14:textId="77777777" w:rsidR="0029256D" w:rsidRPr="0029256D" w:rsidRDefault="0029256D" w:rsidP="0029256D">
      <w:pPr>
        <w:rPr>
          <w:b/>
          <w:bCs/>
        </w:rPr>
      </w:pPr>
      <w:r w:rsidRPr="0029256D">
        <w:rPr>
          <w:b/>
          <w:bCs/>
        </w:rPr>
        <w:t>6.2 CART Segmentation Summary</w:t>
      </w:r>
    </w:p>
    <w:p w14:paraId="2C301CB5" w14:textId="77777777" w:rsidR="0029256D" w:rsidRPr="0029256D" w:rsidRDefault="0029256D" w:rsidP="0029256D">
      <w:pPr>
        <w:numPr>
          <w:ilvl w:val="0"/>
          <w:numId w:val="12"/>
        </w:numPr>
      </w:pPr>
      <w:r w:rsidRPr="0029256D">
        <w:lastRenderedPageBreak/>
        <w:t>CART isolated 8 total segments: 3 domestic (Segments 1–3) and 5 foreign (Segments 4–8).</w:t>
      </w:r>
    </w:p>
    <w:p w14:paraId="4CCA199B" w14:textId="77777777" w:rsidR="0029256D" w:rsidRPr="0029256D" w:rsidRDefault="0029256D" w:rsidP="0029256D">
      <w:pPr>
        <w:numPr>
          <w:ilvl w:val="0"/>
          <w:numId w:val="12"/>
        </w:numPr>
      </w:pPr>
      <w:r w:rsidRPr="0029256D">
        <w:t>Top domestic tech segment: </w:t>
      </w:r>
      <w:r w:rsidRPr="0029256D">
        <w:rPr>
          <w:b/>
          <w:bCs/>
        </w:rPr>
        <w:t>Segment 3</w:t>
      </w:r>
      <w:r w:rsidRPr="0029256D">
        <w:t> (High-Tech Index = 2.192; 85% tech-focused).</w:t>
      </w:r>
    </w:p>
    <w:p w14:paraId="00451E96" w14:textId="77777777" w:rsidR="0029256D" w:rsidRPr="0029256D" w:rsidRDefault="0029256D" w:rsidP="0029256D">
      <w:pPr>
        <w:numPr>
          <w:ilvl w:val="0"/>
          <w:numId w:val="12"/>
        </w:numPr>
      </w:pPr>
      <w:r w:rsidRPr="0029256D">
        <w:t>Top foreign tech segments: </w:t>
      </w:r>
      <w:r w:rsidRPr="0029256D">
        <w:rPr>
          <w:b/>
          <w:bCs/>
        </w:rPr>
        <w:t>Segment 6</w:t>
      </w:r>
      <w:r w:rsidRPr="0029256D">
        <w:t> (High-Tech Index = 1.943; 75% tech-focused) and </w:t>
      </w:r>
      <w:r w:rsidRPr="0029256D">
        <w:rPr>
          <w:b/>
          <w:bCs/>
        </w:rPr>
        <w:t>Segment 7</w:t>
      </w:r>
      <w:r w:rsidRPr="0029256D">
        <w:t> (High-Tech Index = 2.591; 100% tech-focused).</w:t>
      </w:r>
    </w:p>
    <w:p w14:paraId="76B31AB5" w14:textId="77777777" w:rsidR="0029256D" w:rsidRPr="0029256D" w:rsidRDefault="0029256D" w:rsidP="0029256D">
      <w:pPr>
        <w:numPr>
          <w:ilvl w:val="0"/>
          <w:numId w:val="12"/>
        </w:numPr>
      </w:pPr>
      <w:r w:rsidRPr="0029256D">
        <w:t>High-tech focused segments account for ~35% of all sample VCs.</w:t>
      </w:r>
    </w:p>
    <w:p w14:paraId="50149721" w14:textId="77777777" w:rsidR="0029256D" w:rsidRPr="0029256D" w:rsidRDefault="0029256D" w:rsidP="0029256D">
      <w:pPr>
        <w:numPr>
          <w:ilvl w:val="0"/>
          <w:numId w:val="12"/>
        </w:numPr>
      </w:pPr>
      <w:r w:rsidRPr="0029256D">
        <w:rPr>
          <w:b/>
          <w:bCs/>
        </w:rPr>
        <w:t>Takeaway:</w:t>
      </w:r>
      <w:r w:rsidRPr="0029256D">
        <w:t> CART modeling isolates three distinct high-tech focused segments—one domestic and two foreign—that exhibit fundamentally different risk-management strategies.</w:t>
      </w:r>
    </w:p>
    <w:p w14:paraId="40F69B24" w14:textId="77777777" w:rsidR="0029256D" w:rsidRPr="0029256D" w:rsidRDefault="0029256D" w:rsidP="0029256D">
      <w:r w:rsidRPr="0029256D">
        <w:rPr>
          <w:b/>
          <w:bCs/>
        </w:rPr>
        <w:t>Takeaway:</w:t>
      </w:r>
      <w:r w:rsidRPr="0029256D">
        <w:t> Empirical baseline metrics confirm distinct structural profiles, while CART partitioning isolates three primary high-tech segments utilizing divergent strategic models.</w:t>
      </w:r>
    </w:p>
    <w:p w14:paraId="4FAA78DD" w14:textId="77777777" w:rsidR="0029256D" w:rsidRPr="0029256D" w:rsidRDefault="0029256D" w:rsidP="0029256D">
      <w:pPr>
        <w:rPr>
          <w:b/>
          <w:bCs/>
        </w:rPr>
      </w:pPr>
      <w:r w:rsidRPr="0029256D">
        <w:rPr>
          <w:b/>
          <w:bCs/>
        </w:rPr>
        <w:t>7. Strategic Exploration of High-Tech VC Segments</w:t>
      </w:r>
    </w:p>
    <w:p w14:paraId="59EB8662" w14:textId="77777777" w:rsidR="0029256D" w:rsidRPr="0029256D" w:rsidRDefault="0029256D" w:rsidP="0029256D">
      <w:r w:rsidRPr="0029256D">
        <w:t>Detailed profiling of the three high-tech segments demonstrates how investors adapt their operational choices to manage information risks. Domestic and foreign funds deploy contrasting combinations of syndication, team expertise, stage targeting, and geographic clustering.</w:t>
      </w:r>
    </w:p>
    <w:p w14:paraId="3B8F3E1C" w14:textId="77777777" w:rsidR="0029256D" w:rsidRPr="0029256D" w:rsidRDefault="0029256D" w:rsidP="0029256D">
      <w:pPr>
        <w:rPr>
          <w:b/>
          <w:bCs/>
        </w:rPr>
      </w:pPr>
      <w:r w:rsidRPr="0029256D">
        <w:rPr>
          <w:b/>
          <w:bCs/>
        </w:rPr>
        <w:t>7.1 High-Tech Domestic VCs (Segment 3)</w:t>
      </w:r>
    </w:p>
    <w:p w14:paraId="014E9037" w14:textId="77777777" w:rsidR="0029256D" w:rsidRPr="0029256D" w:rsidRDefault="0029256D" w:rsidP="0029256D">
      <w:pPr>
        <w:numPr>
          <w:ilvl w:val="0"/>
          <w:numId w:val="13"/>
        </w:numPr>
      </w:pPr>
      <w:r w:rsidRPr="0029256D">
        <w:t>High co-investment (64% syndicated deals vs. 53% overall) offsets small fund size ($63M average) and leverages FVC diagnostic capabilities.</w:t>
      </w:r>
    </w:p>
    <w:p w14:paraId="3DFF51DE" w14:textId="77777777" w:rsidR="0029256D" w:rsidRPr="0029256D" w:rsidRDefault="0029256D" w:rsidP="0029256D">
      <w:pPr>
        <w:numPr>
          <w:ilvl w:val="0"/>
          <w:numId w:val="13"/>
        </w:numPr>
      </w:pPr>
      <w:r w:rsidRPr="0029256D">
        <w:t xml:space="preserve">All funds maintain a 100% early-stage focus; 46% feature former tech founders (e.g., co-founders of Infosys, </w:t>
      </w:r>
      <w:proofErr w:type="spellStart"/>
      <w:r w:rsidRPr="0029256D">
        <w:t>Snapfish</w:t>
      </w:r>
      <w:proofErr w:type="spellEnd"/>
      <w:r w:rsidRPr="0029256D">
        <w:t>, Mumbai Angels, UIDAI) on teams to improve opportunity recognition and agency control.</w:t>
      </w:r>
    </w:p>
    <w:p w14:paraId="06F47ADC" w14:textId="77777777" w:rsidR="0029256D" w:rsidRPr="0029256D" w:rsidRDefault="0029256D" w:rsidP="0029256D">
      <w:pPr>
        <w:numPr>
          <w:ilvl w:val="0"/>
          <w:numId w:val="13"/>
        </w:numPr>
      </w:pPr>
      <w:r w:rsidRPr="0029256D">
        <w:t>Spatial clustering in NCR (23% vs. 15% overall) provides policy proximity to New Delhi digital inclusion initiatives and leverages NCR's position as India's premier ITES-BPO cluster to lower operational transaction costs.</w:t>
      </w:r>
    </w:p>
    <w:p w14:paraId="6C19F441" w14:textId="77777777" w:rsidR="0029256D" w:rsidRPr="0029256D" w:rsidRDefault="0029256D" w:rsidP="0029256D">
      <w:pPr>
        <w:numPr>
          <w:ilvl w:val="0"/>
          <w:numId w:val="13"/>
        </w:numPr>
      </w:pPr>
      <w:r w:rsidRPr="0029256D">
        <w:t>Historical deal volume (23 deals/firm) reflects accumulated social capital in domestic markets.</w:t>
      </w:r>
    </w:p>
    <w:p w14:paraId="3ABC5381" w14:textId="77777777" w:rsidR="0029256D" w:rsidRPr="0029256D" w:rsidRDefault="0029256D" w:rsidP="0029256D">
      <w:pPr>
        <w:numPr>
          <w:ilvl w:val="0"/>
          <w:numId w:val="13"/>
        </w:numPr>
      </w:pPr>
      <w:r w:rsidRPr="0029256D">
        <w:rPr>
          <w:b/>
          <w:bCs/>
        </w:rPr>
        <w:t>Takeaway:</w:t>
      </w:r>
      <w:r w:rsidRPr="0029256D">
        <w:t> High-tech DVCs manage information risk by heavily syndicating with domain experts and leveraging team founder experience to capture early-stage deals in government-aligned clusters.</w:t>
      </w:r>
    </w:p>
    <w:p w14:paraId="65DC594C" w14:textId="77777777" w:rsidR="0029256D" w:rsidRPr="0029256D" w:rsidRDefault="0029256D" w:rsidP="0029256D">
      <w:pPr>
        <w:rPr>
          <w:b/>
          <w:bCs/>
        </w:rPr>
      </w:pPr>
      <w:r w:rsidRPr="0029256D">
        <w:rPr>
          <w:b/>
          <w:bCs/>
        </w:rPr>
        <w:lastRenderedPageBreak/>
        <w:t>7.2 Domain-Specialized Young Foreign VCs (Segment 6)</w:t>
      </w:r>
    </w:p>
    <w:p w14:paraId="515AA5DB" w14:textId="77777777" w:rsidR="0029256D" w:rsidRPr="0029256D" w:rsidRDefault="0029256D" w:rsidP="0029256D">
      <w:pPr>
        <w:numPr>
          <w:ilvl w:val="0"/>
          <w:numId w:val="14"/>
        </w:numPr>
      </w:pPr>
      <w:r w:rsidRPr="0029256D">
        <w:t>Profile: Young funds (mean age 2.5 years, 4 deals/firm) with low social capital, small teams (3.3 members), lower Indian ethnicity (69%), no physical Indian offices (50%), and low syndication (33%).</w:t>
      </w:r>
    </w:p>
    <w:p w14:paraId="1D9995F5" w14:textId="77777777" w:rsidR="0029256D" w:rsidRPr="0029256D" w:rsidRDefault="0029256D" w:rsidP="0029256D">
      <w:pPr>
        <w:numPr>
          <w:ilvl w:val="0"/>
          <w:numId w:val="14"/>
        </w:numPr>
      </w:pPr>
      <w:r w:rsidRPr="0029256D">
        <w:t>Strategy: Extreme sector focus (HHI = 0.764; ~2.5 sectors) and early-stage governance (75% early stage) directly control agency risks.</w:t>
      </w:r>
    </w:p>
    <w:p w14:paraId="281A91DA" w14:textId="77777777" w:rsidR="0029256D" w:rsidRPr="0029256D" w:rsidRDefault="0029256D" w:rsidP="0029256D">
      <w:pPr>
        <w:numPr>
          <w:ilvl w:val="0"/>
          <w:numId w:val="14"/>
        </w:numPr>
      </w:pPr>
      <w:r w:rsidRPr="0029256D">
        <w:t>TCT Mapping: 100% of teams feature former tech founders or specialized domain experts (e.g., medical academics, Silicon Valley entrepreneurs), drastically reducing search and information costs during screening to offset high policing and enforcement costs caused by lacking local syndication partners.</w:t>
      </w:r>
    </w:p>
    <w:p w14:paraId="1E5A145D" w14:textId="77777777" w:rsidR="0029256D" w:rsidRPr="0029256D" w:rsidRDefault="0029256D" w:rsidP="0029256D">
      <w:pPr>
        <w:numPr>
          <w:ilvl w:val="0"/>
          <w:numId w:val="14"/>
        </w:numPr>
      </w:pPr>
      <w:r w:rsidRPr="0029256D">
        <w:t>Deep technical human capital replaces local institutional network dependencies.</w:t>
      </w:r>
    </w:p>
    <w:p w14:paraId="00CC0829" w14:textId="77777777" w:rsidR="0029256D" w:rsidRPr="0029256D" w:rsidRDefault="0029256D" w:rsidP="0029256D">
      <w:pPr>
        <w:numPr>
          <w:ilvl w:val="0"/>
          <w:numId w:val="14"/>
        </w:numPr>
      </w:pPr>
      <w:r w:rsidRPr="0029256D">
        <w:rPr>
          <w:b/>
          <w:bCs/>
        </w:rPr>
        <w:t>Takeaway:</w:t>
      </w:r>
      <w:r w:rsidRPr="0029256D">
        <w:t> Young FVCs lacking local social networks compensate by narrowing their investment focus to niche sectors where team members possess deep technical expertise.</w:t>
      </w:r>
    </w:p>
    <w:p w14:paraId="2E61AE3D" w14:textId="77777777" w:rsidR="0029256D" w:rsidRPr="0029256D" w:rsidRDefault="0029256D" w:rsidP="0029256D">
      <w:pPr>
        <w:rPr>
          <w:b/>
          <w:bCs/>
        </w:rPr>
      </w:pPr>
      <w:r w:rsidRPr="0029256D">
        <w:rPr>
          <w:b/>
          <w:bCs/>
        </w:rPr>
        <w:t>7.3 Growth-Stage Hub-Located Foreign VCs (Segment 7)</w:t>
      </w:r>
    </w:p>
    <w:p w14:paraId="74662D7B" w14:textId="77777777" w:rsidR="0029256D" w:rsidRPr="0029256D" w:rsidRDefault="0029256D" w:rsidP="0029256D">
      <w:pPr>
        <w:numPr>
          <w:ilvl w:val="0"/>
          <w:numId w:val="15"/>
        </w:numPr>
      </w:pPr>
      <w:r w:rsidRPr="0029256D">
        <w:t>Profile: Mature FVCs (mean age 7 years, 31 deals/firm, $330M fund size) with high sector concentration (HHI = 0.685).</w:t>
      </w:r>
    </w:p>
    <w:p w14:paraId="0EEBAC6E" w14:textId="77777777" w:rsidR="0029256D" w:rsidRPr="0029256D" w:rsidRDefault="0029256D" w:rsidP="0029256D">
      <w:pPr>
        <w:numPr>
          <w:ilvl w:val="0"/>
          <w:numId w:val="15"/>
        </w:numPr>
      </w:pPr>
      <w:r w:rsidRPr="0029256D">
        <w:t>Stage Avoidance: Avoid early-stage risk by targeting growth-stage ventures (only 14% early-stage focus) with established track records.</w:t>
      </w:r>
    </w:p>
    <w:p w14:paraId="0242A080" w14:textId="77777777" w:rsidR="0029256D" w:rsidRPr="0029256D" w:rsidRDefault="0029256D" w:rsidP="0029256D">
      <w:pPr>
        <w:numPr>
          <w:ilvl w:val="0"/>
          <w:numId w:val="15"/>
        </w:numPr>
      </w:pPr>
      <w:r w:rsidRPr="0029256D">
        <w:t>TCT Mapping: 71% locate physically in Bangalore, leveraging the cluster's critical mass, research labs, and spillovers to minimize search and information costs as well as policing and enforcement costs.</w:t>
      </w:r>
    </w:p>
    <w:p w14:paraId="51140C3D" w14:textId="77777777" w:rsidR="0029256D" w:rsidRPr="0029256D" w:rsidRDefault="0029256D" w:rsidP="0029256D">
      <w:pPr>
        <w:numPr>
          <w:ilvl w:val="0"/>
          <w:numId w:val="15"/>
        </w:numPr>
      </w:pPr>
      <w:r w:rsidRPr="0029256D">
        <w:t>Accumulated operational experience in India provides substantial social capital.</w:t>
      </w:r>
    </w:p>
    <w:p w14:paraId="092673C8" w14:textId="77777777" w:rsidR="0029256D" w:rsidRPr="0029256D" w:rsidRDefault="0029256D" w:rsidP="0029256D">
      <w:pPr>
        <w:numPr>
          <w:ilvl w:val="0"/>
          <w:numId w:val="15"/>
        </w:numPr>
      </w:pPr>
      <w:r w:rsidRPr="0029256D">
        <w:rPr>
          <w:b/>
          <w:bCs/>
        </w:rPr>
        <w:t>Takeaway:</w:t>
      </w:r>
      <w:r w:rsidRPr="0029256D">
        <w:t> Mature FVCs mitigate information risk by shifting capital to growth-stage ventures and embedding operations within Bangalore's dense tech ecosystem.</w:t>
      </w:r>
    </w:p>
    <w:p w14:paraId="23346E30" w14:textId="77777777" w:rsidR="0029256D" w:rsidRPr="0029256D" w:rsidRDefault="0029256D" w:rsidP="0029256D">
      <w:r w:rsidRPr="0029256D">
        <w:rPr>
          <w:b/>
          <w:bCs/>
        </w:rPr>
        <w:t>Takeaway:</w:t>
      </w:r>
      <w:r w:rsidRPr="0029256D">
        <w:t> The three high-tech segments manage risk through distinct mechanisms: domestic VCs combine syndication with founder networks, young foreign VCs rely on specialized technical human capital, and mature foreign VCs leverage stage avoidance and cluster agglomeration.</w:t>
      </w:r>
    </w:p>
    <w:p w14:paraId="2D73F98F" w14:textId="77777777" w:rsidR="0029256D" w:rsidRPr="0029256D" w:rsidRDefault="0029256D" w:rsidP="0029256D">
      <w:pPr>
        <w:rPr>
          <w:b/>
          <w:bCs/>
        </w:rPr>
      </w:pPr>
      <w:r w:rsidRPr="0029256D">
        <w:rPr>
          <w:b/>
          <w:bCs/>
        </w:rPr>
        <w:t>8. Implications, Policy, and Limitations</w:t>
      </w:r>
    </w:p>
    <w:p w14:paraId="5539BFC9" w14:textId="77777777" w:rsidR="0029256D" w:rsidRPr="0029256D" w:rsidRDefault="0029256D" w:rsidP="0029256D">
      <w:r w:rsidRPr="0029256D">
        <w:lastRenderedPageBreak/>
        <w:t>Empirical insights into venture capital risk management inform targeted public policy reforms and fund governance strategies. Addressing structural tax, capital, and ecosystem bottlenecks is critical to sustaining technology entrepreneurship in emerging markets.</w:t>
      </w:r>
    </w:p>
    <w:p w14:paraId="237F5DE2" w14:textId="77777777" w:rsidR="0029256D" w:rsidRPr="0029256D" w:rsidRDefault="0029256D" w:rsidP="0029256D">
      <w:pPr>
        <w:rPr>
          <w:b/>
          <w:bCs/>
        </w:rPr>
      </w:pPr>
      <w:r w:rsidRPr="0029256D">
        <w:rPr>
          <w:b/>
          <w:bCs/>
        </w:rPr>
        <w:t>8.1 Public Policy and Managerial Recommendations</w:t>
      </w:r>
    </w:p>
    <w:p w14:paraId="6841751A" w14:textId="77777777" w:rsidR="0029256D" w:rsidRPr="0029256D" w:rsidRDefault="0029256D" w:rsidP="0029256D">
      <w:pPr>
        <w:numPr>
          <w:ilvl w:val="0"/>
          <w:numId w:val="16"/>
        </w:numPr>
      </w:pPr>
      <w:r w:rsidRPr="0029256D">
        <w:rPr>
          <w:b/>
          <w:bCs/>
        </w:rPr>
        <w:t>Tax Reform</w:t>
      </w:r>
      <w:r w:rsidRPr="0029256D">
        <w:t>: Equalize capital gains tax treatments between listed equities and unlisted startup shares to eliminate tax penalties on early-stage VC risk-taking.</w:t>
      </w:r>
    </w:p>
    <w:p w14:paraId="323643A8" w14:textId="77777777" w:rsidR="0029256D" w:rsidRPr="0029256D" w:rsidRDefault="0029256D" w:rsidP="0029256D">
      <w:pPr>
        <w:numPr>
          <w:ilvl w:val="0"/>
          <w:numId w:val="16"/>
        </w:numPr>
      </w:pPr>
      <w:r w:rsidRPr="0029256D">
        <w:rPr>
          <w:b/>
          <w:bCs/>
        </w:rPr>
        <w:t>Capital Allocation</w:t>
      </w:r>
      <w:r w:rsidRPr="0029256D">
        <w:t>: Establish government "fund-of-funds" (modeled on Israel's </w:t>
      </w:r>
      <w:proofErr w:type="spellStart"/>
      <w:r w:rsidRPr="0029256D">
        <w:rPr>
          <w:i/>
          <w:iCs/>
        </w:rPr>
        <w:t>Yozma</w:t>
      </w:r>
      <w:proofErr w:type="spellEnd"/>
      <w:r w:rsidRPr="0029256D">
        <w:t>) to provide leverage to domain experts possessing deal-screening skills but lacking capital.</w:t>
      </w:r>
    </w:p>
    <w:p w14:paraId="66CE5C5F" w14:textId="77777777" w:rsidR="0029256D" w:rsidRPr="0029256D" w:rsidRDefault="0029256D" w:rsidP="0029256D">
      <w:pPr>
        <w:numPr>
          <w:ilvl w:val="0"/>
          <w:numId w:val="16"/>
        </w:numPr>
      </w:pPr>
      <w:r w:rsidRPr="0029256D">
        <w:rPr>
          <w:b/>
          <w:bCs/>
        </w:rPr>
        <w:t>Ecosystem Building</w:t>
      </w:r>
      <w:r w:rsidRPr="0029256D">
        <w:t>: Build multi-stakeholder science parks (modeled on China's </w:t>
      </w:r>
      <w:r w:rsidRPr="0029256D">
        <w:rPr>
          <w:i/>
          <w:iCs/>
        </w:rPr>
        <w:t>Zhongguancun</w:t>
      </w:r>
      <w:r w:rsidRPr="0029256D">
        <w:t>) co-locating universities, incubators, MNCs, and VCs rather than isolated infrastructure.</w:t>
      </w:r>
    </w:p>
    <w:p w14:paraId="15BA8846" w14:textId="77777777" w:rsidR="0029256D" w:rsidRPr="0029256D" w:rsidRDefault="0029256D" w:rsidP="0029256D">
      <w:pPr>
        <w:numPr>
          <w:ilvl w:val="0"/>
          <w:numId w:val="16"/>
        </w:numPr>
      </w:pPr>
      <w:r w:rsidRPr="0029256D">
        <w:rPr>
          <w:b/>
          <w:bCs/>
        </w:rPr>
        <w:t>VC Management</w:t>
      </w:r>
      <w:r w:rsidRPr="0029256D">
        <w:t>: DVCs must recruit talent with inter-firm networks to facilitate syndication; FVCs must integrate deep sector specialists or former founders.</w:t>
      </w:r>
    </w:p>
    <w:p w14:paraId="300A9E27" w14:textId="77777777" w:rsidR="0029256D" w:rsidRPr="0029256D" w:rsidRDefault="0029256D" w:rsidP="0029256D">
      <w:pPr>
        <w:numPr>
          <w:ilvl w:val="0"/>
          <w:numId w:val="16"/>
        </w:numPr>
      </w:pPr>
      <w:r w:rsidRPr="0029256D">
        <w:rPr>
          <w:b/>
          <w:bCs/>
        </w:rPr>
        <w:t>Takeaway:</w:t>
      </w:r>
      <w:r w:rsidRPr="0029256D">
        <w:t> Sustaining high-tech entrepreneurship requires targeting tax parity for unlisted equity, backing domain-expert investors, and developing integrated innovation parks.</w:t>
      </w:r>
    </w:p>
    <w:p w14:paraId="226204E7" w14:textId="77777777" w:rsidR="0029256D" w:rsidRPr="0029256D" w:rsidRDefault="0029256D" w:rsidP="0029256D">
      <w:pPr>
        <w:rPr>
          <w:b/>
          <w:bCs/>
        </w:rPr>
      </w:pPr>
      <w:r w:rsidRPr="0029256D">
        <w:rPr>
          <w:b/>
          <w:bCs/>
        </w:rPr>
        <w:t>8.2 Summary and Study Limitations</w:t>
      </w:r>
    </w:p>
    <w:p w14:paraId="2562D761" w14:textId="77777777" w:rsidR="0029256D" w:rsidRPr="0029256D" w:rsidRDefault="0029256D" w:rsidP="0029256D">
      <w:pPr>
        <w:numPr>
          <w:ilvl w:val="0"/>
          <w:numId w:val="17"/>
        </w:numPr>
      </w:pPr>
      <w:r w:rsidRPr="0029256D">
        <w:t>Core Synthesis: High-tech risk mitigation is non-uniform; DVCs leverage syndication and local founder networks, whereas FVCs bifurcate into niche technical specialists or hub-based growth investors.</w:t>
      </w:r>
    </w:p>
    <w:p w14:paraId="5BED6653" w14:textId="77777777" w:rsidR="0029256D" w:rsidRPr="0029256D" w:rsidRDefault="0029256D" w:rsidP="0029256D">
      <w:pPr>
        <w:numPr>
          <w:ilvl w:val="0"/>
          <w:numId w:val="17"/>
        </w:numPr>
      </w:pPr>
      <w:r w:rsidRPr="0029256D">
        <w:t>Limitation 1: Unit of analysis is restricted to the VC firm level, preventing deal-level dynamic tracking.</w:t>
      </w:r>
    </w:p>
    <w:p w14:paraId="3D7B5FEF" w14:textId="77777777" w:rsidR="0029256D" w:rsidRPr="0029256D" w:rsidRDefault="0029256D" w:rsidP="0029256D">
      <w:pPr>
        <w:numPr>
          <w:ilvl w:val="0"/>
          <w:numId w:val="17"/>
        </w:numPr>
      </w:pPr>
      <w:r w:rsidRPr="0029256D">
        <w:t>Limitation 2: Cross-sectional dataset (2005–2013) limits longitudinal evaluation of strategy evolution across macroeconomic cycles.</w:t>
      </w:r>
    </w:p>
    <w:p w14:paraId="411C2F3D" w14:textId="77777777" w:rsidR="0029256D" w:rsidRPr="0029256D" w:rsidRDefault="0029256D" w:rsidP="0029256D">
      <w:pPr>
        <w:numPr>
          <w:ilvl w:val="0"/>
          <w:numId w:val="17"/>
        </w:numPr>
      </w:pPr>
      <w:r w:rsidRPr="0029256D">
        <w:rPr>
          <w:b/>
          <w:bCs/>
        </w:rPr>
        <w:t>Takeaway:</w:t>
      </w:r>
      <w:r w:rsidRPr="0029256D">
        <w:t> The study proves that VC risk management is highly heterogeneous, establishing clear foundations for future deal-level and longitudinal research in emerging markets.</w:t>
      </w:r>
    </w:p>
    <w:p w14:paraId="493F341A" w14:textId="2ADCD3F3" w:rsidR="007F75B1" w:rsidRDefault="0029256D">
      <w:r w:rsidRPr="0029256D">
        <w:rPr>
          <w:b/>
          <w:bCs/>
        </w:rPr>
        <w:t>Takeaway:</w:t>
      </w:r>
      <w:r w:rsidRPr="0029256D">
        <w:t> Policymakers and fund managers must adopt tailored ecosystem and human capital strategies, while future research should expand to deal-level longitudinal analyses.</w:t>
      </w:r>
    </w:p>
    <w:sectPr w:rsidR="007F75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BB38D7"/>
    <w:multiLevelType w:val="multilevel"/>
    <w:tmpl w:val="A628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80D5B"/>
    <w:multiLevelType w:val="multilevel"/>
    <w:tmpl w:val="0F06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C50EA"/>
    <w:multiLevelType w:val="multilevel"/>
    <w:tmpl w:val="B940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A04E2"/>
    <w:multiLevelType w:val="multilevel"/>
    <w:tmpl w:val="FA7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24766"/>
    <w:multiLevelType w:val="multilevel"/>
    <w:tmpl w:val="89D4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D31D4"/>
    <w:multiLevelType w:val="multilevel"/>
    <w:tmpl w:val="8AD0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14F4E"/>
    <w:multiLevelType w:val="multilevel"/>
    <w:tmpl w:val="5190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4610F"/>
    <w:multiLevelType w:val="multilevel"/>
    <w:tmpl w:val="839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25063"/>
    <w:multiLevelType w:val="multilevel"/>
    <w:tmpl w:val="4620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D2B2C"/>
    <w:multiLevelType w:val="multilevel"/>
    <w:tmpl w:val="C4E0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F5C97"/>
    <w:multiLevelType w:val="multilevel"/>
    <w:tmpl w:val="C23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971BE2"/>
    <w:multiLevelType w:val="multilevel"/>
    <w:tmpl w:val="C3F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F046A"/>
    <w:multiLevelType w:val="multilevel"/>
    <w:tmpl w:val="21C2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21C9B"/>
    <w:multiLevelType w:val="multilevel"/>
    <w:tmpl w:val="4F9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D7060A"/>
    <w:multiLevelType w:val="multilevel"/>
    <w:tmpl w:val="A74A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C0345"/>
    <w:multiLevelType w:val="multilevel"/>
    <w:tmpl w:val="3394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1C2B62"/>
    <w:multiLevelType w:val="multilevel"/>
    <w:tmpl w:val="F744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109154">
    <w:abstractNumId w:val="1"/>
  </w:num>
  <w:num w:numId="2" w16cid:durableId="1728339844">
    <w:abstractNumId w:val="2"/>
  </w:num>
  <w:num w:numId="3" w16cid:durableId="195822303">
    <w:abstractNumId w:val="0"/>
  </w:num>
  <w:num w:numId="4" w16cid:durableId="701899295">
    <w:abstractNumId w:val="11"/>
  </w:num>
  <w:num w:numId="5" w16cid:durableId="1875649924">
    <w:abstractNumId w:val="10"/>
  </w:num>
  <w:num w:numId="6" w16cid:durableId="352539710">
    <w:abstractNumId w:val="14"/>
  </w:num>
  <w:num w:numId="7" w16cid:durableId="595526495">
    <w:abstractNumId w:val="6"/>
  </w:num>
  <w:num w:numId="8" w16cid:durableId="1965846416">
    <w:abstractNumId w:val="15"/>
  </w:num>
  <w:num w:numId="9" w16cid:durableId="1230384178">
    <w:abstractNumId w:val="8"/>
  </w:num>
  <w:num w:numId="10" w16cid:durableId="1507751392">
    <w:abstractNumId w:val="9"/>
  </w:num>
  <w:num w:numId="11" w16cid:durableId="1095520302">
    <w:abstractNumId w:val="13"/>
  </w:num>
  <w:num w:numId="12" w16cid:durableId="812874673">
    <w:abstractNumId w:val="7"/>
  </w:num>
  <w:num w:numId="13" w16cid:durableId="201947473">
    <w:abstractNumId w:val="3"/>
  </w:num>
  <w:num w:numId="14" w16cid:durableId="663775627">
    <w:abstractNumId w:val="16"/>
  </w:num>
  <w:num w:numId="15" w16cid:durableId="1829324231">
    <w:abstractNumId w:val="12"/>
  </w:num>
  <w:num w:numId="16" w16cid:durableId="1921792437">
    <w:abstractNumId w:val="5"/>
  </w:num>
  <w:num w:numId="17" w16cid:durableId="74010311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B1"/>
    <w:rsid w:val="0029256D"/>
    <w:rsid w:val="007F75B1"/>
    <w:rsid w:val="00D2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D66C5C"/>
  <w15:chartTrackingRefBased/>
  <w15:docId w15:val="{42C4044F-8B73-AF4B-8FF1-A0CE9DED0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5B1"/>
    <w:rPr>
      <w:rFonts w:eastAsiaTheme="majorEastAsia" w:cstheme="majorBidi"/>
      <w:color w:val="272727" w:themeColor="text1" w:themeTint="D8"/>
    </w:rPr>
  </w:style>
  <w:style w:type="paragraph" w:styleId="Title">
    <w:name w:val="Title"/>
    <w:basedOn w:val="Normal"/>
    <w:next w:val="Normal"/>
    <w:link w:val="TitleChar"/>
    <w:uiPriority w:val="10"/>
    <w:qFormat/>
    <w:rsid w:val="007F7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5B1"/>
    <w:pPr>
      <w:spacing w:before="160"/>
      <w:jc w:val="center"/>
    </w:pPr>
    <w:rPr>
      <w:i/>
      <w:iCs/>
      <w:color w:val="404040" w:themeColor="text1" w:themeTint="BF"/>
    </w:rPr>
  </w:style>
  <w:style w:type="character" w:customStyle="1" w:styleId="QuoteChar">
    <w:name w:val="Quote Char"/>
    <w:basedOn w:val="DefaultParagraphFont"/>
    <w:link w:val="Quote"/>
    <w:uiPriority w:val="29"/>
    <w:rsid w:val="007F75B1"/>
    <w:rPr>
      <w:i/>
      <w:iCs/>
      <w:color w:val="404040" w:themeColor="text1" w:themeTint="BF"/>
    </w:rPr>
  </w:style>
  <w:style w:type="paragraph" w:styleId="ListParagraph">
    <w:name w:val="List Paragraph"/>
    <w:basedOn w:val="Normal"/>
    <w:uiPriority w:val="34"/>
    <w:qFormat/>
    <w:rsid w:val="007F75B1"/>
    <w:pPr>
      <w:ind w:left="720"/>
      <w:contextualSpacing/>
    </w:pPr>
  </w:style>
  <w:style w:type="character" w:styleId="IntenseEmphasis">
    <w:name w:val="Intense Emphasis"/>
    <w:basedOn w:val="DefaultParagraphFont"/>
    <w:uiPriority w:val="21"/>
    <w:qFormat/>
    <w:rsid w:val="007F75B1"/>
    <w:rPr>
      <w:i/>
      <w:iCs/>
      <w:color w:val="0F4761" w:themeColor="accent1" w:themeShade="BF"/>
    </w:rPr>
  </w:style>
  <w:style w:type="paragraph" w:styleId="IntenseQuote">
    <w:name w:val="Intense Quote"/>
    <w:basedOn w:val="Normal"/>
    <w:next w:val="Normal"/>
    <w:link w:val="IntenseQuoteChar"/>
    <w:uiPriority w:val="30"/>
    <w:qFormat/>
    <w:rsid w:val="007F7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5B1"/>
    <w:rPr>
      <w:i/>
      <w:iCs/>
      <w:color w:val="0F4761" w:themeColor="accent1" w:themeShade="BF"/>
    </w:rPr>
  </w:style>
  <w:style w:type="character" w:styleId="IntenseReference">
    <w:name w:val="Intense Reference"/>
    <w:basedOn w:val="DefaultParagraphFont"/>
    <w:uiPriority w:val="32"/>
    <w:qFormat/>
    <w:rsid w:val="007F75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2665</Words>
  <Characters>15193</Characters>
  <Application>Microsoft Office Word</Application>
  <DocSecurity>0</DocSecurity>
  <Lines>126</Lines>
  <Paragraphs>35</Paragraphs>
  <ScaleCrop>false</ScaleCrop>
  <Company/>
  <LinksUpToDate>false</LinksUpToDate>
  <CharactersWithSpaces>17823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2026-10-01T08:25:00Z</dcterms:created>
  <dcterms:modified xsi:type="dcterms:W3CDTF">2026-10-01T08:30:00Z</dcterms:modified>
</cp:coreProperties>
</file>