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sz w:val="36"/>
          <w:szCs w:val="36"/>
          <w:highlight w:val="yellow"/>
          <w:highlightCs w:val="yellow"/>
        </w:rPr>
        <w:t xml:space="preserve">[Candidate working title, not final:]</w:t>
      </w:r>
      <w:r>
        <w:rPr>
          <w:rFonts w:ascii="Times New Roman" w:cs="Times New Roman" w:eastAsia="Times New Roman" w:hAnsi="Times New Roman"/>
          <w:b/>
          <w:bCs/>
          <w:sz w:val="36"/>
          <w:szCs w:val="36"/>
        </w:rPr>
        <w:t xml:space="preserve"> Distance and Cross-Border Venture Capital in Europe: Which Distances Matter for Follow-On Funding, and for Whom?</w:t>
      </w:r>
    </w:p>
    <w:p>
      <w:pPr>
        <w:spacing w:after="1200"/>
        <w:jc w:val="center"/>
      </w:pPr>
      <w:r>
        <w:rPr>
          <w:rFonts w:ascii="Times New Roman" w:cs="Times New Roman" w:eastAsia="Times New Roman" w:hAnsi="Times New Roman"/>
          <w:sz w:val="30"/>
          <w:szCs w:val="30"/>
        </w:rPr>
        <w:t xml:space="preserve">Thesis Proposal</w:t>
      </w:r>
    </w:p>
    <w:p>
      <w:pPr>
        <w:spacing w:after="120"/>
        <w:jc w:val="center"/>
      </w:pPr>
      <w:r>
        <w:rPr>
          <w:rFonts w:ascii="Times New Roman" w:cs="Times New Roman" w:eastAsia="Times New Roman" w:hAnsi="Times New Roman"/>
          <w:sz w:val="24"/>
          <w:szCs w:val="24"/>
        </w:rPr>
        <w:t xml:space="preserve">Date: 11th of October 2026</w:t>
      </w:r>
    </w:p>
    <w:p>
      <w:pPr>
        <w:spacing w:after="120"/>
        <w:jc w:val="center"/>
      </w:pPr>
      <w:r>
        <w:rPr>
          <w:rFonts w:ascii="Times New Roman" w:cs="Times New Roman" w:eastAsia="Times New Roman" w:hAnsi="Times New Roman"/>
          <w:sz w:val="24"/>
          <w:szCs w:val="24"/>
        </w:rPr>
        <w:t xml:space="preserve">Thesis Supervisor: </w:t>
      </w:r>
      <w:r>
        <w:rPr>
          <w:rFonts w:ascii="Times New Roman" w:cs="Times New Roman" w:eastAsia="Times New Roman" w:hAnsi="Times New Roman"/>
          <w:sz w:val="24"/>
          <w:szCs w:val="24"/>
          <w:highlight w:val="yellow"/>
          <w:highlightCs w:val="yellow"/>
        </w:rPr>
        <w:t xml:space="preserve">[name to fill in]</w:t>
      </w:r>
    </w:p>
    <w:p>
      <w:pPr>
        <w:spacing w:after="120"/>
        <w:jc w:val="center"/>
      </w:pPr>
      <w:r>
        <w:rPr>
          <w:rFonts w:ascii="Times New Roman" w:cs="Times New Roman" w:eastAsia="Times New Roman" w:hAnsi="Times New Roman"/>
          <w:sz w:val="24"/>
          <w:szCs w:val="24"/>
        </w:rPr>
        <w:t xml:space="preserve">Written by: Mark Sarman (</w:t>
      </w:r>
      <w:r>
        <w:rPr>
          <w:rFonts w:ascii="Times New Roman" w:cs="Times New Roman" w:eastAsia="Times New Roman" w:hAnsi="Times New Roman"/>
          <w:sz w:val="24"/>
          <w:szCs w:val="24"/>
          <w:highlight w:val="yellow"/>
          <w:highlightCs w:val="yellow"/>
        </w:rPr>
        <w:t xml:space="preserve">[student number to fill in]</w:t>
      </w:r>
      <w:r>
        <w:rPr>
          <w:rFonts w:ascii="Times New Roman" w:cs="Times New Roman" w:eastAsia="Times New Roman" w:hAnsi="Times New Roman"/>
          <w:sz w:val="24"/>
          <w:szCs w:val="24"/>
        </w:rPr>
        <w:t xml:space="preserve">)</w:t>
      </w:r>
    </w:p>
    <w:p>
      <w:r>
        <w:br w:type="page"/>
      </w:r>
    </w:p>
    <w:p>
      <w:pPr>
        <w:pStyle w:val="Heading1"/>
      </w:pPr>
      <w:r>
        <w:rPr>
          <w:rFonts w:ascii="Times New Roman" w:cs="Times New Roman" w:eastAsia="Times New Roman" w:hAnsi="Times New Roman"/>
        </w:rPr>
        <w:t xml:space="preserve">Draft status and conventions (remove before submission)</w:t>
      </w:r>
    </w:p>
    <w:p>
      <w:pPr>
        <w:spacing w:after="140" w:line="300"/>
      </w:pPr>
      <w:r>
        <w:rPr>
          <w:rFonts w:ascii="Times New Roman" w:cs="Times New Roman" w:eastAsia="Times New Roman" w:hAnsi="Times New Roman"/>
        </w:rPr>
        <w:t xml:space="preserve">This document is the single working file for the thesis proposal. Every paper that is read is processed into it in three places: the proposal text (sections 1 to 7), the decision log (Appendix A), and the evidence log (Appendix B). Nothing is decided by the draft itself; the decisions are taken by the author after the literature has been reviewed.</w:t>
      </w:r>
    </w:p>
    <w:p>
      <w:pPr>
        <w:pStyle w:val="ListParagraph"/>
        <w:numPr>
          <w:ilvl w:val="0"/>
          <w:numId w:val="2"/>
        </w:numPr>
        <w:spacing w:after="60" w:line="280"/>
      </w:pPr>
      <w:r>
        <w:rPr>
          <w:rFonts w:ascii="Times New Roman" w:cs="Times New Roman" w:eastAsia="Times New Roman" w:hAnsi="Times New Roman"/>
        </w:rPr>
        <w:t xml:space="preserve">Yellow text in square brackets marks a placeholder or an open choice.</w:t>
      </w:r>
    </w:p>
    <w:p>
      <w:pPr>
        <w:pStyle w:val="ListParagraph"/>
        <w:numPr>
          <w:ilvl w:val="0"/>
          <w:numId w:val="2"/>
        </w:numPr>
        <w:spacing w:after="60" w:line="280"/>
      </w:pPr>
      <w:r>
        <w:rPr>
          <w:rFonts w:ascii="Times New Roman" w:cs="Times New Roman" w:eastAsia="Times New Roman" w:hAnsi="Times New Roman"/>
        </w:rPr>
        <w:t xml:space="preserve">References such as </w:t>
      </w:r>
      <w:r>
        <w:rPr>
          <w:rFonts w:ascii="Times New Roman" w:cs="Times New Roman" w:eastAsia="Times New Roman" w:hAnsi="Times New Roman"/>
          <w:highlight w:val="yellow"/>
          <w:highlightCs w:val="yellow"/>
        </w:rPr>
        <w:t xml:space="preserve">[D4]</w:t>
      </w:r>
      <w:r>
        <w:rPr>
          <w:rFonts w:ascii="Times New Roman" w:cs="Times New Roman" w:eastAsia="Times New Roman" w:hAnsi="Times New Roman"/>
        </w:rPr>
        <w:t xml:space="preserve"> point to an entry in the decision log (Appendix A), which lists the options, the basis in the papers, the working choice, and the status.</w:t>
      </w:r>
    </w:p>
    <w:p>
      <w:pPr>
        <w:pStyle w:val="ListParagraph"/>
        <w:numPr>
          <w:ilvl w:val="0"/>
          <w:numId w:val="2"/>
        </w:numPr>
        <w:spacing w:after="60" w:line="280"/>
      </w:pPr>
      <w:r>
        <w:rPr>
          <w:rFonts w:ascii="Times New Roman" w:cs="Times New Roman" w:eastAsia="Times New Roman" w:hAnsi="Times New Roman"/>
        </w:rPr>
        <w:t xml:space="preserve">Elements set by the supervisor (scope Europe, first institutional round, foreign lead investor, follow-on funding as main outcome, logit models) are written as fixed. Other choices carry the status of Appendix A: confirmed, preliminary, or open.</w:t>
      </w:r>
    </w:p>
    <w:p>
      <w:pPr>
        <w:pStyle w:val="ListParagraph"/>
        <w:numPr>
          <w:ilvl w:val="0"/>
          <w:numId w:val="2"/>
        </w:numPr>
        <w:spacing w:after="60" w:line="280"/>
      </w:pPr>
      <w:r>
        <w:rPr>
          <w:rFonts w:ascii="Times New Roman" w:cs="Times New Roman" w:eastAsia="Times New Roman" w:hAnsi="Times New Roman"/>
        </w:rPr>
        <w:t xml:space="preserve">Opposing evidence is collected in the register in Appendix B and used in a few well-defined places of the text (section 2.7), not repeated in every paragraph.</w:t>
      </w:r>
    </w:p>
    <w:p>
      <w:pPr>
        <w:pStyle w:val="ListParagraph"/>
        <w:numPr>
          <w:ilvl w:val="0"/>
          <w:numId w:val="2"/>
        </w:numPr>
        <w:spacing w:after="60" w:line="280"/>
      </w:pPr>
      <w:r>
        <w:rPr>
          <w:rFonts w:ascii="Times New Roman" w:cs="Times New Roman" w:eastAsia="Times New Roman" w:hAnsi="Times New Roman"/>
        </w:rPr>
        <w:t xml:space="preserve">Page numbers refer to the printed page numbers of the cited paper.</w:t>
      </w:r>
    </w:p>
    <w:p>
      <w:pPr>
        <w:spacing w:after="140" w:line="300"/>
      </w:pPr>
      <w:r>
        <w:rPr>
          <w:rFonts w:ascii="Times New Roman" w:cs="Times New Roman" w:eastAsia="Times New Roman" w:hAnsi="Times New Roman"/>
        </w:rPr>
        <w:t xml:space="preserve">Version v2.3 (7 October 2026): papers 11 (Tihanyi et al., 2005), 12 (Tykvová &amp; Schertler, 2014), and 13 (Liu &amp; Maula, 2021) added to the text and Appendix B; v2 was tightened and combined after the decision review of 7 October (rounds 1 to 5, 26 decisions). Sections 1 to 3 are rewritten by theme and carry the working choices of Appendix A; the moderators (D6) are open, so the moderator hypotheses in section 2.8 are placeholders and all hypotheses are drafts. Appendix A is shortened to one row per decision with its status; Appendix B keeps the evidence log (papers, design comparison, contingencies, register of ten tensions). Papers processed: 13 (Li, Vertinsky, &amp; Li, 2014; Bertoni &amp; Groh, 2014; Moore, Payne, Bell, &amp; Davis, 2015; Bottazzi, Da Rin, &amp; Hellmann, 2016; Alhorr, Moore, &amp; Payne, 2008; Devigne, Manigart, Vanacker, &amp; Mulier, 2018; Boryniec, Li, &amp; Tan, 2025; Hutzschenreuter, Kleindienst, &amp; Lange, 2016; Beugelsdijk, Kostova, Kunst, Spadafora, &amp; van Essen, 2018; Zhou, Kwon, Zhang, Li, Kim, &amp; Heo, 2021; Tihanyi, Griffith, &amp; Russell, 2005, a meta-analysis of cultural distance in MNE studies; Tykvová &amp; Schertler, 2014, a deal-level study of local VC syndication and distance; Liu &amp; Maula, 2021, a study of host-country network status and regulatory institutions in cross-border VC exits). Version v1.5 is kept as a backup. Open placeholders: supervisor name, student number, Li et al. issue number, Alhorr DOI check, issue numbers of Tihanyi et al., Tykvová and Schertler, and Liu and Maula, final moderators and hypotheses.</w:t>
      </w:r>
    </w:p>
    <w:p>
      <w:r>
        <w:br w:type="page"/>
      </w:r>
    </w:p>
    <w:p>
      <w:pPr>
        <w:pStyle w:val="Heading1"/>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Problem Definition</w:t>
      </w:r>
    </w:p>
    <w:p>
      <w:pPr>
        <w:spacing w:after="140" w:line="300"/>
      </w:pPr>
      <w:r>
        <w:rPr>
          <w:rFonts w:ascii="Times New Roman" w:cs="Times New Roman" w:eastAsia="Times New Roman" w:hAnsi="Times New Roman"/>
        </w:rPr>
        <w:t xml:space="preserve">Venture capital firms increasingly invest in startups outside their home country (Li et al., 2014, p. 472). Cross-border investment gives access to growth opportunities in foreign markets, but it also exposes the investor to the liability of foreignness, which arises from geographic, cultural, and institutional distance between the home and the host country (Li et al., 2014, p. 472). Research on how such distance affects the performance of cross-border venture capital investments relies mostly on global samples or on regions outside Europe, such as Asia (Dai et al., 2012, as cited in Li et al., 2014, pp. 472-473). Evidence from Europe concerns mainly the mode of exit: in seven European countries, deals with a cross-border investor show different exit patterns than local deals (Bertoni &amp; Groh, 2014, pp. 87-89), but that study contains no measure of the distance between the investor's and the startup's country (Bertoni &amp; Groh, 2014, pp. 88-91).</w:t>
      </w:r>
    </w:p>
    <w:p>
      <w:pPr>
        <w:spacing w:after="140" w:line="300"/>
      </w:pPr>
      <w:r>
        <w:rPr>
          <w:rFonts w:ascii="Times New Roman" w:cs="Times New Roman" w:eastAsia="Times New Roman" w:hAnsi="Times New Roman"/>
          <w:highlight w:val="yellow"/>
          <w:highlightCs w:val="yellow"/>
        </w:rPr>
        <w:t xml:space="preserve">[Argument for Europe, to be written once the moderators are chosen: why borders within Europe are a different kind of border than those in US-China or US-India samples, and what remains unknown. The claim that no test exists within Europe is limited to the papers read, see D15 and register item R2.]</w:t>
      </w:r>
    </w:p>
    <w:p>
      <w:pPr>
        <w:pStyle w:val="Heading2"/>
      </w:pPr>
      <w:r>
        <w:rPr>
          <w:rFonts w:ascii="Times New Roman" w:cs="Times New Roman" w:eastAsia="Times New Roman" w:hAnsi="Times New Roman"/>
        </w:rPr>
        <w:t xml:space="preserve">1.2. Research Objective and Research Question</w:t>
      </w:r>
    </w:p>
    <w:p>
      <w:pPr>
        <w:spacing w:after="140" w:line="300"/>
      </w:pPr>
      <w:r>
        <w:rPr>
          <w:rFonts w:ascii="Times New Roman" w:cs="Times New Roman" w:eastAsia="Times New Roman" w:hAnsi="Times New Roman"/>
        </w:rPr>
        <w:t xml:space="preserve">The objective is to test whether distance between the investor's and the startup's country reduces the performance of cross-border venture capital investments within Europe, and which conditions weaken or strengthen this effect. Performance is measured as follow-on funding after the startup's first institutional round, which is led by a foreign investor.</w:t>
      </w:r>
    </w:p>
    <w:p>
      <w:pPr>
        <w:spacing w:after="140" w:line="300"/>
      </w:pPr>
      <w:r>
        <w:rPr>
          <w:rFonts w:ascii="Times New Roman" w:cs="Times New Roman" w:eastAsia="Times New Roman" w:hAnsi="Times New Roman"/>
          <w:highlight w:val="yellow"/>
          <w:highlightCs w:val="yellow"/>
        </w:rPr>
        <w:t xml:space="preserve">[Candidate research question, not final: To what extent do institutional and cultural distance between European countries reduce the likelihood that a startup whose first institutional round is led by a foreign venture capital investor raises a follow-on round, and which conditions that are specific to the European context moderate this relationship? The moderators are open, see D6.]</w:t>
      </w:r>
    </w:p>
    <w:p>
      <w:pPr>
        <w:pStyle w:val="Heading2"/>
      </w:pPr>
      <w:r>
        <w:rPr>
          <w:rFonts w:ascii="Times New Roman" w:cs="Times New Roman" w:eastAsia="Times New Roman" w:hAnsi="Times New Roman"/>
        </w:rPr>
        <w:t xml:space="preserve">1.3. Structure of the Proposal</w:t>
      </w:r>
    </w:p>
    <w:p>
      <w:pPr>
        <w:spacing w:after="140" w:line="300"/>
      </w:pPr>
      <w:r>
        <w:rPr>
          <w:rFonts w:ascii="Times New Roman" w:cs="Times New Roman" w:eastAsia="Times New Roman" w:hAnsi="Times New Roman"/>
        </w:rPr>
        <w:t xml:space="preserve">Section 2 reviews the literature on cross-border venture capital, on the dimensions of national distance, on investor experience, on candidate moderators, and on outcomes, and ends with the gap, the opposing evidence, and draft hypotheses. Section 3 describes the sample, the variables, the estimation strategy, the treatment of selection, and the robustness checks. Sections 4 to 7 cover relevance, limitations, the structure of the final paper, and the schedule. Appendix A holds the decision log and Appendix B the evidence log.</w:t>
      </w:r>
    </w:p>
    <w:p>
      <w:pPr>
        <w:pStyle w:val="Heading1"/>
      </w:pPr>
      <w:r>
        <w:rPr>
          <w:rFonts w:ascii="Times New Roman" w:cs="Times New Roman" w:eastAsia="Times New Roman" w:hAnsi="Times New Roman"/>
        </w:rPr>
        <w:t xml:space="preserve">2. Literature Review</w:t>
      </w:r>
    </w:p>
    <w:p>
      <w:pPr>
        <w:spacing w:after="140" w:line="300"/>
      </w:pPr>
      <w:r>
        <w:rPr>
          <w:rFonts w:ascii="Times New Roman" w:cs="Times New Roman" w:eastAsia="Times New Roman" w:hAnsi="Times New Roman"/>
        </w:rPr>
        <w:t xml:space="preserve">The review is organized by theme and not by paper. Choices that follow from the literature are stated at the end of each theme, with the identifier of the entry in the decision log (Appendix A). A choice marked provisional is confirmed after the next check; a choice marked open is not made yet.</w:t>
      </w:r>
    </w:p>
    <w:p>
      <w:pPr>
        <w:pStyle w:val="Heading2"/>
      </w:pPr>
      <w:r>
        <w:rPr>
          <w:rFonts w:ascii="Times New Roman" w:cs="Times New Roman" w:eastAsia="Times New Roman" w:hAnsi="Times New Roman"/>
        </w:rPr>
        <w:t xml:space="preserve">2.1. Cross-Border Venture Capital and the Liability of Foreignness</w:t>
      </w:r>
    </w:p>
    <w:p>
      <w:pPr>
        <w:spacing w:after="140" w:line="300"/>
      </w:pPr>
      <w:r>
        <w:rPr>
          <w:rFonts w:ascii="Times New Roman" w:cs="Times New Roman" w:eastAsia="Times New Roman" w:hAnsi="Times New Roman"/>
        </w:rPr>
        <w:t xml:space="preserve">Venture capital investors supply scarce financial resources to entrepreneurial ventures and add value beyond the money supplied. Li et al. (2014, p. 474) group these non-financial activities into four: screening and deal selection, contracting, monitoring, and advising. The effectiveness of these activities determines, among other things, the performance of an international investment, and distance between the investor's and the venture's country lowers this effectiveness (Li et al., 2014, pp. 474-475). This argument is the mechanism that links distance to performance in the present proposal.</w:t>
      </w:r>
    </w:p>
    <w:p>
      <w:pPr>
        <w:spacing w:after="140" w:line="300"/>
      </w:pPr>
      <w:r>
        <w:rPr>
          <w:rFonts w:ascii="Times New Roman" w:cs="Times New Roman" w:eastAsia="Times New Roman" w:hAnsi="Times New Roman"/>
        </w:rPr>
        <w:t xml:space="preserve">The liability of foreignness is the theoretical anchor: the additional costs that a foreign investor bears relative to a local one, which grow with the distance between home and host country (Zaheer, 1995, as cited in Li et al., 2014, p. 472). All seven papers that state a theoretical lens use this logic or an institutional variant of it, and it also frames the two literature surveys. Devigne et al. (2018, pp. 1414-1415) describe venture capital as a traditionally local industry because of information asymmetries, so that investing abroad brings liabilities of foreignness linked to geographical, cultural, and institutional distance. They organize the field into determinants of international flows, strategies to compensate for the liabilities, and outcomes (p. 1415). Boryniec et al. (2025, pp. 109-112, 127) survey 137 articles from 1989 to 2020, describe the liability as the informational and transactional costs of being an outsider in the host country (p. 127), and order the literature along the pre-investment, investment, and post-investment phases (p. 112). Institutional theory, organizational learning, and trust support the discussion of specific distance dimensions and moderators but are not treated as separate lenses (D13, decided).</w:t>
      </w:r>
    </w:p>
    <w:p>
      <w:pPr>
        <w:spacing w:after="140" w:line="300"/>
      </w:pPr>
      <w:r>
        <w:rPr>
          <w:rFonts w:ascii="Times New Roman" w:cs="Times New Roman" w:eastAsia="Times New Roman" w:hAnsi="Times New Roman"/>
        </w:rPr>
        <w:t xml:space="preserve">Cross-border investors are not only a cost. Bertoni and Groh (2014, pp. 84-86) argue that they widen the exit options of the syndicate, because they give access to the capital market of their home country, and that the liabilities of foreignness and of distance can be reduced by syndicating with local partners (p. 84). In their sample of 1,062 investments in 462 young high-tech companies in seven European countries, the size of the M&amp;A market in the cross-border investor's country raises the likelihood of a trade-sale exit; the corresponding effect for IPO exits is weaker and not significant in the matched sample (Bertoni &amp; Groh, 2014, pp. 93-96). Exit conditions in the startup's country matter more than those in the investor's country (p. 97). For follow-on funding, the investor's home exit market is therefore a secondary control (D16, preliminary).</w:t>
      </w:r>
    </w:p>
    <w:p>
      <w:pPr>
        <w:pStyle w:val="Heading2"/>
      </w:pPr>
      <w:r>
        <w:rPr>
          <w:rFonts w:ascii="Times New Roman" w:cs="Times New Roman" w:eastAsia="Times New Roman" w:hAnsi="Times New Roman"/>
        </w:rPr>
        <w:t xml:space="preserve">2.2. Dimensions of National Distance</w:t>
      </w:r>
    </w:p>
    <w:p>
      <w:pPr>
        <w:pStyle w:val="Heading3"/>
      </w:pPr>
      <w:r>
        <w:rPr>
          <w:rFonts w:ascii="Times New Roman" w:cs="Times New Roman" w:eastAsia="Times New Roman" w:hAnsi="Times New Roman"/>
        </w:rPr>
        <w:t xml:space="preserve">Classification and measurement in the wider literature</w:t>
      </w:r>
    </w:p>
    <w:p>
      <w:pPr>
        <w:spacing w:after="140" w:line="300"/>
      </w:pPr>
      <w:r>
        <w:rPr>
          <w:rFonts w:ascii="Times New Roman" w:cs="Times New Roman" w:eastAsia="Times New Roman" w:hAnsi="Times New Roman"/>
        </w:rPr>
        <w:t xml:space="preserve">Hutzschenreuter et al. (2016, pp. 161-163) review 216 articles on distance in international business (1977 to 2014). They start from the four dimensions of Ghemawat (2001) but find that the articles do not fit them, and group the literature into six dimensions: cultural, institutional, geographic, economic, psychic, and other distance (p. 161). Zhou et al. (2021, pp. 154-170) count how distance is measured in 3,872 articles from 17 journals (1980 to 2017) and distinguish twelve types (pp. 155-157). Neither paper concerns venture capital or Europe, so both serve as a frame for measurement. Cultural distance dominates: it is the only distance variable in 57.7 percent of the studies, and Hofstede's scores underlie 68.8 percent of the cultural measures (Zhou et al., 2021, pp. 156, 159). The World Governance Indicators make up 40.7 percent of the items for institutional distance (pp. 161-162), the distance between capitals or geographic centers is the most common item for geographic distance (45.7 percent, p. 164), and the difference in GDP per capita is the most common item for economic distance (18.6 percent, p. 163). These shares count items and say nothing about the quality of a measure. Both reviews also show that the same indicator appears under different distance names, for example the World Governance Indicators under institutional, administrative, regulatory, and financial distance (Hutzschenreuter et al., 2016, pp. 162-163; Zhou et al., 2021, p. 169). Each variable in section 3.2 therefore states its indicator and its name.</w:t>
      </w:r>
    </w:p>
    <w:p>
      <w:pPr>
        <w:pStyle w:val="Heading3"/>
      </w:pPr>
      <w:r>
        <w:rPr>
          <w:rFonts w:ascii="Times New Roman" w:cs="Times New Roman" w:eastAsia="Times New Roman" w:hAnsi="Times New Roman"/>
        </w:rPr>
        <w:t xml:space="preserve">Institutional distance</w:t>
      </w:r>
    </w:p>
    <w:p>
      <w:pPr>
        <w:spacing w:after="140" w:line="300"/>
      </w:pPr>
      <w:r>
        <w:rPr>
          <w:rFonts w:ascii="Times New Roman" w:cs="Times New Roman" w:eastAsia="Times New Roman" w:hAnsi="Times New Roman"/>
        </w:rPr>
        <w:t xml:space="preserve">Li et al. (2014, pp. 475, 478, 480) measure institutional distance as the absolute difference between the composite scores of the six World Governance Indicators of the two countries, and find that it lowers the likelihood of a successful exit. Moore et al. (2015, pp. 483-484, 487-489, 492) split it into three pillars after Scott (1995), regulative, normative, and cultural-cognitive. In their data on 16 European countries from 1996 to 2005, normative and cultural-cognitive distance reduce cross-border venture capital flows, whereas regulative distance has no significant relation with flows. They link the missing regulative effect to the codified and observable nature of formal rules, which investors can handle through contracts and controls (pp. 493-494). At the deal level, Tykvová and Schertler (2014, pp. 408-409, 412-413, 415-416) use the same three pillars (regulative index of Berkowitz et al., 2003; Hofstede-based normative distance; education-based cognitive distance) and find that regulative and normative distance lower the likelihood of a foreign VC investing, while cognitive distance is insignificant in the baseline model. Hutzschenreuter et al. (2016, pp. 167-168) report cited studies in which sub-dimensions of institutional distance have opposite signs, for example a negative cognitive and a positive normative effect on market selection. Alhorr et al. (2008, pp. 898, 900, 910) do not measure distance but argue that economic integration makes the institutional systems of member countries more similar, and find that euro adoption and single market membership raise the share of a country's venture capital that goes to other EU countries.</w:t>
      </w:r>
    </w:p>
    <w:p>
      <w:pPr>
        <w:spacing w:after="140" w:line="300"/>
      </w:pPr>
      <w:r>
        <w:rPr>
          <w:rFonts w:ascii="Times New Roman" w:cs="Times New Roman" w:eastAsia="Times New Roman" w:hAnsi="Times New Roman"/>
        </w:rPr>
        <w:t xml:space="preserve">Decision D1 (provisional): the main measure is the Manhattan distance on the composite of the World Governance Indicators, because this is the most common indicator in the literature (Zhou et al., 2021, pp. 161-162) and the one used for exit success (Li et al., 2014, p. 478). Whether the three pillars or the single governance dimensions are used as well is open (D18); the fallback is the composite in the main model and the split dimensions as a robustness check.</w:t>
      </w:r>
    </w:p>
    <w:p>
      <w:pPr>
        <w:pStyle w:val="Heading3"/>
      </w:pPr>
      <w:r>
        <w:rPr>
          <w:rFonts w:ascii="Times New Roman" w:cs="Times New Roman" w:eastAsia="Times New Roman" w:hAnsi="Times New Roman"/>
        </w:rPr>
        <w:t xml:space="preserve">Cultural distance</w:t>
      </w:r>
    </w:p>
    <w:p>
      <w:pPr>
        <w:spacing w:after="140" w:line="300"/>
      </w:pPr>
      <w:r>
        <w:rPr>
          <w:rFonts w:ascii="Times New Roman" w:cs="Times New Roman" w:eastAsia="Times New Roman" w:hAnsi="Times New Roman"/>
        </w:rPr>
        <w:t xml:space="preserve">Li et al. (2014, pp. 474-475, 478, 480) measure cultural distance with the Kogut and Singh index on four Hofstede dimensions (individualism, power distance, uncertainty avoidance, masculinity) and describe three harms: communication problems, dissimilar values that lead to different approaches to selection, contracting, monitoring, and advising, and a liability of outsidership that reduces trust. Cultural distance lowers the likelihood of a successful exit. Moore et al. (2015, pp. 488, 492) use the same four dimensions for the cultural-cognitive pillar and find a negative relation with flows. Li et al. (2014, p. 486) acknowledge criticism of the Hofstede measure and suggest that single cultural traits may matter more than the composite.</w:t>
      </w:r>
    </w:p>
    <w:p>
      <w:pPr>
        <w:spacing w:after="140" w:line="300"/>
      </w:pPr>
      <w:r>
        <w:rPr>
          <w:rFonts w:ascii="Times New Roman" w:cs="Times New Roman" w:eastAsia="Times New Roman" w:hAnsi="Times New Roman"/>
        </w:rPr>
        <w:t xml:space="preserve">Beugelsdijk et al. (2018, pp. 92, 101-102) combine 156 studies from 1988 to 2015 in a meta-analysis of cultural distance and firm internationalization. The study is not about venture capital, but it shows how much the effect depends on the stage, the measure, and the sample. The mean effects are small: negative for location choice (-.02), for the choice of an acquisition over a greenfield investment (-.05), and for performance (-.03), and absent for the degree of ownership (pp. 108-112, 114). The performance effect is negative for the subsidiary (-.07) and absent for the whole firm (.02), which the authors read as costs borne at the level of the unit and benefits at the level of the network (pp. 112, 114, 120). The Kogut and Singh index gives no significant effect on location choice, whereas the Mahalanobis distance, which corrects for correlation between the dimensions, gives a negative effect (pp. 106, 108-109). Hofstede-based distance goes with a lower likelihood of wholly owned entry, whereas GLOBE and Schwartz data give positive effects (p. 109). The authors recommend running the analysis with more than one framework or combining the frameworks in a composite (pp. 121-122). An earlier meta-analysis of 66 independent samples from 55 articles (Tihanyi et al., 2005, pp. 270-271, 275) also finds no significant direct effect of cultural distance on entry mode choice, international diversification, or MNE performance (pp. 275-276, Tables 2 to 4), but subgroup effects: a strong positive relation with performance for developed host countries (r = 0.3100) and a small negative one for developing hosts (r = -0.0374), and a strong negative relation with entry mode choice for US-based MNEs (r = -0.3501) (p. 277). These results come from correlations in MNE studies and have no venture capital content.</w:t>
      </w:r>
    </w:p>
    <w:p>
      <w:pPr>
        <w:spacing w:after="140" w:line="300"/>
      </w:pPr>
      <w:r>
        <w:rPr>
          <w:rFonts w:ascii="Times New Roman" w:cs="Times New Roman" w:eastAsia="Times New Roman" w:hAnsi="Times New Roman"/>
        </w:rPr>
        <w:t xml:space="preserve">Decision D2b (provisional): the main measure is the Kogut and Singh index on four Hofstede dimensions, with a Mahalanobis version as a robustness check. Language is not treated as a distance measure but, if at all, as a moderator (D2a, waits for D6).</w:t>
      </w:r>
    </w:p>
    <w:p>
      <w:pPr>
        <w:pStyle w:val="Heading3"/>
      </w:pPr>
      <w:r>
        <w:rPr>
          <w:rFonts w:ascii="Times New Roman" w:cs="Times New Roman" w:eastAsia="Times New Roman" w:hAnsi="Times New Roman"/>
        </w:rPr>
        <w:t xml:space="preserve">Geographic distance and trust</w:t>
      </w:r>
    </w:p>
    <w:p>
      <w:pPr>
        <w:spacing w:after="140" w:line="300"/>
      </w:pPr>
      <w:r>
        <w:rPr>
          <w:rFonts w:ascii="Times New Roman" w:cs="Times New Roman" w:eastAsia="Times New Roman" w:hAnsi="Times New Roman"/>
        </w:rPr>
        <w:t xml:space="preserve">Geographic distance is expected to raise information gathering and monitoring costs (Li et al., 2014, p. 479). Li et al. (2014, pp. 479, 482, 485) include it as a control, measured as the logged distance in nautical miles between the investor's and the venture's city, and find no significant effect on exit success; they conclude that institutional and cultural distance cause more difficulty than physical distance. In the European survey data of Bottazzi et al. (2016, pp. 2294, 2301, 2304-2306), the logged distance in kilometres lowers the probability of a deal and of an IPO but is not significant for exit or failure. Hutzschenreuter et al. (2016, p. 171) note that managers perceive geographic distance most easily. Boryniec et al. (2025, p. 128) report that transport links such as airline connections can mitigate its effect. Zhou et al. (2021, pp. 164, 169) add that multinational firms often prefer the distance between headquarters and subsidiary to the distance between capitals. Decision D3 (provisional): geographic distance is a control in all models, measured between the investor's headquarters city and the startup's city, and is tested as a main variable only in a robustness check.</w:t>
      </w:r>
    </w:p>
    <w:p>
      <w:pPr>
        <w:spacing w:after="140" w:line="300"/>
      </w:pPr>
      <w:r>
        <w:rPr>
          <w:rFonts w:ascii="Times New Roman" w:cs="Times New Roman" w:eastAsia="Times New Roman" w:hAnsi="Times New Roman"/>
        </w:rPr>
        <w:t xml:space="preserve">Bottazzi et al. (2016, pp. 2284, 2287, 2293, 2297) add a belief-based measure, generalized trust: the share of citizens in one country who trust people from another country a lot, taken from the Eurobarometer waves of 1990 to 1996. Higher trust raises the probability of a deal (p. 2301) but goes with fewer IPOs and exits and more failures (pp. 2304-2306), which the authors attribute to the selection of weaker companies by high-trust investors (pp. 2285, 2289). The data are old and their coverage of later members, Switzerland, and Norway is not reported. Decision D20 (open): trust is not used in the main model; it is an optional robustness variable if the coverage is complete.</w:t>
      </w:r>
    </w:p>
    <w:p>
      <w:pPr>
        <w:pStyle w:val="Heading3"/>
      </w:pPr>
      <w:r>
        <w:rPr>
          <w:rFonts w:ascii="Times New Roman" w:cs="Times New Roman" w:eastAsia="Times New Roman" w:hAnsi="Times New Roman"/>
        </w:rPr>
        <w:t xml:space="preserve">Reference point, level of analysis, and level effects</w:t>
      </w:r>
    </w:p>
    <w:p>
      <w:pPr>
        <w:spacing w:after="140" w:line="300"/>
      </w:pPr>
      <w:r>
        <w:rPr>
          <w:rFonts w:ascii="Times New Roman" w:cs="Times New Roman" w:eastAsia="Times New Roman" w:hAnsi="Times New Roman"/>
        </w:rPr>
        <w:t xml:space="preserve">In almost every article the reference point of distance is the home country; alternatives are all countries in which the firm is active, the home region, several headquarters, and the closest country in the firm's portfolio (Hutzschenreuter et al., 2016, p. 164). Most studies use objective differences between countries, and 32 of 160 quantitative studies use managers' perceptions (pp. 163-164). A single home-country reference ignores that the resources of firms differ and change over time (pp. 172-173), and a syndicate can involve two layers of distance when a partner sits in a third country (p. 165). Beugelsdijk et al. (2018, pp. 94, 122) add that studies with a single home or host country confound the distance effect with the level effect of that country, and recommend many home and host countries. Bottazzi et al. (2016, pp. 2299, 2303) use investor-country and company-country fixed effects. Liu and Maula (2021, pp. 5, 6) enter the institutional quality of the host country and of the home country as levels and leave out an institutional distance variable, because it would be multicollinear with the two levels. Decisions D24 and D26 (provisional): the reference point is the headquarters country of the lead investor, with objective country-level distances; perceived distance is out of scope with deal data. The sample contains many investor and startup countries, combined with country fixed effects (the fixed effects choice itself is open, D11). Economic distance enters as a control, the difference in GDP per capita (D25, provisional; see also 2.4).</w:t>
      </w:r>
    </w:p>
    <w:p>
      <w:pPr>
        <w:pStyle w:val="Heading2"/>
      </w:pPr>
      <w:r>
        <w:rPr>
          <w:rFonts w:ascii="Times New Roman" w:cs="Times New Roman" w:eastAsia="Times New Roman" w:hAnsi="Times New Roman"/>
        </w:rPr>
        <w:t xml:space="preserve">2.3. Investor Experience</w:t>
      </w:r>
    </w:p>
    <w:p>
      <w:pPr>
        <w:spacing w:after="140" w:line="300"/>
      </w:pPr>
      <w:r>
        <w:rPr>
          <w:rFonts w:ascii="Times New Roman" w:cs="Times New Roman" w:eastAsia="Times New Roman" w:hAnsi="Times New Roman"/>
        </w:rPr>
        <w:t xml:space="preserve">Li et al. (2014, pp. 475-476) draw on organizational learning to argue that cross-border experience can reduce the negative effect of distance. They separate broad international experience, the diversity of countries in which an investor has invested, from host-country experience, the depth of investment in one destination. The evidence is mixed. Broad experience weakens the effect of institutional distance on exit success, but in the Heckman estimation only at the 10 percent level; it does not weaken the effect of cultural distance, and host-country experience weakens neither (Li et al., 2014, pp. 480, 484-485). The authors explain this by the nature of the knowledge: institutional differences are explicit and enforced through sanctions, whereas cultural differences are tacit and persist, and the episodic engagement of venture capital investors in a host country gives little room for deep learning (pp. 477, 485). The direct coefficient of host-country experience is even negative and significant (pp. 476, 482, 485).</w:t>
      </w:r>
    </w:p>
    <w:p>
      <w:pPr>
        <w:spacing w:after="140" w:line="300"/>
      </w:pPr>
      <w:r>
        <w:rPr>
          <w:rFonts w:ascii="Times New Roman" w:cs="Times New Roman" w:eastAsia="Times New Roman" w:hAnsi="Times New Roman"/>
        </w:rPr>
        <w:t xml:space="preserve">Hutzschenreuter et al. (2016, pp. 169-170) call experience the key contingency variable in distance research and report that general, host-country-specific, and decision-specific experience all attenuate the effect of cultural distance in one cited study (Cho &amp; Padmanabhan, 2005); they add that the effect of distance diminishes with the duration of operations in several cited studies and that more studies on other dimensions are needed (p. 170). For venture capital, Boryniec et al. (2025, pp. 130, 133) report contradictory results: experience reduces the need to syndicate with local partners (Meuleman &amp; Wright, 2011), but prior experience can also raise confidence in native partners (Dai &amp; Nahata, 2016). Beugelsdijk et al. (2018, p. 115) do not test experience.</w:t>
      </w:r>
    </w:p>
    <w:p>
      <w:pPr>
        <w:spacing w:after="140" w:line="300"/>
      </w:pPr>
      <w:r>
        <w:rPr>
          <w:rFonts w:ascii="Times New Roman" w:cs="Times New Roman" w:eastAsia="Times New Roman" w:hAnsi="Times New Roman"/>
        </w:rPr>
        <w:t xml:space="preserve">Decisions D4 and D5: experience is a control in all models (D4, provisional); whether it is also a moderator of institutional distance (optional hypothesis) stays open until the moderators are chosen. The measure is count-based, for example the share of the investor's earlier ventures in the startup's country, because the amount is missing for about a quarter of the observations in Li et al. (2014, p. 478, note 4); the window is set after data inspection (D5, confirmed).</w:t>
      </w:r>
    </w:p>
    <w:p>
      <w:pPr>
        <w:pStyle w:val="Heading2"/>
      </w:pPr>
      <w:r>
        <w:rPr>
          <w:rFonts w:ascii="Times New Roman" w:cs="Times New Roman" w:eastAsia="Times New Roman" w:hAnsi="Times New Roman"/>
        </w:rPr>
        <w:t xml:space="preserve">2.4. Moderators Relevant to Cross-Border Investment within Europe</w:t>
      </w:r>
    </w:p>
    <w:p>
      <w:pPr>
        <w:spacing w:after="140" w:line="300"/>
      </w:pPr>
      <w:r>
        <w:rPr>
          <w:rFonts w:ascii="Times New Roman" w:cs="Times New Roman" w:eastAsia="Times New Roman" w:hAnsi="Times New Roman"/>
        </w:rPr>
        <w:t xml:space="preserve">The supervisor asked for two to three moderators that are tied to the European context. The shortlist has four candidates (D6); the final choice is open. None of the candidates is tested as a moderator of distance in the papers read. Table 1 shows what the papers say and what they flag as needing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900"/>
        <w:gridCol w:w="13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Candidate</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What the papers say</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Flagged as needing research</w:t>
            </w:r>
          </w:p>
        </w:tc>
        <w:tc>
          <w:tcPr>
            <w:tcW w:type="dxa" w:w="13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language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483-484): language distance only as a robustness measure of cultural distance (r = 0.67). Bottazzi et al. (2016, pp. 2301, 2304-2306): language overlap not significant for deal formation, negative and significant for IPO in three of four models. Tarrade (2012, as cited in Boryniec et al., 2025, p. 128): language proximity among the strongest predictors of target location choice.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Whether language weakens the cultural distance effect or is part of it: Zhou et al. (2021, p. 169) show that language is used under several distance names. Alhorr et al. (2008, p. 912) name language and culture as factors for later work.</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Shortlist (D6, D2a)</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Economic ties or EU integration</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 2301): export share raises the probability of a deal. Alhorr et al. (2008, p. 910): euro adoption (0.192) and single market membership (0.097) raise the EU share of venture capital outflows. Moore et al. (2015, pp. 487, 492): distance still lowers flows between European countries in a period of integration.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Hutzschenreuter et al. (2016, p. 170): hardly any research uses institutional, geographic, or economic distance as a moderator, and contingencies per dimension are needed. Integration has so far been studied as a main effect only.</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Shortlist (D6, D22, D25)</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Shared border</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pp. 2301, 2304): negative for deal formation once exports are included; mostly not significant for outcomes. Devigne et al. (2018, p. 1438) name a shared border with comparable institutions (France and Belgium) as a case where the decision is expected to differ from distant targets.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test is cited by Devigne et al. (2018, p. 1438). The variable overlaps with geographic distance (D3).</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Shortlist (D6)</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co-investor (syndication)</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84, 87-88): syndicating with local partners is expected to reduce the liabilities of foreignness and of distance; 88.4 percent of cross-border deals have local partners. Devigne et al. (2018, pp. 1426, 1430) and Boryniec et al. (2025, pp. 128, 133, 137): effect on exit success mixed (about 5 percent higher exit likelihood, only in emerging countries, only in developed economies, or absent).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Tykvová and Schertler (2014, pp. 415, 417) test it for the likelihood of investing in worldwide deals: a local VC weakens the geographic but not the institutional distance effect. Whether it does so for outcomes such as follow-on funding, and within Europe, is untested. Liu and Maula (2021, pp. 6, 8) include local VC participation only as a control (p = 0.15 in Model 3). Devigne et al. (2018, p. 1437) add that different data sources may explain part of the contradictions.</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Shortlist (D6)</w:t>
            </w:r>
          </w:p>
        </w:tc>
      </w:tr>
    </w:tbl>
    <w:p>
      <w:pPr>
        <w:spacing w:after="200" w:before="60"/>
      </w:pPr>
      <w:r>
        <w:rPr>
          <w:rFonts w:ascii="Times New Roman" w:cs="Times New Roman" w:eastAsia="Times New Roman" w:hAnsi="Times New Roman"/>
          <w:i/>
          <w:iCs/>
          <w:sz w:val="18"/>
          <w:szCs w:val="18"/>
        </w:rPr>
        <w:t xml:space="preserve">Table 1: Shortlisted moderators, evidence so far, and research needs flagged in the papers.</w:t>
      </w:r>
    </w:p>
    <w:p>
      <w:pPr>
        <w:spacing w:after="140" w:line="300"/>
      </w:pPr>
      <w:r>
        <w:rPr>
          <w:rFonts w:ascii="Times New Roman" w:cs="Times New Roman" w:eastAsia="Times New Roman" w:hAnsi="Times New Roman"/>
        </w:rPr>
        <w:t xml:space="preserve">Which of these fit the European setting best is a matter of interpretation of this proposal and not a finding of the papers. Three arguments support the shortlist: language, economic ties, and borders vary strongly across European country pairs; integration through the single market and the euro is specific to the region; and syndication with local partners is the norm in the one European deal-level study read (Bertoni &amp; Groh, 2014, p. 88) and covers 56.9 percent of cross-border deals in worldwide data (Tykvová &amp; Schertler, 2014, p. 411). Experience and industry specialization are held as controls (D4, D7, both provisional). Li et al. (2014, pp. 482-483) include specialization as a control with a negative coefficient on exit success and offer no mechanism.</w:t>
      </w:r>
    </w:p>
    <w:p>
      <w:pPr>
        <w:spacing w:after="140" w:line="300"/>
      </w:pPr>
      <w:r>
        <w:rPr>
          <w:rFonts w:ascii="Times New Roman" w:cs="Times New Roman" w:eastAsia="Times New Roman" w:hAnsi="Times New Roman"/>
        </w:rPr>
        <w:t xml:space="preserve">The papers name further contingencies that no study has tested: air links between countries and the centrality of an investor in the regional syndication network (Boryniec et al., 2025, pp. 128, 147-149, Table 3), rule-based versus relationship-based institutions and the investor's home-country status (Boryniec et al., 2025, p. 136), entry mode through a headquarters or a local subsidiary or hub (Devigne et al., 2018, pp. 1438-1440), human networks and investor quality (Li et al., 2014, pp. 485-486; Moore et al., 2015, pp. 493, 495), and the development level of the countries (Beugelsdijk et al., 2018, pp. 112, 114-115, 122, who find a positive effect of cultural distance on performance for developed host countries and a negative one for emerging host countries; Tihanyi et al., 2005, p. 277, report the same direction). The home country of the investor is a further candidate: entry mode effects differ by the risk propensity of the home country (Tihanyi et al., 2005, pp. 277-278, 280, note 3). Entry mode relates to the supervisor's request for a robustness check on the investing office (D23, provisional). A further contingency is the institutional context in which an investor's local network position pays off: the host-country network status of a foreign VC raises exit performance where regulatory institutions are weak and not where they are strong (Liu &amp; Maula, 2021, pp. 4, 8-9), and the authors name local offices as a topic for further research (p. 13). Appendix B.3 lists all contingencies with page numbers.</w:t>
      </w:r>
    </w:p>
    <w:p>
      <w:pPr>
        <w:pStyle w:val="Heading2"/>
      </w:pPr>
      <w:r>
        <w:rPr>
          <w:rFonts w:ascii="Times New Roman" w:cs="Times New Roman" w:eastAsia="Times New Roman" w:hAnsi="Times New Roman"/>
        </w:rPr>
        <w:t xml:space="preserve">2.5. Outcomes of Cross-Border Venture Capital Investment</w:t>
      </w:r>
    </w:p>
    <w:p>
      <w:pPr>
        <w:spacing w:after="140" w:line="300"/>
      </w:pPr>
      <w:r>
        <w:rPr>
          <w:rFonts w:ascii="Times New Roman" w:cs="Times New Roman" w:eastAsia="Times New Roman" w:hAnsi="Times New Roman"/>
        </w:rPr>
        <w:t xml:space="preserve">The papers use three kinds of outcome. Moore et al. (2015, p. 488) and Alhorr et al. (2008, p. 903) measure flows of funds between countries and do not study the performance of individual investments (Moore et al., 2015, p. 493; Alhorr et al., 2008, p. 911). Bottazzi et al. (2016, pp. 2292, 2295) study deal formation and then three outcomes for first-round investments: IPO, exit (IPO or acquisition), and failure. Li et al. (2014, pp. 477-478) define success as a dummy that equals one if the venture went public or was acquired, tracked from first funding between 1996 and 2008 until the end of 2011, which gives at least three years to observe an exit. Liu and Maula (2021, pp. 4-5, 11) code exit as a deal-level dummy for an IPO or an acquisition and add Cox, exponential, and competing-risks versions with censoring in May 2016; they restrict the sample to the first investment of each foreign VC in a venture because after it "the VC's access to making a follow-on investment is practically secured" (p. 4). Bertoni and Groh (2014, pp. 88-90) model IPO, trade sale, and liquidation as competing risks. Cross-border deals are exited more often than local deals (74.7 versus 58.8 percent), with more IPOs and more liquidations (pp. 87, 89).</w:t>
      </w:r>
    </w:p>
    <w:p>
      <w:pPr>
        <w:spacing w:after="140" w:line="300"/>
      </w:pPr>
      <w:r>
        <w:rPr>
          <w:rFonts w:ascii="Times New Roman" w:cs="Times New Roman" w:eastAsia="Times New Roman" w:hAnsi="Times New Roman"/>
        </w:rPr>
        <w:t xml:space="preserve">The evidence on exit outcomes is mixed. Distance lowers the likelihood of a successful exit (Li et al., 2014, p. 480), while other studies find higher exit probabilities, faster exits, and higher IPO valuations for cross-border investors, and a positive effect of cultural distance in emerging economies (Devigne et al., 2018, pp. 1427, 1430). The review concludes that more research is needed on the relation between international venture capital investing and exit outcomes (p. 1430). The two meta-level reviews outside venture capital show the same ambiguity: distance is mostly negatively related to entry and performance outcomes, but results for subsidiary and firm performance are positive, inverted U-shaped, or absent depending on the study (Hutzschenreuter et al., 2016, pp. 166-168; Beugelsdijk et al., 2018, pp. 112, 120).</w:t>
      </w:r>
    </w:p>
    <w:p>
      <w:pPr>
        <w:spacing w:after="140" w:line="300"/>
      </w:pPr>
      <w:r>
        <w:rPr>
          <w:rFonts w:ascii="Times New Roman" w:cs="Times New Roman" w:eastAsia="Times New Roman" w:hAnsi="Times New Roman"/>
        </w:rPr>
        <w:t xml:space="preserve">Follow-on funding is not an outcome in any of the papers read. Bertoni and Groh (2014, p. 91) use it only as a control, and Devigne et al. (2018, pp. 1428-1434) list no study with it as an outcome. Boryniec et al. (2025, pp. 136-137, 149-150) state that exits are the usual measure and call for other measures. Two studies in their sample come close: Zhang (2018, as cited on p. 136) studies the likelihood of reaching the next round, and Meuleman et al. (2017, Table 5, p. 122) study partner selection in the follow-on rounds of 873 European venture-backed companies. </w:t>
      </w:r>
      <w:r>
        <w:rPr>
          <w:rFonts w:ascii="Times New Roman" w:cs="Times New Roman" w:eastAsia="Times New Roman" w:hAnsi="Times New Roman"/>
          <w:highlight w:val="yellow"/>
          <w:highlightCs w:val="yellow"/>
        </w:rPr>
        <w:t xml:space="preserve">[Both are cited from the survey and not read; to be checked in the originals.]</w:t>
      </w:r>
      <w:r>
        <w:rPr>
          <w:rFonts w:ascii="Times New Roman" w:cs="Times New Roman" w:eastAsia="Times New Roman" w:hAnsi="Times New Roman"/>
        </w:rPr>
        <w:t xml:space="preserve"> The supervisor sets follow-on funding as the main outcome, with exit success and time to exit as secondary outcomes, so the argument for follow-on funding as a performance measure rests on the survey and on the logic that a later round signals continued confidence of investors. The latter is an interpretation of this proposal. The definition and the observation window are open (D9); the main model is a binary logit (D17, preliminary), with competing-risks models of Bertoni and Groh (2014, pp. 88-90) as a possible option for time to exit.</w:t>
      </w:r>
    </w:p>
    <w:p>
      <w:pPr>
        <w:pStyle w:val="Heading2"/>
      </w:pPr>
      <w:r>
        <w:rPr>
          <w:rFonts w:ascii="Times New Roman" w:cs="Times New Roman" w:eastAsia="Times New Roman" w:hAnsi="Times New Roman"/>
        </w:rPr>
        <w:t xml:space="preserve">2.6. Gap and Positioning</w:t>
      </w:r>
    </w:p>
    <w:p>
      <w:pPr>
        <w:spacing w:after="140" w:line="300"/>
      </w:pPr>
      <w:r>
        <w:rPr>
          <w:rFonts w:ascii="Times New Roman" w:cs="Times New Roman" w:eastAsia="Times New Roman" w:hAnsi="Times New Roman"/>
        </w:rPr>
        <w:t xml:space="preserve">Table 2 compares what the seven empirical papers cover with the design set by the supervisor. The reviews are not studies and are left out of the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900"/>
        <w:gridCol w:w="1700"/>
        <w:gridCol w:w="132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Paper</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Europe</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Deal level</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Distance measure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Outcome</w:t>
            </w:r>
          </w:p>
        </w:tc>
        <w:tc>
          <w:tcPr>
            <w:tcW w:type="dxa" w:w="13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First round and lead</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69 investor and 64 venture countries (p. 477)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cultural, geographic (pp. 478-479)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success (p. 477)</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round yes; lead not identified (pp. 477-478)</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7 countries (p. 85)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None (home-market exit conditions)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mode (p. 88)</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round yes; lead not identified (pp. 85, 90)</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Moore et al. (2015)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16 countries, not listed (p. 487)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country pairs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Three institutional pillars (pp. 488-489)</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Flows (p. 488)</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Alhorr et al. (2008)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24 countries (pp. 902-903)</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country-year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None (integration dummies, p. 906)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EU share of outflows (p. 903)</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no</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15 EU countries, companies also in NO, CH, US (pp. 2291, 2294)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Trust, geographic distance (pp. 2293-2294)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Deal, IPO, exit, failure (pp. 2292, 2295)</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round yes; lead Not reported (p. 2291)</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Tykvová and Schertler (2014)</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Partly: worldwide, European startup countries included (pp. 407, 410)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VC-deal dyads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Geographic, regulative, normative, cognitive (pp. 412-413)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Investment decision (p. 411)</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first round only; lead not identified (pp. 411, 414)</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Liu and Maula (2021)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 global, 38 host countries; Europe not isolated (pp. 4, 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 VC firm-venture dyads, 8,748 (p. 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Geographic and cultural distance only as controls; institutions as level (pp. 5, 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by IPO or acquisition (p. 5)</w:t>
            </w:r>
          </w:p>
        </w:tc>
        <w:tc>
          <w:tcPr>
            <w:tcW w:type="dxa" w:w="13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First investment of each foreign VC in the venture; lead not identified (pp. 4, 6)</w:t>
            </w:r>
          </w:p>
        </w:tc>
      </w:tr>
    </w:tbl>
    <w:p>
      <w:pPr>
        <w:spacing w:after="200" w:before="60"/>
      </w:pPr>
      <w:r>
        <w:rPr>
          <w:rFonts w:ascii="Times New Roman" w:cs="Times New Roman" w:eastAsia="Times New Roman" w:hAnsi="Times New Roman"/>
          <w:i/>
          <w:iCs/>
          <w:sz w:val="18"/>
          <w:szCs w:val="18"/>
        </w:rPr>
        <w:t xml:space="preserve">Table 2: Coverage of the empirical papers compared with the proposed design.</w:t>
      </w:r>
    </w:p>
    <w:p>
      <w:pPr>
        <w:spacing w:after="140" w:line="300"/>
      </w:pPr>
      <w:r>
        <w:rPr>
          <w:rFonts w:ascii="Times New Roman" w:cs="Times New Roman" w:eastAsia="Times New Roman" w:hAnsi="Times New Roman"/>
        </w:rPr>
        <w:t xml:space="preserve">Li et al. (2014) show that institutional and cultural distance reduce exit success and that broad international experience weakens the effect of institutional distance, but their global sample does not isolate Europe, distances are averaged over all co-investors so that the lead is not identified (p. 478), and the outcome is exit and not follow-on funding (p. 477). The European papers either use no distance measure at the deal level (Bertoni &amp; Groh, 2014, pp. 88-91; Bottazzi et al., 2016, p. 2293, with trust as the relational variable) or measure distance only for flows between countries (Moore et al., 2015, p. 487; Alhorr et al., 2008, p. 903). Tykvová and Schertler (2014, pp. 411, 415) use geographic and institutional distance at the deal level in worldwide data, but their outcome is the decision of a foreign VC to invest. Liu and Maula (2021, pp. 4-6) study exit in a global sample of first cross-border investments and use geographic and cultural distance only as controls. No paper read tests institutional and cultural distance and their moderators on the follow-on funding of foreign-led first-round investments within Europe at the deal level. The proposal addresses this gap by restricting the sample to Europe, by focusing on the foreign lead investor in the first institutional round, and by using follow-on funding as the main outcome (D15, decided). The claim is limited to the papers read and is re-checked at the final consolidation.</w:t>
      </w:r>
    </w:p>
    <w:p>
      <w:pPr>
        <w:pStyle w:val="Heading2"/>
      </w:pPr>
      <w:r>
        <w:rPr>
          <w:rFonts w:ascii="Times New Roman" w:cs="Times New Roman" w:eastAsia="Times New Roman" w:hAnsi="Times New Roman"/>
        </w:rPr>
        <w:t xml:space="preserve">2.7. Opposing Evidence and Open Tensions</w:t>
      </w:r>
    </w:p>
    <w:p>
      <w:pPr>
        <w:spacing w:after="140" w:line="300"/>
      </w:pPr>
      <w:r>
        <w:rPr>
          <w:rFonts w:ascii="Times New Roman" w:cs="Times New Roman" w:eastAsia="Times New Roman" w:hAnsi="Times New Roman"/>
        </w:rPr>
        <w:t xml:space="preserve">The findings below point in different directions. They are not resolved here; they are the reason why the hypotheses in 2.8 are drafts and why selection into the sample is treated as an open design question (D12, D21). Appendix B.4 holds the full register.</w:t>
      </w:r>
    </w:p>
    <w:p>
      <w:pPr>
        <w:spacing w:after="140" w:line="300"/>
      </w:pPr>
      <w:r>
        <w:rPr>
          <w:rFonts w:ascii="Times New Roman" w:cs="Times New Roman" w:eastAsia="Times New Roman" w:hAnsi="Times New Roman"/>
        </w:rPr>
        <w:t xml:space="preserve">Distance and closeness do not map neatly onto better outcomes. Geographic distance is expected to hurt performance (Li et al., 2014, p. 479) but is not significant once institutional and cultural distance are included (p. 482), and in European survey data it matters for deal formation and IPO but not for exit or failure (Bottazzi et al., 2016, pp. 2301, 2304-2306). Higher trust between countries goes with more investment but with fewer IPOs and exits (Bottazzi et al., 2016, pp. 2285, 2304-2309), and the direct coefficient of host-country experience is negative (Li et al., 2014, pp. 476, 482). Cross-border deals are exited more often with more IPOs in the data of Bertoni and Groh (2014, pp. 87, 89), whereas foreign deals show lower IPO and exit probabilities and higher failure probabilities in the data of Bottazzi et al. (2016, pp. 2304-2306); samples, controls, and outcome definitions differ.</w:t>
      </w:r>
    </w:p>
    <w:p>
      <w:pPr>
        <w:spacing w:after="140" w:line="300"/>
      </w:pPr>
      <w:r>
        <w:rPr>
          <w:rFonts w:ascii="Times New Roman" w:cs="Times New Roman" w:eastAsia="Times New Roman" w:hAnsi="Times New Roman"/>
        </w:rPr>
        <w:t xml:space="preserve">The dimension and the measure matter. Institutional distance lowers exit success as a composite (Li et al., 2014, p. 480), but regulative distance has no relation with flows while normative and cultural-cognitive distance do (Moore et al., 2015, p. 492), and sub-dimensions have opposite signs in studies cited by Hutzschenreuter et al. (2016, pp. 167-168). A composite may therefore hide opposite effects (D18). Economic integration raises flows (Alhorr et al., 2008, p. 910), yet distance still lowers flows between European countries in the later period (Moore et al., 2015, pp. 487, 492). Beugelsdijk et al. (2018, pp. 108-112, 114) find that the sign of the cultural distance effect depends on the measure, the stage, the sub-sample, and the development level of the host country, and Tihanyi et al. (2005, pp. 276-277) find a near-zero average effect that hides opposite subgroup effects. Conflicting results across studies may therefore partly reflect the measure and the sample and not only different mechanisms; this is an interpretation of this proposal and not a finding of the authors. Hutzschenreuter et al. (2016, pp. 165-168) add that distance effects are mostly negative but can be positive or inverted U-shaped, and that costs need not rise linearly (p. 166).</w:t>
      </w:r>
    </w:p>
    <w:p>
      <w:pPr>
        <w:spacing w:after="140" w:line="300"/>
      </w:pPr>
      <w:r>
        <w:rPr>
          <w:rFonts w:ascii="Times New Roman" w:cs="Times New Roman" w:eastAsia="Times New Roman" w:hAnsi="Times New Roman"/>
        </w:rPr>
        <w:t xml:space="preserve">Syndication and offices are contested. Local syndication is presented as a way to reduce the liability of foreignness, yet its effect on exit success differs by study and context (Devigne et al., 2018, pp. 1426, 1430). A local office is expected to help but is found to reduce the need to syndicate in one study and to have no effect on alliance formation in another (Boryniec et al., 2025, p. 133). The contradiction is relevant for the supervisor's request to check the investing office against the headquarters (D23).</w:t>
      </w:r>
    </w:p>
    <w:p>
      <w:pPr>
        <w:spacing w:after="140" w:line="300"/>
      </w:pPr>
      <w:r>
        <w:rPr>
          <w:rFonts w:ascii="Times New Roman" w:cs="Times New Roman" w:eastAsia="Times New Roman" w:hAnsi="Times New Roman"/>
        </w:rPr>
        <w:t xml:space="preserve">A network asset of the investor does not help uniformly. The host-country network status of a foreign VC has no effect on exit without the interaction with institutions (-0.02, p = 0.81), a positive effect where host regulatory institutions are weak, and a negative effect in the top 10 percent of institutional quality, which rests on 174 deals of which 53 percent are by one investor (Liu &amp; Maula, 2021, pp. 8-9, 11). The authors call the last result possibly an anomaly. The sample is global and not tested for Europe, where host institutions are mostly strong, so whether the pattern matters for the moderators of this proposal is open.</w:t>
      </w:r>
    </w:p>
    <w:p>
      <w:pPr>
        <w:pStyle w:val="Heading2"/>
      </w:pPr>
      <w:r>
        <w:rPr>
          <w:rFonts w:ascii="Times New Roman" w:cs="Times New Roman" w:eastAsia="Times New Roman" w:hAnsi="Times New Roman"/>
        </w:rPr>
        <w:t xml:space="preserve">2.8. Conceptual Model and Draft Hypotheses</w:t>
      </w:r>
    </w:p>
    <w:p>
      <w:pPr>
        <w:spacing w:after="140" w:line="300"/>
      </w:pPr>
      <w:r>
        <w:rPr>
          <w:rFonts w:ascii="Times New Roman" w:cs="Times New Roman" w:eastAsia="Times New Roman" w:hAnsi="Times New Roman"/>
          <w:highlight w:val="yellow"/>
          <w:highlightCs w:val="yellow"/>
        </w:rPr>
        <w:t xml:space="preserve">[The hypotheses below are drafts based on the decisions taken so far, not final. The moderators are open (D6), so the moderator hypotheses are placeholders. The evidence concerns exit success, flows, or deal formation, so it supports the direction of the argument but not the outcome follow-on funding as such.]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900"/>
        <w:gridCol w:w="24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ID</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Draft hypothesis</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Basis in decisions and evidence</w:t>
            </w:r>
          </w:p>
        </w:tc>
        <w:tc>
          <w:tcPr>
            <w:tcW w:type="dxa" w:w="24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Opposing evidence or note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H1a</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distance between the investor's and the startup's country lowers the likelihood of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D1, D24 (provisional). Li et al. (2014, pp. 480, 482): negative effect on exit success. Moore et al. (2015, p. 492): normative distance negative on flows.</w:t>
            </w:r>
          </w:p>
        </w:tc>
        <w:tc>
          <w:tcPr>
            <w:tcW w:type="dxa" w:w="2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Regulative distance has no effect on flows (Moore et al., 2015, p. 492); sub-dimensions with opposite signs (Hutzschenreuter et al., 2016, pp. 167-168); see 2.7 and D18.</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H1b</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Cultural distance lowers the likelihood of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D2b, D24 (provisional). Li et al. (2014, pp. 480, 482): negative effect on exit success. Moore et al. (2015, p. 492): cultural-cognitive distance negative on flows.</w:t>
            </w:r>
          </w:p>
        </w:tc>
        <w:tc>
          <w:tcPr>
            <w:tcW w:type="dxa" w:w="2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Effect depends on the measure and the sample (Beugelsdijk et al., 2018, pp. 108-112, 114); see 2.7.</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H2</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[Moderator 1 to be chosen]</w:t>
            </w:r>
            <w:r>
              <w:rPr>
                <w:rFonts w:ascii="Times New Roman" w:cs="Times New Roman" w:eastAsia="Times New Roman" w:hAnsi="Times New Roman"/>
                <w:b w:val="false"/>
                <w:bCs w:val="false"/>
                <w:sz w:val="18"/>
                <w:szCs w:val="18"/>
              </w:rPr>
              <w:t xml:space="preserve"> weakens the negative effect of </w:t>
            </w:r>
            <w:r>
              <w:rPr>
                <w:rFonts w:ascii="Times New Roman" w:cs="Times New Roman" w:eastAsia="Times New Roman" w:hAnsi="Times New Roman"/>
                <w:b w:val="false"/>
                <w:bCs w:val="false"/>
                <w:sz w:val="18"/>
                <w:szCs w:val="18"/>
                <w:highlight w:val="yellow"/>
                <w:highlightCs w:val="yellow"/>
              </w:rPr>
              <w:t xml:space="preserve">[institutional or cultural]</w:t>
            </w:r>
            <w:r>
              <w:rPr>
                <w:rFonts w:ascii="Times New Roman" w:cs="Times New Roman" w:eastAsia="Times New Roman" w:hAnsi="Times New Roman"/>
                <w:b w:val="false"/>
                <w:bCs w:val="false"/>
                <w:sz w:val="18"/>
                <w:szCs w:val="18"/>
              </w:rPr>
              <w:t xml:space="preserve"> distance on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D6 open. Shortlist and evidence in Table 1.</w:t>
            </w:r>
          </w:p>
        </w:tc>
        <w:tc>
          <w:tcPr>
            <w:tcW w:type="dxa" w:w="2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 once the moderator is chosen]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[Moderator 2 to be chosen]</w:t>
            </w:r>
            <w:r>
              <w:rPr>
                <w:rFonts w:ascii="Times New Roman" w:cs="Times New Roman" w:eastAsia="Times New Roman" w:hAnsi="Times New Roman"/>
                <w:b w:val="false"/>
                <w:bCs w:val="false"/>
                <w:sz w:val="18"/>
                <w:szCs w:val="18"/>
              </w:rPr>
              <w:t xml:space="preserve"> weakens the negative effect of </w:t>
            </w:r>
            <w:r>
              <w:rPr>
                <w:rFonts w:ascii="Times New Roman" w:cs="Times New Roman" w:eastAsia="Times New Roman" w:hAnsi="Times New Roman"/>
                <w:b w:val="false"/>
                <w:bCs w:val="false"/>
                <w:sz w:val="18"/>
                <w:szCs w:val="18"/>
                <w:highlight w:val="yellow"/>
                <w:highlightCs w:val="yellow"/>
              </w:rPr>
              <w:t xml:space="preserve">[institutional or cultural]</w:t>
            </w:r>
            <w:r>
              <w:rPr>
                <w:rFonts w:ascii="Times New Roman" w:cs="Times New Roman" w:eastAsia="Times New Roman" w:hAnsi="Times New Roman"/>
                <w:b w:val="false"/>
                <w:bCs w:val="false"/>
                <w:sz w:val="18"/>
                <w:szCs w:val="18"/>
              </w:rPr>
              <w:t xml:space="preserve"> distance on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D6 open. Shortlist and evidence in Table 1.</w:t>
            </w:r>
          </w:p>
        </w:tc>
        <w:tc>
          <w:tcPr>
            <w:tcW w:type="dxa" w:w="2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 once the moderator is chosen]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H4 </w:t>
            </w:r>
            <w:r>
              <w:rPr>
                <w:rFonts w:ascii="Times New Roman" w:cs="Times New Roman" w:eastAsia="Times New Roman" w:hAnsi="Times New Roman"/>
                <w:b w:val="false"/>
                <w:bCs w:val="false"/>
                <w:sz w:val="18"/>
                <w:szCs w:val="18"/>
                <w:highlight w:val="yellow"/>
                <w:highlightCs w:val="yellow"/>
              </w:rPr>
              <w:t xml:space="preserve">[optional]</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[Moderator 3, only if three are chosen]</w:t>
            </w:r>
            <w:r>
              <w:rPr>
                <w:rFonts w:ascii="Times New Roman" w:cs="Times New Roman" w:eastAsia="Times New Roman" w:hAnsi="Times New Roman"/>
                <w:b w:val="false"/>
                <w:bCs w:val="false"/>
                <w:sz w:val="18"/>
                <w:szCs w:val="18"/>
              </w:rPr>
              <w:t xml:space="preserve"> weakens the negative effect of distance on follow-on funding.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D6 open.</w:t>
            </w:r>
          </w:p>
        </w:tc>
        <w:tc>
          <w:tcPr>
            <w:tcW w:type="dxa" w:w="2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[to be filled]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H5 </w:t>
            </w:r>
            <w:r>
              <w:rPr>
                <w:rFonts w:ascii="Times New Roman" w:cs="Times New Roman" w:eastAsia="Times New Roman" w:hAnsi="Times New Roman"/>
                <w:b w:val="false"/>
                <w:bCs w:val="false"/>
                <w:sz w:val="18"/>
                <w:szCs w:val="18"/>
                <w:highlight w:val="yellow"/>
                <w:highlightCs w:val="yellow"/>
              </w:rPr>
              <w:t xml:space="preserve">[optional]</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Broad international experience of the investor weakens the negative effect of institutional distance, but not of cultural distance.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D4: experience is a control; this hypothesis exists only if it is also made a moderator. Li et al. (2014, pp. 480, 482): supported for institutional distance (+0.00992, p &lt; 0.05).</w:t>
            </w:r>
          </w:p>
        </w:tc>
        <w:tc>
          <w:tcPr>
            <w:tcW w:type="dxa" w:w="2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Only p &lt; 0.10 in the Heckman model (Li et al., 2014, p. 484); host-country experience not supported (p. 480).</w:t>
            </w:r>
          </w:p>
        </w:tc>
      </w:tr>
    </w:tbl>
    <w:p>
      <w:pPr>
        <w:spacing w:after="200" w:before="60"/>
      </w:pPr>
      <w:r>
        <w:rPr>
          <w:rFonts w:ascii="Times New Roman" w:cs="Times New Roman" w:eastAsia="Times New Roman" w:hAnsi="Times New Roman"/>
          <w:i/>
          <w:iCs/>
          <w:sz w:val="18"/>
          <w:szCs w:val="18"/>
        </w:rPr>
        <w:t xml:space="preserve">Table 3: Draft hypotheses. Industry specialization (D7) and geographic distance (D3) are controls, so they have no hypothesis.</w:t>
      </w:r>
    </w:p>
    <w:p>
      <w:pPr>
        <w:pStyle w:val="Heading1"/>
      </w:pPr>
      <w:r>
        <w:rPr>
          <w:rFonts w:ascii="Times New Roman" w:cs="Times New Roman" w:eastAsia="Times New Roman" w:hAnsi="Times New Roman"/>
        </w:rPr>
        <w:t xml:space="preserve">3. Research Methods</w:t>
      </w:r>
    </w:p>
    <w:p>
      <w:pPr>
        <w:spacing w:after="140" w:line="300"/>
      </w:pPr>
      <w:r>
        <w:rPr>
          <w:rFonts w:ascii="Times New Roman" w:cs="Times New Roman" w:eastAsia="Times New Roman" w:hAnsi="Times New Roman"/>
        </w:rPr>
        <w:t xml:space="preserve">The design tests the draft hypotheses of section 2.8 on deal-level data for Europe. A binary outcome, follow-on funding after the startup's first institutional round led by a foreign investor, is regressed on institutional and cultural distance, with geographic distance, experience, and other characteristics as controls, and with interaction terms for the moderators once these are chosen.</w:t>
      </w:r>
    </w:p>
    <w:p>
      <w:pPr>
        <w:pStyle w:val="Heading2"/>
      </w:pPr>
      <w:r>
        <w:rPr>
          <w:rFonts w:ascii="Times New Roman" w:cs="Times New Roman" w:eastAsia="Times New Roman" w:hAnsi="Times New Roman"/>
        </w:rPr>
        <w:t xml:space="preserve">3.1. Sampling and Data</w:t>
      </w:r>
    </w:p>
    <w:p>
      <w:pPr>
        <w:spacing w:after="140" w:line="300"/>
      </w:pPr>
      <w:r>
        <w:rPr>
          <w:rFonts w:ascii="Times New Roman" w:cs="Times New Roman" w:eastAsia="Times New Roman" w:hAnsi="Times New Roman"/>
        </w:rPr>
        <w:t xml:space="preserve">The sample follows the choices set by the supervisor: investments in European countries (EU27, the United Kingdom, Switzerland, and Norway, excluding markets that are too small to be meaningful), the startup's first institutional round, and a foreign lead investor. Li et al. (2014, p. 477) use a comparable logic: they define a foreign investor as one whose country of origin differs from the investee's and focus on the first round because deal evaluation, selection, and the initial interaction lay the foundation for later exchange and success. The investor's location is the headquarters, with a robustness check on the investing office (D23, provisional).</w:t>
      </w:r>
    </w:p>
    <w:p>
      <w:pPr>
        <w:spacing w:after="140" w:line="300"/>
      </w:pPr>
      <w:r>
        <w:rPr>
          <w:rFonts w:ascii="Times New Roman" w:cs="Times New Roman" w:eastAsia="Times New Roman" w:hAnsi="Times New Roman"/>
        </w:rPr>
        <w:t xml:space="preserve">The data source is VentureXpert or Thomson One (D14, chosen). Li et al. (2014, pp. 477-478) use VentureXpert together with SDC, and Moore et al. (2015, p. 489) and Alhorr et al. (2008, p. 903) use SDC Platinum for European flows. Three points call for a coverage check for Europe. Bottazzi et al. (2016, p. 2292, note 8) report that a commercial database captured fewer deals per investor than their survey (4.8 against 15.4 on average for 52 firms present in both). Devigne et al. (2018, p. 1437) report that commercial databases hold undisclosed investors, may record investments of a foreign investor's local subsidiary as domestic, and under-represent early-stage and small investments. Boryniec et al. (2025, pp. 166-167) report that Zephyr is favoured over VentureXpert for non-US investors and that VentureXpert is less comprehensive for Europe and has no exit proceeds data. Tykvová and Schertler (2014, pp. 410-411) chose Zephyr over VentureXpert because of the home bias of VentureXpert towards the US and its more frequent deal volume and industry information, accepting slightly fewer deals (38,125 against 38,515 companies). Zephyr is the fallback if the coverage check fails; VICO covers seven countries and is accessible only on site (Boryniec et al., 2025, p. 167). </w:t>
      </w:r>
      <w:r>
        <w:rPr>
          <w:rFonts w:ascii="Times New Roman" w:cs="Times New Roman" w:eastAsia="Times New Roman" w:hAnsi="Times New Roman"/>
          <w:highlight w:val="yellow"/>
          <w:highlightCs w:val="yellow"/>
        </w:rPr>
        <w:t xml:space="preserve">[Coverage check for Europe to be done; final sample size after data inspection.]</w:t>
      </w:r>
    </w:p>
    <w:p>
      <w:pPr>
        <w:spacing w:after="140" w:line="300"/>
      </w:pPr>
      <w:r>
        <w:rPr>
          <w:rFonts w:ascii="Times New Roman" w:cs="Times New Roman" w:eastAsia="Times New Roman" w:hAnsi="Times New Roman"/>
        </w:rPr>
        <w:t xml:space="preserve">The lead investor is not identified in the papers read: Li et al. (2014, p. 478) average distances over all co-investors, Bertoni and Groh (2014, p. 90) use all cross-border investors in a syndicate, and Bottazzi et al. (2016, p. 2291) do not report how a lead is identified. Prior research thus gives no support for a lead-only measure, although the supervisor sets it. </w:t>
      </w:r>
      <w:r>
        <w:rPr>
          <w:rFonts w:ascii="Times New Roman" w:cs="Times New Roman" w:eastAsia="Times New Roman" w:hAnsi="Times New Roman"/>
          <w:highlight w:val="yellow"/>
          <w:highlightCs w:val="yellow"/>
        </w:rPr>
        <w:t xml:space="preserve">[The rule to identify the lead investor and the first institutional round is open and depends on the data, see D8 and D14.]</w:t>
      </w:r>
    </w:p>
    <w:p>
      <w:pPr>
        <w:pStyle w:val="Heading2"/>
      </w:pPr>
      <w:r>
        <w:rPr>
          <w:rFonts w:ascii="Times New Roman" w:cs="Times New Roman" w:eastAsia="Times New Roman" w:hAnsi="Times New Roman"/>
        </w:rPr>
        <w:t xml:space="preserve">3.2. Variables and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700"/>
        <w:gridCol w:w="1426"/>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Variable</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Measure</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Source in literature</w:t>
            </w:r>
          </w:p>
        </w:tc>
        <w:tc>
          <w:tcPr>
            <w:tcW w:type="dxa" w:w="14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Follow-on funding (main outcome)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[Dummy for a further round within a fixed window; definition to be set]</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Supervisor; not studied in the papers read. Bertoni and Groh (2014, p. 91): control dummy only</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Outcome fixed; window open (D9)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Exit success and time to exit (secondary)</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Dummy: 1 if the venture went public or was acquired, observed for at least 3 years; time to exit as a possible competing-risks model.</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477-478); Bertoni and Groh (2014, pp. 88-90)</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Secondary, set by supervisor; model open (D17)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Institutional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Manhattan distance on the WGI composite; three pillars or single dimensions as robustness.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Moore et al. (2015, pp. 488-489); Zhou et al. (2021, pp. 161-162)</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(D1); composite or split open (D18)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Cultural distance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Kogut and Singh index on four Hofstede dimensions; Mahalanobis version as robustness.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Moore et al. (2015, p. 488); Beugelsdijk et al. (2018, pp. 106-107)</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(D2b)</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Geographic distance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Log of kilometres between investor headquarters city and startup city.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Bottazzi et al. (2016, p. 2294)</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Economic distance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Difference in GDP per capita.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 2293); Zhou et al. (2021, p. 163)</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(D25)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International experience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Count-based share of the investor's earlier ventures in the startup's country; window after data inspection.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(D4); measure set (D5)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Generalized trust</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Eurobarometer trust between countries; optional robustness only.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pp. 2293, 2297)</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EU integration status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Single market and euro dummies; control or moderator.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Alhorr et al. (2008, p. 906)</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(D22, with D6)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Home-market exit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IPO or M&amp;A volume in the investor's country; only in the exit models.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90-91)</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Preliminary (D16)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Moderators for Europe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[Two to three from: shared language, economic ties or integration, shared border, local co-investor]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tested as moderators in the papers read</w:t>
            </w:r>
          </w:p>
        </w:tc>
        <w:tc>
          <w:tcPr>
            <w:tcW w:type="dxa" w:w="14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(D6)</w:t>
            </w:r>
          </w:p>
        </w:tc>
      </w:tr>
    </w:tbl>
    <w:p>
      <w:pPr>
        <w:spacing w:after="200" w:before="60"/>
      </w:pPr>
      <w:r>
        <w:rPr>
          <w:rFonts w:ascii="Times New Roman" w:cs="Times New Roman" w:eastAsia="Times New Roman" w:hAnsi="Times New Roman"/>
          <w:i/>
          <w:iCs/>
          <w:sz w:val="18"/>
          <w:szCs w:val="18"/>
        </w:rPr>
        <w:t xml:space="preserve">Table 4: Variables and measures with their status.</w:t>
      </w:r>
    </w:p>
    <w:p>
      <w:pPr>
        <w:spacing w:after="140" w:line="300"/>
      </w:pPr>
      <w:r>
        <w:rPr>
          <w:rFonts w:ascii="Times New Roman" w:cs="Times New Roman" w:eastAsia="Times New Roman" w:hAnsi="Times New Roman"/>
        </w:rPr>
        <w:t xml:space="preserve">Table 5 compares the controls named by the supervisor with those used in the papers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3200"/>
        <w:gridCol w:w="1226"/>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Control</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Supervisor mentioned</w:t>
            </w:r>
          </w:p>
        </w:tc>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Papers read</w:t>
            </w:r>
          </w:p>
        </w:tc>
        <w:tc>
          <w:tcPr>
            <w:tcW w:type="dxa" w:w="122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8"/>
                <w:szCs w:val="18"/>
              </w:rPr>
              <w:t xml:space="preserve">Status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Investor track record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reputation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log of ventures that went public or were sold in the past five years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49 Fama-French industry dummies; Bottazzi et al. (2016, p. 2294): 12 industry dummies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Industry specialization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as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share of investment in the venture's industry over five years; Bottazzi et al. (2016, p. 2294): industry fit and stage fit</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(D7)</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Syndication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co-investor as control</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478): dummy for co-investors; Bertoni and Groh (2014, p. 91): syndicate size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 depends on D6]</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Local office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Office location robustness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pp. 478-479): dummy for a branch in the host country; Bottazzi et al. (2016, pp. 2302-2303): distance to the closest office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Provisional (D23)</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Venture stage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start-up/seed or early stage; Bottazzi et al. (2016, p. 2294): early stage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Host-market conditions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VC volume in host country; exit market conditions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venture nation VC commitment and GDP; Alhorr et al. (2008, pp. 906-907): GDP growth, inflation, FDI, balance of payments</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Fund or firm age and size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Yes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 2294): log fund size, log age, independent versus captive, US experience; not reported in Li et al. (2014)</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Startup performance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Bertoni and Groh (2014, pp. 90-91): sales growth, patent stock, total assets, each normalized by industry mean</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Country-pair variables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Common language; economic ties</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Bottazzi et al. (2016, p. 2293): GDP difference, legal origin, language overlap, common border, exports, newspaper coverage</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highlight w:val="yellow"/>
                <w:highlightCs w:val="yellow"/>
              </w:rPr>
              <w:t xml:space="preserve">[open, depends on D6]</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Fixed effects</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Not mentioned</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Li et al. (2014, p. 479): venture industry, nation, year; Bottazzi et al. (2016, pp. 2299, 2303): investor, investor-country, company-country</w:t>
            </w:r>
          </w:p>
        </w:tc>
        <w:tc>
          <w:tcPr>
            <w:tcW w:type="dxa" w:w="1226"/>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8"/>
                <w:szCs w:val="18"/>
              </w:rPr>
              <w:t xml:space="preserve">Open (D11); proposal: year, industry, investor country, startup country</w:t>
            </w:r>
          </w:p>
        </w:tc>
      </w:tr>
    </w:tbl>
    <w:p>
      <w:pPr>
        <w:spacing w:after="200" w:before="60"/>
      </w:pPr>
      <w:r>
        <w:rPr>
          <w:rFonts w:ascii="Times New Roman" w:cs="Times New Roman" w:eastAsia="Times New Roman" w:hAnsi="Times New Roman"/>
          <w:i/>
          <w:iCs/>
          <w:sz w:val="18"/>
          <w:szCs w:val="18"/>
        </w:rPr>
        <w:t xml:space="preserve">Table 5: Controls proposed by the supervisor compared with the papers read.</w:t>
      </w:r>
    </w:p>
    <w:p>
      <w:pPr>
        <w:spacing w:after="140" w:line="300"/>
      </w:pPr>
      <w:r>
        <w:rPr>
          <w:rFonts w:ascii="Times New Roman" w:cs="Times New Roman" w:eastAsia="Times New Roman" w:hAnsi="Times New Roman"/>
        </w:rPr>
        <w:t xml:space="preserve">For all distance variables, the indicator and its name are stated to avoid the mislabelling documented by Zhou et al. (2021, p. 169). With deal data only country-level measures from published frameworks are available (D24, provisional); perceptual measures give much larger negative performance effects than index measures in the meta-analysis of Beugelsdijk et al. (2018, pp. 111-112, 121), but are out of scope here. An alternative reference point, the distance of the startup's country to the closest country in the investor's earlier portfolio, is a possible extension (Hutzschenreuter et al., 2016, p. 164). Sources used for the variables in the literature are the World Governance Indicators, the Kogut and Singh index on Hofstede dimensions, CEPII data for geographic distance, the Eurobarometer for trust, and the World Bank World Development Indicators for GDP (Boryniec et al., 2025, pp. 168-170). </w:t>
      </w:r>
      <w:r>
        <w:rPr>
          <w:rFonts w:ascii="Times New Roman" w:cs="Times New Roman" w:eastAsia="Times New Roman" w:hAnsi="Times New Roman"/>
          <w:highlight w:val="yellow"/>
          <w:highlightCs w:val="yellow"/>
        </w:rPr>
        <w:t xml:space="preserve">[Final choice of sources after the data check.]</w:t>
      </w:r>
    </w:p>
    <w:p>
      <w:pPr>
        <w:pStyle w:val="Heading2"/>
      </w:pPr>
      <w:r>
        <w:rPr>
          <w:rFonts w:ascii="Times New Roman" w:cs="Times New Roman" w:eastAsia="Times New Roman" w:hAnsi="Times New Roman"/>
        </w:rPr>
        <w:t xml:space="preserve">3.3. Estimation Strategy</w:t>
      </w:r>
    </w:p>
    <w:p>
      <w:pPr>
        <w:spacing w:after="140" w:line="300"/>
      </w:pPr>
      <w:r>
        <w:rPr>
          <w:rFonts w:ascii="Times New Roman" w:cs="Times New Roman" w:eastAsia="Times New Roman" w:hAnsi="Times New Roman"/>
        </w:rPr>
        <w:t xml:space="preserve">The primary model is a logit model on the deal level (D19, confirmed), as set by the supervisor, with probit and linear probability models as robustness checks (D17, provisional). Li et al. (2014, p. 479) and Bottazzi et al. (2016, pp. 2299, 2303) also use logit models for binary outcomes, and Tykvová and Schertler (2014, pp. 414-415) use a conditional logit with deal fixed effects and VC country dummies. Standard errors are clustered by country pair, as in Bottazzi et al. (2016, p. 2299), because the distance variables vary at that level. The fixed effects proposed are year, industry, investor country, and startup country; they separate distance from the level effects of single countries (Beugelsdijk et al., 2018, pp. 94, 122; D26, provisional). </w:t>
      </w:r>
      <w:r>
        <w:rPr>
          <w:rFonts w:ascii="Times New Roman" w:cs="Times New Roman" w:eastAsia="Times New Roman" w:hAnsi="Times New Roman"/>
          <w:highlight w:val="yellow"/>
          <w:highlightCs w:val="yellow"/>
        </w:rPr>
        <w:t xml:space="preserve">[The final fixed effects and standard errors are open, see D11.]</w:t>
      </w:r>
    </w:p>
    <w:p>
      <w:pPr>
        <w:spacing w:after="140" w:line="300"/>
      </w:pPr>
      <w:r>
        <w:rPr>
          <w:rFonts w:ascii="Times New Roman" w:cs="Times New Roman" w:eastAsia="Times New Roman" w:hAnsi="Times New Roman"/>
        </w:rPr>
        <w:t xml:space="preserve">The effect of an interaction term in a nonlinear model varies with all covariates. Li et al. (2014, pp. 479-480, 483) compute the interaction effect with the formula of Ai and Norton (2003), plot it, and compare moderation through signs, significance, and likelihood ratio tests (p. 480). In a linear probability model the interaction coefficient reads directly, so the supervisor's robustness check also serves as a cross-check. </w:t>
      </w:r>
      <w:r>
        <w:rPr>
          <w:rFonts w:ascii="Times New Roman" w:cs="Times New Roman" w:eastAsia="Times New Roman" w:hAnsi="Times New Roman"/>
          <w:highlight w:val="yellow"/>
          <w:highlightCs w:val="yellow"/>
        </w:rPr>
        <w:t xml:space="preserve">[How interactions are reported is open until more evidence is available, see D10.]</w:t>
      </w:r>
      <w:r>
        <w:rPr>
          <w:rFonts w:ascii="Times New Roman" w:cs="Times New Roman" w:eastAsia="Times New Roman" w:hAnsi="Times New Roman"/>
        </w:rPr>
        <w:t xml:space="preserve"> Competing-risks models (Bertoni &amp; Groh, 2014, pp. 88-90) are an option for time to exit. The linear mixed models of Moore et al. (2015, pp. 490-491) and Alhorr et al. (2008, pp. 907-908) are for country-level panels and do not fit a deal-level logit.</w:t>
      </w:r>
    </w:p>
    <w:p>
      <w:pPr>
        <w:pStyle w:val="Heading2"/>
      </w:pPr>
      <w:r>
        <w:rPr>
          <w:rFonts w:ascii="Times New Roman" w:cs="Times New Roman" w:eastAsia="Times New Roman" w:hAnsi="Times New Roman"/>
        </w:rPr>
        <w:t xml:space="preserve">3.4. Selection and Endogeneity</w:t>
      </w:r>
    </w:p>
    <w:p>
      <w:pPr>
        <w:spacing w:after="140" w:line="300"/>
      </w:pPr>
      <w:r>
        <w:rPr>
          <w:rFonts w:ascii="Times New Roman" w:cs="Times New Roman" w:eastAsia="Times New Roman" w:hAnsi="Times New Roman"/>
        </w:rPr>
        <w:t xml:space="preserve">Four papers address selection or endogeneity in different ways. Li et al. (2014, pp. 479-480, 484) estimate a two-stage Heckman model with 16,419 domestic investments as a control group, with consistent results. Bertoni and Groh (2014, pp. 85, 89, 94-95) use propensity score matching of cross-border deals with similar local deals, which removes the support for their IPO hypothesis but not for the trade-sale hypothesis. Bottazzi et al. (2016, pp. 2307-2309) treat selection as the mechanism itself and estimate a Heckman model with the export share as excluded variable, for which the Mills ratio is significant only for IPO and exit (their authors state that the exclusion restriction can be asserted but not proven, p. 2308). Liu and Maula (2021, pp. 6, 13-15) test endogeneity of host-country network status with an instrument (the mean status of VCs in the focal city; exogeneity not rejected, p = 0.549), keep a simple probit, and report an extended probit as robustness; they use no selection correction. The two surveys name endogeneity of international venture capital as a concern, with instrumental variables and natural experiments in recent studies (Devigne et al., 2018, p. 1437; Boryniec et al., 2025, pp. 148, 151).</w:t>
      </w:r>
    </w:p>
    <w:p>
      <w:pPr>
        <w:spacing w:after="140" w:line="300"/>
      </w:pPr>
      <w:r>
        <w:rPr>
          <w:rFonts w:ascii="Times New Roman" w:cs="Times New Roman" w:eastAsia="Times New Roman" w:hAnsi="Times New Roman"/>
        </w:rPr>
        <w:t xml:space="preserve">The supervisor accepts a selection model only with a clear justification. Working choice (D12): no selection correction in the main model, and a domestic comparison group as a robustness check if the data allow, decided after data inspection. The sample consists of realized deals only (D21, confirmed as a working choice, linked to D12).</w:t>
      </w:r>
    </w:p>
    <w:p>
      <w:pPr>
        <w:pStyle w:val="Heading2"/>
      </w:pPr>
      <w:r>
        <w:rPr>
          <w:rFonts w:ascii="Times New Roman" w:cs="Times New Roman" w:eastAsia="Times New Roman" w:hAnsi="Times New Roman"/>
        </w:rPr>
        <w:t xml:space="preserve">3.5. Robustness Checks</w:t>
      </w:r>
    </w:p>
    <w:p>
      <w:pPr>
        <w:spacing w:after="140" w:line="300"/>
      </w:pPr>
      <w:r>
        <w:rPr>
          <w:rFonts w:ascii="Times New Roman" w:cs="Times New Roman" w:eastAsia="Times New Roman" w:hAnsi="Times New Roman"/>
        </w:rPr>
        <w:t xml:space="preserve">Planned from the supervisor: probit and linear probability models, and the headquarters versus the investing office. Candidates from the papers: language distance or another cultural measure in place of the main measure (Li et al., 2014, pp. 483-485), the Mahalanobis version of cultural distance (Beugelsdijk et al., 2018, pp. 106, 108-109), split institutional dimensions (D18), a squared term for non-linear distance effects (Hutzschenreuter et al., 2016, p. 166), a domestic comparison group (D12), trust (D20), distance to the closest investor office and a second data source (Bottazzi et al., 2016, pp. 2302-2303), and a matched sample (Bertoni &amp; Groh, 2014, pp. 89-97). </w:t>
      </w:r>
      <w:r>
        <w:rPr>
          <w:rFonts w:ascii="Times New Roman" w:cs="Times New Roman" w:eastAsia="Times New Roman" w:hAnsi="Times New Roman"/>
          <w:highlight w:val="yellow"/>
          <w:highlightCs w:val="yellow"/>
        </w:rPr>
        <w:t xml:space="preserve">[Final list after the main specification is fixed.]</w:t>
      </w:r>
    </w:p>
    <w:p>
      <w:pPr>
        <w:pStyle w:val="Heading1"/>
      </w:pPr>
      <w:r>
        <w:rPr>
          <w:rFonts w:ascii="Times New Roman" w:cs="Times New Roman" w:eastAsia="Times New Roman" w:hAnsi="Times New Roman"/>
        </w:rPr>
        <w:t xml:space="preserve">4. Relevance</w:t>
      </w:r>
    </w:p>
    <w:p>
      <w:pPr>
        <w:pStyle w:val="Heading2"/>
      </w:pPr>
      <w:r>
        <w:rPr>
          <w:rFonts w:ascii="Times New Roman" w:cs="Times New Roman" w:eastAsia="Times New Roman" w:hAnsi="Times New Roman"/>
        </w:rPr>
        <w:t xml:space="preserve">4.1. Academic Relevance</w:t>
      </w:r>
    </w:p>
    <w:p>
      <w:pPr>
        <w:spacing w:after="140" w:line="300"/>
      </w:pPr>
      <w:r>
        <w:rPr>
          <w:rFonts w:ascii="Times New Roman" w:cs="Times New Roman" w:eastAsia="Times New Roman" w:hAnsi="Times New Roman"/>
        </w:rPr>
        <w:t xml:space="preserve">The study tests the distance and performance relationship in a European setting at the deal level, with moderators tied to European institutions, and adds follow-on funding as an outcome beyond exit, which the surveys call for (Boryniec et al., 2025, pp. 149-150). It also responds to the call for research on contingencies of individual distance dimensions (Hutzschenreuter et al., 2016, p. 170) and avoids the confusion of distance and level effects by using many countries (Beugelsdijk et al., 2018, pp. 94, 122). </w:t>
      </w:r>
      <w:r>
        <w:rPr>
          <w:rFonts w:ascii="Times New Roman" w:cs="Times New Roman" w:eastAsia="Times New Roman" w:hAnsi="Times New Roman"/>
          <w:highlight w:val="yellow"/>
          <w:highlightCs w:val="yellow"/>
        </w:rPr>
        <w:t xml:space="preserve">[To be sharpened once the moderators are chosen.]</w:t>
      </w:r>
    </w:p>
    <w:p>
      <w:pPr>
        <w:pStyle w:val="Heading2"/>
      </w:pPr>
      <w:r>
        <w:rPr>
          <w:rFonts w:ascii="Times New Roman" w:cs="Times New Roman" w:eastAsia="Times New Roman" w:hAnsi="Times New Roman"/>
        </w:rPr>
        <w:t xml:space="preserve">4.2. Managerial Relevance</w:t>
      </w:r>
    </w:p>
    <w:p>
      <w:pPr>
        <w:spacing w:after="140" w:line="300"/>
      </w:pPr>
      <w:r>
        <w:rPr>
          <w:rFonts w:ascii="Times New Roman" w:cs="Times New Roman" w:eastAsia="Times New Roman" w:hAnsi="Times New Roman"/>
        </w:rPr>
        <w:t xml:space="preserve">Li et al. (2014, pp. 485-486) draw practical implications for staffing: investors that expand abroad might prioritize candidates with diverse international experience and keep host-country knowledge current. </w:t>
      </w:r>
      <w:r>
        <w:rPr>
          <w:rFonts w:ascii="Times New Roman" w:cs="Times New Roman" w:eastAsia="Times New Roman" w:hAnsi="Times New Roman"/>
          <w:highlight w:val="yellow"/>
          <w:highlightCs w:val="yellow"/>
        </w:rPr>
        <w:t xml:space="preserve">[Managerial relevance for investors, founders, and policy makers to be written after the moderators are chosen.]</w:t>
      </w:r>
    </w:p>
    <w:p>
      <w:pPr>
        <w:pStyle w:val="Heading1"/>
      </w:pPr>
      <w:r>
        <w:rPr>
          <w:rFonts w:ascii="Times New Roman" w:cs="Times New Roman" w:eastAsia="Times New Roman" w:hAnsi="Times New Roman"/>
        </w:rPr>
        <w:t xml:space="preserve">5. Limitations</w:t>
      </w:r>
    </w:p>
    <w:p>
      <w:pPr>
        <w:spacing w:after="140" w:line="300"/>
      </w:pPr>
      <w:r>
        <w:rPr>
          <w:rFonts w:ascii="Times New Roman" w:cs="Times New Roman" w:eastAsia="Times New Roman" w:hAnsi="Times New Roman"/>
        </w:rPr>
        <w:t xml:space="preserve">Several limitations are already visible. The first financing round and the lead investor are observed only through the database used, and commercial databases may under-represent early-stage deals and code subsidiary investments as domestic (Devigne et al., 2018, p. 1437). Distance is measured at the country level and hides regional variation, a limitation also raised by Li et al. (2014, p. 486). The transfer of evidence from exit success to follow-on funding is an assumption, because no paper read studies follow-on funding as an outcome. Most distance measures are time invariant and based on published frameworks that are criticized (Li et al., 2014, p. 486; Beugelsdijk et al., 2018, pp. 121-122). Selection into foreign-led first rounds is not corrected in the main model (D12). </w:t>
      </w:r>
      <w:r>
        <w:rPr>
          <w:rFonts w:ascii="Times New Roman" w:cs="Times New Roman" w:eastAsia="Times New Roman" w:hAnsi="Times New Roman"/>
          <w:highlight w:val="yellow"/>
          <w:highlightCs w:val="yellow"/>
        </w:rPr>
        <w:t xml:space="preserve">[To be completed after the design is final.]</w:t>
      </w:r>
    </w:p>
    <w:p>
      <w:pPr>
        <w:pStyle w:val="Heading1"/>
      </w:pPr>
      <w:r>
        <w:rPr>
          <w:rFonts w:ascii="Times New Roman" w:cs="Times New Roman" w:eastAsia="Times New Roman" w:hAnsi="Times New Roman"/>
        </w:rPr>
        <w:t xml:space="preserve">6. Research Paper Structure</w:t>
      </w:r>
    </w:p>
    <w:p>
      <w:pPr>
        <w:spacing w:after="140" w:line="300"/>
      </w:pPr>
      <w:r>
        <w:rPr>
          <w:rFonts w:ascii="Times New Roman" w:cs="Times New Roman" w:eastAsia="Times New Roman" w:hAnsi="Times New Roman"/>
          <w:highlight w:val="yellow"/>
          <w:highlightCs w:val="yellow"/>
        </w:rPr>
        <w:t xml:space="preserve">[To be written once the design is final. The Biljardt (2017) proposal gives the pattern: section outline with estimated pages for the final thesis.]</w:t>
      </w:r>
    </w:p>
    <w:p>
      <w:pPr>
        <w:pStyle w:val="Heading1"/>
      </w:pPr>
      <w:r>
        <w:rPr>
          <w:rFonts w:ascii="Times New Roman" w:cs="Times New Roman" w:eastAsia="Times New Roman" w:hAnsi="Times New Roman"/>
        </w:rPr>
        <w:t xml:space="preserve">7. Research Schedule</w:t>
      </w:r>
    </w:p>
    <w:p>
      <w:pPr>
        <w:spacing w:after="140" w:line="300"/>
      </w:pPr>
      <w:r>
        <w:rPr>
          <w:rFonts w:ascii="Times New Roman" w:cs="Times New Roman" w:eastAsia="Times New Roman" w:hAnsi="Times New Roman"/>
        </w:rPr>
        <w:t xml:space="preserve">The final proposal is due on Sunday 11 October 2026 at 23:59. </w:t>
      </w:r>
      <w:r>
        <w:rPr>
          <w:rFonts w:ascii="Times New Roman" w:cs="Times New Roman" w:eastAsia="Times New Roman" w:hAnsi="Times New Roman"/>
          <w:highlight w:val="yellow"/>
          <w:highlightCs w:val="yellow"/>
        </w:rPr>
        <w:t xml:space="preserve">[Schedule for the thesis phase to be added: data collection, estimation, drafting, and submission dates as set by the programme.]</w:t>
      </w:r>
    </w:p>
    <w:p>
      <w:pPr>
        <w:pStyle w:val="Heading1"/>
      </w:pPr>
      <w:r>
        <w:rPr>
          <w:rFonts w:ascii="Times New Roman" w:cs="Times New Roman" w:eastAsia="Times New Roman" w:hAnsi="Times New Roman"/>
        </w:rPr>
        <w:t xml:space="preserve">List of References</w:t>
      </w:r>
    </w:p>
    <w:p>
      <w:pPr>
        <w:spacing w:after="140" w:line="300"/>
      </w:pPr>
      <w:r>
        <w:rPr>
          <w:rFonts w:ascii="Times New Roman" w:cs="Times New Roman" w:eastAsia="Times New Roman" w:hAnsi="Times New Roman"/>
        </w:rPr>
        <w:t xml:space="preserve">Li, Y., Vertinsky, I. B., &amp; Li, J. (2014). National distances, international experience, and venture capital investment performance. Journal of Business Venturing, 29, 471-489. https://doi.org/10.1016/j.jbusvent.2013.08.002</w:t>
      </w:r>
    </w:p>
    <w:p>
      <w:pPr>
        <w:spacing w:after="140" w:line="300"/>
      </w:pPr>
      <w:r>
        <w:rPr>
          <w:rFonts w:ascii="Times New Roman" w:cs="Times New Roman" w:eastAsia="Times New Roman" w:hAnsi="Times New Roman"/>
        </w:rPr>
        <w:t xml:space="preserve">Bertoni, F., &amp; Groh, A. P. (2014). Cross-border investments and venture capital exits in Europe. Corporate Governance: An International Review, 22(2), 84-99. https://doi.org/10.1111/corg.12056</w:t>
      </w:r>
    </w:p>
    <w:p>
      <w:pPr>
        <w:spacing w:after="140" w:line="300"/>
      </w:pPr>
      <w:r>
        <w:rPr>
          <w:rFonts w:ascii="Times New Roman" w:cs="Times New Roman" w:eastAsia="Times New Roman" w:hAnsi="Times New Roman"/>
        </w:rPr>
        <w:t xml:space="preserve">Moore, C. B., Payne, G. T., Bell, R. G., &amp; Davis, J. L. (2015). Institutional distance and cross-border venture capital investment flows. Journal of Small Business Management, 53(2), 482-500. https://doi.org/10.1111/jsbm.12079</w:t>
      </w:r>
    </w:p>
    <w:p>
      <w:pPr>
        <w:spacing w:after="140" w:line="300"/>
      </w:pPr>
      <w:r>
        <w:rPr>
          <w:rFonts w:ascii="Times New Roman" w:cs="Times New Roman" w:eastAsia="Times New Roman" w:hAnsi="Times New Roman"/>
        </w:rPr>
        <w:t xml:space="preserve">Bottazzi, L., Da Rin, M., &amp; Hellmann, T. (2016). The importance of trust for investment: Evidence from venture capital. The Review of Financial Studies, 29(9), 2283-2318. https://doi.org/10.1093/rfs/hhw023</w:t>
      </w:r>
    </w:p>
    <w:p>
      <w:pPr>
        <w:spacing w:after="140" w:line="300"/>
      </w:pPr>
      <w:r>
        <w:rPr>
          <w:rFonts w:ascii="Times New Roman" w:cs="Times New Roman" w:eastAsia="Times New Roman" w:hAnsi="Times New Roman"/>
        </w:rPr>
        <w:t xml:space="preserve">Alhorr, H. S., Moore, C. B., &amp; Payne, G. T. (2008). The impact of economic integration on cross-border venture capital investments: Evidence from the European Union. Entrepreneurship Theory and Practice, 32(5), 897-917. https://doi.org/10.1111/j.1540-6520.2008.00261.x </w:t>
      </w:r>
      <w:r>
        <w:rPr>
          <w:rFonts w:ascii="Times New Roman" w:cs="Times New Roman" w:eastAsia="Times New Roman" w:hAnsi="Times New Roman"/>
          <w:highlight w:val="yellow"/>
          <w:highlightCs w:val="yellow"/>
        </w:rPr>
        <w:t xml:space="preserve">[DOI taken from the reference list of Boryniec et al. (2025, p. 152); check against the article.]</w:t>
      </w:r>
    </w:p>
    <w:p>
      <w:pPr>
        <w:spacing w:after="140" w:line="300"/>
      </w:pPr>
      <w:r>
        <w:rPr>
          <w:rFonts w:ascii="Times New Roman" w:cs="Times New Roman" w:eastAsia="Times New Roman" w:hAnsi="Times New Roman"/>
        </w:rPr>
        <w:t xml:space="preserve">Devigne, D., Manigart, S., Vanacker, T., &amp; Mulier, K. (2018). Venture capital internationalization: Synthesis and future research directions. Journal of Economic Surveys, 32(5), 1414-1445. https://doi.org/10.1111/joes.12276</w:t>
      </w:r>
    </w:p>
    <w:p>
      <w:pPr>
        <w:spacing w:after="140" w:line="300"/>
      </w:pPr>
      <w:r>
        <w:rPr>
          <w:rFonts w:ascii="Times New Roman" w:cs="Times New Roman" w:eastAsia="Times New Roman" w:hAnsi="Times New Roman"/>
        </w:rPr>
        <w:t xml:space="preserve">Boryniec, T., Li, C., &amp; Tan, Y. (2025). A survey of cross-border venture capital research. Venture Capital, 27(2), 109-170. https://doi.org/10.1080/13691066.2023.2285997</w:t>
      </w:r>
    </w:p>
    <w:p>
      <w:pPr>
        <w:spacing w:after="140" w:line="300"/>
      </w:pPr>
      <w:r>
        <w:rPr>
          <w:rFonts w:ascii="Times New Roman" w:cs="Times New Roman" w:eastAsia="Times New Roman" w:hAnsi="Times New Roman"/>
        </w:rPr>
        <w:t xml:space="preserve">Hutzschenreuter, T., Kleindienst, I., &amp; Lange, S. (2016). The concept of distance in international business research: A review and research agenda. International Journal of Management Reviews, 18(2), 160-179. https://doi.org/10.1111/ijmr.12065</w:t>
      </w:r>
    </w:p>
    <w:p>
      <w:pPr>
        <w:spacing w:after="140" w:line="300"/>
      </w:pPr>
      <w:r>
        <w:rPr>
          <w:rFonts w:ascii="Times New Roman" w:cs="Times New Roman" w:eastAsia="Times New Roman" w:hAnsi="Times New Roman"/>
        </w:rPr>
        <w:t xml:space="preserve">Beugelsdijk, S., Kostova, T., Kunst, V. E., Spadafora, E., &amp; van Essen, M. (2018). Cultural distance and firm internationalization: A meta-analytical review and theoretical implications. Journal of Management, 44(1), 89-130. https://doi.org/10.1177/0149206317729027</w:t>
      </w:r>
    </w:p>
    <w:p>
      <w:pPr>
        <w:spacing w:after="140" w:line="300"/>
      </w:pPr>
      <w:r>
        <w:rPr>
          <w:rFonts w:ascii="Times New Roman" w:cs="Times New Roman" w:eastAsia="Times New Roman" w:hAnsi="Times New Roman"/>
        </w:rPr>
        <w:t xml:space="preserve">Zhou, Z., Kwon, J., Zhang, B., Li, J., Kim, H. C., &amp; Heo, J. H. (2021). The role of national distance in international business: A review from 1980 to 2017. Review of International Business and Strategy, 31(2), 153-176. https://doi.org/10.1108/RIBS-07-2020-0083</w:t>
      </w:r>
    </w:p>
    <w:p>
      <w:pPr>
        <w:spacing w:after="140" w:line="300"/>
      </w:pPr>
      <w:r>
        <w:rPr>
          <w:rFonts w:ascii="Times New Roman" w:cs="Times New Roman" w:eastAsia="Times New Roman" w:hAnsi="Times New Roman"/>
        </w:rPr>
        <w:t xml:space="preserve">Liu, Y., &amp; Maula, M. (2021). Contextual status effects: The performance effects of host-country network status and regulatory institutions in cross-border venture capital. Research Policy, 50, Article 104216. https://doi.org/10.1016/j.respol.2021.104216 </w:t>
      </w:r>
      <w:r>
        <w:rPr>
          <w:rFonts w:ascii="Times New Roman" w:cs="Times New Roman" w:eastAsia="Times New Roman" w:hAnsi="Times New Roman"/>
          <w:highlight w:val="yellow"/>
          <w:highlightCs w:val="yellow"/>
        </w:rPr>
        <w:t xml:space="preserve">[Issue number to be added.]</w:t>
      </w:r>
    </w:p>
    <w:p>
      <w:pPr>
        <w:spacing w:after="140" w:line="300"/>
      </w:pPr>
      <w:r>
        <w:rPr>
          <w:rFonts w:ascii="Times New Roman" w:cs="Times New Roman" w:eastAsia="Times New Roman" w:hAnsi="Times New Roman"/>
        </w:rPr>
        <w:t xml:space="preserve">Tykvová, T., &amp; Schertler, A. (2014). Does syndication with local venture capitalists moderate the effects of geographical and institutional distance? Journal of International Management, 20, 406-420. https://doi.org/10.1016/j.intman.2014.09.001 </w:t>
      </w:r>
      <w:r>
        <w:rPr>
          <w:rFonts w:ascii="Times New Roman" w:cs="Times New Roman" w:eastAsia="Times New Roman" w:hAnsi="Times New Roman"/>
          <w:highlight w:val="yellow"/>
          <w:highlightCs w:val="yellow"/>
        </w:rPr>
        <w:t xml:space="preserve">[Issue number to be added.]</w:t>
      </w:r>
    </w:p>
    <w:p>
      <w:pPr>
        <w:spacing w:after="140" w:line="300"/>
      </w:pPr>
      <w:r>
        <w:rPr>
          <w:rFonts w:ascii="Times New Roman" w:cs="Times New Roman" w:eastAsia="Times New Roman" w:hAnsi="Times New Roman"/>
        </w:rPr>
        <w:t xml:space="preserve">Tihanyi, L., Griffith, D. A., &amp; Russell, C. J. (2005). The effect of cultural distance on entry mode choice, international diversification, and MNE performance: A meta-analysis. Journal of International Business Studies, 36, 270-283. https://doi.org/10.1057/palgrave.jibs.8400136 </w:t>
      </w:r>
      <w:r>
        <w:rPr>
          <w:rFonts w:ascii="Times New Roman" w:cs="Times New Roman" w:eastAsia="Times New Roman" w:hAnsi="Times New Roman"/>
          <w:highlight w:val="yellow"/>
          <w:highlightCs w:val="yellow"/>
        </w:rPr>
        <w:t xml:space="preserve">[Issue number to be added.]</w:t>
      </w:r>
    </w:p>
    <w:p>
      <w:pPr>
        <w:spacing w:after="140" w:line="300"/>
      </w:pPr>
      <w:r>
        <w:rPr>
          <w:rFonts w:ascii="Times New Roman" w:cs="Times New Roman" w:eastAsia="Times New Roman" w:hAnsi="Times New Roman"/>
          <w:highlight w:val="yellow"/>
          <w:highlightCs w:val="yellow"/>
        </w:rPr>
        <w:t xml:space="preserve">[Issue number of Li et al. (2014) to be added. References for the other papers are added as they are processed.]</w:t>
      </w:r>
    </w:p>
    <w:p>
      <w:pPr>
        <w:spacing w:after="140" w:line="300"/>
      </w:pPr>
      <w:r>
        <w:rPr>
          <w:rFonts w:ascii="Times New Roman" w:cs="Times New Roman" w:eastAsia="Times New Roman" w:hAnsi="Times New Roman"/>
        </w:rPr>
        <w:t xml:space="preserve">Secondary sources cited via Li et al. (2014) that must be checked in the original before they appear in the reference list: Ai and Norton (2003); Dai, Jo, and Kassicieh (2012); Heckman (1979); Kaufmann, Kraay, and Mastruzzi (2007); Kogut and Singh (1988); Hofstede (2001); Zaheer (1995). Cited via Bertoni and Groh (2014): Cumming and Dai (2010); Fine and Gray (1999); Meuleman and Wright (2011); Devigne, Manigart, and Wright (2012). Cited via Moore et al. (2015): Scott (1995); Kostova (1999); Gaur, Delios, and Singh (2007); Gaur and Lu (2007); Wright, Pruthi, and Lockett (2005). Cited via Bottazzi et al. (2016): Guiso, Sapienza, and Zingales (2009); Bloom, Sadun, and Van Reenen (2012); Brander, Amit, and Antweiler (2000); Hellmann (2006). Cited via Alhorr et al. (2008): Wright, Pruthi, and Lockett (2005); Fligstein and Sweet (2002); Kreft and Sobel (2005); Gompers (2005). Cited via Devigne et al. (2018): Chemmanur, Hull, and Krishnan (2016); Nahata, Hazarika, and Tandon (2014) (author names confirmed in the reference list of Tykvová and Schertler, 2014, p. 420; the year and status of the article are to be checked); Wuebker et al. (2015); Humphery-Jenner and Suchard (2013); Cumming, Knill, and Syvrud (2016); Espenlaub et al. (2015); Mäkelä and Maula (2006, 2008); Colombo et al. (2017); Aizenman and Kendall (2012); Bertoni, Colombo, and Quas (2015); Meuleman and Wright (2011). Cited via Boryniec et al. (2025): Tarrade (2012); Hain, Johan, and Wang (2016); Hain et al. (2017); Jääskeläinen and Maula (2014); Mingo, Morales, and Dau (2018); Meuleman et al. (2017); Dai and Nahata (2016); Huang, Kenney, and Patton (2015); Zhang (2018); Akcigit et al. (2020); Alvarez-Garrido and Guler (2018); Lin et al. (2017); Tykvová and Schertler (2014); Wang (2017). Cited via Hutzschenreuter et al. (2016): Ghemawat (2001); Hofstede (1980); Kogut and Singh (1988); Shenkar (2001); Dow and Karunaratna (2006); Brewer (2007); Håkanson and Ambos (2010); Cho and Padmanabhan (2005); Pogrebnyakov and Maitland (2011); Arslan and Larimo (2011); Hutzschenreuter and Voll (2008); Hutzschenreuter et al. (2014); Hutzschenreuter and Horstkotte (2013); Malhotra et al. (2009); Meschi and Riccio (2008); Dikova (2009). Cited via Beugelsdijk et al. (2018): Kogut and Singh (1988); Berry, Guillen, and Zhou (2010); Beugelsdijk, Kostova, and Roth (2017); Brouthers, Marshall, and Keig (2016); van Hoorn and Maseland (2016); Ronen and Shenkar (2013); House et al. (2004); Schwartz (1994); Reus and Lamont (2009); Kostova and Roth (2002); Tihanyi et al. (2005); Zhao, Luo, and Suh (2004). Cited via Zhou et al. (2021): Ghemawat (2001); Berry et al. (2010); Dow and Karunaratna (2006); Scott (2008); North (1990); Na and Nahata (2016); Chen et al. (1995). Cited via Liu and Maula (2021): Kovács and Liu (2016); Bonacich (1987); Greve et al. (2014); Alvarez-Garrido and Guler (2018); Guler and Guillén (2010a, 2010b); Ahlstrom and Bruton (2006); Taussig (2017); Mize (2019); La Porta et al. (1998); Zhang (2018); Meuleman et al. (2017). Cited via Tykvová and Schertler (2014): Scott (1995, 2001); Kostova (1996); Berkowitz, Pistor, and Richard (2003); Busenitz, Gomez, and Spencer (2000); Ai and Norton (2003); Petersen (2009); Sorenson and Stuart (2001); Mäkelä and Maula (2008); Aizenman and Kendall (2012); Nahata et al. (2014). Cited via Tihanyi et al. (2005): Hofstede (1980); Kogut and Singh (1988); Hunter and Schmidt (1990); Brouthers and Brouthers (2001, 2003); Shenkar (2001); Triandis (1994); Pothukuchi et al. (2002); Inglehart and Baker (2000). The Online Appendix of Bottazzi et al. (2016) was not part of the file read; results that rely on it are cited from the main text only.</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pPr>
      <w:r>
        <w:rPr>
          <w:rFonts w:ascii="Times New Roman" w:cs="Times New Roman" w:eastAsia="Times New Roman" w:hAnsi="Times New Roman"/>
        </w:rPr>
        <w:t xml:space="preserve">Appendix A: Decision Log</w:t>
      </w:r>
    </w:p>
    <w:p>
      <w:pPr>
        <w:spacing w:after="140" w:line="300"/>
      </w:pPr>
      <w:r>
        <w:rPr>
          <w:rFonts w:ascii="Times New Roman" w:cs="Times New Roman" w:eastAsia="Times New Roman" w:hAnsi="Times New Roman"/>
        </w:rPr>
        <w:t xml:space="preserve">Version v2 (shortened). Status: Decided or Confirmed (final unless new evidence), Preliminary (confirmed for now, final after the next check), Open (not decided). Each row gives the options, the basis in the papers read (author, year, page; full evidence in Appendix B), the working choice used in the text, and what the decision waits for. Nothing counts as decided until the author confirms it.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600"/>
        <w:gridCol w:w="4800"/>
        <w:gridCol w:w="1600"/>
        <w:gridCol w:w="1100"/>
        <w:gridCol w:w="1758"/>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Topic</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Options</w:t>
            </w:r>
          </w:p>
        </w:tc>
        <w:tc>
          <w:tcPr>
            <w:tcW w:type="dxa" w:w="4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Basis in the papers</w:t>
            </w:r>
          </w:p>
        </w:tc>
        <w:tc>
          <w:tcPr>
            <w:tcW w:type="dxa" w:w="1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Working choice</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Status</w:t>
            </w:r>
          </w:p>
        </w:tc>
        <w:tc>
          <w:tcPr>
            <w:tcW w:type="dxa" w:w="17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Waiting for</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distance measure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Manhattan distance on WGI composite. B: Mahalanobis on WGI dimensions. C: single dimension.</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 478): A. Zhou (2021, pp. 161-162): WGI 40.7% of items. Moore (2015): pillar items. Hutzschenreuter (2016, pp. 162-163): labels differ. Majority for WGI composite as standard.</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 after next check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D2a</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Where language enters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or alternative cultural measure.</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pp. 483-484): robustness only, r = 0.67 with cultural distance. Bottazzi (2016); Tarrade in Boryniec (2025, p. 128); Zhou (2021, p. 169): label overlap. Liu and Maula (2021, pp. 6, 8): common official language as control, weak positive (p = 0.09).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only, if chosen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Waits for D6</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D2b</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measure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Kogut and Singh, four Hofstede dimensions. B: other measure.</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 478), Moore (2015, p. 488), Zhou (2021, p. 159: Hofstede 68.8%), Tihanyi (2005, p. 280, note 2): A. Beugelsdijk (2018, pp. 106-109, 121-122): measure changes results, composite or more than one framework. Liu and Maula (2021, p. 6): GLOBE data, control only.</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Mahalanobis as robustness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 after next check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Role of geographic distance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main variable; shared border as control.</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pp. 482, 485): not significant. Bottazzi (2016, pp. 2300, 2304-2306): negative for deal and IPO only. Zhou (2021, pp. 164, 169); Hutzschenreuter (2016, p. 171); Boryniec (2025, p. 128). Liu and Maula (2021, pp. 8, 10): control, not significant.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HQ city to city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 after next check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experience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moderator. B: control. C: both.</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pp. 476, 480): moderator partly supported. Hutzschenreuter (2016, pp. 169-170): key contingency. Devigne (2018, pp. 1427, 1430); Boryniec (2025, p. 133): contradictory. Beugelsdijk (2018, p. 115): untested. Liu and Maula (2021, pp. 8, 11): host-country and international experience not significant as controls.</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moderator open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Moderator part waits for D6</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Experience measure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 of foreign investment amount; share of ventures in host country; other.</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 478, note 4): amount missing for a quarter of observations. Hutzschenreuter (2016, p. 170): other types and duration used. Liu and Maula (2021, p. 6): counts of earlier ventures with 30 percent annual depreciation, ln.</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Count-based share; window after data inspection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Window after data inspection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European moderators (final 2 to 3)</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Shared language; economic ties or integration; shared border; local co-investor. Air links not on the shortlist.</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See Table 1 in section 2.4: only local co-investor tested, for the likelihood of investing (Tykvová and Schertler, 2014, pp. 415, 417), not for outcomes; research needs flagged by Hutzschenreuter (2016, p. 170), Devigne (2018, pp. 1437-1438), Boryniec (2025), Zhou (2021, p. 169).</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chosen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Author chooses; main blocker for hypotheses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Industry specialization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control. B: moderator of institutional distance.</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pp. 481-483): control, negative and significant in most models; no other paper tests it.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only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 after next check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Lead investor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lead only. B: average over co-investors. C: minimum distance.</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 478): B. Bertoni and Groh (2014, p. 90): lead not identified. Liu and Maula (2021, p. 6): all dyads, lead not identified. Prior research does not support A; the supervisor sets A.</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 on prior research; check supervisor</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Follow-on window</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Round within X months; any later round or institutional round only; treatment of exits and failures.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paper read uses follow-on as outcome. Boryniec (2025, pp. 136, 149-150): exits usual; Zhang (2018), Meuleman (2017) cited, not read. Li (2014, p. 477): exit with 3-year window. Liu and Maula (2021, pp. 4-5): first investment only, because follow-on decisions are continuation decisions.</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Set after data inspection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inspection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Interpreting interactions in logit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sign and likelihood ratio tests. B: Ai and Norton effects with plots.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pp. 479-480, 483): both. Tykvová and Schertler (2014, p. 415): marginal effects with subgroup difference tests (Ai and Norton). Liu and Maula (2021, p. 9): average marginal effects with plots (Mize, 2019). No other paper reports its approach.</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yet</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More evidence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Fixed effects and standard errors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Industry, startup country, investor country, year; clustering.</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industry, nation, year. Bottazzi (2016, pp. 2299, 2303): investor and country effects, clustering by country pair. Bertoni and Groh (2014, p. 93): robust errors. Tykvová and Schertler (2014, pp. 414-415, 417): deal and VC country effects, clustering by EF country and year. Liu and Maula (2021, pp. 6, 11): clustering by venture; VC firm fixed effects and two-way clustering as robustness. Beugelsdijk (2018, pp. 94, 122): level effects.</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Proposal: year, industry, both countries, cluster by pair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More evidence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Selection correction (Heckman)</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none. B: Heckman with domestic group. C: other.</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Used: Li (2014), Bertoni and Groh (2014), Bottazzi (2016: significant only for IPO and exit). Concern: Devigne (2018, p. 1437), Boryniec (2025, pp. 148, 151). Liu and Maula (2021, pp. 13-15): instrument test of endogeneity, no selection correction. Supervisor: only if justified.</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correction in main model; robustness if data allow</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 (working choice)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inspection; linked to D21</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Theoretical lens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Liability of foreignness; institutional; learning; trust.</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Seven of seven papers with a stated lens use liability of foreignness or institutional logic.</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Liability of foreignness and distance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change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source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VentureXpert or Thomson One. B: VICO. C: Zephyr.</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(2014), Alhorr (2008), Moore (2015): VentureXpert or SDC. Boryniec (2025, pp. 166-167): Zephyr preferred outside the US. Devigne (2018, p. 1437): coverage problems. Liu and Maula (2021, pp. 4, 13): VentureXpert, nationality errors admitted. Tykvová and Schertler (2014, pp. 410-411): Zephyr chosen over VentureXpert (home bias).</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VentureXpert; Zephyr as fallback</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Coverage check for Europe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Gap wording</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Narrow gap versus broader statement.</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 of Bertoni and Groh (2014), Bottazzi (2016), Alhorr (2008), Moore (2015) covers distance and follow-on in Europe.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Narrow gap</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Decided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Re-check at final consolidation</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Home-country exit market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include. B: leave out.</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pp. 93-94): trade-sale exits rise with investor-country M&amp;A volume.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models only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May change with more data</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 model</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binary logit. B: competing risks. C: discrete-time multinomial logit.</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Supervisor: logit primary, probit and LPM robustness. Bertoni and Groh (2014, pp. 88-90): B and C for exit mode. Liu and Maula (2021, pp. 6, 11): probit main; logit, LPM, Cox, competing risks as robustness.</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More evidence wanted</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Composite or separate institutional dimensions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composite. B: three pillars. C: single dimensions.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Composite as standard: Li (2014), Zhou (2021). Liu and Maula (2021, p. 5): one legal dimension (law and order). Opposite-sign sub-dimensions: Moore (2015, p. 492), Hutzschenreuter (2016, pp. 167-168). Tykvová and Schertler (2014, pp. 415-416) report pillars and composite: cognitive insignificant in baseline.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Composite main, split as robustness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More evidence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D19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Level of analysis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deal level. B: country-pair flows. C: deal level with pair controls.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or venture level for performance: Li (2014), Bertoni and Groh (2014). Flow studies: Moore (2015), Alhorr (2008).</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level, clustered by pair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Confirmed</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Generalized trust</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 B: additional distance. C: moderator.</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(2016, pp. 2293, 2297, 2300-2306): one study, old data. Boryniec (2025, p. 170): source in two studies. Coverage of later members not reported.</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in main model</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Coverage check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Realized or potential deals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realized only. B: all pairs. C: with selection correction.</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(2016, pp. 2294-2295): potential pairs. Li (2014, pp. 479-480): domestic group. Follows D12.</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Confirmed (working choice)</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D12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integration variable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none. B: moderator. C: control. D: sample definition only.</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(2008, pp. 906, 910): main effects of single market and euro; never combined with distance. Overlaps with D6.</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Control if not a moderator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Open</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Waits for D6</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Entry mode or local office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 B: office robustness. C: HQ versus subsidiary as moderator.</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(2018, pp. 1426, 1437-1439), Boryniec (2025, pp. 133, 149): contradictory, rarely studied. Supervisor: B.</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D14 coding of subsidiary deals</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Reference point and level of analysis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HQ country, objective measures. B: plus closest portfolio country. C: perceived.</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(2016, pp. 163-164, 172-173), Beugelsdijk (2018, pp. 94, 122), Zhou (2021, p. 164): home or HQ country standard.</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Confirm after next check</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Economic distance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not used. B: control (GDP difference). C: dimension or moderator.</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(2016, pp. 163, 168); Bottazzi (2016, p. 2293); Zhou (2021, pp. 163-164): GDP control common, no standard method.</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D6 and D22</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D26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versus level effects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many countries. B: A plus country fixed effects. C: A plus country controls.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(2018, pp. 94, 122): many home and host countries. Bottazzi (2016, pp. 2299, 2303): country fixed effects. Liu and Maula (2021, p. 6): host and home levels entered, no distance.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Preliminary</w:t>
            </w:r>
          </w:p>
        </w:tc>
        <w:tc>
          <w:tcPr>
            <w:tcW w:type="dxa" w:w="17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Linked to D11</w:t>
            </w:r>
          </w:p>
        </w:tc>
      </w:tr>
    </w:tbl>
    <w:p/>
    <w:p>
      <w:pPr>
        <w:pStyle w:val="Heading1"/>
      </w:pPr>
      <w:r>
        <w:rPr>
          <w:rFonts w:ascii="Times New Roman" w:cs="Times New Roman" w:eastAsia="Times New Roman" w:hAnsi="Times New Roman"/>
        </w:rPr>
        <w:t xml:space="preserve">Appendix B: Evidence Log</w:t>
      </w:r>
    </w:p>
    <w:p>
      <w:pPr>
        <w:pStyle w:val="Heading2"/>
      </w:pPr>
      <w:r>
        <w:rPr>
          <w:rFonts w:ascii="Times New Roman" w:cs="Times New Roman" w:eastAsia="Times New Roman" w:hAnsi="Times New Roman"/>
        </w:rPr>
        <w:t xml:space="preserve">B.1. Papers processed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000"/>
        <w:gridCol w:w="52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No.</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Processed on</w:t>
            </w:r>
          </w:p>
        </w:tc>
        <w:tc>
          <w:tcPr>
            <w:tcW w:type="dxa" w:w="52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Main use in the proposal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Y., Vertinsky, I. B., &amp; Li, J. (2014). National distances, international experience, and venture capital investment performance. Journal of Business Venturing, 29, 471-489.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measures, mechanisms, experience as a moderator, logit plus Heckman design.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F., &amp; Groh, A. P. (2014). Cross-border investments and venture capital exits in Europe. Corporate Governance: An International Review, 22(2), 84-99.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European sample, cross-border versus local deals, home-market exit conditions, competing-risks and matching designs. No distance measure.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3</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C. B., Payne, G. T., Bell, R. G., &amp; Davis, J. L. (2015). Institutional distance and cross-border venture capital investment flows. Journal of Small Business Management, 53(2), 482-500.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Three institutional distance dimensions, European country pairs, investment flows. No performance outcome.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L., Da Rin, M., &amp; Hellmann, T. (2016). The importance of trust for investment: Evidence from venture capital. The Review of Financial Studies, 29(9), 2283-2318.</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Bilateral trust as a belief-based distance, European first-round deals, deal formation versus success, selection, deal structure.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H. S., Moore, C. B., &amp; Payne, G. T. (2008). The impact of economic integration on cross-border venture capital investments: Evidence from the European Union. Entrepreneurship Theory and Practice, 32(5), 897-917.</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integration (single market, euro), country-level flows, 1985 to 2002, mixed model. No distance measure.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D., Manigart, S., Vanacker, T., &amp; Mulier, K. (2018). Venture capital internationalization: Synthesis and future research directions. Journal of Economic Surveys, 32(5), 1414-1445.</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Literature review (no own sample): three research streams, theory integration, mixed exit evidence, endogeneity and database problems, future research agenda.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T., Li, C., &amp; Tan, Y. (2025). A survey of cross-border venture capital research. Venture Capital, 27(2), 109-170.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Literature survey of 137 articles (1989 to 2020) along the VC life cycle: determinants, syndication, value added, exits; data sources and variable sources (Appendix C); future research agenda.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T., Kleindienst, I., &amp; Lange, S. (2016). The concept of distance in international business research: A review and research agenda. International Journal of Management Reviews, 18(2), 160-179.</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Review of 216 international business articles (1977 to 2014): classification of distance into six dimensions, measurement issues (level of analysis, reference point), contingencies of distance effects, future research agenda. No venture capital content.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S., Kostova, T., Kunst, V. E., Spadafora, E., &amp; van Essen, M. (2018). Cultural distance and firm internationalization: A meta-analytical review and theoretical implications. Journal of Management, 44(1), 89-130.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Meta-analysis of 156 studies (1988 to 2015): cultural distance and seven internationalization outcomes; sensitivity to measure and framework; developed versus emerging contrast; stage effects. No venture capital content.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Z., Kwon, J., Zhang, B., Li, J., Kim, H. C., &amp; Heo, J. H. (2021). The role of national distance in international business: A review from 1980 to 2017. Review of International Business and Strategy, 31(2), 153-176.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 of distance measures in 3,872 articles from 17 IB journals; twelve distance types; most-used indicators per type; mislabelling of indicators across types. No VC content, no moderators.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Tihanyi, L., Griffith, D. A., &amp; Russell, C. J. (2005). The effect of cultural distance on entry mode choice, international diversification, and MNE performance: A meta-analysis. Journal of International Business Studies, 36, 270-283.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Meta-analysis of 66 independent samples from 55 MNE articles; no direct effect of cultural distance on entry mode, diversification, or performance; subgroup effects by MNE origin, industry, host country development, and period. No venture capital or Europe content.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Tykvová, T., &amp; Schertler, A. (2014). Does syndication with local venture capitalists moderate the effects of geographical and institutional distance? Journal of International Management, 20, 406-420.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Deal-level study of 23,826 worldwide VC deals (2000 to 2008, Zephyr); local VC in the syndicate weakens the geographic distance effect on the likelihood of a foreign VC investing, but not regulative, normative, or cognitive distance. Outcome is the investment decision, not performance.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13</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Liu, Y., &amp; Maula, M. (2021). Contextual status effects: The performance effects of host-country network status and regulatory institutions in cross-border venture capital. Research Policy, 50, Article 104216.</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October 2026</w:t>
            </w:r>
          </w:p>
        </w:tc>
        <w:tc>
          <w:tcPr>
            <w:tcW w:type="dxa" w:w="52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deal-level study of 8,748 first cross-border VC investments (39 home, 38 host countries, VentureXpert); the value of a foreign VC's host-country network status for exit depends on host-country regulatory institutions (interaction -0.21, p = 0.02): positive where institutions are weak, absent or negative where strong. Europe not isolated; outcome is exit.</w:t>
            </w:r>
          </w:p>
        </w:tc>
      </w:tr>
    </w:tbl>
    <w:p/>
    <w:p>
      <w:pPr>
        <w:pStyle w:val="Heading2"/>
      </w:pPr>
      <w:r>
        <w:rPr>
          <w:rFonts w:ascii="Times New Roman" w:cs="Times New Roman" w:eastAsia="Times New Roman" w:hAnsi="Times New Roman"/>
        </w:rPr>
        <w:t xml:space="preserve">B.2. Research design comparison</w:t>
      </w:r>
    </w:p>
    <w:p>
      <w:pPr>
        <w:spacing w:after="140" w:line="300"/>
      </w:pPr>
      <w:r>
        <w:rPr>
          <w:rFonts w:ascii="Times New Roman" w:cs="Times New Roman" w:eastAsia="Times New Roman" w:hAnsi="Times New Roman"/>
        </w:rPr>
        <w:t xml:space="preserve">One row per paper. The review (last row) has no own design; its row shows what it covers. The full per-paper design tables of the earlier drafts (v5) are kept in the extraction chats and in the build backup; they are not repeated here to keep this appendix short. Page numbers are printed page numbers.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1700"/>
        <w:gridCol w:w="2100"/>
        <w:gridCol w:w="1300"/>
        <w:gridCol w:w="1900"/>
        <w:gridCol w:w="2058"/>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Region and period</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Unit and sample</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Outcome</w:t>
            </w:r>
          </w:p>
        </w:tc>
        <w:tc>
          <w:tcPr>
            <w:tcW w:type="dxa" w:w="2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Distance or key variables</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Models</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Main result</w:t>
            </w:r>
          </w:p>
        </w:tc>
        <w:tc>
          <w:tcPr>
            <w:tcW w:type="dxa" w:w="20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Flags</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first rounds 1996 to 2008, outcome to end 2011 (p. 477)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VC-venture investment; 10,593 investments, 7,816 VCs; Heckman sample 27,012 incl. 16,419 domestic (pp. 477, 479-480)</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success (IPO or acquisition), mean 0.31 (pp. 477-478, 481)</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Manhattan WGI; cultural: Kogut and Singh on 4 Hofstede dimensions; geographic: log nautical miles; experience (p. 478)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Logit; Heckman; Ai and Norton (pp. 479-480)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-0.0781, institutional -0.00622; geographic ns; broad experience x institutional +0.00992 (pp. 480, 482)</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Lead investor not identified; clustering not reported; experience direct effect negative (p. 482)</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7 European countries; first rounds 1994 to 2004, exits to 2010 (pp. 85, 87)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1,062 investments in 462 companies; 190 cross-border (pp. 87-88)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IPO, trade sale, liquidation (pp. 88-89)</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Home and host IPO and M&amp;A size scaled by GDP; no distance measure (pp. 90-91)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Fine and Gray; discrete-time multinomial logit; propensity matching (pp. 88-90)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Trade sale and M&amp;A size .129**; IPO weak; liquidation 1.786*** (pp. 93-94)</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422 versus 462 companies; 5 versus 3 matches (pp. 87, 89, 95)</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 unnamed European countries; 1996 to 2005 (p. 487)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1,037 country-dyad observations (p. 487)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 of source-country VC going to target country, mean 0.047 (pp. 488-489)</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Regulative, normative, cultural-cognitive distance, Kogut and Singh (pp. 488-489)</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Linear mixed model, AR(1) errors (pp. 490-492)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Regulative ns; normative -0.4342* / -0.0228*; cultural-cognitive -0.1171*** / -0.1132*** (p. 492)</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Normative coefficient differs 19-fold between models; raw r +0.14; country list not reported</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107 VC firms from 15 EU countries; first rounds 1998 to 2001, outcomes to 2011 (pp. 2291, 2295)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101,620 potential deals; 1,228 realized in 1,170 companies (pp. 2294-2295)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IPO, Exit, Failure; stage, syndication, contracts (pp. 2292, 2295-2296)</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Eurobarometer trust, waves 1990 to 1996; geographic distance, language, legal, exports (pp. 2293, 2297)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Logit, conditional logit, Heckman (linear), ordered logit, Poisson (pp. 2299, 2303, 2308)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Deal trust 6.498***; IPO -15.947*, Exit -4.116 ns, Failure 5.980** (pp. 2300, 2303-2306)</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Text p-values 0.011 and 0.92 versus table; logit versus linear note; October versus August 2011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24 countries; 1985 to 2002 (pp. 902-904)</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Country-year; 408 stated (24 x 18 = 432, unexplained) (p. 903)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Share of outflows going to other EU countries (p. 903)</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Common market and common currency dummies (p. 906); no distance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Linear mixed model, AR(1) (pp. 907-908)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Market 0.097***; currency 0.192*** (p. 910)</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Romania listed though joined 2007; FDI sign change; negative -2logL; DOI not in file</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 review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studies from 2002 to 2018 in Tables 1 to 5 (pp. 1417-1434); review window Not reported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selection method of cited studies Not reported ("selected studies")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Outcomes of cited studies: flows, scope, exit success, growth, commitment (pp. 1416-1431)</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Geographic, cultural, institutional, legal, trust, integration of cited studies (pp. 1415-1416, 1430)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models; discusses IV and natural experiments (p. 1437)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evidence mixed (pp. 1427, 1430); local syndication effect mixed (p. 1430)</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Table 1 names Eurostat for the trust data of Bottazzi et al.; original uses Eurobarometer</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 survey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137 articles 1989 to 2020 (p. 110)</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search in Web of Science, Scopus, Google Scholar, snowballing (pp. 110-111); 126 primary sources (Fig. 2, p. 111)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Outcomes of cited studies: flows, syndication, exit, timing, PC internationalization and growth (pp. 125-139)</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cultural, geographic, network, trust, integration of cited studies (pp. 126-128, 169-170)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models; notes endogeneity and IV (pp. 148, 151)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Mixed evidence on cultural distance and exit (p. 138) and on syndication and exit (p. 137)</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Figure 2 labels not fully readable; selection flow in Figure A1 (image) not read; VICO country list differs from Bertoni and Groh (2014)</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 review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business; 216 articles 1977 to 2014 (p. 161)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keyword search in Business Source Complete, 23 journals, 996 hits reduced to 216 (pp. 161-162)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Market selection, entry mode, performance, knowledge transfer (pp. 166-168); no follow-on funding or exit</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Six groups: cultural, institutional, geographic, economic, psychic, other (p. 161)</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models; notes cross-sectional designs (p. 167)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Negative distance effects dominate; mixed for performance; sub-dimensions with opposite signs (pp. 165-168)</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venture capital or Europe content; cited studies not read; Supporting Information not read</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 meta-analysis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156 studies 1988 to 2015 (p. 102)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databases, manual search of 15 journals, snowballing (p. 101); 437 performance effect sizes (p. 103)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Location choice, entry mode, establishment mode, ownership, practice transfer, performance (pp. 105-106)</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Kogut and Singh, Mahalanobis, cluster dummy, perceptual (pp. 106-107)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Random-effects HOMA and MARA on correlations and partial correlations (pp. 102, 105)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Small mean effects; subsidiary negative, whole firm null; sensitive to framework and host development (pp. 112, 114, 122)</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VC or Europe content; clustering of effect sizes not reported; cited studies and online supplement not read; two text-table mismatches (pp. 109, 111, 121)</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 review</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International business; 3,872 articles 1980 to 2017 (pp. 155-156)</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Google Scholar search with 12 keywords, 17 IB journals, items coded by the authors (pp. 155-156, 168)</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coded; IB activities named (pp. 154, 161, 164)</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Twelve distance types and their items (pp. 155-167)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Frequency counts and classification; no estimation (pp. 156, 168)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dominant; WGI, Hofstede, capital-to-capital distance, GDP per capita most used (pp. 156-164)</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VC or Europe content; no moderators; figures not read; psychic items given as 77 (p. 159) and 66 (p. 168)</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Tihanyi et al. (2005), meta-analysis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MNE studies, US and other home countries; samples from the 1980s and 1990s (pp. 273-277)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own sample; 55 articles, k = 66 independent samples, cumulative n 2,255 to 24,152 (pp. 270, 274-275)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Entry mode choice, international diversification, MNE performance (p. 274)</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Kogut and Singh index on four Hofstede dimensions in 55 samples (pp. 274, 280)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Hunter and Schmidt correlations; OLS on the mean correlation matrix with N = 200 (pp. 274-276)</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significant direct effect; subgroup effects by origin, industry, host development, period (pp. 276-278)</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VC or Europe content; moderator tests and subgroup k not reported; text calls environmental uncertainty marginally positive for entry mode while Table 2 shows a negative coefficient (p. 276)</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Tykvová and Schertler (2014)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Worldwide, VCs from 48 countries; 25 countries in baseline; 2000 to 2008 (pp. 407, 410, 417)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VC-deal dyads: 23,826 deals, 58,377 dyads; baseline 3,811,567 potential dyads, 2,647 existing (pp. 411, 417)</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Foreign VC invests in a cross-border deal, binary (p. 411)</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Geographic distance (miles); regulative, normative, cognitive distance and composite (pp. 412-413); local VC as moderator (p. 415)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Conditional logit with deal fixed effects and VC country dummies; simple logit on matched sample; clustering by EF country and year (pp. 414-417)</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Local VC weakens geographic distance effect (p = 0.085), not institutional (p = 0.105 to 0.649) (pp. 415, 417)</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first round; lead not identified; Europe results unreported (p. 417); 48 countries (p. 407) against 25 in Table 5; text calls support for H1 strong (p. 418)</w:t>
            </w:r>
          </w:p>
        </w:tc>
      </w:tr>
      <w:tr>
        <w:trPr>
          <w:cantSplit/>
        </w:trP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Liu and Maula (2021)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Global; 39 home and 38 host countries; ventures first funded 1996 to 2011, tracked to May 2016 (pp. 4, 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 firm-venture dyads: 8,748 first cross-border investments by 1,281 VC firms (p. 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 by IPO or acquisition, binary (p. 5)</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Host-country network status (Bonacich) by host-country institutions (ICRG law and order); geographic and cultural distance only as controls (pp. 5, 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Probit, errors clustered by venture; logit, LPM, Cox, competing risks, multilevel probit, extended probit as checks (pp. 6, 10, 11, 13 to 15)</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Status helps only where host institutions are weak (interaction -0.21, p = 0.02); main effect not significant (pp. 8, 9)</w:t>
            </w:r>
          </w:p>
        </w:tc>
        <w:tc>
          <w:tcPr>
            <w:tcW w:type="dxa" w:w="20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Europe not isolated; lead not identified; period given as 1996 to 2011 and 1996 to 2016 (pp. 2, 4, 12); outcome is exit, not follow-on</w:t>
            </w:r>
          </w:p>
        </w:tc>
      </w:tr>
    </w:tbl>
    <w:p/>
    <w:p>
      <w:pPr>
        <w:pStyle w:val="Heading2"/>
      </w:pPr>
      <w:r>
        <w:rPr>
          <w:rFonts w:ascii="Times New Roman" w:cs="Times New Roman" w:eastAsia="Times New Roman" w:hAnsi="Times New Roman"/>
        </w:rPr>
        <w:t xml:space="preserve">B.3. Contingencies and future research suggested in the papers</w:t>
      </w:r>
    </w:p>
    <w:p>
      <w:pPr>
        <w:spacing w:after="140" w:line="300"/>
      </w:pPr>
      <w:r>
        <w:rPr>
          <w:rFonts w:ascii="Times New Roman" w:cs="Times New Roman" w:eastAsia="Times New Roman" w:hAnsi="Times New Roman"/>
        </w:rPr>
        <w:t xml:space="preserve">Merged list of moderators and open questions that the authors name but do not test. Relevant for the moderator shortlist (D6) and the draft moderator hypotheses H2 to H4.</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5300"/>
        <w:gridCol w:w="195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Paper</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Suggested contingency or question</w:t>
            </w:r>
          </w:p>
        </w:tc>
        <w:tc>
          <w:tcPr>
            <w:tcW w:type="dxa" w:w="5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Reason given</w:t>
            </w:r>
          </w:p>
        </w:tc>
        <w:tc>
          <w:tcPr>
            <w:tcW w:type="dxa" w:w="19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Page</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firm-specific factors: human networks, technological capabilities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VCs differ in resources and capabilities.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Differences between VCs from the same country; regional variation; specific cultural traits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National measures hide variation; the Hofstede composite may hide single traits.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Collaboration with local VCs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Foreign and local VCs have different advantages.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486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Host-country experience with broad experience; rapid host change; declining marginal value of experience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Host knowledge may have a short shelf life; learning may be exhausted.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477, 485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Syndication with local partners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Reduces liabilities of foreignness; 88.4 percent of cross-border deals have local partners.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 87-88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and geographic distance as a driver of early write-offs; investor type; origin country exit opportunities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clear whether early termination reflects distance or professionalism.</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84, 91, 94, 97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Configuration of the three institutional dimensions; contingencies behind the missing regulative effect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Dimensions may act together; unclear whether regulation does not matter.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Moore et al. (2015)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Venture performance as outcome; firm-level VC characteristics; trading alliances; convergence of cultures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Logical next steps named by the authors.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493-495</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Personalized trust; search stage and networks as channels; investor learning</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Not measured or not testable with the data.</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2288, 2290, 2307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quality; syndication in low-trust deals; early stage needs more trust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Higher quality investors invest in low-trust deals; sharing a deal is cheaper when trust is low.</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2289, 2306, 2311-2312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Unfunded companies; excluded variable in Heckman model; trust of citizens versus investors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Only infra-marginal companies are observed; exclusion restriction can only be asserted.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2294-2295, 2302, 2308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Entry mode (headquarters, local subsidiary, hub), its life cycle, and dependence on target country</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Largely neglected in the VC literature.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context of home and recipient country; developed versus emerging markets; interaction of country-level and firm-level factors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French investor in a Belgian company is expected to decide differently from one investing in the USA or China.</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1438, 1440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type (corporate, government, bank) and syndicates of local and different international investors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Research on how types differ in internationalization is lacking.</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1438-1439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Replication of home networks abroad; local executives versus local coinvestors; mix of strategies; failed attempts to raise foreign VC</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Unanswered questions on how liabilities of foreignness are handled.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and escalation of commitment; entry mode and commitment; Brexit and deglobalization</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may drive non-rational continuation or withdrawal; macro shocks affect internationalization.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1438, 1440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Interplay of national distances and network advantages; home-country characteristics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Firms headquartered elsewhere may exploit network advantages internationally.</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Legal structure and entry mode of the investor in the host country (agent, wholly owned, joint venture)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Few articles examine how entry mode affects performance and cooperation with local VCs.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Syndication from the domestic investor's perspective; partner selection; post-syndication dynamics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Less studied than the foreign investor's perspective; distance can affect the relationship.</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148-149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Performance measures beyond exits; influence of portfolio company on investor's later strategy; reputation facets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Exits are the usual measure; other intangible measures not considered.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149-150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Investor types (corporate, independent, bank, government); de-internationalization; factors that deter flows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Limited research; geopolitical and pandemic events.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150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Contracting and monitoring beyond legal systems; theoretical models; endogeneity (IV); meta-analyses of contradicting studies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Little research on firm characteristics and local customs; contradictions between studies.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149-151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Contingencies on each dimension of distance; institutional, geographic, or economic distance as moderator</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Effects of contingencies may vary by dimension; only cultural distance is studied as a moderator.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Differences between attributes within one distance dimension</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sub-dimensions have opposite effects on market selection and establishment mode.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167-168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Reference points other than the home country; resources of firms that change over time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Firms differ in the ability to deal with distance; the home-country reference point ignores this.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172-173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Non-linear effects of distance; benefits of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Costs need not rise linearly; potential benefits are largely neglected.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166</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Objective versus perceived distance; global mindset of managers; asymmetry by level of development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Perceptions mediate the effect of objective differences; developed-country managers perceive more distance.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Mechanisms of each distance dimension; interaction between dimensions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single dimension underestimates complexity; which dimension matters in which context is open.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and economic distance, and their relative salience by outcome and stage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may matter more after the investment and institutional distance before it.</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Composite cultural index across frameworks, or analysis with several frameworks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Frameworks give different signs; avoids choosing the framework that fits the hypothesis.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121-122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Why subsidiary and whole-firm effects differ; how firms compensate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Data did not allow a test.</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Applicability of internationalization theories to developed and emerging market firms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Effects differ by development level of home and host country.</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122-123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Social capital (trust, commitment, identification) as a remedy for cultural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Closes the gap between subsidiary and headquarters in practice transfer.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121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Frequency of transactions between countries as a weakener of the distance effect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Stated in the conclusion without a test.</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Meta-analysis of whether distance measured by different items has different effects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Items for the same distance type may give different results.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Theory for the number of distance dimensions; learning theory for differences between value-based and language-based cultural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 clear theoretical guidance on how many dimensions to use.</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170-171</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Zhou et al.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More research on linguistic, knowledge, democratic, and global connectedness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Few measures and little recognition.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166-167</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Tihanyi et al. (2005)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Investment risk of the target market as moderator of cultural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Named by the authors as the only moderator tested in earlier work (Brouthers and Brouthers, 2001, cited).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279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Tihanyi et al. (2005)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Past experience in culturally distant markets; decision heuristics and prospect theory</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Experience may shape perceptions and expansion decisions more than actual conditions.</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279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Tihanyi et al. (2005)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Non-value components of culture (language families, family structures, religion, wealth); other levels of analysis; wider range of MNE-level moderators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National value-based measures may not fit organization, group, or individual level.</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279</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Tihanyi et al. (2005)</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Tested: home-country risk propensity (uncertainty avoidance) and host country development as moderators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Entry mode effect negative for US MNEs (r = -0.3501) and low uncertainty avoidance home countries (r = -0.2353); performance effect positive for developed hosts (r = 0.3100).</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277, 280</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Tykvová and Schertler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local partners (lawyers, financial advisors, corporate VCs, government agencies) as ways to overcome distance</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Only syndication among non-captive VCs is studied.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418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Tykvová and Schertler (2014)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Relocating the startup; complementarity of foreign and local VC experience; dynamics of syndication over longer periods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Short time span may hide institutional moderation; relocation cited from Cumming et al. (2009).</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418</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Liu and Maula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industries; MNE headquarters and subsidiary statuses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Findings may not generalize beyond the VC industry.</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Liu and Maula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Local office presence and other aspects of VC internationalization</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Named as needing further research; relevant to the office robustness check (D23).</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Liu and Maula (2021)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Antecedents of host-country status; negative effects of high status in some circumstances</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Negative status effect in the top 10 percent of institutional quality, possibly driven by one investor.</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11, 13</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Culture, language, religion; country-by-country analysis; where entrepreneurs go first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May explain which countries receive flows once markets open.</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912</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Alhorr et al. (2008)</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Other regions and trade agreements; aggregate data; link between flows and entrepreneurial activity; FDI crowding out</w:t>
            </w:r>
          </w:p>
        </w:tc>
        <w:tc>
          <w:tcPr>
            <w:tcW w:type="dxa" w:w="5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EU is unique; many factors not included; link assumed, not tested.</w:t>
            </w:r>
          </w:p>
        </w:tc>
        <w:tc>
          <w:tcPr>
            <w:tcW w:type="dxa" w:w="19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911-912</w:t>
            </w:r>
          </w:p>
        </w:tc>
      </w:tr>
    </w:tbl>
    <w:p/>
    <w:p>
      <w:pPr>
        <w:pStyle w:val="Heading2"/>
      </w:pPr>
      <w:r>
        <w:rPr>
          <w:rFonts w:ascii="Times New Roman" w:cs="Times New Roman" w:eastAsia="Times New Roman" w:hAnsi="Times New Roman"/>
        </w:rPr>
        <w:t xml:space="preserve">B.4. Register of opposing evidence and tensions</w:t>
      </w:r>
    </w:p>
    <w:p>
      <w:pPr>
        <w:spacing w:after="140" w:line="300"/>
      </w:pPr>
      <w:r>
        <w:rPr>
          <w:rFonts w:ascii="Times New Roman" w:cs="Times New Roman" w:eastAsia="Times New Roman" w:hAnsi="Times New Roman"/>
        </w:rPr>
        <w:t xml:space="preserve">Ten tensions, used in section 2.7 of the proposal text. Status shows what is known about each; none is resolved.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4800"/>
        <w:gridCol w:w="245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ID</w:t>
            </w:r>
          </w:p>
        </w:tc>
        <w:tc>
          <w:tcPr>
            <w:tcW w:type="dxa" w:w="6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Tension</w:t>
            </w:r>
          </w:p>
        </w:tc>
        <w:tc>
          <w:tcPr>
            <w:tcW w:type="dxa" w:w="4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Sources</w:t>
            </w:r>
          </w:p>
        </w:tc>
        <w:tc>
          <w:tcPr>
            <w:tcW w:type="dxa" w:w="245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20"/>
            </w:pPr>
            <w:r>
              <w:rPr>
                <w:rFonts w:ascii="Times New Roman" w:cs="Times New Roman" w:eastAsia="Times New Roman" w:hAnsi="Times New Roman"/>
                <w:b/>
                <w:bCs/>
                <w:sz w:val="16"/>
                <w:szCs w:val="16"/>
              </w:rPr>
              <w:t xml:space="preserve">Status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R1</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Geographic distance is expected to hurt performance, but is not significant once institutional and cultural distance are included.</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479, 482, 485), citing earlier studies that expect a negative effect (as cited on p. 479); Bottazzi et al. (2016, pp. 2301, 2304-2306): negative for deal formation and IPO, not significant for Exit and Failure. Devigne et al. (2018, p. 1416): smaller distance increases flows (Colombo et al., 2017, cited).</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To be checked in the original studies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R2</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Smaller distance in beliefs (higher trust between nations) goes with more investment but also with fewer IPOs and exits and more failures; the authors read this as selection of weaker companies. Li et al. expect smaller distance to improve exits. Whether the pattern holds for institutional and cultural distance and for follow-on funding is not shown.</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Bottazzi et al. (2016, pp. 2285, 2300-2309); Li et al. (2014, p. 480).</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Verified in the full paper (Online Appendix not read); selection mechanism not tested directly</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R3</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Learning logic predicts that host-country experience helps, yet its direct coefficient is negative and significant in the logit models (for example -0.226 in Model 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476, 482, 485); authors discuss exploration versus exploitation and short shelf life of host knowledge.</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Explained by authors, not tested</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R4</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is expected to lower performance, yet outcomes of foreign deals differ by sample: cross-border deals are exited more often than local deals (74.7 versus 58.8 percent), with more liquidations, in Bertoni and Groh; foreign deals show lower IPO and exit and higher failure probabilities in Bottazzi et al. (for example IPO -8.374*** in model 1, Failure 3.371*** in model 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Bertoni and Groh (2014, pp. 87, 89); Bottazzi et al. (2016, pp. 2304-2306, Table 3); Li et al. (2014, p. 480); Devigne et al. (2018, pp. 1427, 1430): mixed exit evidence, cultural distance positive in Nahata et al. (2014); Boryniec et al. (2025, p. 138): same contradiction, citing Nahata et al. against Li et al.</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samples, controls, and outcome definitions; to be checked in further papers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R5</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Institutional distance lowers exit success (composite) and normative and cultural-cognitive distance lower flows, while regulative distance has no effect on flows and normative distance is positively correlated with flows in the raw data (r = 0.14). Economic integration raises the share of VC invested in other EU countries, yet distance still lowers flows between European countries, so integration has not removed distance.</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 et al. (2014, pp. 478, 480); Moore et al. (2015, pp. 492-493); Alhorr et al. (2008, pp. 906, 910); Hutzschenreuter et al. (2016, pp. 167-168): sub-dimensions with opposite signs in cited studies.</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Different outcomes, periods (1985 to 2002 versus 1996 to 2005), and constructs; integration and distance never tested together</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R6</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Local syndication is expected to reduce the liability of foreignness, yet its effect on exit success differs: about 5 percent higher exit likelihood (Dai et al., 2012), only in emerging countries (Chemmanur et al., 2016), only in developed economies (Nahata et al., 2014), no IPO effect and a negative M&amp;A effect (Wuebker et al., 2015).</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Devigne et al. (2018, pp. 1426, 1430), reporting the cited studies; Boryniec et al. (2025, p. 137): same studies, adds that most literature supports a positive effect; Tykvová and Schertler (2014, pp. 415, 417): a local VC weakens the geographic but not the institutional distance effect on the likelihood of investing.</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Cited studies not read; contradictions named by the review, which calls for more research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R7</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local office is expected to help the foreign investor, yet one study finds it reduces the need to syndicate with locals and another finds no effect on alliance formation.</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Boryniec et al. (2025, p. 133), citing Huang et al. (2015) and Meuleman and Wright (2011).</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Cited studies not read; relevant to the office robustness check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R8</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Distance is mostly negative, yet some studies find positive or inverted U-shaped effects of cultural distance on entry mode and subsidiary performance, and the authors argue that costs need not rise linearly.</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Hutzschenreuter et al. (2016, pp. 166-168), reporting cited studies (Cho and Padmanabhan, 2005; Wang and Schaan, 2008; Morosini et al., 1998).</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Cited studies not read; relevant to the functional form in the logit (squared term as a possible check)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R9</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Cultural distance effects differ by stage, measure, and sample: negative on location choice only with the Mahalanobis measure, negative on wholly owned entry with Hofstede data but positive with GLOBE and Schwartz, negative on subsidiary performance but absent for the whole firm, negative for emerging hosts and positive for developed hosts.</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Beugelsdijk et al. (2018, pp. 108-112, 114, 121-122), meta-analysis of 156 studies; Tihanyi et al. (2005, pp. 276-277), meta-analysis of 66 samples: no direct effect, but positive performance effect for developed hosts (r = 0.3100) and negative for developing hosts (r = -0.0374).</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Based on correlations from primary studies; text and table values differ in two places (pp. 109-111, 121)</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R10</w:t>
            </w:r>
          </w:p>
        </w:tc>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A local network asset is expected to raise performance, yet the main effect of host-country network status on exit is zero without the interaction with institutions, and it turns negative where host institutions are strongest; home-country status and investor experience have no effect.</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Liu and Maula (2021, pp. 8, 9, 11): main effect -0.02 (p = 0.81) in Model 2; top 10 percent of institutions: -0.39 (p = 0.03), based on 174 deals of which 53 percent by one investor; experience and home status not significant (p. 8).</w:t>
            </w:r>
          </w:p>
        </w:tc>
        <w:tc>
          <w:tcPr>
            <w:tcW w:type="dxa" w:w="245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20"/>
            </w:pPr>
            <w:r>
              <w:rPr>
                <w:rFonts w:ascii="Times New Roman" w:cs="Times New Roman" w:eastAsia="Times New Roman" w:hAnsi="Times New Roman"/>
                <w:b w:val="false"/>
                <w:bCs w:val="false"/>
                <w:sz w:val="16"/>
                <w:szCs w:val="16"/>
              </w:rPr>
              <w:t xml:space="preserve">One global sample; not tested for Europe; the authors call the negative effect possibly an anomaly (p. 11)</w:t>
            </w:r>
          </w:p>
        </w:tc>
      </w:tr>
    </w:tbl>
    <w:sectPr>
      <w:headerReference w:type="default" r:id="rId11"/>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sz w:val="18"/>
        <w:szCs w:val="18"/>
      </w:rPr>
      <w:t xml:space="preserve">Distance and Cross-Border Venture Capital in Europe - Mark Sarman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pPr>
    <w:r>
      <w:rPr>
        <w:rFonts w:ascii="Times New Roman" w:cs="Times New Roman" w:eastAsia="Times New Roman" w:hAnsi="Times New Roman"/>
        <w:sz w:val="18"/>
        <w:szCs w:val="18"/>
      </w:rPr>
      <w:t xml:space="preserve">Distance and Cross-Border Venture Capital in Europe - Mark Sarman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Proposal (living draft)</dc:title>
  <dc:creator>Mark Sarman</dc:creator>
  <cp:lastModifiedBy>Un-named</cp:lastModifiedBy>
  <cp:revision>1</cp:revision>
  <dcterms:created xsi:type="dcterms:W3CDTF">2026-10-07T18:16:04.902Z</dcterms:created>
  <dcterms:modified xsi:type="dcterms:W3CDTF">2026-10-07T18:16:04.907Z</dcterms:modified>
</cp:coreProperties>
</file>

<file path=docProps/custom.xml><?xml version="1.0" encoding="utf-8"?>
<Properties xmlns="http://schemas.openxmlformats.org/officeDocument/2006/custom-properties" xmlns:vt="http://schemas.openxmlformats.org/officeDocument/2006/docPropsVTypes"/>
</file>