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Times New Roman" w:cs="Times New Roman" w:eastAsia="Times New Roman" w:hAnsi="Times New Roman"/>
          <w:b/>
          <w:bCs/>
          <w:sz w:val="36"/>
          <w:szCs w:val="36"/>
          <w:highlight w:val="yellow"/>
          <w:highlightCs w:val="yellow"/>
        </w:rPr>
        <w:t xml:space="preserve">[Candidate working title, not final:]</w:t>
      </w:r>
      <w:r>
        <w:rPr>
          <w:rFonts w:ascii="Times New Roman" w:cs="Times New Roman" w:eastAsia="Times New Roman" w:hAnsi="Times New Roman"/>
          <w:b/>
          <w:bCs/>
          <w:sz w:val="36"/>
          <w:szCs w:val="36"/>
        </w:rPr>
        <w:t xml:space="preserve"> Still Foreign in a Single Market? Language, Economic Ties, Industry Specialization and the Effect of Distance on Cross-Border Venture Capital in Europe</w:t>
      </w:r>
    </w:p>
    <w:p>
      <w:pPr>
        <w:spacing w:after="1200"/>
        <w:jc w:val="center"/>
      </w:pPr>
      <w:r>
        <w:rPr>
          <w:rFonts w:ascii="Times New Roman" w:cs="Times New Roman" w:eastAsia="Times New Roman" w:hAnsi="Times New Roman"/>
          <w:sz w:val="30"/>
          <w:szCs w:val="30"/>
        </w:rPr>
        <w:t xml:space="preserve">Thesis Proposal</w:t>
      </w:r>
    </w:p>
    <w:p>
      <w:pPr>
        <w:spacing w:after="120"/>
        <w:jc w:val="center"/>
      </w:pPr>
      <w:r>
        <w:rPr>
          <w:rFonts w:ascii="Times New Roman" w:cs="Times New Roman" w:eastAsia="Times New Roman" w:hAnsi="Times New Roman"/>
          <w:sz w:val="24"/>
          <w:szCs w:val="24"/>
        </w:rPr>
        <w:t xml:space="preserve">Date: 11th of October 2026</w:t>
      </w:r>
    </w:p>
    <w:p>
      <w:pPr>
        <w:spacing w:after="120"/>
        <w:jc w:val="center"/>
      </w:pPr>
      <w:r>
        <w:rPr>
          <w:rFonts w:ascii="Times New Roman" w:cs="Times New Roman" w:eastAsia="Times New Roman" w:hAnsi="Times New Roman"/>
          <w:sz w:val="24"/>
          <w:szCs w:val="24"/>
        </w:rPr>
        <w:t xml:space="preserve">Thesis Supervisor: </w:t>
      </w:r>
      <w:r>
        <w:rPr>
          <w:rFonts w:ascii="Times New Roman" w:cs="Times New Roman" w:eastAsia="Times New Roman" w:hAnsi="Times New Roman"/>
          <w:sz w:val="24"/>
          <w:szCs w:val="24"/>
          <w:highlight w:val="yellow"/>
          <w:highlightCs w:val="yellow"/>
        </w:rPr>
        <w:t xml:space="preserve">[name to fill in]</w:t>
      </w:r>
    </w:p>
    <w:p>
      <w:pPr>
        <w:spacing w:after="120"/>
        <w:jc w:val="center"/>
      </w:pPr>
      <w:r>
        <w:rPr>
          <w:rFonts w:ascii="Times New Roman" w:cs="Times New Roman" w:eastAsia="Times New Roman" w:hAnsi="Times New Roman"/>
          <w:sz w:val="24"/>
          <w:szCs w:val="24"/>
        </w:rPr>
        <w:t xml:space="preserve">Written by: Mark Sarman (</w:t>
      </w:r>
      <w:r>
        <w:rPr>
          <w:rFonts w:ascii="Times New Roman" w:cs="Times New Roman" w:eastAsia="Times New Roman" w:hAnsi="Times New Roman"/>
          <w:sz w:val="24"/>
          <w:szCs w:val="24"/>
          <w:highlight w:val="yellow"/>
          <w:highlightCs w:val="yellow"/>
        </w:rPr>
        <w:t xml:space="preserve">[student number to fill in]</w:t>
      </w:r>
      <w:r>
        <w:rPr>
          <w:rFonts w:ascii="Times New Roman" w:cs="Times New Roman" w:eastAsia="Times New Roman" w:hAnsi="Times New Roman"/>
          <w:sz w:val="24"/>
          <w:szCs w:val="24"/>
        </w:rPr>
        <w:t xml:space="preserve">)</w:t>
      </w:r>
    </w:p>
    <w:p>
      <w:r>
        <w:br w:type="page"/>
      </w:r>
    </w:p>
    <w:p>
      <w:pPr>
        <w:pStyle w:val="Heading1"/>
      </w:pPr>
      <w:r>
        <w:rPr>
          <w:rFonts w:ascii="Times New Roman" w:cs="Times New Roman" w:eastAsia="Times New Roman" w:hAnsi="Times New Roman"/>
        </w:rPr>
        <w:t xml:space="preserve">Draft status and conventions (remove before submission)</w:t>
      </w:r>
    </w:p>
    <w:p>
      <w:pPr>
        <w:spacing w:after="140" w:line="300"/>
      </w:pPr>
      <w:r>
        <w:rPr>
          <w:rFonts w:ascii="Times New Roman" w:cs="Times New Roman" w:eastAsia="Times New Roman" w:hAnsi="Times New Roman"/>
        </w:rPr>
        <w:t xml:space="preserve">This document is the single working file for the thesis proposal. Every paper that is read is processed into it in three places: the proposal text (sections 1 to 7), the decision log (Appendix A), and the evidence log (Appendix B). Nothing is decided by the draft itself; the decisions are taken by the author after the literature has been reviewed.</w:t>
      </w:r>
    </w:p>
    <w:p>
      <w:pPr>
        <w:pStyle w:val="ListParagraph"/>
        <w:numPr>
          <w:ilvl w:val="0"/>
          <w:numId w:val="2"/>
        </w:numPr>
        <w:spacing w:after="60" w:line="280"/>
      </w:pPr>
      <w:r>
        <w:rPr>
          <w:rFonts w:ascii="Times New Roman" w:cs="Times New Roman" w:eastAsia="Times New Roman" w:hAnsi="Times New Roman"/>
        </w:rPr>
        <w:t xml:space="preserve">Yellow text in square brackets marks a placeholder or an open choice.</w:t>
      </w:r>
    </w:p>
    <w:p>
      <w:pPr>
        <w:pStyle w:val="ListParagraph"/>
        <w:numPr>
          <w:ilvl w:val="0"/>
          <w:numId w:val="2"/>
        </w:numPr>
        <w:spacing w:after="60" w:line="280"/>
      </w:pPr>
      <w:r>
        <w:rPr>
          <w:rFonts w:ascii="Times New Roman" w:cs="Times New Roman" w:eastAsia="Times New Roman" w:hAnsi="Times New Roman"/>
        </w:rPr>
        <w:t xml:space="preserve">References such as </w:t>
      </w:r>
      <w:r>
        <w:rPr>
          <w:rFonts w:ascii="Times New Roman" w:cs="Times New Roman" w:eastAsia="Times New Roman" w:hAnsi="Times New Roman"/>
          <w:highlight w:val="yellow"/>
          <w:highlightCs w:val="yellow"/>
        </w:rPr>
        <w:t xml:space="preserve">[D4]</w:t>
      </w:r>
      <w:r>
        <w:rPr>
          <w:rFonts w:ascii="Times New Roman" w:cs="Times New Roman" w:eastAsia="Times New Roman" w:hAnsi="Times New Roman"/>
        </w:rPr>
        <w:t xml:space="preserve"> point to an entry in the decision log (Appendix A), which lists the options, the evidence with page numbers, and a blank field for the final decision.</w:t>
      </w:r>
    </w:p>
    <w:p>
      <w:pPr>
        <w:pStyle w:val="ListParagraph"/>
        <w:numPr>
          <w:ilvl w:val="0"/>
          <w:numId w:val="2"/>
        </w:numPr>
        <w:spacing w:after="60" w:line="280"/>
      </w:pPr>
      <w:r>
        <w:rPr>
          <w:rFonts w:ascii="Times New Roman" w:cs="Times New Roman" w:eastAsia="Times New Roman" w:hAnsi="Times New Roman"/>
        </w:rPr>
        <w:t xml:space="preserve">Elements set by the supervisor (scope Europe, first institutional round, foreign lead investor, follow-on funding as main outcome, logit models) are written as fixed. Everything else is written as a candidate.</w:t>
      </w:r>
    </w:p>
    <w:p>
      <w:pPr>
        <w:pStyle w:val="ListParagraph"/>
        <w:numPr>
          <w:ilvl w:val="0"/>
          <w:numId w:val="2"/>
        </w:numPr>
        <w:spacing w:after="60" w:line="280"/>
      </w:pPr>
      <w:r>
        <w:rPr>
          <w:rFonts w:ascii="Times New Roman" w:cs="Times New Roman" w:eastAsia="Times New Roman" w:hAnsi="Times New Roman"/>
        </w:rPr>
        <w:t xml:space="preserve">Opposing evidence is collected in the register in Appendix B and used in a few well-defined places of the text (section 2.7), not repeated in every paragraph.</w:t>
      </w:r>
    </w:p>
    <w:p>
      <w:pPr>
        <w:pStyle w:val="ListParagraph"/>
        <w:numPr>
          <w:ilvl w:val="0"/>
          <w:numId w:val="2"/>
        </w:numPr>
        <w:spacing w:after="60" w:line="280"/>
      </w:pPr>
      <w:r>
        <w:rPr>
          <w:rFonts w:ascii="Times New Roman" w:cs="Times New Roman" w:eastAsia="Times New Roman" w:hAnsi="Times New Roman"/>
        </w:rPr>
        <w:t xml:space="preserve">Page numbers refer to the printed page numbers of the cited paper.</w:t>
      </w:r>
    </w:p>
    <w:p>
      <w:pPr>
        <w:spacing w:after="140" w:line="300"/>
      </w:pPr>
      <w:r>
        <w:rPr>
          <w:rFonts w:ascii="Times New Roman" w:cs="Times New Roman" w:eastAsia="Times New Roman" w:hAnsi="Times New Roman"/>
        </w:rPr>
        <w:t xml:space="preserve">Papers processed so far: 5 (Li, Vertinsky, &amp; Li, 2014; Bertoni &amp; Groh, 2014; Moore, Payne, Bell, &amp; Davis, 2015; Bottazzi, Da Rin, &amp; Hellmann, 2016; Alhorr, Moore, &amp; Payne, 2008). Next papers are added in the order they are read.</w:t>
      </w:r>
    </w:p>
    <w:p>
      <w:r>
        <w:br w:type="page"/>
      </w:r>
    </w:p>
    <w:p>
      <w:pPr>
        <w:pStyle w:val="Heading1"/>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Problem Definition</w:t>
      </w:r>
    </w:p>
    <w:p>
      <w:pPr>
        <w:spacing w:after="140" w:line="300"/>
      </w:pPr>
      <w:r>
        <w:rPr>
          <w:rFonts w:ascii="Times New Roman" w:cs="Times New Roman" w:eastAsia="Times New Roman" w:hAnsi="Times New Roman"/>
        </w:rPr>
        <w:t xml:space="preserve">Venture capital firms increasingly invest in startups outside their home country (Li et al., 2014, p. 472). Cross-border investment gives access to growth opportunities in foreign markets, but it also exposes the investor to the liability of foreignness, which arises from geographic, cultural, and institutional distance between the home and the host country (Li et al., 2014, p. 472). Research on how such distance affects the performance of cross-border venture capital investments has relied mostly on global samples or on regional samples outside Europe, such as Asia (Dai et al., 2012, as cited in Li et al., 2014, pp. 472-473). Evidence from Europe concerns mainly the mode of exit: in seven European countries, deals with a cross-border investor show different exit patterns than local deals (Bertoni &amp; Groh, 2014, pp. 87-89), but that study does not include a measure of the distance between investor and startup country (Bertoni &amp; Groh, 2014, pp. 88-91).</w:t>
      </w:r>
    </w:p>
    <w:p>
      <w:pPr>
        <w:spacing w:after="140" w:line="300"/>
      </w:pPr>
      <w:r>
        <w:rPr>
          <w:rFonts w:ascii="Times New Roman" w:cs="Times New Roman" w:eastAsia="Times New Roman" w:hAnsi="Times New Roman"/>
          <w:highlight w:val="yellow"/>
          <w:highlightCs w:val="yellow"/>
        </w:rPr>
        <w:t xml:space="preserve">[Argument for Europe, to be written after the literature review is complete: why borders within Europe are a different kind of border than those in US-China or US-India samples, and what remains unknown. Do not claim that no test exists within Europe until the overlap check is finished, see D15 and register item R2.]</w:t>
      </w:r>
    </w:p>
    <w:p>
      <w:pPr>
        <w:pStyle w:val="Heading2"/>
      </w:pPr>
      <w:r>
        <w:rPr>
          <w:rFonts w:ascii="Times New Roman" w:cs="Times New Roman" w:eastAsia="Times New Roman" w:hAnsi="Times New Roman"/>
        </w:rPr>
        <w:t xml:space="preserve">1.2. Research Objective and Research Question</w:t>
      </w:r>
    </w:p>
    <w:p>
      <w:pPr>
        <w:spacing w:after="140" w:line="300"/>
      </w:pPr>
      <w:r>
        <w:rPr>
          <w:rFonts w:ascii="Times New Roman" w:cs="Times New Roman" w:eastAsia="Times New Roman" w:hAnsi="Times New Roman"/>
          <w:highlight w:val="yellow"/>
          <w:highlightCs w:val="yellow"/>
        </w:rPr>
        <w:t xml:space="preserve">[Candidate research question, not final: To what extent do institutional and cultural distance between European countries reduce the likelihood that a startup whose first institutional round is led by a foreign venture capital investor raises a follow-on round, and how do shared language, economic interconnectedness, and the lead investor's industry specialization reshape this relationship? See D6 and D7.]</w:t>
      </w:r>
    </w:p>
    <w:p>
      <w:pPr>
        <w:pStyle w:val="Heading2"/>
      </w:pPr>
      <w:r>
        <w:rPr>
          <w:rFonts w:ascii="Times New Roman" w:cs="Times New Roman" w:eastAsia="Times New Roman" w:hAnsi="Times New Roman"/>
        </w:rPr>
        <w:t xml:space="preserve">1.3. Structure of the Proposal</w:t>
      </w:r>
    </w:p>
    <w:p>
      <w:pPr>
        <w:spacing w:after="140" w:line="300"/>
      </w:pPr>
      <w:r>
        <w:rPr>
          <w:rFonts w:ascii="Times New Roman" w:cs="Times New Roman" w:eastAsia="Times New Roman" w:hAnsi="Times New Roman"/>
          <w:highlight w:val="yellow"/>
          <w:highlightCs w:val="yellow"/>
        </w:rPr>
        <w:t xml:space="preserve">[To be written last.]</w:t>
      </w:r>
    </w:p>
    <w:p>
      <w:pPr>
        <w:pStyle w:val="Heading1"/>
      </w:pPr>
      <w:r>
        <w:rPr>
          <w:rFonts w:ascii="Times New Roman" w:cs="Times New Roman" w:eastAsia="Times New Roman" w:hAnsi="Times New Roman"/>
        </w:rPr>
        <w:t xml:space="preserve">2. Literature Review</w:t>
      </w:r>
    </w:p>
    <w:p>
      <w:pPr>
        <w:spacing w:after="140" w:line="300"/>
      </w:pPr>
      <w:r>
        <w:rPr>
          <w:rFonts w:ascii="Times New Roman" w:cs="Times New Roman" w:eastAsia="Times New Roman" w:hAnsi="Times New Roman"/>
          <w:highlight w:val="yellow"/>
          <w:highlightCs w:val="yellow"/>
        </w:rPr>
        <w:t xml:space="preserve">[Opening paragraph to be written once the literature set is complete. Planned order: cross-border venture capital and the liability of foreignness (2.1), dimensions of national distance (2.2), investor experience as a way to reduce the effect of distance (2.3), moderators that could matter within Europe (2.4), outcomes (2.5), gap and positioning (2.6), opposing evidence (2.7), conceptual model and hypotheses (2.8).]</w:t>
      </w:r>
    </w:p>
    <w:p>
      <w:pPr>
        <w:pStyle w:val="Heading2"/>
      </w:pPr>
      <w:r>
        <w:rPr>
          <w:rFonts w:ascii="Times New Roman" w:cs="Times New Roman" w:eastAsia="Times New Roman" w:hAnsi="Times New Roman"/>
        </w:rPr>
        <w:t xml:space="preserve">2.1. Cross-Border Venture Capital and the Liability of Foreignness</w:t>
      </w:r>
    </w:p>
    <w:p>
      <w:pPr>
        <w:spacing w:after="140" w:line="300"/>
      </w:pPr>
      <w:r>
        <w:rPr>
          <w:rFonts w:ascii="Times New Roman" w:cs="Times New Roman" w:eastAsia="Times New Roman" w:hAnsi="Times New Roman"/>
        </w:rPr>
        <w:t xml:space="preserve">Venture capital investors supply scarce financial resources to entrepreneurial ventures and add value beyond the money supplied. Li et al. (2014, p. 474) group these non-financial activities into four: screening and deal selection, contracting, monitoring, and advising. The authors argue that the effectiveness of these four activities, among other things, determines the performance of an international investment (Li et al., 2014, p. 474). Distance between the investor's and the venture's country matters because it lowers this effectiveness (Li et al., 2014, pp. 474-475). This argument provides the mechanism that links distance to performance in the present proposal.</w:t>
      </w:r>
    </w:p>
    <w:p>
      <w:pPr>
        <w:spacing w:after="140" w:line="300"/>
      </w:pPr>
      <w:r>
        <w:rPr>
          <w:rFonts w:ascii="Times New Roman" w:cs="Times New Roman" w:eastAsia="Times New Roman" w:hAnsi="Times New Roman"/>
          <w:highlight w:val="yellow"/>
          <w:highlightCs w:val="yellow"/>
        </w:rPr>
        <w:t xml:space="preserve">[Theory section to be extended with further papers: liability of foreignness (Zaheer, 1995, as cited in Li et al., 2014, p. 472), institutional theory, and organizational learning. The theoretical lens to be used throughout is still open, see D13.]</w:t>
      </w:r>
    </w:p>
    <w:p>
      <w:pPr>
        <w:spacing w:after="140" w:line="300"/>
      </w:pPr>
      <w:r>
        <w:rPr>
          <w:rFonts w:ascii="Times New Roman" w:cs="Times New Roman" w:eastAsia="Times New Roman" w:hAnsi="Times New Roman"/>
        </w:rPr>
        <w:t xml:space="preserve">A second line of argument concerns what cross-border investors add besides the costs of distance. Bertoni and Groh (2014, pp. 84-86) argue that cross-border investors widen the set of exit options for the syndicate, because they give access to the capital market of their home country, and that the liabilities of foreignness and of distance can be reduced by syndicating with local partners (p. 84). In their sample of 1,062 investments in 462 young high-tech companies in seven European countries, the size of the M&amp;A market in the cross-border investor's country raises the likelihood of a trade-sale exit; the size of the IPO market in that country raises the likelihood of an IPO exit with weaker statistical support, and this effect is not significant in the matched sample (Bertoni &amp; Groh, 2014, pp. 93-96). The authors add that local exit conditions in the startup's country matter more than conditions in the investor's country (Bertoni &amp; Groh, 2014, p. 97).</w:t>
      </w:r>
    </w:p>
    <w:p>
      <w:pPr>
        <w:pStyle w:val="Heading2"/>
      </w:pPr>
      <w:r>
        <w:rPr>
          <w:rFonts w:ascii="Times New Roman" w:cs="Times New Roman" w:eastAsia="Times New Roman" w:hAnsi="Times New Roman"/>
        </w:rPr>
        <w:t xml:space="preserve">2.2. Dimensions of National Distance</w:t>
      </w:r>
    </w:p>
    <w:p>
      <w:pPr>
        <w:pStyle w:val="Heading3"/>
      </w:pPr>
      <w:r>
        <w:rPr>
          <w:rFonts w:ascii="Times New Roman" w:cs="Times New Roman" w:eastAsia="Times New Roman" w:hAnsi="Times New Roman"/>
        </w:rPr>
        <w:t xml:space="preserve">Cultural distance</w:t>
      </w:r>
    </w:p>
    <w:p>
      <w:pPr>
        <w:spacing w:after="140" w:line="300"/>
      </w:pPr>
      <w:r>
        <w:rPr>
          <w:rFonts w:ascii="Times New Roman" w:cs="Times New Roman" w:eastAsia="Times New Roman" w:hAnsi="Times New Roman"/>
        </w:rPr>
        <w:t xml:space="preserve">Li et al. (2014, pp. 474, 478) measure cultural distance with the index of Kogut and Singh (1988), which combines the differences between two countries on four Hofstede dimensions: individualism versus collectivism, power distance, uncertainty avoidance, and masculinity versus femininity. The authors describe three ways in which cultural distance harms performance. It creates communication problems that hinder information sharing; it signals dissimilar values and beliefs, which lead to different approaches to deal selection, contracting, monitoring, and advising; and it creates a liability of outsidership, which reduces trust (Li et al., 2014, pp. 474-475). In their sample, cultural distance lowers the likelihood of a successful exit (Li et al., 2014, p. 480).</w:t>
      </w:r>
    </w:p>
    <w:p>
      <w:pPr>
        <w:pStyle w:val="Heading3"/>
      </w:pPr>
      <w:r>
        <w:rPr>
          <w:rFonts w:ascii="Times New Roman" w:cs="Times New Roman" w:eastAsia="Times New Roman" w:hAnsi="Times New Roman"/>
        </w:rPr>
        <w:t xml:space="preserve">Institutional distance</w:t>
      </w:r>
    </w:p>
    <w:p>
      <w:pPr>
        <w:spacing w:after="140" w:line="300"/>
      </w:pPr>
      <w:r>
        <w:rPr>
          <w:rFonts w:ascii="Times New Roman" w:cs="Times New Roman" w:eastAsia="Times New Roman" w:hAnsi="Times New Roman"/>
        </w:rPr>
        <w:t xml:space="preserve">Institutional distance is measured by Li et al. (2014, p. 478) as the absolute difference between the composite governance scores of the investor's and the venture's country, based on the six dimensions of the World Governance Indicators. The theoretical argument is that institutional distance creates incongruence between the investor's practices and local institutionalized practices, and that it increases the risk of lost legitimacy and reputation (Li et al., 2014, p. 475). Institutional distance also lowers the likelihood of a successful exit (Li et al., 2014, p. 480). </w:t>
      </w:r>
      <w:r>
        <w:rPr>
          <w:rFonts w:ascii="Times New Roman" w:cs="Times New Roman" w:eastAsia="Times New Roman" w:hAnsi="Times New Roman"/>
          <w:highlight w:val="yellow"/>
          <w:highlightCs w:val="yellow"/>
        </w:rPr>
        <w:t xml:space="preserve">[The Mahalanobis alternative and the choice of governance indicators are open, see D1.]</w:t>
      </w:r>
    </w:p>
    <w:p>
      <w:pPr>
        <w:pStyle w:val="Heading3"/>
      </w:pPr>
      <w:r>
        <w:rPr>
          <w:rFonts w:ascii="Times New Roman" w:cs="Times New Roman" w:eastAsia="Times New Roman" w:hAnsi="Times New Roman"/>
        </w:rPr>
        <w:t xml:space="preserve">Geographic distance</w:t>
      </w:r>
    </w:p>
    <w:p>
      <w:pPr>
        <w:spacing w:after="140" w:line="300"/>
      </w:pPr>
      <w:r>
        <w:rPr>
          <w:rFonts w:ascii="Times New Roman" w:cs="Times New Roman" w:eastAsia="Times New Roman" w:hAnsi="Times New Roman"/>
        </w:rPr>
        <w:t xml:space="preserve">Geographic distance is expected to raise information gathering and monitoring costs (Li et al., 2014, p. 479). Li et al. (2014) include it as a control, measured as the logged distance in nautical miles between the investor's city and the venture's city (p. 479), and find no significant effect on exit success (p. 482). The authors conclude that the main difficulties of cross-border investors arise from institutional and cultural distance rather than from physical distance (Li et al., 2014, p. 485). In the European survey data of Bottazzi et al. (2016, pp. 2301, 2304-2306), the logged distance between the investor's and the company's city lowers the probability of a deal in all specifications and the probability of an IPO, but is not significant for exit or failure. </w:t>
      </w:r>
      <w:r>
        <w:rPr>
          <w:rFonts w:ascii="Times New Roman" w:cs="Times New Roman" w:eastAsia="Times New Roman" w:hAnsi="Times New Roman"/>
          <w:highlight w:val="yellow"/>
          <w:highlightCs w:val="yellow"/>
        </w:rPr>
        <w:t xml:space="preserve">[Whether geographic distance is a control or a main distance variable in this proposal is open, see D3.]</w:t>
      </w:r>
    </w:p>
    <w:p>
      <w:pPr>
        <w:pStyle w:val="Heading3"/>
      </w:pPr>
      <w:r>
        <w:rPr>
          <w:rFonts w:ascii="Times New Roman" w:cs="Times New Roman" w:eastAsia="Times New Roman" w:hAnsi="Times New Roman"/>
        </w:rPr>
        <w:t xml:space="preserve">Three institutional pillars and investment flows</w:t>
      </w:r>
    </w:p>
    <w:p>
      <w:pPr>
        <w:spacing w:after="140" w:line="300"/>
      </w:pPr>
      <w:r>
        <w:rPr>
          <w:rFonts w:ascii="Times New Roman" w:cs="Times New Roman" w:eastAsia="Times New Roman" w:hAnsi="Times New Roman"/>
        </w:rPr>
        <w:t xml:space="preserve">Moore et al. (2015, pp. 483-484) split institutional distance into three dimensions after Scott (1995): regulative (laws and rules), normative (shared norms, values, and beliefs), and cultural-cognitive (shared schemas and understandings). They test the effect of each dimension on cross-border venture capital flows between 16 European countries from 1996 to 2005, using 1,037 country-pair observations (Moore et al., 2015, p. 487). Regulative distance is built from five items (antitrust regulation, intellectual property protection, judicial efficiency, and fiscal policy on debt and inflation) and normative distance from seven items on government and bureaucracy, both taken from the World Competitiveness Yearbook; cultural-cognitive distance uses four Hofstede dimensions. All three use the Kogut and Singh formula (Moore et al., 2015, pp. 488-489). Normative and cultural-cognitive distance reduce flows, whereas regulative distance has no significant relationship with flows (Moore et al., 2015, p. 492). The authors link the missing regulative effect to the codified and observable nature of formal rules, which lets investors manage differences through contracts and controls (Moore et al., 2015, pp. 493-494). </w:t>
      </w:r>
      <w:r>
        <w:rPr>
          <w:rFonts w:ascii="Times New Roman" w:cs="Times New Roman" w:eastAsia="Times New Roman" w:hAnsi="Times New Roman"/>
          <w:highlight w:val="yellow"/>
          <w:highlightCs w:val="yellow"/>
        </w:rPr>
        <w:t xml:space="preserve">[The choice between one institutional composite and separate pillars is open, see D18.]</w:t>
      </w:r>
    </w:p>
    <w:p>
      <w:pPr>
        <w:pStyle w:val="Heading3"/>
      </w:pPr>
      <w:r>
        <w:rPr>
          <w:rFonts w:ascii="Times New Roman" w:cs="Times New Roman" w:eastAsia="Times New Roman" w:hAnsi="Times New Roman"/>
        </w:rPr>
        <w:t xml:space="preserve">Trust between nations</w:t>
      </w:r>
    </w:p>
    <w:p>
      <w:pPr>
        <w:spacing w:after="140" w:line="300"/>
      </w:pPr>
      <w:r>
        <w:rPr>
          <w:rFonts w:ascii="Times New Roman" w:cs="Times New Roman" w:eastAsia="Times New Roman" w:hAnsi="Times New Roman"/>
        </w:rPr>
        <w:t xml:space="preserve">Bottazzi, Da Rin, and Hellmann (2016, pp. 2284, 2287) add a belief-based measure of the relation between two countries: generalized trust, which is a subjective belief about how likely members of another group are to act honestly, held without knowing the specific counterparty. The authors measure it with the Eurobarometer survey as the percentage of citizens in one country who trust people from another country a lot, using the survey waves from 1990 to 1996 (pp. 2293, 2297). The measure is directional, from the investor's country toward the company's country, and with investor and company-country fixed effects it captures relative trust (pp. 2284-2285, 2299). The authors support its validity with a correlation of 0.72 with the World Values Survey measure and with correlations across survey waves of at least 0.84 (p. 2297). Higher trust raises the probability that an investor funds a given company: one more percentage point of citizens with high trust corresponds to a 5.7 percent higher probability of a deal (p. 2301). The paper uses no institutional or cultural distance index; its other country-pair variables are the difference in GDP per capita, a legal origin dummy, language overlap, a common border, a newspaper-coverage measure of information, and the export share (pp. 2293, 2297-2298). </w:t>
      </w:r>
      <w:r>
        <w:rPr>
          <w:rFonts w:ascii="Times New Roman" w:cs="Times New Roman" w:eastAsia="Times New Roman" w:hAnsi="Times New Roman"/>
          <w:highlight w:val="yellow"/>
          <w:highlightCs w:val="yellow"/>
        </w:rPr>
        <w:t xml:space="preserve">[Whether trust enters this proposal as a distance measure, a moderator, or not at all is open, see D20.]</w:t>
      </w:r>
    </w:p>
    <w:p>
      <w:pPr>
        <w:pStyle w:val="Heading3"/>
      </w:pPr>
      <w:r>
        <w:rPr>
          <w:rFonts w:ascii="Times New Roman" w:cs="Times New Roman" w:eastAsia="Times New Roman" w:hAnsi="Times New Roman"/>
        </w:rPr>
        <w:t xml:space="preserve">Economic integration within Europe</w:t>
      </w:r>
    </w:p>
    <w:p>
      <w:pPr>
        <w:spacing w:after="140" w:line="300"/>
      </w:pPr>
      <w:r>
        <w:rPr>
          <w:rFonts w:ascii="Times New Roman" w:cs="Times New Roman" w:eastAsia="Times New Roman" w:hAnsi="Times New Roman"/>
        </w:rPr>
        <w:t xml:space="preserve">Alhorr, Moore, and Payne (2008, pp. 898, 900) argue that economic integration reduces the differences between the institutional systems of member countries and therefore raises cross-border venture capital flows. They measure integration with two dummy variables taken from Eurostat: membership of the EU single market, coded 1 for countries that share the single market with the other members, and euro adoption, coded 1 from the year a country adopted the euro (p. 906). Their sample covers 24 European countries from 1985 to 2002 (pp. 902-903). Both dummies raise the share of a country's venture capital that goes to other EU countries: euro adoption has a coefficient of 0.192 and the common market of 0.097 when estimated separately, and 0.165 and 0.066 when estimated together, with the euro showing the stronger relationship (p. 910). The paper does not measure institutional distance, so it cannot show whether integration weakens the effect of distance; it only argues that integration reduces institutional differences (Alhorr et al., 2008, p. 900). </w:t>
      </w:r>
      <w:r>
        <w:rPr>
          <w:rFonts w:ascii="Times New Roman" w:cs="Times New Roman" w:eastAsia="Times New Roman" w:hAnsi="Times New Roman"/>
          <w:highlight w:val="yellow"/>
          <w:highlightCs w:val="yellow"/>
        </w:rPr>
        <w:t xml:space="preserve">[Whether integration enters as a moderator, a control, or only as part of the sample definition is open, see D22.]</w:t>
      </w:r>
    </w:p>
    <w:p>
      <w:pPr>
        <w:spacing w:after="140" w:line="300"/>
      </w:pPr>
      <w:r>
        <w:rPr>
          <w:rFonts w:ascii="Times New Roman" w:cs="Times New Roman" w:eastAsia="Times New Roman" w:hAnsi="Times New Roman"/>
          <w:highlight w:val="yellow"/>
          <w:highlightCs w:val="yellow"/>
        </w:rPr>
        <w:t xml:space="preserve">[Section to be completed with the other distance papers. Concluding sentence that ties the three dimensions to the proposal model is still to be written.]</w:t>
      </w:r>
    </w:p>
    <w:p>
      <w:pPr>
        <w:pStyle w:val="Heading2"/>
      </w:pPr>
      <w:r>
        <w:rPr>
          <w:rFonts w:ascii="Times New Roman" w:cs="Times New Roman" w:eastAsia="Times New Roman" w:hAnsi="Times New Roman"/>
        </w:rPr>
        <w:t xml:space="preserve">2.3. Investor Experience as a Way to Reduce the Effect of Distance</w:t>
      </w:r>
    </w:p>
    <w:p>
      <w:pPr>
        <w:spacing w:after="140" w:line="300"/>
      </w:pPr>
      <w:r>
        <w:rPr>
          <w:rFonts w:ascii="Times New Roman" w:cs="Times New Roman" w:eastAsia="Times New Roman" w:hAnsi="Times New Roman"/>
        </w:rPr>
        <w:t xml:space="preserve">Li et al. (2014, pp. 475-476) draw on organizational learning to argue that cross-border experience can reduce the negative effect of national distance. They separate broad international experience, which reflects the diversity of countries in which an investor has invested, from host-country experience, which reflects the depth of investment in one destination. Broad experience is expected to raise the awareness of differences and to develop adaptive and translation capabilities; host-country experience is expected to build deep knowledge, relationships, and legitimacy (Li et al., 2014, p. 476).</w:t>
      </w:r>
    </w:p>
    <w:p>
      <w:pPr>
        <w:spacing w:after="140" w:line="300"/>
      </w:pPr>
      <w:r>
        <w:rPr>
          <w:rFonts w:ascii="Times New Roman" w:cs="Times New Roman" w:eastAsia="Times New Roman" w:hAnsi="Times New Roman"/>
        </w:rPr>
        <w:t xml:space="preserve">The evidence is mixed. Broad international experience weakens the negative effect of institutional distance on exit success, although in the Heckman estimation this effect is significant only at the 10 percent level (Li et al., 2014, pp. 480, 484). It does not weaken the effect of cultural distance, and host-country experience does not weaken either effect (Li et al., 2014, pp. 480, 485). The authors explain the difference between the two distances by the nature of the knowledge involved: institutional differences are explicit and enforced through sanctions, whereas cultural differences are tacit and persist, and the episodic engagement of venture capital investors in a host country gives little room for the deep learning that cultural differences require (Li et al., 2014, pp. 477, 485).</w:t>
      </w:r>
    </w:p>
    <w:p>
      <w:pPr>
        <w:spacing w:after="140" w:line="300"/>
      </w:pPr>
      <w:r>
        <w:rPr>
          <w:rFonts w:ascii="Times New Roman" w:cs="Times New Roman" w:eastAsia="Times New Roman" w:hAnsi="Times New Roman"/>
          <w:highlight w:val="yellow"/>
          <w:highlightCs w:val="yellow"/>
        </w:rPr>
        <w:t xml:space="preserve">[Experience is measured over the past five years as the share of foreign investment (broad) and the share of ventures funded in the host country (host) (Li et al., 2014, p. 478). Whether experience enters this proposal as a moderator or as a control, and how it can be measured with the data available, is open, see D4 and D5.]</w:t>
      </w:r>
    </w:p>
    <w:p>
      <w:pPr>
        <w:pStyle w:val="Heading2"/>
      </w:pPr>
      <w:r>
        <w:rPr>
          <w:rFonts w:ascii="Times New Roman" w:cs="Times New Roman" w:eastAsia="Times New Roman" w:hAnsi="Times New Roman"/>
        </w:rPr>
        <w:t xml:space="preserve">2.4. Moderators Relevant to Cross-Border Investment within Europe</w:t>
      </w:r>
    </w:p>
    <w:p>
      <w:pPr>
        <w:spacing w:after="140" w:line="300"/>
      </w:pPr>
      <w:r>
        <w:rPr>
          <w:rFonts w:ascii="Times New Roman" w:cs="Times New Roman" w:eastAsia="Times New Roman" w:hAnsi="Times New Roman"/>
          <w:highlight w:val="yellow"/>
          <w:highlightCs w:val="yellow"/>
        </w:rPr>
        <w:t xml:space="preserve">[Core of the proposal's contribution. The supervisor asked for two to three moderators that are tied to the European context. Candidates from the earlier discussion are shared language, economic interconnectedness (trade ties), shared borders, cultural clusters such as the Nordics, and the lead investor's industry specialization. None of these is tested as a moderator of distance in Li et al. (2014). The paper does suggest further moderators for future work: other firm-specific factors such as human networks and technological capabilities, differences between investors from the same country, regional variation within countries, specific cultural traits, and the interaction between host-country and broad experience (pp. 485-486). Moore et al. (2015) test no moderators; they suggest examining the three institutional dimensions as an interrelated configuration, firm-level characteristics of VCs that invest abroad, and cross-border trading alliances (pp. 493, 495). Bottazzi et al. (2016) test no moderators of the link between trust and outcomes; their model and data point to investor quality (fund size and partners' US experience, which correlate negatively with trust, p. 2306) and to syndication, which is more attractive when trust is low (pp. 2289, 2312). Alhorr et al. (2008) test no moderators either; they suggest that culture, language, religion, and other sociocultural factors could explain where flows go once markets open, and ask to what extent integration minimizes national differences (p. 912). Selection of the final set is open, see D6, D7, D20, and D22.]</w:t>
      </w:r>
    </w:p>
    <w:p>
      <w:pPr>
        <w:pStyle w:val="Heading2"/>
      </w:pPr>
      <w:r>
        <w:rPr>
          <w:rFonts w:ascii="Times New Roman" w:cs="Times New Roman" w:eastAsia="Times New Roman" w:hAnsi="Times New Roman"/>
        </w:rPr>
        <w:t xml:space="preserve">2.5. Outcomes of Cross-Border Venture Capital Investment</w:t>
      </w:r>
    </w:p>
    <w:p>
      <w:pPr>
        <w:spacing w:after="140" w:line="300"/>
      </w:pPr>
      <w:r>
        <w:rPr>
          <w:rFonts w:ascii="Times New Roman" w:cs="Times New Roman" w:eastAsia="Times New Roman" w:hAnsi="Times New Roman"/>
        </w:rPr>
        <w:t xml:space="preserve">Li et al. (2014, pp. 477-478) define investment success as a dummy variable that equals one if the venture ultimately went public or was acquired. Project-specific returns could not be computed because of data constraints, and the authors point out that venture sales and initial public offerings differ in profitability (Li et al., 2014, pp. 477-478). Investments are tracked from first funding between 1996 and 2008 until the end of 2011, which gives at least three years to observe an exit for the latest investments (Li et al., 2014, p. 477). The authors list the use of exit success as the only performance measure as a limitation and suggest collecting financial and accounting information (Li et al., 2014, p. 486).</w:t>
      </w:r>
    </w:p>
    <w:p>
      <w:pPr>
        <w:spacing w:after="140" w:line="300"/>
      </w:pPr>
      <w:r>
        <w:rPr>
          <w:rFonts w:ascii="Times New Roman" w:cs="Times New Roman" w:eastAsia="Times New Roman" w:hAnsi="Times New Roman"/>
          <w:highlight w:val="yellow"/>
          <w:highlightCs w:val="yellow"/>
        </w:rPr>
        <w:t xml:space="preserve">[Follow-on funding as the main outcome is set by the supervisor, with exit success and time to exit as secondary outcomes. Li et al. (2014) do not study follow-on funding, so the argument for why follow-on funding is a suitable performance measure must come from other papers. Definition and observation window of a follow-on round are open, see D9.]</w:t>
      </w:r>
    </w:p>
    <w:p>
      <w:pPr>
        <w:spacing w:after="140" w:line="300"/>
      </w:pPr>
      <w:r>
        <w:rPr>
          <w:rFonts w:ascii="Times New Roman" w:cs="Times New Roman" w:eastAsia="Times New Roman" w:hAnsi="Times New Roman"/>
        </w:rPr>
        <w:t xml:space="preserve">Bertoni and Groh (2014, pp. 88-90) distinguish three mutually exclusive exit modes, IPO, trade sale, and liquidation (write-offs and buy-backs), and model them as competing risks, with investments not yet exited at the end of 2010 treated as censored. Cross-border deals are exited more often than local deals (74.7 percent versus 58.8 percent), with more IPOs and more liquidations (Bertoni &amp; Groh, 2014, pp. 87, 89). Follow-on funding is not an outcome in that study; it enters only as a control that equals one if the investor entered in a follow-on round (Bertoni &amp; Groh, 2014, p. 91). The authors also note that, without valuation data, successful and unsuccessful trade sales cannot be separated (Bertoni &amp; Groh, 2014, p. 94).</w:t>
      </w:r>
    </w:p>
    <w:p>
      <w:pPr>
        <w:spacing w:after="140" w:line="300"/>
      </w:pPr>
      <w:r>
        <w:rPr>
          <w:rFonts w:ascii="Times New Roman" w:cs="Times New Roman" w:eastAsia="Times New Roman" w:hAnsi="Times New Roman"/>
        </w:rPr>
        <w:t xml:space="preserve">Moore et al. (2015, p. 488) use a different outcome again: cross-border venture capital flows, defined as the percentage of a source country's VC investment that goes to a target European country. The study therefore concerns investment volumes at country-pair level and not the performance of individual investments; the authors name venture performance as a logical next step (Moore et al., 2015, p. 493).</w:t>
      </w:r>
    </w:p>
    <w:p>
      <w:pPr>
        <w:spacing w:after="140" w:line="300"/>
      </w:pPr>
      <w:r>
        <w:rPr>
          <w:rFonts w:ascii="Times New Roman" w:cs="Times New Roman" w:eastAsia="Times New Roman" w:hAnsi="Times New Roman"/>
        </w:rPr>
        <w:t xml:space="preserve">Bottazzi et al. (2016, pp. 2292, 2295-2296) use three outcome dummies for first-round investments made from 1998 to 2001: IPO, Exit (IPO or acquisition), and Failure (company out of business or not traceable), observed until 2011. They choose outcomes over returns because return data are difficult to obtain (p. 2285). Trust, their distance-like variable, is negatively related to IPO and Exit and positively related to Failure in every specification, with significance in most but not all models (pp. 2285, 2304-2306). The authors attribute this to selection: investors with higher trust fund more companies with lower prior chances of success, which lowers their average success rate (pp. 2285, 2289). Trust correlates with the predicted success probabilities derived from observable company characteristics (r between -0.24 and -0.27 for IPO and Exit, and 0.36 for Failure; pp. 2307-2308), and the Mills ratio of a Heckman model is negative and significant for IPO (5 percent) and Exit (10 percent) but not for Failure (p. 2309); the authors themselves describe the evidence for unobservable selection as mild (p. 2286). Follow-on funding is not studied in that paper.</w:t>
      </w:r>
    </w:p>
    <w:p>
      <w:pPr>
        <w:spacing w:after="140" w:line="300"/>
      </w:pPr>
      <w:r>
        <w:rPr>
          <w:rFonts w:ascii="Times New Roman" w:cs="Times New Roman" w:eastAsia="Times New Roman" w:hAnsi="Times New Roman"/>
        </w:rPr>
        <w:t xml:space="preserve">Alhorr et al. (2008, p. 903) define cross-border venture capital outflows as the ratio of the venture capital that a country invests in other EU countries to the total venture capital that the country invests, using annual data from SDC Platinum. Like Moore et al. (2015), they measure the flow of funds at country level and not the performance of investments, and they state that the link between flows and entrepreneurial activity is assumed and not tested (Alhorr et al., 2008, p. 911).</w:t>
      </w:r>
    </w:p>
    <w:p>
      <w:pPr>
        <w:pStyle w:val="Heading2"/>
      </w:pPr>
      <w:r>
        <w:rPr>
          <w:rFonts w:ascii="Times New Roman" w:cs="Times New Roman" w:eastAsia="Times New Roman" w:hAnsi="Times New Roman"/>
        </w:rPr>
        <w:t xml:space="preserve">2.6. Gap and Positioning</w:t>
      </w:r>
    </w:p>
    <w:p>
      <w:pPr>
        <w:spacing w:after="140" w:line="300"/>
      </w:pPr>
      <w:r>
        <w:rPr>
          <w:rFonts w:ascii="Times New Roman" w:cs="Times New Roman" w:eastAsia="Times New Roman" w:hAnsi="Times New Roman"/>
        </w:rPr>
        <w:t xml:space="preserve">Li et al. (2014) show that institutional and cultural distance reduce exit success in cross-border venture capital investments, controlling for geographic distance, and that broad international experience weakens the effect of institutional distance. Their sample covers investments from 69 investor countries into 64 venture countries (Li et al., 2014, p. 477) and does not isolate Europe. Distances of syndicates are averaged over all co-investors, so the lead investor is not identified (Li et al., 2014, p. 478), and the outcome is exit rather than follow-on funding (Li et al., 2014, p. 477). The present proposal addresses these three points by restricting the sample to Europe, by focusing on the foreign lead investor in the first institutional round, and by using follow-on funding as the main outcome. </w:t>
      </w:r>
      <w:r>
        <w:rPr>
          <w:rFonts w:ascii="Times New Roman" w:cs="Times New Roman" w:eastAsia="Times New Roman" w:hAnsi="Times New Roman"/>
          <w:highlight w:val="yellow"/>
          <w:highlightCs w:val="yellow"/>
        </w:rPr>
        <w:t xml:space="preserve">[Positioning statement to be sharpened after the overlap check with other European studies, see register item R2 and D15.]</w:t>
      </w:r>
    </w:p>
    <w:p>
      <w:pPr>
        <w:spacing w:after="140" w:line="300"/>
      </w:pPr>
      <w:r>
        <w:rPr>
          <w:rFonts w:ascii="Times New Roman" w:cs="Times New Roman" w:eastAsia="Times New Roman" w:hAnsi="Times New Roman"/>
        </w:rPr>
        <w:t xml:space="preserve">Bertoni and Groh (2014, pp. 85, 87) cover seven European countries (Belgium, Finland, France, Germany, Italy, Spain, and the United Kingdom) for first-round investments between 1994 and 2004. They separate only local from cross-border investors; their cross-border variables describe the exit markets in the investors' home countries, not the distance between investor and startup country (Bertoni &amp; Groh, 2014, pp. 88-91). The outcome is the exit mode and not follow-on funding (p. 88). This leaves open the question of how distance and its moderators relate to follow-on funding within Europe.</w:t>
      </w:r>
    </w:p>
    <w:p>
      <w:pPr>
        <w:spacing w:after="140" w:line="300"/>
      </w:pPr>
      <w:r>
        <w:rPr>
          <w:rFonts w:ascii="Times New Roman" w:cs="Times New Roman" w:eastAsia="Times New Roman" w:hAnsi="Times New Roman"/>
        </w:rPr>
        <w:t xml:space="preserve">Moore et al. (2015, pp. 482, 487) cover 16 European countries from 1996 to 2005 and three distance dimensions, but their unit is the country pair and their outcome is the flow of funds. They therefore do not address deal-level performance, the lead investor, or the first institutional round, and the paper does not list the 16 countries.</w:t>
      </w:r>
    </w:p>
    <w:p>
      <w:pPr>
        <w:spacing w:after="140" w:line="300"/>
      </w:pPr>
      <w:r>
        <w:rPr>
          <w:rFonts w:ascii="Times New Roman" w:cs="Times New Roman" w:eastAsia="Times New Roman" w:hAnsi="Times New Roman"/>
        </w:rPr>
        <w:t xml:space="preserve">Bottazzi et al. (2016, pp. 2285, 2291, 2293) cover first rounds of 107 venture capital firms from 15 European Union countries between 1998 and 2001, with portfolio companies in the same countries plus Norway, Switzerland, and the United States, and relate the countries by bilateral trust. They study deal formation, IPO, exit, failure, stage, syndication, and contracts, but not follow-on funding, institutional or cultural distance indices, or moderators of the trust and outcome relation, and the paper does not report how a lead investor is identified. </w:t>
      </w:r>
      <w:r>
        <w:rPr>
          <w:rFonts w:ascii="Times New Roman" w:cs="Times New Roman" w:eastAsia="Times New Roman" w:hAnsi="Times New Roman"/>
          <w:highlight w:val="yellow"/>
          <w:highlightCs w:val="yellow"/>
        </w:rPr>
        <w:t xml:space="preserve">[This is the closest European deal-level evidence found so far and must be handled in the gap statement, see D15 and register item R2.]</w:t>
      </w:r>
    </w:p>
    <w:p>
      <w:pPr>
        <w:spacing w:after="140" w:line="300"/>
      </w:pPr>
      <w:r>
        <w:rPr>
          <w:rFonts w:ascii="Times New Roman" w:cs="Times New Roman" w:eastAsia="Times New Roman" w:hAnsi="Times New Roman"/>
        </w:rPr>
        <w:t xml:space="preserve">Alhorr et al. (2008, pp. 902-903) cover 24 European countries from 1985 to 2002 and test whether adoption of the EU single market and of the euro raises the share of a country's venture capital that is invested in other EU countries. Their unit is the country-year; they neither measure distance nor test moderators, and they do not address performance, the lead investor, or the first institutional round (pp. 903, 908-911). </w:t>
      </w:r>
      <w:r>
        <w:rPr>
          <w:rFonts w:ascii="Times New Roman" w:cs="Times New Roman" w:eastAsia="Times New Roman" w:hAnsi="Times New Roman"/>
          <w:highlight w:val="yellow"/>
          <w:highlightCs w:val="yellow"/>
        </w:rPr>
        <w:t xml:space="preserve">[They are relevant mainly for the question whether integration changes what distance means within Europe, see D22 and register item R7.]</w:t>
      </w:r>
    </w:p>
    <w:p>
      <w:pPr>
        <w:pStyle w:val="Heading2"/>
      </w:pPr>
      <w:r>
        <w:rPr>
          <w:rFonts w:ascii="Times New Roman" w:cs="Times New Roman" w:eastAsia="Times New Roman" w:hAnsi="Times New Roman"/>
        </w:rPr>
        <w:t xml:space="preserve">2.7. Opposing Evidence and Open Tensions</w:t>
      </w:r>
    </w:p>
    <w:p>
      <w:pPr>
        <w:spacing w:after="140" w:line="300"/>
      </w:pPr>
      <w:r>
        <w:rPr>
          <w:rFonts w:ascii="Times New Roman" w:cs="Times New Roman" w:eastAsia="Times New Roman" w:hAnsi="Times New Roman"/>
          <w:highlight w:val="yellow"/>
          <w:highlightCs w:val="yellow"/>
        </w:rPr>
        <w:t xml:space="preserve">[This section brings together, in one place, the findings that point in different directions. It is filled from the register in Appendix B once more papers have been processed. Current entries: R1 (geographic distance), R2 (trust and exit success in Europe), R3 (host-country experience), R4 (exit rates of cross-border deals), R5 (institutional distance across studies), R6 (foreign deals and success), R7 (integration versus distance).]</w:t>
      </w:r>
    </w:p>
    <w:p>
      <w:pPr>
        <w:pStyle w:val="Heading2"/>
      </w:pPr>
      <w:r>
        <w:rPr>
          <w:rFonts w:ascii="Times New Roman" w:cs="Times New Roman" w:eastAsia="Times New Roman" w:hAnsi="Times New Roman"/>
        </w:rPr>
        <w:t xml:space="preserve">2.8. Conceptual Model and Hypotheses</w:t>
      </w:r>
    </w:p>
    <w:p>
      <w:pPr>
        <w:spacing w:after="140" w:line="300"/>
      </w:pPr>
      <w:r>
        <w:rPr>
          <w:rFonts w:ascii="Times New Roman" w:cs="Times New Roman" w:eastAsia="Times New Roman" w:hAnsi="Times New Roman"/>
          <w:highlight w:val="yellow"/>
          <w:highlightCs w:val="yellow"/>
        </w:rPr>
        <w:t xml:space="preserve">[All hypotheses below are candidates and not final. The evidence column shows what the papers processed so far support. The dependent variable in the candidate hypotheses is follow-on funding; the evidence from Li et al. (2014) concerns exit success, so it supports the direction of the argument but not the outcome as such.]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00"/>
        <w:gridCol w:w="26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ID</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Candidate hypothesis</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Evidence so far</w:t>
            </w:r>
          </w:p>
        </w:tc>
        <w:tc>
          <w:tcPr>
            <w:tcW w:type="dxa" w:w="26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Opposing evidence / note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H1a</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distance between investor and startup country lowers the likelihood of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negative and significant effect on exit success (Model 4: -0.00622, p &lt; 0.001; p. 482). Moore et al. (2015): on flows, normative distance negative (-0.4342*), regulative distance not significant (p. 492).</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R2: in European deal data, higher trust between countries is linked to more investment but fewer IPOs and exits, which the authors attribute to selection (Bottazzi et al., 2016, pp. 2285, 2304-2309). R6: foreign deals show lower IPO and exit rates in the same data (Table 3). R4: cross-border deals are exited more often than local deals (Bertoni &amp; Groh, 2014, pp. 87, 89). R5: regulative distance has no effect on flows (Moore et al., 2015, p. 492).</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H1b</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Cultural distance lowers the likelihood of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negative and significant (Model 4: -0.0781, p &lt; 0.001; p. 482). Moore et al. (2015): cultural-cognitive distance negative on flows (-0.1171***; p. 492).</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Same as H1a.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language weakens the effect of cultural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tested in Li et al. (2014). Language distance only used as an alternative measure of cultural distance (pp. 483-484).</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[to be filled]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Economic ties weaken the effect of institutional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tested in Li et al. (2014).</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[to be filled]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H4</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Lead investor's industry specialization weakens the effect of institutional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tested as a moderator in Li et al. (2014). As a control, specialization has a negative coefficient on exit success (pp. 482-483), without a stated mechanism.</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Direction of the Li et al. control effect does not match the moderator argument; see D7.</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H5 </w:t>
            </w:r>
            <w:r>
              <w:rPr>
                <w:rFonts w:ascii="Times New Roman" w:cs="Times New Roman" w:eastAsia="Times New Roman" w:hAnsi="Times New Roman"/>
                <w:b w:val="false"/>
                <w:bCs w:val="false"/>
                <w:sz w:val="18"/>
                <w:szCs w:val="18"/>
                <w:highlight w:val="yellow"/>
                <w:highlightCs w:val="yellow"/>
              </w:rPr>
              <w:t xml:space="preserve">[optional]</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Broad international experience of the lead investor weakens the effect of institutional distance, but not of cultural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supported for institutional distance (Model 5: +0.00992, p &lt; 0.05), not for cultural distance (pp. 480, 482).</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Heckman result only at p &lt; 0.10 (p. 484); host-country experience not supported (p. 480).</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H6 </w:t>
            </w:r>
            <w:r>
              <w:rPr>
                <w:rFonts w:ascii="Times New Roman" w:cs="Times New Roman" w:eastAsia="Times New Roman" w:hAnsi="Times New Roman"/>
                <w:b w:val="false"/>
                <w:bCs w:val="false"/>
                <w:sz w:val="18"/>
                <w:szCs w:val="18"/>
                <w:highlight w:val="yellow"/>
                <w:highlightCs w:val="yellow"/>
              </w:rPr>
              <w:t xml:space="preserve">[optional]</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membership of the euro area or single market weakens the effect of institutional and cultural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Alhorr et al. (2008): euro adoption (b = 0.192) and single market membership (b = 0.097) raise the EU share of a country's venture capital outflows (p. 910); no interaction with a distance measure is tested.</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Integration is argued to reduce institutional differences but is never combined with a distance measure (Alhorr et al., 2008, p. 900); Moore et al. (2015, p. 492) find that normative and cultural-cognitive distance still lower flows between European countries; see R7 and D22.</w:t>
            </w:r>
          </w:p>
        </w:tc>
      </w:tr>
    </w:tbl>
    <w:p>
      <w:pPr>
        <w:spacing w:after="200" w:before="60"/>
      </w:pPr>
      <w:r>
        <w:rPr>
          <w:rFonts w:ascii="Times New Roman" w:cs="Times New Roman" w:eastAsia="Times New Roman" w:hAnsi="Times New Roman"/>
          <w:i/>
          <w:iCs/>
          <w:sz w:val="18"/>
          <w:szCs w:val="18"/>
        </w:rPr>
        <w:t xml:space="preserve">Table 1: Candidate hypotheses and evidence from the papers processed so far.</w:t>
      </w:r>
    </w:p>
    <w:p>
      <w:pPr>
        <w:pStyle w:val="Heading1"/>
      </w:pPr>
      <w:r>
        <w:rPr>
          <w:rFonts w:ascii="Times New Roman" w:cs="Times New Roman" w:eastAsia="Times New Roman" w:hAnsi="Times New Roman"/>
        </w:rPr>
        <w:t xml:space="preserve">3. Research Methods</w:t>
      </w:r>
    </w:p>
    <w:p>
      <w:pPr>
        <w:spacing w:after="140" w:line="300"/>
      </w:pPr>
      <w:r>
        <w:rPr>
          <w:rFonts w:ascii="Times New Roman" w:cs="Times New Roman" w:eastAsia="Times New Roman" w:hAnsi="Times New Roman"/>
          <w:highlight w:val="yellow"/>
          <w:highlightCs w:val="yellow"/>
        </w:rPr>
        <w:t xml:space="preserve">[Opening paragraph linking the research question to the design. To be written when the hypotheses are final.]</w:t>
      </w:r>
    </w:p>
    <w:p>
      <w:pPr>
        <w:pStyle w:val="Heading2"/>
      </w:pPr>
      <w:r>
        <w:rPr>
          <w:rFonts w:ascii="Times New Roman" w:cs="Times New Roman" w:eastAsia="Times New Roman" w:hAnsi="Times New Roman"/>
        </w:rPr>
        <w:t xml:space="preserve">3.1. Sampling and Data</w:t>
      </w:r>
    </w:p>
    <w:p>
      <w:pPr>
        <w:spacing w:after="140" w:line="300"/>
      </w:pPr>
      <w:r>
        <w:rPr>
          <w:rFonts w:ascii="Times New Roman" w:cs="Times New Roman" w:eastAsia="Times New Roman" w:hAnsi="Times New Roman"/>
        </w:rPr>
        <w:t xml:space="preserve">The sample follows the choices set by the supervisor: investments in European countries (EU27, the United Kingdom, Switzerland, and Norway, excluding markets that are too small to be meaningful), the startup's first institutional round, and a foreign lead investor. Li et al. (2014, p. 477) use a comparable logic: they define a foreign investor as one whose country of origin differs from the investee's, and they focus on the first financing round because deal evaluation, selection, and the initial interaction lay the foundation for later exchange and success. They draw their investments from VentureXpert and verify exits with the SDC Global New Issues and M&amp;A databases (Li et al., 2014, pp. 477-478). The investor's location is taken as the headquarters, with a robustness check on the investing office as requested by the supervisor.</w:t>
      </w:r>
    </w:p>
    <w:p>
      <w:pPr>
        <w:spacing w:after="140" w:line="300"/>
      </w:pPr>
      <w:r>
        <w:rPr>
          <w:rFonts w:ascii="Times New Roman" w:cs="Times New Roman" w:eastAsia="Times New Roman" w:hAnsi="Times New Roman"/>
          <w:highlight w:val="yellow"/>
          <w:highlightCs w:val="yellow"/>
        </w:rPr>
        <w:t xml:space="preserve">[Data source for this study, definition of the first institutional round, and the rule to identify the lead investor are open, see D14 and D8. Li et al. (2014) do not identify a lead investor; they average distances over all co-investors (p. 478), and Bertoni and Groh (2014, p. 90) also use all cross-border investors in a syndicate. Final sample size to be added after data inspection.]</w:t>
      </w:r>
    </w:p>
    <w:p>
      <w:pPr>
        <w:spacing w:after="140" w:line="300"/>
      </w:pPr>
      <w:r>
        <w:rPr>
          <w:rFonts w:ascii="Times New Roman" w:cs="Times New Roman" w:eastAsia="Times New Roman" w:hAnsi="Times New Roman"/>
        </w:rPr>
        <w:t xml:space="preserve">A European data source used in prior work is the VICO dataset, built by nine European universities with European Commission funding. It covers young, independent high-tech companies in seven countries and includes company financials (Bertoni &amp; Groh, 2014, pp. 87, 91). Its country list does not include several countries in the supervisor's scope, for example Switzerland and Norway, and it covers five industries (Bertoni &amp; Groh, 2014, p. 87). </w:t>
      </w:r>
      <w:r>
        <w:rPr>
          <w:rFonts w:ascii="Times New Roman" w:cs="Times New Roman" w:eastAsia="Times New Roman" w:hAnsi="Times New Roman"/>
          <w:highlight w:val="yellow"/>
          <w:highlightCs w:val="yellow"/>
        </w:rPr>
        <w:t xml:space="preserve">[Whether it can be used or only serves as a reference is open, see D14.]</w:t>
      </w:r>
    </w:p>
    <w:p>
      <w:pPr>
        <w:spacing w:after="140" w:line="300"/>
      </w:pPr>
      <w:r>
        <w:rPr>
          <w:rFonts w:ascii="Times New Roman" w:cs="Times New Roman" w:eastAsia="Times New Roman" w:hAnsi="Times New Roman"/>
        </w:rPr>
        <w:t xml:space="preserve">Bottazzi et al. (2016, pp. 2291-2292, 2295) use a hand-collected survey instead of a commercial database: of 685 venture capital firms that were members of the European Venture Capital Association or of a national association in 2001, 107 responded (about 16 percent). The firms reported all first rounds made between January 1998 and December 2001, excluding buyouts, which gives 1,228 deals in 1,170 companies. The authors report that a commercial database (ThomsonOne) captures fewer deals per investor than their survey (4.8 against 15.4 on average for the 52 firms present in both; p. 2292, note 8). The stage of the first round is classified as seed, start-up, expansion, or bridge (p. 2292). The paper does not report how a lead investor is identified or whether the investor's country is based on the headquarters; as a robustness check, the authors measure distance to the closest investor office (pp. 2302-2303). </w:t>
      </w:r>
      <w:r>
        <w:rPr>
          <w:rFonts w:ascii="Times New Roman" w:cs="Times New Roman" w:eastAsia="Times New Roman" w:hAnsi="Times New Roman"/>
          <w:highlight w:val="yellow"/>
          <w:highlightCs w:val="yellow"/>
        </w:rPr>
        <w:t xml:space="preserve">[Relevance for the data choice, see D14.]</w:t>
      </w:r>
    </w:p>
    <w:p>
      <w:pPr>
        <w:spacing w:after="140" w:line="300"/>
      </w:pPr>
      <w:r>
        <w:rPr>
          <w:rFonts w:ascii="Times New Roman" w:cs="Times New Roman" w:eastAsia="Times New Roman" w:hAnsi="Times New Roman"/>
        </w:rPr>
        <w:t xml:space="preserve">Alhorr et al. (2008, pp. 902-903) define their European sample as the EU-15, six newer members, and Iceland, Norway, and Switzerland, and exclude countries without detailed data on venture capital flows to other countries, for example Cyprus, Latvia, Lithuania, Malta, Slovakia, and Bulgaria (p. 902, note 3). </w:t>
      </w:r>
      <w:r>
        <w:rPr>
          <w:rFonts w:ascii="Times New Roman" w:cs="Times New Roman" w:eastAsia="Times New Roman" w:hAnsi="Times New Roman"/>
          <w:highlight w:val="yellow"/>
          <w:highlightCs w:val="yellow"/>
        </w:rPr>
        <w:t xml:space="preserve">[Relevant for the definition of the European sample, see D14.]</w:t>
      </w:r>
    </w:p>
    <w:p>
      <w:pPr>
        <w:pStyle w:val="Heading2"/>
      </w:pPr>
      <w:r>
        <w:rPr>
          <w:rFonts w:ascii="Times New Roman" w:cs="Times New Roman" w:eastAsia="Times New Roman" w:hAnsi="Times New Roman"/>
        </w:rPr>
        <w:t xml:space="preserve">3.2. Variables and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700"/>
        <w:gridCol w:w="14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Variable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Candidate measure</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Source in literature</w:t>
            </w:r>
          </w:p>
        </w:tc>
        <w:tc>
          <w:tcPr>
            <w:tcW w:type="dxa" w:w="14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Follow-on funding (main outcome)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[Dummy for a further round within a fixed window; definition to be set]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Supervisor; not studied in Li et al. (2014). Bertoni and Groh (2014, p. 91) use follow-on only as an investor-entry control dummy</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Outcome fixed, definition open (D9)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modes (secondary)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IPO, trade sale, liquidation as competing events; baseline no exit.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88-90)</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success (secondary)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1 if the venture went public or was acquired; observed for at least 3 years.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477-478); Bottazzi et al. (2016, p. 2292) use separate IPO, Exit, and Failure dummies</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Secondary, fixed by supervisor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Absolute difference of the composite of six WGI dimensions between countries; time varying.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Moore et al. (2015, p. 488) use separate regulative and normative indices from the World Competitiveness Yearbook; Mahalanobis alternative from earlier discussion</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 D18)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Cultural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Kogut and Singh index on four Hofstede dimensions; time invariant.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Moore et al. (2015, p. 488)</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(D2b)</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Generalized trust between countries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Percentage of citizens in the investor's country who trust people from the company's country a lot (Eurobarometer, waves 1990 to 1996); with country fixed effects it is relative trust.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pp. 2293, 2297, 2299)</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EU integration status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for single market membership; dummy for euro adoption, coded 1 from the year of adoption (Eurostat).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Alhorr et al. (2008, p. 906)</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Geographic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Log of nautical miles between investor and venture city.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International experience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 of foreign investment in all investment over the past five years (broad); share of ventures in host country (host).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(D4, D5)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Home-market exit conditions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Volume of IPOs or M&amp;A deals in the investor's country divided by the startup country's GDP; legal rights in the startup country.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90-91)</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Moderators for Europe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[Shared language, economic ties, shared border, specialization]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 Li et al. (2014) or Bertoni and Groh (2014)</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(D6, D7)</w:t>
            </w:r>
          </w:p>
        </w:tc>
      </w:tr>
    </w:tbl>
    <w:p>
      <w:pPr>
        <w:spacing w:after="200" w:before="60"/>
      </w:pPr>
      <w:r>
        <w:rPr>
          <w:rFonts w:ascii="Times New Roman" w:cs="Times New Roman" w:eastAsia="Times New Roman" w:hAnsi="Times New Roman"/>
          <w:i/>
          <w:iCs/>
          <w:sz w:val="18"/>
          <w:szCs w:val="18"/>
        </w:rPr>
        <w:t xml:space="preserve">Table 2: Candidate variables and measures.</w:t>
      </w:r>
    </w:p>
    <w:p>
      <w:pPr>
        <w:spacing w:after="140" w:line="300"/>
      </w:pPr>
      <w:r>
        <w:rPr>
          <w:rFonts w:ascii="Times New Roman" w:cs="Times New Roman" w:eastAsia="Times New Roman" w:hAnsi="Times New Roman"/>
        </w:rPr>
        <w:t xml:space="preserve">Controls follow the supervisor's list and the controls used by Li et al. (2014, pp. 478-479). Table 3 compares the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200"/>
        <w:gridCol w:w="12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Control</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Supervisor mentioned</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Li et al. (2014)</w:t>
            </w:r>
          </w:p>
        </w:tc>
        <w:tc>
          <w:tcPr>
            <w:tcW w:type="dxa" w:w="1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Investor track record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reputation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past success: log of ventures that went public or were sold in the past five years (p. 478)</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Industry</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49 Fama-French industry dummies (p. 479)</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Industry specialization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as control (see D7)</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 of investment in the venture's industry over five years (p. 478)</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(D7)</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Syndication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co-investor as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investor joined by co-investors (p. 478)</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office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Office location robustness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investor or co-investor has a branch in the host country (pp. 478-479)</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Venture stage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start-up/seed or early stage (p. 479)</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Host-market conditions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volume in host country; exit market conditions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Venture nation VC commitment (funds raised / GDP, logged) and venture nation GDP (p. 479)</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Fund or firm 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reported</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Startup performance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Bertoni and Groh (2014, pp. 90-91): sales growth, patent stock, total assets, each normalized by industry mean</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Syndicate size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co-investor as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Bertoni and Groh (2014, p. 91): number of investors in the syndicate at time t</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Investor type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Bertoni and Groh (2014, p. 91): independent versus captive cross-border investor dummies</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Common language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as a control; language distance used for robustness (pp. 483-484)</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Investor size, independence, and US experience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Bottazzi et al. (2016, p. 2294): log fund size, log age, independent versus captive, partners with US work experience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Country-pair economic and legal variables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Common language; economic ties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Bottazzi et al. (2016, p. 2293): GDP per capita difference, legal origin difference, language overlap, common border, export share, newspaper coverage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Investor fit with deal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Industry specialization (see D7)</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Bottazzi et al. (2016, p. 2294): share of the investor's deals in the same industry and in the same stage as the company</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Country-level macroeconomic controls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volume in host country; exit market conditions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included. Alhorr et al. (2008, pp. 906-907): GDP growth, inflation, FDI, balance of payments, former communist dummy, founding member dummy</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Fixed effects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Venture industry, venture nation, and year dummies (p. 479)</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(D11)</w:t>
            </w:r>
          </w:p>
        </w:tc>
      </w:tr>
    </w:tbl>
    <w:p>
      <w:pPr>
        <w:spacing w:after="200" w:before="60"/>
      </w:pPr>
      <w:r>
        <w:rPr>
          <w:rFonts w:ascii="Times New Roman" w:cs="Times New Roman" w:eastAsia="Times New Roman" w:hAnsi="Times New Roman"/>
          <w:i/>
          <w:iCs/>
          <w:sz w:val="18"/>
          <w:szCs w:val="18"/>
        </w:rPr>
        <w:t xml:space="preserve">Table 3: Controls proposed by the supervisor compared with Li et al. (2014).</w:t>
      </w:r>
    </w:p>
    <w:p>
      <w:pPr>
        <w:pStyle w:val="Heading2"/>
      </w:pPr>
      <w:r>
        <w:rPr>
          <w:rFonts w:ascii="Times New Roman" w:cs="Times New Roman" w:eastAsia="Times New Roman" w:hAnsi="Times New Roman"/>
        </w:rPr>
        <w:t xml:space="preserve">3.3. Estimation Strategy</w:t>
      </w:r>
    </w:p>
    <w:p>
      <w:pPr>
        <w:spacing w:after="140" w:line="300"/>
      </w:pPr>
      <w:r>
        <w:rPr>
          <w:rFonts w:ascii="Times New Roman" w:cs="Times New Roman" w:eastAsia="Times New Roman" w:hAnsi="Times New Roman"/>
        </w:rPr>
        <w:t xml:space="preserve">The primary model is a logit model, as set by the supervisor, with probit and linear probability models as robustness checks. Li et al. (2014, p. 479) also use a logit model for a binary success outcome estimated by maximum likelihood. Because the effect of an interaction term in a nonlinear model varies with all covariates, the authors compute the interaction effect with the formula of Ai and Norton (2003) and plot it with confidence intervals and across levels of the other covariates (Li et al., 2014, pp. 479-480, 483). When they compare moderation across two distances measured in different units, they compare signs and significance and the fit of nested models through likelihood ratio tests, not the size of coefficients (Li et al., 2014, p. 480). </w:t>
      </w:r>
      <w:r>
        <w:rPr>
          <w:rFonts w:ascii="Times New Roman" w:cs="Times New Roman" w:eastAsia="Times New Roman" w:hAnsi="Times New Roman"/>
          <w:highlight w:val="yellow"/>
          <w:highlightCs w:val="yellow"/>
        </w:rPr>
        <w:t xml:space="preserve">[Whether this interpretation approach is adopted is open, see D10.]</w:t>
      </w:r>
    </w:p>
    <w:p>
      <w:pPr>
        <w:spacing w:after="140" w:line="300"/>
      </w:pPr>
      <w:r>
        <w:rPr>
          <w:rFonts w:ascii="Times New Roman" w:cs="Times New Roman" w:eastAsia="Times New Roman" w:hAnsi="Times New Roman"/>
        </w:rPr>
        <w:t xml:space="preserve">Li et al. (2014, p. 482) report standard errors without stating whether they are clustered or robust. </w:t>
      </w:r>
      <w:r>
        <w:rPr>
          <w:rFonts w:ascii="Times New Roman" w:cs="Times New Roman" w:eastAsia="Times New Roman" w:hAnsi="Times New Roman"/>
          <w:highlight w:val="yellow"/>
          <w:highlightCs w:val="yellow"/>
        </w:rPr>
        <w:t xml:space="preserve">[Choice of standard errors, for example clustering by investor or by country pair, is open, see D11.]</w:t>
      </w:r>
    </w:p>
    <w:p>
      <w:pPr>
        <w:spacing w:after="140" w:line="300"/>
      </w:pPr>
      <w:r>
        <w:rPr>
          <w:rFonts w:ascii="Times New Roman" w:cs="Times New Roman" w:eastAsia="Times New Roman" w:hAnsi="Times New Roman"/>
        </w:rPr>
        <w:t xml:space="preserve">As an alternative to a binary logit, Bertoni and Groh (2014, pp. 88-90) use Fine and Gray competing-risks models for three exit modes and, because their data are yearly, a discrete-time multinomial logit that includes duration and duration squared. Robust standard errors are reported (Bertoni &amp; Groh, 2014, p. 93). A competing-risks setup could treat follow-on funding, exit, and failure as competing events. </w:t>
      </w:r>
      <w:r>
        <w:rPr>
          <w:rFonts w:ascii="Times New Roman" w:cs="Times New Roman" w:eastAsia="Times New Roman" w:hAnsi="Times New Roman"/>
          <w:highlight w:val="yellow"/>
          <w:highlightCs w:val="yellow"/>
        </w:rPr>
        <w:t xml:space="preserve">[Open, see D17.]</w:t>
      </w:r>
    </w:p>
    <w:p>
      <w:pPr>
        <w:spacing w:after="140" w:line="300"/>
      </w:pPr>
      <w:r>
        <w:rPr>
          <w:rFonts w:ascii="Times New Roman" w:cs="Times New Roman" w:eastAsia="Times New Roman" w:hAnsi="Times New Roman"/>
        </w:rPr>
        <w:t xml:space="preserve">Bottazzi et al. (2016, pp. 2299, 2303-2305) estimate logit models for deal formation on a sample of all potential investor-company pairs (101,620), with investor fixed effects, company-country fixed effects, and standard errors clustered by country pair. A conditional logit that conditions on both investor and company serves as the richest control set, with robust standard errors, and a probit gives the same results (p. 2299, note 15). For outcomes, they use logit models on realized deals with investor-country and company-country fixed effects and several sets of investor controls, and they prefer the specification with investor characteristics because investor fixed effects remove many observations (pp. 2303-2305). No interaction terms are tested. </w:t>
      </w:r>
      <w:r>
        <w:rPr>
          <w:rFonts w:ascii="Times New Roman" w:cs="Times New Roman" w:eastAsia="Times New Roman" w:hAnsi="Times New Roman"/>
          <w:highlight w:val="yellow"/>
          <w:highlightCs w:val="yellow"/>
        </w:rPr>
        <w:t xml:space="preserve">[See D11 and D21.]</w:t>
      </w:r>
    </w:p>
    <w:p>
      <w:pPr>
        <w:spacing w:after="140" w:line="300"/>
      </w:pPr>
      <w:r>
        <w:rPr>
          <w:rFonts w:ascii="Times New Roman" w:cs="Times New Roman" w:eastAsia="Times New Roman" w:hAnsi="Times New Roman"/>
        </w:rPr>
        <w:t xml:space="preserve">Alhorr et al. (2008, pp. 907-908) estimate a linear mixed model with country and year terms and an AR(1) error covariance on 24 countries and 18 years, report standard errors in Table 3 (p. 910), and test no interactions. </w:t>
      </w:r>
      <w:r>
        <w:rPr>
          <w:rFonts w:ascii="Times New Roman" w:cs="Times New Roman" w:eastAsia="Times New Roman" w:hAnsi="Times New Roman"/>
          <w:highlight w:val="yellow"/>
          <w:highlightCs w:val="yellow"/>
        </w:rPr>
        <w:t xml:space="preserve">[See D11 and D19.]</w:t>
      </w:r>
    </w:p>
    <w:p>
      <w:pPr>
        <w:pStyle w:val="Heading2"/>
      </w:pPr>
      <w:r>
        <w:rPr>
          <w:rFonts w:ascii="Times New Roman" w:cs="Times New Roman" w:eastAsia="Times New Roman" w:hAnsi="Times New Roman"/>
        </w:rPr>
        <w:t xml:space="preserve">3.4. Selection and Endogeneity</w:t>
      </w:r>
    </w:p>
    <w:p>
      <w:pPr>
        <w:spacing w:after="140" w:line="300"/>
      </w:pPr>
      <w:r>
        <w:rPr>
          <w:rFonts w:ascii="Times New Roman" w:cs="Times New Roman" w:eastAsia="Times New Roman" w:hAnsi="Times New Roman"/>
        </w:rPr>
        <w:t xml:space="preserve">Li et al. (2014, p. 479) point out that a sample consisting only of deals with a foreign investor is subject to selection bias, since the outcome without a foreign investor is not observed and ventures with different prospects may differ in their propensity to attract a foreign investor. They estimate a two-stage Heckman model with 16,419 domestic investments as a control group and the sectoral propensity to have a foreign investor in the past five years as identifying variable (pp. 479-480). Results are consistent with the logit estimates, and the correlation between the equations is significant (Li et al., 2014, p. 484). The supervisor accepts a selection model only with a clear justification. </w:t>
      </w:r>
      <w:r>
        <w:rPr>
          <w:rFonts w:ascii="Times New Roman" w:cs="Times New Roman" w:eastAsia="Times New Roman" w:hAnsi="Times New Roman"/>
          <w:highlight w:val="yellow"/>
          <w:highlightCs w:val="yellow"/>
        </w:rPr>
        <w:t xml:space="preserve">[Decision whether to include a selection correction, and with which comparison group and identifying variable, is open, see D12.]</w:t>
      </w:r>
    </w:p>
    <w:p>
      <w:pPr>
        <w:spacing w:after="140" w:line="300"/>
      </w:pPr>
      <w:r>
        <w:rPr>
          <w:rFonts w:ascii="Times New Roman" w:cs="Times New Roman" w:eastAsia="Times New Roman" w:hAnsi="Times New Roman"/>
        </w:rPr>
        <w:t xml:space="preserve">Bertoni and Groh (2014, pp. 85, 89, 94-95) address selection with propensity score matching: a probit model for the probability that a deal has a cross-border investor, followed by matching each cross-border deal with local deals of similar score. The text states five matched local deals while the note to their Table 6 states three (pp. 89, 95). Matching removes the support for their IPO hypothesis but not for their trade-sale hypothesis (p. 94). They also control for syndicate size and startup performance to limit unobserved heterogeneity (pp. 85, 94).</w:t>
      </w:r>
    </w:p>
    <w:p>
      <w:pPr>
        <w:spacing w:after="140" w:line="300"/>
      </w:pPr>
      <w:r>
        <w:rPr>
          <w:rFonts w:ascii="Times New Roman" w:cs="Times New Roman" w:eastAsia="Times New Roman" w:hAnsi="Times New Roman"/>
        </w:rPr>
        <w:t xml:space="preserve">Bottazzi et al. (2016, pp. 2307-2309) treat selection as the object of study and not as a nuisance. They test selection on observables by correlating trust with the predicted probability of each outcome, derived from company country, industry, stage, and investment date, and selection on unobservables with a two-step Heckman model whose selection equation is the deal-formation model and whose excluded variable is the export share between the two countries. The authors state that this exclusion restriction can be asserted but not proven (p. 2308). Because of the size of the data they estimate the linear probability version of the Heckman model (p. 2308, note 21), although the note to their Table 4 describes the outcome equation as a logit (p. 2309). </w:t>
      </w:r>
      <w:r>
        <w:rPr>
          <w:rFonts w:ascii="Times New Roman" w:cs="Times New Roman" w:eastAsia="Times New Roman" w:hAnsi="Times New Roman"/>
          <w:highlight w:val="yellow"/>
          <w:highlightCs w:val="yellow"/>
        </w:rPr>
        <w:t xml:space="preserve">[Whether a deal-level study of first rounds with a foreign lead should also model the choice of deal is open, see D12 and D21.]</w:t>
      </w:r>
    </w:p>
    <w:p>
      <w:pPr>
        <w:pStyle w:val="Heading2"/>
      </w:pPr>
      <w:r>
        <w:rPr>
          <w:rFonts w:ascii="Times New Roman" w:cs="Times New Roman" w:eastAsia="Times New Roman" w:hAnsi="Times New Roman"/>
        </w:rPr>
        <w:t xml:space="preserve">3.5. Robustness Checks</w:t>
      </w:r>
    </w:p>
    <w:p>
      <w:pPr>
        <w:spacing w:after="140" w:line="300"/>
      </w:pPr>
      <w:r>
        <w:rPr>
          <w:rFonts w:ascii="Times New Roman" w:cs="Times New Roman" w:eastAsia="Times New Roman" w:hAnsi="Times New Roman"/>
        </w:rPr>
        <w:t xml:space="preserve">Li et al. (2014, pp. 483-485) test robustness with an alternative cultural measure based on language distance, with legal distance (rule of law) instead of the governance composite, with the Heckman model, and with a check that the results do not simply reflect the quality of the host-country environment. The last check compares the institutional and cultural scores of investor and venture countries for each pair, and finds that investor countries score higher in about 60 percent of the institutional cases and 57 percent of the cultural cases. </w:t>
      </w:r>
      <w:r>
        <w:rPr>
          <w:rFonts w:ascii="Times New Roman" w:cs="Times New Roman" w:eastAsia="Times New Roman" w:hAnsi="Times New Roman"/>
          <w:highlight w:val="yellow"/>
          <w:highlightCs w:val="yellow"/>
        </w:rPr>
        <w:t xml:space="preserve">[Robustness checks for this study to be listed after the main specification is fixed. Planned from the supervisor: probit and linear probability model, headquarters versus investing office.]</w:t>
      </w:r>
      <w:r>
        <w:rPr>
          <w:rFonts w:ascii="Times New Roman" w:cs="Times New Roman" w:eastAsia="Times New Roman" w:hAnsi="Times New Roman"/>
        </w:rPr>
        <w:t xml:space="preserve"> Bertoni and Groh (2014, pp. 89-97) re-estimate their models with a discrete-time specification and a matched sample, and report that removing buy-backs or two governmental investments does not change the results (pp. 97-98). Bottazzi et al. (2016, pp. 2302-2303, 2310-2311) replace the trust measure by five alternatives, add a measure of how much countries like each other based on the Eurovision Song Contest, cluster in two dimensions, use the distance to the closest investor office, re-estimate on ThomsonOne data, keep only the earliest deal of each company, and replace exports by foreign direct investment as the excluded variable; they report unchanged or broadly consistent results.</w:t>
      </w:r>
    </w:p>
    <w:p>
      <w:pPr>
        <w:pStyle w:val="Heading1"/>
      </w:pPr>
      <w:r>
        <w:rPr>
          <w:rFonts w:ascii="Times New Roman" w:cs="Times New Roman" w:eastAsia="Times New Roman" w:hAnsi="Times New Roman"/>
        </w:rPr>
        <w:t xml:space="preserve">4. Relevance</w:t>
      </w:r>
    </w:p>
    <w:p>
      <w:pPr>
        <w:pStyle w:val="Heading2"/>
      </w:pPr>
      <w:r>
        <w:rPr>
          <w:rFonts w:ascii="Times New Roman" w:cs="Times New Roman" w:eastAsia="Times New Roman" w:hAnsi="Times New Roman"/>
        </w:rPr>
        <w:t xml:space="preserve">4.1. Academic Relevance</w:t>
      </w:r>
    </w:p>
    <w:p>
      <w:pPr>
        <w:spacing w:after="140" w:line="300"/>
      </w:pPr>
      <w:r>
        <w:rPr>
          <w:rFonts w:ascii="Times New Roman" w:cs="Times New Roman" w:eastAsia="Times New Roman" w:hAnsi="Times New Roman"/>
          <w:highlight w:val="yellow"/>
          <w:highlightCs w:val="yellow"/>
        </w:rPr>
        <w:t xml:space="preserve">[To be written. Draft direction: tests the distance and performance relationship in a European setting, with moderators tied to European institutions, and adds follow-on funding as an outcome beyond exit.]</w:t>
      </w:r>
    </w:p>
    <w:p>
      <w:pPr>
        <w:pStyle w:val="Heading2"/>
      </w:pPr>
      <w:r>
        <w:rPr>
          <w:rFonts w:ascii="Times New Roman" w:cs="Times New Roman" w:eastAsia="Times New Roman" w:hAnsi="Times New Roman"/>
        </w:rPr>
        <w:t xml:space="preserve">4.2. Managerial Relevance</w:t>
      </w:r>
    </w:p>
    <w:p>
      <w:pPr>
        <w:spacing w:after="140" w:line="300"/>
      </w:pPr>
      <w:r>
        <w:rPr>
          <w:rFonts w:ascii="Times New Roman" w:cs="Times New Roman" w:eastAsia="Times New Roman" w:hAnsi="Times New Roman"/>
        </w:rPr>
        <w:t xml:space="preserve">Li et al. (2014, pp. 485-486) draw practical implications for staffing: investors that expand abroad might prioritize candidates with diverse international experience and make sure that host-country knowledge stays current. </w:t>
      </w:r>
      <w:r>
        <w:rPr>
          <w:rFonts w:ascii="Times New Roman" w:cs="Times New Roman" w:eastAsia="Times New Roman" w:hAnsi="Times New Roman"/>
          <w:highlight w:val="yellow"/>
          <w:highlightCs w:val="yellow"/>
        </w:rPr>
        <w:t xml:space="preserve">[Managerial relevance for this study to be written after the moderators are chosen.]</w:t>
      </w:r>
    </w:p>
    <w:p>
      <w:pPr>
        <w:pStyle w:val="Heading1"/>
      </w:pPr>
      <w:r>
        <w:rPr>
          <w:rFonts w:ascii="Times New Roman" w:cs="Times New Roman" w:eastAsia="Times New Roman" w:hAnsi="Times New Roman"/>
        </w:rPr>
        <w:t xml:space="preserve">5. Limitations</w:t>
      </w:r>
    </w:p>
    <w:p>
      <w:pPr>
        <w:spacing w:after="140" w:line="300"/>
      </w:pPr>
      <w:r>
        <w:rPr>
          <w:rFonts w:ascii="Times New Roman" w:cs="Times New Roman" w:eastAsia="Times New Roman" w:hAnsi="Times New Roman"/>
          <w:highlight w:val="yellow"/>
          <w:highlightCs w:val="yellow"/>
        </w:rPr>
        <w:t xml:space="preserve">[To be written. Items identified so far: first financing round is observed only through the database used; distance measured at country level hides regional variation (a limitation also raised by Li et al., 2014, p. 486); transfer of evidence from exit success to follow-on funding is an assumption.]</w:t>
      </w:r>
    </w:p>
    <w:p>
      <w:pPr>
        <w:pStyle w:val="Heading1"/>
      </w:pPr>
      <w:r>
        <w:rPr>
          <w:rFonts w:ascii="Times New Roman" w:cs="Times New Roman" w:eastAsia="Times New Roman" w:hAnsi="Times New Roman"/>
        </w:rPr>
        <w:t xml:space="preserve">6. Research Paper Structure</w:t>
      </w:r>
    </w:p>
    <w:p>
      <w:pPr>
        <w:spacing w:after="140" w:line="300"/>
      </w:pPr>
      <w:r>
        <w:rPr>
          <w:rFonts w:ascii="Times New Roman" w:cs="Times New Roman" w:eastAsia="Times New Roman" w:hAnsi="Times New Roman"/>
          <w:highlight w:val="yellow"/>
          <w:highlightCs w:val="yellow"/>
        </w:rPr>
        <w:t xml:space="preserve">[To be written once the design is final. The Biljardt (2017) proposal gives the pattern: section outline with estimated pages for the final thesis.]</w:t>
      </w:r>
    </w:p>
    <w:p>
      <w:pPr>
        <w:pStyle w:val="Heading1"/>
      </w:pPr>
      <w:r>
        <w:rPr>
          <w:rFonts w:ascii="Times New Roman" w:cs="Times New Roman" w:eastAsia="Times New Roman" w:hAnsi="Times New Roman"/>
        </w:rPr>
        <w:t xml:space="preserve">7. Research Schedule</w:t>
      </w:r>
    </w:p>
    <w:p>
      <w:pPr>
        <w:spacing w:after="140" w:line="300"/>
      </w:pPr>
      <w:r>
        <w:rPr>
          <w:rFonts w:ascii="Times New Roman" w:cs="Times New Roman" w:eastAsia="Times New Roman" w:hAnsi="Times New Roman"/>
        </w:rPr>
        <w:t xml:space="preserve">The final proposal is due on Sunday 11 October 2026 at 23:59. </w:t>
      </w:r>
      <w:r>
        <w:rPr>
          <w:rFonts w:ascii="Times New Roman" w:cs="Times New Roman" w:eastAsia="Times New Roman" w:hAnsi="Times New Roman"/>
          <w:highlight w:val="yellow"/>
          <w:highlightCs w:val="yellow"/>
        </w:rPr>
        <w:t xml:space="preserve">[Schedule for the thesis phase to be added: data collection, estimation, drafting, and submission dates as set by the programme.]</w:t>
      </w:r>
    </w:p>
    <w:p>
      <w:pPr>
        <w:pStyle w:val="Heading1"/>
      </w:pPr>
      <w:r>
        <w:rPr>
          <w:rFonts w:ascii="Times New Roman" w:cs="Times New Roman" w:eastAsia="Times New Roman" w:hAnsi="Times New Roman"/>
        </w:rPr>
        <w:t xml:space="preserve">List of References</w:t>
      </w:r>
    </w:p>
    <w:p>
      <w:pPr>
        <w:spacing w:after="140" w:line="300"/>
      </w:pPr>
      <w:r>
        <w:rPr>
          <w:rFonts w:ascii="Times New Roman" w:cs="Times New Roman" w:eastAsia="Times New Roman" w:hAnsi="Times New Roman"/>
        </w:rPr>
        <w:t xml:space="preserve">Li, Y., Vertinsky, I. B., &amp; Li, J. (2014). National distances, international experience, and venture capital investment performance. Journal of Business Venturing, 29, 471-489. https://doi.org/10.1016/j.jbusvent.2013.08.002</w:t>
      </w:r>
    </w:p>
    <w:p>
      <w:pPr>
        <w:spacing w:after="140" w:line="300"/>
      </w:pPr>
      <w:r>
        <w:rPr>
          <w:rFonts w:ascii="Times New Roman" w:cs="Times New Roman" w:eastAsia="Times New Roman" w:hAnsi="Times New Roman"/>
        </w:rPr>
        <w:t xml:space="preserve">Bertoni, F., &amp; Groh, A. P. (2014). Cross-border investments and venture capital exits in Europe. Corporate Governance: An International Review, 22(2), 84-99. https://doi.org/10.1111/corg.12056</w:t>
      </w:r>
    </w:p>
    <w:p>
      <w:pPr>
        <w:spacing w:after="140" w:line="300"/>
      </w:pPr>
      <w:r>
        <w:rPr>
          <w:rFonts w:ascii="Times New Roman" w:cs="Times New Roman" w:eastAsia="Times New Roman" w:hAnsi="Times New Roman"/>
        </w:rPr>
        <w:t xml:space="preserve">Moore, C. B., Payne, G. T., Bell, R. G., &amp; Davis, J. L. (2015). Institutional distance and cross-border venture capital investment flows. Journal of Small Business Management, 53(2), 482-500. https://doi.org/10.1111/jsbm.12079</w:t>
      </w:r>
    </w:p>
    <w:p>
      <w:pPr>
        <w:spacing w:after="140" w:line="300"/>
      </w:pPr>
      <w:r>
        <w:rPr>
          <w:rFonts w:ascii="Times New Roman" w:cs="Times New Roman" w:eastAsia="Times New Roman" w:hAnsi="Times New Roman"/>
        </w:rPr>
        <w:t xml:space="preserve">Bottazzi, L., Da Rin, M., &amp; Hellmann, T. (2016). The importance of trust for investment: Evidence from venture capital. The Review of Financial Studies, 29(9), 2283-2318. https://doi.org/10.1093/rfs/hhw023</w:t>
      </w:r>
    </w:p>
    <w:p>
      <w:pPr>
        <w:spacing w:after="140" w:line="300"/>
      </w:pPr>
      <w:r>
        <w:rPr>
          <w:rFonts w:ascii="Times New Roman" w:cs="Times New Roman" w:eastAsia="Times New Roman" w:hAnsi="Times New Roman"/>
        </w:rPr>
        <w:t xml:space="preserve">Alhorr, H. S., Moore, C. B., &amp; Payne, G. T. (2008). The impact of economic integration on cross-border venture capital investments: Evidence from the European Union. Entrepreneurship Theory and Practice, 32(5), 897-917. </w:t>
      </w:r>
      <w:r>
        <w:rPr>
          <w:rFonts w:ascii="Times New Roman" w:cs="Times New Roman" w:eastAsia="Times New Roman" w:hAnsi="Times New Roman"/>
          <w:highlight w:val="yellow"/>
          <w:highlightCs w:val="yellow"/>
        </w:rPr>
        <w:t xml:space="preserve">[DOI to be added; it is not printed in the file read.]</w:t>
      </w:r>
    </w:p>
    <w:p>
      <w:pPr>
        <w:spacing w:after="140" w:line="300"/>
      </w:pPr>
      <w:r>
        <w:rPr>
          <w:rFonts w:ascii="Times New Roman" w:cs="Times New Roman" w:eastAsia="Times New Roman" w:hAnsi="Times New Roman"/>
          <w:highlight w:val="yellow"/>
          <w:highlightCs w:val="yellow"/>
        </w:rPr>
        <w:t xml:space="preserve">[Issue number of Li et al. (2014) to be added. References for the other papers are added as they are processed.]</w:t>
      </w:r>
    </w:p>
    <w:p>
      <w:pPr>
        <w:spacing w:after="140" w:line="300"/>
      </w:pPr>
      <w:r>
        <w:rPr>
          <w:rFonts w:ascii="Times New Roman" w:cs="Times New Roman" w:eastAsia="Times New Roman" w:hAnsi="Times New Roman"/>
        </w:rPr>
        <w:t xml:space="preserve">Secondary sources cited via Li et al. (2014) that must be checked in the original before they appear in the reference list: Ai and Norton (2003); Dai, Jo, and Kassicieh (2012); Heckman (1979); Kaufmann, Kraay, and Mastruzzi (2007); Kogut and Singh (1988); Hofstede (2001); Zaheer (1995). Cited via Bertoni and Groh (2014): Cumming and Dai (2010); Fine and Gray (1999); Meuleman and Wright (2011); Devigne, Manigart, and Wright (2012). Cited via Moore et al. (2015): Scott (1995); Kostova (1999); Gaur, Delios, and Singh (2007); Gaur and Lu (2007); Wright, Pruthi, and Lockett (2005). Cited via Bottazzi et al. (2016): Guiso, Sapienza, and Zingales (2009); Bloom, Sadun, and Van Reenen (2012); Brander, Amit, and Antweiler (2000); Hellmann (2006). Cited via Alhorr et al. (2008): Wright, Pruthi, and Lockett (2005); Fligstein and Sweet (2002); Kreft and Sobel (2005); Gompers (2005). The Online Appendix of Bottazzi et al. (2016) was not part of the file read; results that rely on it are cited from the main text only.</w:t>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pPr>
      <w:r>
        <w:rPr>
          <w:rFonts w:ascii="Times New Roman" w:cs="Times New Roman" w:eastAsia="Times New Roman" w:hAnsi="Times New Roman"/>
        </w:rPr>
        <w:t xml:space="preserve">Appendix A: Decision Log</w:t>
      </w:r>
    </w:p>
    <w:p>
      <w:pPr>
        <w:spacing w:after="140" w:line="300"/>
      </w:pPr>
      <w:r>
        <w:rPr>
          <w:rFonts w:ascii="Times New Roman" w:cs="Times New Roman" w:eastAsia="Times New Roman" w:hAnsi="Times New Roman"/>
        </w:rPr>
        <w:t xml:space="preserve">Each entry lists the options on the table, the evidence found so far, and the working choice used in the draft. The last column is for the final decision of the author. Status: Open, Candidate, or Fixed (set by the supervisor).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700"/>
        <w:gridCol w:w="3400"/>
        <w:gridCol w:w="1500"/>
        <w:gridCol w:w="1500"/>
        <w:gridCol w:w="175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Topic</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Options</w:t>
            </w:r>
          </w:p>
        </w:tc>
        <w:tc>
          <w:tcPr>
            <w:tcW w:type="dxa" w:w="3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Evidence (paper, page)</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Working choice in draft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Status</w:t>
            </w:r>
          </w:p>
        </w:tc>
        <w:tc>
          <w:tcPr>
            <w:tcW w:type="dxa" w:w="17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Final decision</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distance measure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Manhattan distance of WGI composite (average of 6 dimensions).</w:t>
            </w:r>
          </w:p>
          <w:p>
            <w:pPr>
              <w:spacing w:after="20"/>
            </w:pPr>
            <w:r>
              <w:rPr>
                <w:rFonts w:ascii="Times New Roman" w:cs="Times New Roman" w:eastAsia="Times New Roman" w:hAnsi="Times New Roman"/>
                <w:b w:val="false"/>
                <w:bCs w:val="false"/>
                <w:sz w:val="16"/>
                <w:szCs w:val="16"/>
              </w:rPr>
              <w:t xml:space="preserve">B: Mahalanobis distance on WGI dimensions (earlier discussion).</w:t>
            </w:r>
          </w:p>
          <w:p>
            <w:pPr>
              <w:spacing w:after="20"/>
            </w:pPr>
            <w:r>
              <w:rPr>
                <w:rFonts w:ascii="Times New Roman" w:cs="Times New Roman" w:eastAsia="Times New Roman" w:hAnsi="Times New Roman"/>
                <w:b w:val="false"/>
                <w:bCs w:val="false"/>
                <w:sz w:val="16"/>
                <w:szCs w:val="16"/>
              </w:rPr>
              <w:t xml:space="preserve">C: single dimension such as rule of law.</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A used; dimensions correlate 0.69 to 0.93 (p. 478). C gives consistent results; correlation with composite 0.93 (p. 484). Moore et al. (2015): Kogut and Singh index on 5 regulative and 7 normative items from the World Competitiveness Yearbook (p. 488).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labelled candidate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Where language enters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Language as moderator (candidate H2) versus language as alternative cultural distance measure.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language distance used as robustness for cultural distance; correlation 0.67 with cultural distance (pp. 483-484, Table 1 p. 481).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Moderator only; avoid also using it as a distance measure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D2b</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measure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Kogut and Singh on 4 Hofstede dimensions.</w:t>
            </w:r>
          </w:p>
          <w:p>
            <w:pPr>
              <w:spacing w:after="20"/>
            </w:pPr>
            <w:r>
              <w:rPr>
                <w:rFonts w:ascii="Times New Roman" w:cs="Times New Roman" w:eastAsia="Times New Roman" w:hAnsi="Times New Roman"/>
                <w:b w:val="false"/>
                <w:bCs w:val="false"/>
                <w:sz w:val="16"/>
                <w:szCs w:val="16"/>
              </w:rPr>
              <w:t xml:space="preserve">B: other cultural measure (cultural clusters, other indices).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A used (p. 478); authors acknowledge criticism and suggest specific traits (p. 486). Moore et al. (2015): four Hofstede dimensions with Kogut and Singh formula (p. 488).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labelled candidate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Role of geographic distance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only; or main distance variable; shared border as control.</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control, not significant in any model (p. 482), authors conclude it matters less (p. 485). Bottazzi et al. (2016): negative for deal formation (p. 2300) and for IPO, not significant for Exit and Failure (pp. 2304-2306).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International experience: moderator or control</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moderator of distance effects.</w:t>
            </w:r>
          </w:p>
          <w:p>
            <w:pPr>
              <w:spacing w:after="20"/>
            </w:pPr>
            <w:r>
              <w:rPr>
                <w:rFonts w:ascii="Times New Roman" w:cs="Times New Roman" w:eastAsia="Times New Roman" w:hAnsi="Times New Roman"/>
                <w:b w:val="false"/>
                <w:bCs w:val="false"/>
                <w:sz w:val="16"/>
                <w:szCs w:val="16"/>
              </w:rPr>
              <w:t xml:space="preserve">B: control only (as in supervisor feedback).</w:t>
            </w:r>
          </w:p>
          <w:p>
            <w:pPr>
              <w:spacing w:after="20"/>
            </w:pPr>
            <w:r>
              <w:rPr>
                <w:rFonts w:ascii="Times New Roman" w:cs="Times New Roman" w:eastAsia="Times New Roman" w:hAnsi="Times New Roman"/>
                <w:b w:val="false"/>
                <w:bCs w:val="false"/>
                <w:sz w:val="16"/>
                <w:szCs w:val="16"/>
              </w:rPr>
              <w:t xml:space="preserve">C: both.</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moderator, partly supported (pp. 476, 480). Supervisor: listed as control; feasibility check needed since data-hungry.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yet in model; shown as optional H5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Experience measure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Five-year share of foreign investment amount (broad); five-year share of ventures in host country (host); alternative windows or counts.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measures on p. 478; amount missing or incomplete for about a quarter of observations in their data (p. 478, footnote 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European-specific moderators (choose 2 to 3)</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Shared language; trade or economic ties; shared border; cultural clusters; historical ties.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Supervisor meeting 1 Oct 2026. Li et al. (2014) tests none of them; their suggested moderators are listed in Appendix B (pp. 485-486). Alhorr et al. (2008): none tested; suggest culture, language, religion (p. 912).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Language and economic ties as candidates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Industry specialization: control or moderator</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control (as in Li et al.).</w:t>
            </w:r>
          </w:p>
          <w:p>
            <w:pPr>
              <w:spacing w:after="20"/>
            </w:pPr>
            <w:r>
              <w:rPr>
                <w:rFonts w:ascii="Times New Roman" w:cs="Times New Roman" w:eastAsia="Times New Roman" w:hAnsi="Times New Roman"/>
                <w:b w:val="false"/>
                <w:bCs w:val="false"/>
                <w:sz w:val="16"/>
                <w:szCs w:val="16"/>
              </w:rPr>
              <w:t xml:space="preserve">B: moderator of institutional distance (candidate H4).</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control; negative coefficient, significant in most models (pp. 482-483); no mechanism offered. Raw correlation with exit 0.00 (Table 1, p. 481).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Moderator candidate, flagged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Syndicate distance and lead investor</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distance of the lead investor only.</w:t>
            </w:r>
          </w:p>
          <w:p>
            <w:pPr>
              <w:spacing w:after="20"/>
            </w:pPr>
            <w:r>
              <w:rPr>
                <w:rFonts w:ascii="Times New Roman" w:cs="Times New Roman" w:eastAsia="Times New Roman" w:hAnsi="Times New Roman"/>
                <w:b w:val="false"/>
                <w:bCs w:val="false"/>
                <w:sz w:val="16"/>
                <w:szCs w:val="16"/>
              </w:rPr>
              <w:t xml:space="preserve">B: average over co-investors (Li et al.).</w:t>
            </w:r>
          </w:p>
          <w:p>
            <w:pPr>
              <w:spacing w:after="20"/>
            </w:pPr>
            <w:r>
              <w:rPr>
                <w:rFonts w:ascii="Times New Roman" w:cs="Times New Roman" w:eastAsia="Times New Roman" w:hAnsi="Times New Roman"/>
                <w:b w:val="false"/>
                <w:bCs w:val="false"/>
                <w:sz w:val="16"/>
                <w:szCs w:val="16"/>
              </w:rPr>
              <w:t xml:space="preserve">C: minimum distance.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B used; C considered, not estimated (p. 478, footnote 4). Bertoni and Groh (2014): lead not identified; syndicate variables use all cross-border investors (p. 90). Supervisor fixes the foreign lead investor.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Follow-on funding definition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Follow-on round within X months; any later round versus institutional round; treatment of exits and failures.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no follow-on outcome; exit dummy and minimum 3-year window (p. 477). Bertoni and Groh (2014): follow-on is only a control, a dummy for an investor entering in a follow-on round (p. 91); exit modes IPO, trade sale, liquidation (pp. 88-89). Bottazzi et al. (2016): no follow-on outcome; IPO, Exit, and Failure dummies observed until 2011 (pp. 2292, 2295).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Window to be set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Interpreting interactions in logit</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Ai and Norton interaction effects with confidence intervals and covariate-contribution plots versus sign and significance with likelihood ratio tests.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both approaches (pp. 479-480, 483).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Adapt Li et 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 effects and standard errors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Industry, startup country, investor country, year; clustered or robust standard errors.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industry (49), venture nation, year dummies (p. 479); clustering not reported (p. 482). Bertoni and Groh (2014): no fixed effects reported; robust standard errors (p. 93). Bottazzi et al. (2016): investor and company-country fixed effects, standard errors clustered by country pair (p. 2299); investor-country and company-country fixed effects in outcome models (p. 2303). Alhorr et al. (2008): country and year terms with AR(1) covariance, standard errors reported (pp. 907-908, 910).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Selection correction (Heckman) and overlap check</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 selection model.</w:t>
            </w:r>
          </w:p>
          <w:p>
            <w:pPr>
              <w:spacing w:after="20"/>
            </w:pPr>
            <w:r>
              <w:rPr>
                <w:rFonts w:ascii="Times New Roman" w:cs="Times New Roman" w:eastAsia="Times New Roman" w:hAnsi="Times New Roman"/>
                <w:b w:val="false"/>
                <w:bCs w:val="false"/>
                <w:sz w:val="16"/>
                <w:szCs w:val="16"/>
              </w:rPr>
              <w:t xml:space="preserve">B: Heckman with domestic comparison group.</w:t>
            </w:r>
          </w:p>
          <w:p>
            <w:pPr>
              <w:spacing w:after="20"/>
            </w:pPr>
            <w:r>
              <w:rPr>
                <w:rFonts w:ascii="Times New Roman" w:cs="Times New Roman" w:eastAsia="Times New Roman" w:hAnsi="Times New Roman"/>
                <w:b w:val="false"/>
                <w:bCs w:val="false"/>
                <w:sz w:val="16"/>
                <w:szCs w:val="16"/>
              </w:rPr>
              <w:t xml:space="preserve">C: other approach.</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B with 16,419 domestic deals (pp. 479-480); rho significant (p. 484). Supervisor: only with clear justification. Bertoni and Groh (2014): propensity score matching with local deals; IPO result lost after matching (pp. 89, 94-95). Bottazzi et al. (2016): selection is the proposed mechanism; observable selection index and two-step Heckman with export share as excluded variable; Mills ratio significant for IPO and Exit only (pp. 2307-2309).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Theoretical lens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Liability of foreignness; institutional theory; organizational learning; others from further papers.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liability of foreignness, institutional and cultural distance perspectives, organizational learning (pp. 472-477). Bottazzi et al. (2016): rational model of trust and rent dissipation with five propositions (pp. 2288-2289). Alhorr et al. (2008): institutional perspective, Uppsala model, cognition, transaction costs (pp. 900-901).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as starting point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Data source and first-round identification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VentureXpert or Thomson One.</w:t>
            </w:r>
          </w:p>
          <w:p>
            <w:pPr>
              <w:spacing w:after="20"/>
            </w:pPr>
            <w:r>
              <w:rPr>
                <w:rFonts w:ascii="Times New Roman" w:cs="Times New Roman" w:eastAsia="Times New Roman" w:hAnsi="Times New Roman"/>
                <w:b w:val="false"/>
                <w:bCs w:val="false"/>
                <w:sz w:val="16"/>
                <w:szCs w:val="16"/>
              </w:rPr>
              <w:t xml:space="preserve">B: VICO dataset (seven countries, five industries).</w:t>
            </w:r>
          </w:p>
          <w:p>
            <w:pPr>
              <w:spacing w:after="20"/>
            </w:pPr>
            <w:r>
              <w:rPr>
                <w:rFonts w:ascii="Times New Roman" w:cs="Times New Roman" w:eastAsia="Times New Roman" w:hAnsi="Times New Roman"/>
                <w:b w:val="false"/>
                <w:bCs w:val="false"/>
                <w:sz w:val="16"/>
                <w:szCs w:val="16"/>
              </w:rPr>
              <w:t xml:space="preserve">C: other European source.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VentureXpert plus SDC (pp. 477-478). Bertoni and Groh (2014): VICO, built from several commercial and proprietary sources, 1994 to 2004 first rounds, exits to 2010 (pp. 85-87); financials missing for many observations (p. 91). Bottazzi et al. (2016): own survey of 107 VC firms, first rounds 1998 to 2001, outcomes until 2011 (pp. 2291, 2295); availability of the data: Not reported. Alhorr et al. (2008): SDC Platinum (Venture Economics), country-level flows, 24 countries, 1985 to 2002 (pp. 902-903).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Overlap check and gap wording</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Narrow gap statement (distance and moderators for follow-on funding within Europe) versus broader statement.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Europe, exit mode, no distance measure (pp. 85, 88-91). Bottazzi et al. (2016): 15 EU countries plus Norway, Switzerland, and the United States, 1998 to 2001, trust, IPO, Exit, Failure, no follow-on (pp. 2285, 2291). Alhorr et al. (2008): 24 European countries, 1985 to 2002, country-year flows, integration dummies, no distance (pp. 902-903, 906). JRC working paper from earlier overlap check (abstract level).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Narrow gap</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Home-country exit market variable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include volume of IPOs or M&amp;A in investor country scaled by startup-country GDP.</w:t>
            </w:r>
          </w:p>
          <w:p>
            <w:pPr>
              <w:spacing w:after="20"/>
            </w:pPr>
            <w:r>
              <w:rPr>
                <w:rFonts w:ascii="Times New Roman" w:cs="Times New Roman" w:eastAsia="Times New Roman" w:hAnsi="Times New Roman"/>
                <w:b w:val="false"/>
                <w:bCs w:val="false"/>
                <w:sz w:val="16"/>
                <w:szCs w:val="16"/>
              </w:rPr>
              <w:t xml:space="preserve">B: leave out.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trade-sale exits rise with investor-country M&amp;A volume (Table 5, p. 93); IPO effect weak and lost after matching (p. 94).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 model</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binary logit for follow-on within a window.</w:t>
            </w:r>
          </w:p>
          <w:p>
            <w:pPr>
              <w:spacing w:after="20"/>
            </w:pPr>
            <w:r>
              <w:rPr>
                <w:rFonts w:ascii="Times New Roman" w:cs="Times New Roman" w:eastAsia="Times New Roman" w:hAnsi="Times New Roman"/>
                <w:b w:val="false"/>
                <w:bCs w:val="false"/>
                <w:sz w:val="16"/>
                <w:szCs w:val="16"/>
              </w:rPr>
              <w:t xml:space="preserve">B: competing risks (Fine and Gray).</w:t>
            </w:r>
          </w:p>
          <w:p>
            <w:pPr>
              <w:spacing w:after="20"/>
            </w:pPr>
            <w:r>
              <w:rPr>
                <w:rFonts w:ascii="Times New Roman" w:cs="Times New Roman" w:eastAsia="Times New Roman" w:hAnsi="Times New Roman"/>
                <w:b w:val="false"/>
                <w:bCs w:val="false"/>
                <w:sz w:val="16"/>
                <w:szCs w:val="16"/>
              </w:rPr>
              <w:t xml:space="preserve">C: discrete-time multinomial logit with duration terms.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B and C used (pp. 88-90). Supervisor: logit primary.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(supervisor)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Candidate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One composite or three institutional pillars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single institutional composite (WGI).</w:t>
            </w:r>
          </w:p>
          <w:p>
            <w:pPr>
              <w:spacing w:after="20"/>
            </w:pPr>
            <w:r>
              <w:rPr>
                <w:rFonts w:ascii="Times New Roman" w:cs="Times New Roman" w:eastAsia="Times New Roman" w:hAnsi="Times New Roman"/>
                <w:b w:val="false"/>
                <w:bCs w:val="false"/>
                <w:sz w:val="16"/>
                <w:szCs w:val="16"/>
              </w:rPr>
              <w:t xml:space="preserve">B: separate regulative, normative, cultural-cognitive distances.</w:t>
            </w:r>
          </w:p>
          <w:p>
            <w:pPr>
              <w:spacing w:after="20"/>
            </w:pPr>
            <w:r>
              <w:rPr>
                <w:rFonts w:ascii="Times New Roman" w:cs="Times New Roman" w:eastAsia="Times New Roman" w:hAnsi="Times New Roman"/>
                <w:b w:val="false"/>
                <w:bCs w:val="false"/>
                <w:sz w:val="16"/>
                <w:szCs w:val="16"/>
              </w:rPr>
              <w:t xml:space="preserve">C: both.</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composite plus Hofstede (p. 478). Moore et al. (2015): three pillars; regulative no effect, normative and cultural-cognitive negative on flows (pp. 488, 492).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Level of analysis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deal level (startup, lead investor).</w:t>
            </w:r>
          </w:p>
          <w:p>
            <w:pPr>
              <w:spacing w:after="20"/>
            </w:pPr>
            <w:r>
              <w:rPr>
                <w:rFonts w:ascii="Times New Roman" w:cs="Times New Roman" w:eastAsia="Times New Roman" w:hAnsi="Times New Roman"/>
                <w:b w:val="false"/>
                <w:bCs w:val="false"/>
                <w:sz w:val="16"/>
                <w:szCs w:val="16"/>
              </w:rPr>
              <w:t xml:space="preserve">B: country-pair flows.</w:t>
            </w:r>
          </w:p>
          <w:p>
            <w:pPr>
              <w:spacing w:after="20"/>
            </w:pPr>
            <w:r>
              <w:rPr>
                <w:rFonts w:ascii="Times New Roman" w:cs="Times New Roman" w:eastAsia="Times New Roman" w:hAnsi="Times New Roman"/>
                <w:b w:val="false"/>
                <w:bCs w:val="false"/>
                <w:sz w:val="16"/>
                <w:szCs w:val="16"/>
              </w:rPr>
              <w:t xml:space="preserve">C: deal level with country-pair controls from flow studies.</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 1,037 country-pair observations, linear mixed model with autoregressive errors (pp. 487, 490-491). Supervisor: deal-level logit. Alhorr et al. (2008): country-year, 24 countries, 1985 to 2002 (pp. 902-903, 907-908).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(supervisor)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Generalized trust as a distance or moderator variable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w:t>
            </w:r>
          </w:p>
          <w:p>
            <w:pPr>
              <w:spacing w:after="20"/>
            </w:pPr>
            <w:r>
              <w:rPr>
                <w:rFonts w:ascii="Times New Roman" w:cs="Times New Roman" w:eastAsia="Times New Roman" w:hAnsi="Times New Roman"/>
                <w:b w:val="false"/>
                <w:bCs w:val="false"/>
                <w:sz w:val="16"/>
                <w:szCs w:val="16"/>
              </w:rPr>
              <w:t xml:space="preserve">B: trust as an additional distance measure (directional Eurobarometer share).</w:t>
            </w:r>
          </w:p>
          <w:p>
            <w:pPr>
              <w:spacing w:after="20"/>
            </w:pPr>
            <w:r>
              <w:rPr>
                <w:rFonts w:ascii="Times New Roman" w:cs="Times New Roman" w:eastAsia="Times New Roman" w:hAnsi="Times New Roman"/>
                <w:b w:val="false"/>
                <w:bCs w:val="false"/>
                <w:sz w:val="16"/>
                <w:szCs w:val="16"/>
              </w:rPr>
              <w:t xml:space="preserve">C: trust as a moderator of institutional or cultural distance.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Eurobarometer trust, waves 1990 to 1996 (pp. 2293, 2297); positive for deal formation, negative for IPO and Exit (pp. 2300-2306). Trust data cover the 15 EU countries, Norway, Switzerland, and the United States (p. 2294); coverage of later EU members: Not reported.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Realized deals versus potential deals</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realized deals only (foreign lead, first round).</w:t>
            </w:r>
          </w:p>
          <w:p>
            <w:pPr>
              <w:spacing w:after="20"/>
            </w:pPr>
            <w:r>
              <w:rPr>
                <w:rFonts w:ascii="Times New Roman" w:cs="Times New Roman" w:eastAsia="Times New Roman" w:hAnsi="Times New Roman"/>
                <w:b w:val="false"/>
                <w:bCs w:val="false"/>
                <w:sz w:val="16"/>
                <w:szCs w:val="16"/>
              </w:rPr>
              <w:t xml:space="preserve">B: all potential investor-startup pairs, as in Bottazzi et al.</w:t>
            </w:r>
          </w:p>
          <w:p>
            <w:pPr>
              <w:spacing w:after="20"/>
            </w:pPr>
            <w:r>
              <w:rPr>
                <w:rFonts w:ascii="Times New Roman" w:cs="Times New Roman" w:eastAsia="Times New Roman" w:hAnsi="Times New Roman"/>
                <w:b w:val="false"/>
                <w:bCs w:val="false"/>
                <w:sz w:val="16"/>
                <w:szCs w:val="16"/>
              </w:rPr>
              <w:t xml:space="preserve">C: realized deals with a selection index or Heckman correction.</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potential-deals sample of 101,620 pairs for deal formation, realized deals (1,228) for outcomes (pp. 2294-2295); unfunded companies are not observed (pp. 2294-2295); selection tests (pp. 2307-2309). Li et al. (2014): Heckman with domestic comparison group (pp. 479-480).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integration as a variable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w:t>
            </w:r>
          </w:p>
          <w:p>
            <w:pPr>
              <w:spacing w:after="20"/>
            </w:pPr>
            <w:r>
              <w:rPr>
                <w:rFonts w:ascii="Times New Roman" w:cs="Times New Roman" w:eastAsia="Times New Roman" w:hAnsi="Times New Roman"/>
                <w:b w:val="false"/>
                <w:bCs w:val="false"/>
                <w:sz w:val="16"/>
                <w:szCs w:val="16"/>
              </w:rPr>
              <w:t xml:space="preserve">B: both countries in the single market or euro area as moderator of distance (candidate H6).</w:t>
            </w:r>
          </w:p>
          <w:p>
            <w:pPr>
              <w:spacing w:after="20"/>
            </w:pPr>
            <w:r>
              <w:rPr>
                <w:rFonts w:ascii="Times New Roman" w:cs="Times New Roman" w:eastAsia="Times New Roman" w:hAnsi="Times New Roman"/>
                <w:b w:val="false"/>
                <w:bCs w:val="false"/>
                <w:sz w:val="16"/>
                <w:szCs w:val="16"/>
              </w:rPr>
              <w:t xml:space="preserve">C: integration status as a control for the country pair.</w:t>
            </w:r>
          </w:p>
          <w:p>
            <w:pPr>
              <w:spacing w:after="20"/>
            </w:pPr>
            <w:r>
              <w:rPr>
                <w:rFonts w:ascii="Times New Roman" w:cs="Times New Roman" w:eastAsia="Times New Roman" w:hAnsi="Times New Roman"/>
                <w:b w:val="false"/>
                <w:bCs w:val="false"/>
                <w:sz w:val="16"/>
                <w:szCs w:val="16"/>
              </w:rPr>
              <w:t xml:space="preserve">D: integration only to define the sample period.</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 single market and euro dummies from Eurostat (p. 906); effects 0.097 and 0.192 on the EU share of outflows (p. 910); 24 countries, 1985 to 2002, euro from 1 January 1999 (p. 903); integration never combined with a distance measure.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bl>
    <w:p/>
    <w:p>
      <w:pPr>
        <w:pStyle w:val="Heading1"/>
      </w:pPr>
      <w:r>
        <w:rPr>
          <w:rFonts w:ascii="Times New Roman" w:cs="Times New Roman" w:eastAsia="Times New Roman" w:hAnsi="Times New Roman"/>
        </w:rPr>
        <w:t xml:space="preserve">Appendix B: Evidence Log</w:t>
      </w:r>
    </w:p>
    <w:p>
      <w:pPr>
        <w:pStyle w:val="Heading2"/>
      </w:pPr>
      <w:r>
        <w:rPr>
          <w:rFonts w:ascii="Times New Roman" w:cs="Times New Roman" w:eastAsia="Times New Roman" w:hAnsi="Times New Roman"/>
        </w:rPr>
        <w:t xml:space="preserve">B.1. Papers processed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000"/>
        <w:gridCol w:w="525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No.</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Paper</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Processed on</w:t>
            </w:r>
          </w:p>
        </w:tc>
        <w:tc>
          <w:tcPr>
            <w:tcW w:type="dxa" w:w="52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Main use in the proposal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Y., Vertinsky, I. B., &amp; Li, J. (2014). National distances, international experience, and venture capital investment performance. Journal of Business Venturing, 29, 471-489.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measures, mechanisms, experience as a moderator, logit plus Heckman design.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F., &amp; Groh, A. P. (2014). Cross-border investments and venture capital exits in Europe. Corporate Governance: An International Review, 22(2), 84-99.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European sample, cross-border versus local deals, home-market exit conditions, competing-risks and matching designs. No distance measure.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3</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C. B., Payne, G. T., Bell, R. G., &amp; Davis, J. L. (2015). Institutional distance and cross-border venture capital investment flows. Journal of Small Business Management, 53(2), 482-500.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Three institutional distance dimensions, European country pairs, investment flows. No performance outcome.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L., Da Rin, M., &amp; Hellmann, T. (2016). The importance of trust for investment: Evidence from venture capital. The Review of Financial Studies, 29(9), 2283-2318.</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Bilateral trust as a belief-based distance, European first-round deals, deal formation versus success, selection, deal structure.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H. S., Moore, C. B., &amp; Payne, G. T. (2008). The impact of economic integration on cross-border venture capital investments: Evidence from the European Union. Entrepreneurship Theory and Practice, 32(5), 897-917.</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integration (single market, euro), country-level flows, 1985 to 2002, mixed model. No distance measure.</w:t>
            </w:r>
          </w:p>
        </w:tc>
      </w:tr>
    </w:tbl>
    <w:p/>
    <w:p>
      <w:pPr>
        <w:pStyle w:val="Heading2"/>
      </w:pPr>
      <w:r>
        <w:rPr>
          <w:rFonts w:ascii="Times New Roman" w:cs="Times New Roman" w:eastAsia="Times New Roman" w:hAnsi="Times New Roman"/>
        </w:rPr>
        <w:t xml:space="preserve">B.2. Research design of Li et al. (2014)</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gridCol w:w="355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Item</w:t>
            </w:r>
          </w:p>
        </w:tc>
        <w:tc>
          <w:tcPr>
            <w:tcW w:type="dxa" w:w="8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What the paper reports</w:t>
            </w:r>
          </w:p>
        </w:tc>
        <w:tc>
          <w:tcPr>
            <w:tcW w:type="dxa" w:w="35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Research question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How national institutional and cultural distances between investor and investee environments affect the performance of cross-border VC investments, and whether international experience mitigates this.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Region and period</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sample; first-round investments 1996 to 2008, outcome tracked to end 2011.</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477</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Unit and sample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VC-venture investment; 10,593 investments, 7816 VCs from 69 nations, ventures from 64 nations; Heckman sample 27,012 including 16,419 domestic deals.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477, 479-480, 484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Round and foreignness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First financing round; foreign VC = country of origin differs from investee's. Lead investor not identified; averages over co-investors.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477-478</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 success: 1 if IPO or acquisition. Verified with SDC databases. Mean 0.31.</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477-478, 481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variables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Manhattan distance of WGI composite (time varying). Cultural: Kogut and Singh on 4 Hofstede dimensions (time invariant). Geographic: log nautical miles (control).</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478-479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Experience variables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Broad: past-5-year share of foreign investment amount. Host: past-5-year share of ventures funded in host country.</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478</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Controls and fixed effects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 past success, VC industry specialization, syndication, local office, early stage, geographic distance, venture nation VC commitment and GDP; venture industry, venture nation, and year dummies.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478-479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Models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Logit (main), Heckman two-stage probit; Ai and Norton interaction effects; likelihood ratio tests. Standard errors in parentheses, clustering not reported.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479-480, 482, 484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 on distance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-0.0781 (SE 0.0206), elasticity -0.074. Institutional distance: -0.00622 (SE 0.00189), elasticity -0.067. Geographic distance not significant.</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480, 482</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 on experience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Broad experience x institutional distance +0.00992 (SE 0.00506, p &lt; 0.05; Heckman only p &lt; 0.10). All other interactions not significant.</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480, 482, 484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Robustness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Language distance; legal distance; Heckman; check that results do not reflect host-country quality; host-country fixed effects and time-varying host controls.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483-485</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Limitations and future research</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Secondary data mask context; exit as only outcome; Hofstede validity; regional variation; other firm-specific moderators; benefit-cost trade-off and local-foreign collaboration.</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485-486</w:t>
            </w:r>
          </w:p>
        </w:tc>
      </w:tr>
    </w:tbl>
    <w:p/>
    <w:p>
      <w:pPr>
        <w:pStyle w:val="Heading2"/>
      </w:pPr>
      <w:r>
        <w:rPr>
          <w:rFonts w:ascii="Times New Roman" w:cs="Times New Roman" w:eastAsia="Times New Roman" w:hAnsi="Times New Roman"/>
        </w:rPr>
        <w:t xml:space="preserve">B.3. Moderators suggested but not tested by Li et al. (2014)</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5000"/>
        <w:gridCol w:w="2958"/>
      </w:tblGrid>
      <w:tr>
        <w:trPr>
          <w:tblHeader/>
        </w:trPr>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Suggested moderator or contingency</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Reason given</w:t>
            </w:r>
          </w:p>
        </w:tc>
        <w:tc>
          <w:tcPr>
            <w:tcW w:type="dxa" w:w="29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firm-specific factors: human networks and technological capabilities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VCs differ in resources and capabilities (resource-based view).</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Differences between VCs from the same country</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Same-country VCs differ in ability to handle the same distance.</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Regional variation within countries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National measures capture dominant institutions and cultures only.</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Specific cultural traits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Culture is multidimensional; Hofstede composite may hide effects of single traits.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Interaction of host-country and broad experience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Broad experience may help managers with deep host knowledge detect change.</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485</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Rapid change in host countries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Host-country knowledge may have a short shelf life.</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485</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Declining marginal value of experience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Learning opportunities may be exhausted at some point.</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477</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Collaboration with local VCs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Foreign and local VCs have different advantages.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bl>
    <w:p/>
    <w:p>
      <w:pPr>
        <w:pStyle w:val="Heading2"/>
      </w:pPr>
      <w:r>
        <w:rPr>
          <w:rFonts w:ascii="Times New Roman" w:cs="Times New Roman" w:eastAsia="Times New Roman" w:hAnsi="Times New Roman"/>
        </w:rPr>
        <w:t xml:space="preserve">B.4. Register of opposing evidence and tensions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5000"/>
        <w:gridCol w:w="345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ID</w:t>
            </w:r>
          </w:p>
        </w:tc>
        <w:tc>
          <w:tcPr>
            <w:tcW w:type="dxa" w:w="4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Tension</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Sources</w:t>
            </w:r>
          </w:p>
        </w:tc>
        <w:tc>
          <w:tcPr>
            <w:tcW w:type="dxa" w:w="34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Status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R1</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Geographic distance is expected to hurt performance, but is not significant once institutional and cultural distance are included.</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479, 482, 485), who cite earlier studies expecting a negative effect (Cumming &amp; Dai, 2010; Dai et al., 2012, as cited on p. 479); Bottazzi et al. (2016, pp. 2301, 2304-2306): negative for deal formation and IPO, not significant for Exit and Failure.</w:t>
            </w:r>
          </w:p>
        </w:tc>
        <w:tc>
          <w:tcPr>
            <w:tcW w:type="dxa" w:w="3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To be checked in the original studies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R2</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Smaller distance in beliefs (higher trust between nations) is linked to more investment, but also to fewer IPOs and exits and more failures in European data; the authors read this as selection of weaker companies. Li et al. expect smaller distance to improve exits. Whether the same pattern holds for institutional and cultural distance, and for follow-on funding, is not shown in the papers read so far.</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pp. 2285, 2300-2309); Li et al. (2014, p. 480).</w:t>
            </w:r>
          </w:p>
        </w:tc>
        <w:tc>
          <w:tcPr>
            <w:tcW w:type="dxa" w:w="3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Verified in the full paper (Online Appendix not read); selection mechanism not tested directly</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Learning logic predicts that host-country experience helps. In the logit models its direct coefficient is negative and significant (for example -0.226 in Model 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476, 482, 485); authors discuss exploration versus exploitation and short shelf life of host knowledge.</w:t>
            </w:r>
          </w:p>
        </w:tc>
        <w:tc>
          <w:tcPr>
            <w:tcW w:type="dxa" w:w="3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Explained by authors, not tested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is expected to lower performance, yet cross-border deals in European data are exited more often than local deals (74.7 versus 58.8 percent), with more liquidations as well.</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pp. 87, 89); Li et al. (2014, p. 480).</w:t>
            </w:r>
          </w:p>
        </w:tc>
        <w:tc>
          <w:tcPr>
            <w:tcW w:type="dxa" w:w="3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outcome and no distance measure; to be checked in further papers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R5</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distance lowers exit success (composite governance score), but regulative distance has no effect on flows while normative and cultural-cognitive distance do. Normative distance is also positively correlated with flows in the raw data (r = 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478, 480); Moore et al. (2015, pp. 492-493).</w:t>
            </w:r>
          </w:p>
        </w:tc>
        <w:tc>
          <w:tcPr>
            <w:tcW w:type="dxa" w:w="3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outcomes and distance constructs; to be checked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R6</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Foreign deals show lower IPO and exit probabilities and higher failure probabilities in the survey data of Bottazzi et al. (2016), while cross-border deals are exited more often than local deals, with more IPOs, in the data of Bertoni and Groh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pp. 2304-2306, Table 3: Foreign deal, for example -8.374*** for IPO in model 1 and 3.371*** for Failure in model 3); Bertoni and Groh (2014, pp. 87, 89).</w:t>
            </w:r>
          </w:p>
        </w:tc>
        <w:tc>
          <w:tcPr>
            <w:tcW w:type="dxa" w:w="3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samples, controls, and outcome definitions; to be checked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R7</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Economic integration raises the share of venture capital invested in other EU countries, yet normative and cultural-cognitive distance still lower flows between European countries, so integration has not removed distance.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 pp. 906, 910); Moore et al. (2015, pp. 492-493).</w:t>
            </w:r>
          </w:p>
        </w:tc>
        <w:tc>
          <w:tcPr>
            <w:tcW w:type="dxa" w:w="3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periods (1985-2002 versus 1996-2005), units, and outcomes; integration and distance never tested together</w:t>
            </w:r>
          </w:p>
        </w:tc>
      </w:tr>
    </w:tbl>
    <w:p/>
    <w:p>
      <w:pPr>
        <w:pStyle w:val="Heading2"/>
      </w:pPr>
      <w:r>
        <w:rPr>
          <w:rFonts w:ascii="Times New Roman" w:cs="Times New Roman" w:eastAsia="Times New Roman" w:hAnsi="Times New Roman"/>
        </w:rPr>
        <w:t xml:space="preserve">B.5. Research design of Bertoni and Groh (2014)</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gridCol w:w="355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Item</w:t>
            </w:r>
          </w:p>
        </w:tc>
        <w:tc>
          <w:tcPr>
            <w:tcW w:type="dxa" w:w="8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What the paper reports</w:t>
            </w:r>
          </w:p>
        </w:tc>
        <w:tc>
          <w:tcPr>
            <w:tcW w:type="dxa" w:w="35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Research question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How the exit mode (IPO, trade sale, write-off) of VC investments is influenced by the additional exit opportunities brought by cross-border VC investors.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Region and period</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Seven European countries (Belgium, Finland, France, Germany, Italy, Spain, United Kingdom); first financing round 1994 to 2004; exit information to end of 2010.</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85, 87</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Sample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1,062 VC investments (unique company-investor pairs) in 462 young high-tech companies; 872 local and 190 cross-border investments. The text on p. 87 states 422 companies after selection, which differs from 462 in Table 1.</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85, 87-88, 97-98</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Industries and firms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Biotech and pharmaceuticals, ICT manufacturing, internet, software, telecommunication; firms founded after 1994 and independent at foundation.</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87-88</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Cross-border definition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defined in a sentence. Table 1 classifies investments by the investor's home region; headquarters versus office not reported. Lead investor not identified.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88, 90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Cross-border composition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96 from continental Europe, 54 from the USA, 26 from the UK, 14 from Asia and Australia; 168 syndicated with local partners; 121 independent and 69 captive VC.</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87-88</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IPO, trade sale, liquidation (write-offs and buy-backs); 655 of 1,062 exited (61.7 percent): 124 IPO, 221 trade sale, 24 buy-back, 286 write-off.</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87-89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Main variables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IPO and M&amp;A market size in the investors' countries divided by the startup country's GDP; same for the host country; legal rights in host country.</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90-91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Follow-on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dummy: investor entered in a follow-on financing round; mean 0.30. Not an outcome.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Models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Fine and Gray competing risks; discrete-time multinomial logit with duration and duration squared; matched-sample competing risks. Robust standard errors; no interaction terms; no fixed effects reported.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88-90, 93-96</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Selection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Propensity score matching (probit on firm age, sales growth, patent stock, total assets, industry, captive dummy); text states five matches, Table 6 note states three.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89, 95</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H2 (trade sale): M&amp;A size for cross-border investors .129** (Table 5), .156** (Table 6), .135** (Table 7). H1 (IPO): .798 at p &lt; 10% (Table 5), not significant in Table 6, 1.001* in Table 7.</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93-96</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results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Cross-border IVC investment raises liquidation (1.786*** in Table 5); local exit conditions matter more than conditions in the investor's country.</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93-94, 97</w:t>
            </w:r>
          </w:p>
        </w:tc>
      </w:tr>
    </w:tbl>
    <w:p/>
    <w:p>
      <w:pPr>
        <w:pStyle w:val="Heading2"/>
      </w:pPr>
      <w:r>
        <w:rPr>
          <w:rFonts w:ascii="Times New Roman" w:cs="Times New Roman" w:eastAsia="Times New Roman" w:hAnsi="Times New Roman"/>
        </w:rPr>
        <w:t xml:space="preserve">B.6. Contingencies and future research suggested by Bertoni and Groh (2014)</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5000"/>
        <w:gridCol w:w="2958"/>
      </w:tblGrid>
      <w:tr>
        <w:trPr>
          <w:tblHeader/>
        </w:trPr>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Suggested contingency or question</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Reason given</w:t>
            </w:r>
          </w:p>
        </w:tc>
        <w:tc>
          <w:tcPr>
            <w:tcW w:type="dxa" w:w="29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Country of origin of the cross-border investor and exit opportunities there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Impact on exit mode depends on exit opportunities in the investor's country.</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84</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and geographic distance as a driver of early write-offs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clear whether early termination reflects distance or professionalism.</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94, 97</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type (independent versus captive)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objectives and modes of investment may affect exit strategies.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Rarity of foreign IPOs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Makes the effect of cross-border IPO markets hard to detect.</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85, 94</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Syndication with local partners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Reduces liabilities of foreignness and distance (cited evidence); 88.4 percent of cross-border deals have local partners.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84, 87-88</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Micro-level effects on young ventures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Growth opportunities in the investor's country and local human capital.</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97</w:t>
            </w:r>
          </w:p>
        </w:tc>
      </w:tr>
    </w:tbl>
    <w:p/>
    <w:p>
      <w:pPr>
        <w:pStyle w:val="Heading2"/>
      </w:pPr>
      <w:r>
        <w:rPr>
          <w:rFonts w:ascii="Times New Roman" w:cs="Times New Roman" w:eastAsia="Times New Roman" w:hAnsi="Times New Roman"/>
        </w:rPr>
        <w:t xml:space="preserve">B.7. Research design of Moore et al. (2015)</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gridCol w:w="355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Item</w:t>
            </w:r>
          </w:p>
        </w:tc>
        <w:tc>
          <w:tcPr>
            <w:tcW w:type="dxa" w:w="8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What the paper reports</w:t>
            </w:r>
          </w:p>
        </w:tc>
        <w:tc>
          <w:tcPr>
            <w:tcW w:type="dxa" w:w="35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Research question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If and how cross-border VC investment flows are influenced by institutional differences between countries.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Region and period</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 European countries (list not reported), 1996 to 2005.</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487</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Unit and sample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Country dyads by year: 1,037 observations. Dyads without VC investment are excluded; treating them as zero gave no substantive change.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487 (note 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Investments covered</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Standard VC from SDC Platinum (Venture Economics): traditional PE/VC, corporate venture, co-investing; seed to mezzanine and bridge loans; angel and family investment excluded. Round, lead investor, and headquarters versus office: Not reported.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489-491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Cross-border VC flows: percentage of a source country's VC investment going into a target European country; mean 0.047, SD 0.101.</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488-489, 492</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variables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Regulative (5 items), normative (7 items) from World Competitiveness Yearbook; cultural-cognitive (4 Hofstede dimensions); Kogut and Singh formula; reliabilities 72.3 to 87.18 percent.</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488-489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GDP change of target country, balance of payments, FDI, political regime (communist dummy).</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490-491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Model</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Linear mixed model with autoregressive error covariance; repeated measures by country and year. Standard errors not shown in Table 4; no interaction terms.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490-492</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Regulative 0.0076 (ns); normative -0.4342* (Model 3), -0.0228* (Model 5); cultural-cognitive -0.1171*** (Model 4), -0.1132*** (Model 5).</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492</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Robustness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Models re-run without FDI or BOP: no appreciable differences.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Limitations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Select group of European countries; flows assumed beneficial but not tested; only aggregate country-level data.</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495</w:t>
            </w:r>
          </w:p>
        </w:tc>
      </w:tr>
    </w:tbl>
    <w:p/>
    <w:p>
      <w:pPr>
        <w:pStyle w:val="Heading2"/>
      </w:pPr>
      <w:r>
        <w:rPr>
          <w:rFonts w:ascii="Times New Roman" w:cs="Times New Roman" w:eastAsia="Times New Roman" w:hAnsi="Times New Roman"/>
        </w:rPr>
        <w:t xml:space="preserve">B.8. Contingencies and future research suggested by Moore et al. (2015)</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5000"/>
        <w:gridCol w:w="2958"/>
      </w:tblGrid>
      <w:tr>
        <w:trPr>
          <w:tblHeader/>
        </w:trPr>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Suggested contingency or question</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Reason given</w:t>
            </w:r>
          </w:p>
        </w:tc>
        <w:tc>
          <w:tcPr>
            <w:tcW w:type="dxa" w:w="29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Configuration of the three institutional dimensions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Dimensions may act together as an interrelated group rather than as separate continuous variables.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Contingencies behind the missing regulative effect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Unclear whether regulation truly does not matter or whether contingencies exist.</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Venture performance as outcome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Logical next step; cites parent ownership levels and subsidiary survival in distant countries.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Firm-level characteristics of VCs investing abroad</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Which VCs adapt to institutionally distant firms and why.</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495</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Cross-border trading alliances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May improve understanding of norms in both countries and influence syndication frequency.</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495</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Convergence of national cultures and business practices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May raise cross-border investment over time.</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495</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knowledge and networks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Knowledge resources are hard to transfer across institutionally distant countries.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494</w:t>
            </w:r>
          </w:p>
        </w:tc>
      </w:tr>
    </w:tbl>
    <w:p/>
    <w:p>
      <w:pPr>
        <w:pStyle w:val="Heading2"/>
      </w:pPr>
      <w:r>
        <w:rPr>
          <w:rFonts w:ascii="Times New Roman" w:cs="Times New Roman" w:eastAsia="Times New Roman" w:hAnsi="Times New Roman"/>
        </w:rPr>
        <w:t xml:space="preserve">B.9. Research design of Bottazzi et al. (2016)</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gridCol w:w="355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Item</w:t>
            </w:r>
          </w:p>
        </w:tc>
        <w:tc>
          <w:tcPr>
            <w:tcW w:type="dxa" w:w="8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What the paper reports</w:t>
            </w:r>
          </w:p>
        </w:tc>
        <w:tc>
          <w:tcPr>
            <w:tcW w:type="dxa" w:w="35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Research question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Whether trust among nations affects the decision to invest across countries, how trust relates to investment success, and how it affects deal structure.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Region and period</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107 VC firms from 15 EU countries (Austria, Belgium, Denmark, Finland, France, Germany, Greece, Ireland, Italy, Luxembourg, Netherlands, Portugal, Spain, Sweden, United Kingdom); first rounds January 1998 to December 2001; companies also in Norway, Switzerland, and the United States; outcomes until 2011 (Table 1 says October 2011, section 2.3 says August 2011).</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2285, 2291-2292, 2294-2295</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Sample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Survey of 685 firms, 107 usable (nearly 16 percent); 101,620 potential deals (107 investors x 1,170 companies, feasible pairs); 1,228 realized deals in 1,170 companies; 51 companies with more than one investor in the sample.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2291, 2294-2295</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Round and foreignness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All first rounds; buyouts excluded; Foreign deal = investor and company in different countries; headquarters versus office basis and lead investor: Not reported.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2291, 2293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(potential-deal level); IPO, Exit (IPO or acquisition), Failure (out of business or not traceable); stage; syndication; contingent contracts (index 0 to 4 and four dummies); exit value and exit performance in robustness.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2292, 2295-2296, 2310-2311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Trust variable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Percentage of citizens in one country with a lot of trust (answer 4 on a 1 to 4 scale) in people from another country; Eurobarometer, waves 1990 to 1996; residual trust removes investor-country and company-country averages.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2293, 2297</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country-pair variables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Information (newspaper coverage, Factiva), GDP difference (Datastream), language overlap (ethnologue), legal difference (La Porta et al., 1998), foreign deal, common border, exports (UN World Trade).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and investor variables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(log of 1 + km between investor and company city), industry fit, stage fit, independent VC, VC size, VC age, VC US experience, industry, early stage, deal date.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 effects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(107 dummies), investor country, company country; conditional logit absorbs investor and company; outcome models use investor-country and company-country effects.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2294, 2299, 2303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Models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Logit and conditional logit (probit gives the same results); outcome logit and conditional logit; two-step Heckman (linear probability version); ordered logit for stage; Poisson for contract index. Standard errors clustered by country pair in logit models, robust in conditional logit.</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2299, 2303, 2308, 2311, 2314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 deal formation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Trust 6.498*** (z 3.490) in Table 2 model 1; one more percentage point of high trust = 5.7 percent higher probability of a deal; 25th to 75th percentile = 119 percent increase. Distance -0.223**; Foreign deal -1.699**.</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2300-2301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 outcomes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Trust, model 3: IPO -15.947*, Exit -4.116 (not significant), Failure 5.980**; model 1: -15.779**, -4.426*, 7.081***. Raw correlations -0.105 (IPO), -0.101 (Exit), 0.141 (Failure).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2303-2306</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 selection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Correlation of trust with predicted outcome probability: -0.236 (IPO), -0.270 (Exit), 0.355 (Failure). Heckman Mills ratio: -0.067** (IPO), -0.077* (Exit), 0.061 (Failure, not significant); the text gives p-values of 0.011 and 0.92 for the first two, which does not match the table stars.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2308-2309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 deal structure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Higher trust goes with earlier stage (Table 5: 4.700 not significant, 5.637*; ordered logit -5.828**, -5.691*), less syndication (-9.800**, -9.279**), and more contingent contracts (Poisson 3.580**).</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2312-2314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Robustness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Five alternative trust measures; Eurovision liking; ThomsonOne data; nested controls; two-way clustering; closest investor office; earliest deal per company; FDI instead of exports; exit value, exit performance, tobit; company age instead of early stage; conditional logit for stage and syndication.</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2302-2303, 2310-2311, 2315</w:t>
            </w:r>
          </w:p>
        </w:tc>
      </w:tr>
    </w:tbl>
    <w:p/>
    <w:p>
      <w:pPr>
        <w:pStyle w:val="Heading2"/>
      </w:pPr>
      <w:r>
        <w:rPr>
          <w:rFonts w:ascii="Times New Roman" w:cs="Times New Roman" w:eastAsia="Times New Roman" w:hAnsi="Times New Roman"/>
        </w:rPr>
        <w:t xml:space="preserve">B.10. Contingencies, limitations, and future research in Bottazzi et al. (2016)</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5000"/>
        <w:gridCol w:w="2958"/>
      </w:tblGrid>
      <w:tr>
        <w:trPr>
          <w:tblHeader/>
        </w:trPr>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Suggested contingency, limitation, or question</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Reason given</w:t>
            </w:r>
          </w:p>
        </w:tc>
        <w:tc>
          <w:tcPr>
            <w:tcW w:type="dxa" w:w="29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Personalized trust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measured; likely matters; future research could separate it from generalized trust.</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2288</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Search stage and social networks as channels of trust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Trust may act before the deal, when investors and entrepreneurs find each other; networks are an endogenous channel.</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2290</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learning</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Selection test assumes investors map observables into success probabilities; dynamic learning would need a longer time series.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2307 (note 20)</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Value-adding effort as treatment effect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Theory is ambiguous; empirical estimates suggest higher trust goes with lower effort.</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2291, 2310</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quality (fund size, US experience)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Higher quality investors are more willing to invest in low-trust deals; trust correlates negatively with both.</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2306</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Syndication in low-trust deals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Cost of sharing a deal is lower when trust is low.</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2289, 2312</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Early stage needs more trust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Earlier stages expose investors to more rent dissipation.</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2289, 2311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Companies that never received funding</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observable; analysis covers infra-marginal companies only.</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2294-2295</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Average citizen versus sophisticated investor</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Trust of the average citizen may differ from that of investors; checked with a socioeconomic subsample.</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2302</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Excluded variable in Heckman model</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Exports as exclusion restriction can only be asserted.</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2308</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Policy implication</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Investment may be more forthcoming from countries with higher generalized trust.</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2316</w:t>
            </w:r>
          </w:p>
        </w:tc>
      </w:tr>
    </w:tbl>
    <w:p/>
    <w:p>
      <w:pPr>
        <w:pStyle w:val="Heading2"/>
      </w:pPr>
      <w:r>
        <w:rPr>
          <w:rFonts w:ascii="Times New Roman" w:cs="Times New Roman" w:eastAsia="Times New Roman" w:hAnsi="Times New Roman"/>
        </w:rPr>
        <w:t xml:space="preserve">B.11. Research design of Alhorr et al. (2008)</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gridCol w:w="355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Item</w:t>
            </w:r>
          </w:p>
        </w:tc>
        <w:tc>
          <w:tcPr>
            <w:tcW w:type="dxa" w:w="8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What the paper reports</w:t>
            </w:r>
          </w:p>
        </w:tc>
        <w:tc>
          <w:tcPr>
            <w:tcW w:type="dxa" w:w="35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Research question</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Whether the economic integration mechanisms of common market and common currency increase the level of cross-border VC investments in entrepreneurial ventures.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899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Region and period</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24 countries, 1985 to 2002 (18 years): Austria, Belgium, Czech Republic, Denmark, Estonia, Finland, France, Germany, Greece, Hungary, Iceland, Ireland, Italy, Luxembourg, Netherlands, Norway, Poland, Portugal, Romania, Slovenia, Spain, Sweden, Switzerland, United Kingdom (Table 1). The text describes EU-15, six EU-25 members, and Iceland, Norway, Switzerland; note 2 says Romania joined in 2007.</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902-904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Unit and sample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Country-year; original sample size 408 country-years (24 x 18 = 432; the difference is not explained); the number of observations used in Table 3 is Not reported.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903, 910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Investments covered</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Standard VC from SDC Platinum (Venture Economics): traditional PE and VC, corporate venture, coinvesting; preseed and seed to later stage, mezzanine, and bridge loans; angel and family money and secondary public market purchases excluded; no minimum or maximum amount. Round, lead investor, and headquarters versus office: Not reported.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Ratio of the VC a country invests in other EU countries to the total VC invested by that country; not a performance measure.</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Integration variables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Common market: dummy, 1 for countries sharing the single market; common currency: dummy, 1 for nations that adopted the euro in a given year; source Eurostat.</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906</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GDP growth, inflation, FDI, balance of payments, transitioning (former communist) dummy, founding member dummy (France, Italy, Luxembourg, Germany, Netherlands, Belgium); sources World Bank, WTO, IMF, CIA World Factbook, Eurostat.</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906-907</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Model</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Linear mixed model with country and year terms and AR(1) error covariance; separate models for market and currency plus a combined model; no interaction terms.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907-908, 910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Results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Common market 0.097 (SE 0.033)***; common currency 0.192 (SE 0.046)***; combined 0.066 (SE 0.034)* and 0.165 (SE 0.048)***. In the control-only model FDI is 0.001** and in the common market model -0.001**, a change of sign that is not discussed.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908, 910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Descriptives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 of outflows going to other EU countries stable over time; relative increase after 2000 when total VC fell; Table 1 gives average and count of investments by country (United Kingdom 13,755).</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904-905, 911-912</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Robustness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reported beyond separate versus combined models.</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inconsistencies</w:t>
            </w:r>
          </w:p>
        </w:tc>
        <w:tc>
          <w:tcPr>
            <w:tcW w:type="dxa" w:w="8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Table 3 reports negative -2log L values; the table note labels FDI as FCI; the text says six newer members of the EU-25 but Romania is listed.</w:t>
            </w:r>
          </w:p>
        </w:tc>
        <w:tc>
          <w:tcPr>
            <w:tcW w:type="dxa" w:w="35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903, 910</w:t>
            </w:r>
          </w:p>
        </w:tc>
      </w:tr>
    </w:tbl>
    <w:p/>
    <w:p>
      <w:pPr>
        <w:pStyle w:val="Heading2"/>
      </w:pPr>
      <w:r>
        <w:rPr>
          <w:rFonts w:ascii="Times New Roman" w:cs="Times New Roman" w:eastAsia="Times New Roman" w:hAnsi="Times New Roman"/>
        </w:rPr>
        <w:t xml:space="preserve">B.12. Contingencies, limitations, and future research in Alhorr et al. (2008)</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5000"/>
        <w:gridCol w:w="2958"/>
      </w:tblGrid>
      <w:tr>
        <w:trPr>
          <w:tblHeader/>
        </w:trPr>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Suggested contingency, limitation, or question</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Reason given</w:t>
            </w:r>
          </w:p>
        </w:tc>
        <w:tc>
          <w:tcPr>
            <w:tcW w:type="dxa" w:w="29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Country-by-country analysis of VC inflows and outflows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To find which institutional factors contribute to the spread of VC.</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912</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Culture, language, religion, other sociocultural factors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May explain which countries receive flows once markets open.</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912</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Where entrepreneurs go first or most extensively after markets open</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 question raised by the authors.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912</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Whether integration minimizes national differences in entrepreneurship</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Cognitive and attitude changes within integrated economies.</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912</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 inflows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Country inflows of entrepreneurial activity not examined.</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regions and trade agreements</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The EU is unique in size and proximity; effects may differ elsewhere.</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Aggregate country-level data</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Many other factors influence VC decisions and are not included.</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 between flows and entrepreneurial activity</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Assumed, not tested.</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FDI crowding out domestic entrepreneurship</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 outflows may displace domestic entrepreneurial activity; the cited authors say this may be moderated or reversed over time.</w:t>
            </w:r>
          </w:p>
        </w:tc>
        <w:tc>
          <w:tcPr>
            <w:tcW w:type="dxa" w:w="2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912</w:t>
            </w:r>
          </w:p>
        </w:tc>
      </w:tr>
    </w:tbl>
    <w:sectPr>
      <w:headerReference w:type="default" r:id="rId11"/>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sz w:val="18"/>
        <w:szCs w:val="18"/>
      </w:rPr>
      <w:t xml:space="preserve">Distance and Cross-Border Venture Capital in Europe - Mark Sarman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sz w:val="18"/>
        <w:szCs w:val="18"/>
      </w:rPr>
      <w:t xml:space="preserve">Distance and Cross-Border Venture Capital in Europe - Mark Sarman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Proposal (living draft)</dc:title>
  <dc:creator>Mark Sarman</dc:creator>
  <cp:lastModifiedBy>Un-named</cp:lastModifiedBy>
  <cp:revision>1</cp:revision>
  <dcterms:created xsi:type="dcterms:W3CDTF">2026-10-06T14:03:37.837Z</dcterms:created>
  <dcterms:modified xsi:type="dcterms:W3CDTF">2026-10-06T14:03:37.843Z</dcterms:modified>
</cp:coreProperties>
</file>

<file path=docProps/custom.xml><?xml version="1.0" encoding="utf-8"?>
<Properties xmlns="http://schemas.openxmlformats.org/officeDocument/2006/custom-properties" xmlns:vt="http://schemas.openxmlformats.org/officeDocument/2006/docPropsVTypes"/>
</file>