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740C4E" w14:textId="77777777" w:rsidR="00E928B8" w:rsidRPr="00B03445" w:rsidRDefault="00000000" w:rsidP="00B03445">
      <w:pPr>
        <w:spacing w:line="360" w:lineRule="auto"/>
        <w:jc w:val="center"/>
        <w:rPr>
          <w:rFonts w:ascii="Times New Roman" w:hAnsi="Times New Roman" w:cs="Times New Roman"/>
        </w:rPr>
      </w:pPr>
      <w:r w:rsidRPr="00B03445">
        <w:rPr>
          <w:rFonts w:ascii="Times New Roman" w:hAnsi="Times New Roman" w:cs="Times New Roman"/>
          <w:b/>
          <w:bCs/>
          <w:sz w:val="40"/>
          <w:szCs w:val="40"/>
        </w:rPr>
        <w:t>When Does Expertise Travel?</w:t>
      </w:r>
    </w:p>
    <w:p w14:paraId="525DC750" w14:textId="0B2686A3" w:rsidR="00B03445" w:rsidRPr="00041D76" w:rsidRDefault="00000000" w:rsidP="00B03445">
      <w:pPr>
        <w:spacing w:line="360" w:lineRule="auto"/>
        <w:jc w:val="center"/>
        <w:rPr>
          <w:rFonts w:ascii="Times New Roman" w:hAnsi="Times New Roman" w:cs="Times New Roman"/>
          <w:sz w:val="24"/>
          <w:szCs w:val="24"/>
        </w:rPr>
      </w:pPr>
      <w:r w:rsidRPr="00041D76">
        <w:rPr>
          <w:rFonts w:ascii="Times New Roman" w:hAnsi="Times New Roman" w:cs="Times New Roman"/>
          <w:i/>
          <w:iCs/>
          <w:sz w:val="28"/>
          <w:szCs w:val="28"/>
        </w:rPr>
        <w:t>VC Industry Specialization, Institutional Distance, and the Financing Success of Cross-Border Deep-Tech Investments</w:t>
      </w:r>
    </w:p>
    <w:p w14:paraId="2C0D9020" w14:textId="77777777" w:rsidR="00B03445" w:rsidRDefault="00B03445" w:rsidP="00B03445">
      <w:pPr>
        <w:spacing w:line="360" w:lineRule="auto"/>
        <w:rPr>
          <w:rFonts w:ascii="Times New Roman" w:hAnsi="Times New Roman" w:cs="Times New Roman"/>
          <w:sz w:val="24"/>
          <w:szCs w:val="24"/>
        </w:rPr>
      </w:pPr>
    </w:p>
    <w:p w14:paraId="7A7012A3" w14:textId="74E388E4" w:rsidR="00E928B8" w:rsidRPr="00B03445" w:rsidRDefault="00000000" w:rsidP="00B03445">
      <w:pPr>
        <w:spacing w:line="360" w:lineRule="auto"/>
        <w:jc w:val="center"/>
        <w:rPr>
          <w:rFonts w:ascii="Times New Roman" w:hAnsi="Times New Roman" w:cs="Times New Roman"/>
        </w:rPr>
      </w:pPr>
      <w:r w:rsidRPr="00B03445">
        <w:rPr>
          <w:rFonts w:ascii="Times New Roman" w:hAnsi="Times New Roman" w:cs="Times New Roman"/>
          <w:sz w:val="24"/>
          <w:szCs w:val="24"/>
        </w:rPr>
        <w:t>Preliminary Research Proposal</w:t>
      </w:r>
    </w:p>
    <w:p w14:paraId="32E9CAA8" w14:textId="77777777" w:rsidR="00B03445" w:rsidRDefault="00B03445" w:rsidP="00B03445">
      <w:pPr>
        <w:spacing w:line="360" w:lineRule="auto"/>
        <w:jc w:val="center"/>
        <w:rPr>
          <w:rFonts w:ascii="Times New Roman" w:hAnsi="Times New Roman" w:cs="Times New Roman"/>
        </w:rPr>
      </w:pPr>
    </w:p>
    <w:p w14:paraId="156C70E7" w14:textId="77777777" w:rsidR="00B03445" w:rsidRDefault="00B03445" w:rsidP="00B03445">
      <w:pPr>
        <w:spacing w:line="360" w:lineRule="auto"/>
        <w:jc w:val="center"/>
        <w:rPr>
          <w:rFonts w:ascii="Times New Roman" w:hAnsi="Times New Roman" w:cs="Times New Roman"/>
        </w:rPr>
      </w:pPr>
    </w:p>
    <w:p w14:paraId="7572046D" w14:textId="77777777" w:rsidR="00B03445" w:rsidRDefault="00B03445" w:rsidP="00B03445">
      <w:pPr>
        <w:spacing w:line="360" w:lineRule="auto"/>
        <w:jc w:val="center"/>
        <w:rPr>
          <w:rFonts w:ascii="Times New Roman" w:hAnsi="Times New Roman" w:cs="Times New Roman"/>
        </w:rPr>
      </w:pPr>
    </w:p>
    <w:p w14:paraId="6D72BF59" w14:textId="77777777" w:rsidR="00B03445" w:rsidRDefault="00B03445" w:rsidP="00B03445">
      <w:pPr>
        <w:spacing w:line="360" w:lineRule="auto"/>
        <w:rPr>
          <w:rFonts w:ascii="Times New Roman" w:hAnsi="Times New Roman" w:cs="Times New Roman"/>
        </w:rPr>
      </w:pPr>
    </w:p>
    <w:p w14:paraId="3887E596" w14:textId="36CB5E34" w:rsidR="00E928B8" w:rsidRPr="00041D76" w:rsidRDefault="00000000" w:rsidP="00B03445">
      <w:pPr>
        <w:spacing w:line="360" w:lineRule="auto"/>
        <w:jc w:val="center"/>
        <w:rPr>
          <w:rFonts w:ascii="Times New Roman" w:hAnsi="Times New Roman" w:cs="Times New Roman"/>
          <w:sz w:val="24"/>
          <w:szCs w:val="24"/>
        </w:rPr>
      </w:pPr>
      <w:r w:rsidRPr="00041D76">
        <w:rPr>
          <w:rFonts w:ascii="Times New Roman" w:hAnsi="Times New Roman" w:cs="Times New Roman"/>
          <w:sz w:val="24"/>
          <w:szCs w:val="24"/>
        </w:rPr>
        <w:t>Erasmus University Rotterdam</w:t>
      </w:r>
    </w:p>
    <w:p w14:paraId="507F7466" w14:textId="77777777" w:rsidR="00E928B8" w:rsidRPr="00041D76" w:rsidRDefault="00000000" w:rsidP="00B03445">
      <w:pPr>
        <w:spacing w:line="360" w:lineRule="auto"/>
        <w:jc w:val="center"/>
        <w:rPr>
          <w:rFonts w:ascii="Times New Roman" w:hAnsi="Times New Roman" w:cs="Times New Roman"/>
          <w:sz w:val="24"/>
          <w:szCs w:val="24"/>
        </w:rPr>
      </w:pPr>
      <w:r w:rsidRPr="00041D76">
        <w:rPr>
          <w:rFonts w:ascii="Times New Roman" w:hAnsi="Times New Roman" w:cs="Times New Roman"/>
          <w:sz w:val="24"/>
          <w:szCs w:val="24"/>
        </w:rPr>
        <w:t>Rotterdam School of Management</w:t>
      </w:r>
    </w:p>
    <w:p w14:paraId="44A13CC7" w14:textId="77777777" w:rsidR="00E928B8" w:rsidRPr="00041D76" w:rsidRDefault="00000000" w:rsidP="00B03445">
      <w:pPr>
        <w:spacing w:line="360" w:lineRule="auto"/>
        <w:jc w:val="center"/>
        <w:rPr>
          <w:rFonts w:ascii="Times New Roman" w:hAnsi="Times New Roman" w:cs="Times New Roman"/>
          <w:sz w:val="24"/>
          <w:szCs w:val="24"/>
        </w:rPr>
      </w:pPr>
      <w:r w:rsidRPr="00041D76">
        <w:rPr>
          <w:rFonts w:ascii="Times New Roman" w:hAnsi="Times New Roman" w:cs="Times New Roman"/>
          <w:sz w:val="24"/>
          <w:szCs w:val="24"/>
        </w:rPr>
        <w:t>MSc International Management / CEMS</w:t>
      </w:r>
    </w:p>
    <w:p w14:paraId="039A2E0F" w14:textId="77777777" w:rsidR="00B03445" w:rsidRPr="00041D76" w:rsidRDefault="00B03445" w:rsidP="00B03445">
      <w:pPr>
        <w:spacing w:line="360" w:lineRule="auto"/>
        <w:jc w:val="center"/>
        <w:rPr>
          <w:rFonts w:ascii="Times New Roman" w:hAnsi="Times New Roman" w:cs="Times New Roman"/>
          <w:sz w:val="24"/>
          <w:szCs w:val="24"/>
          <w:lang w:val="de-DE"/>
        </w:rPr>
      </w:pPr>
    </w:p>
    <w:p w14:paraId="7262AEA5" w14:textId="77777777" w:rsidR="00B03445" w:rsidRPr="00041D76" w:rsidRDefault="00B03445" w:rsidP="00B03445">
      <w:pPr>
        <w:spacing w:line="360" w:lineRule="auto"/>
        <w:jc w:val="center"/>
        <w:rPr>
          <w:rFonts w:ascii="Times New Roman" w:hAnsi="Times New Roman" w:cs="Times New Roman"/>
          <w:sz w:val="24"/>
          <w:szCs w:val="24"/>
          <w:lang w:val="de-DE"/>
        </w:rPr>
      </w:pPr>
    </w:p>
    <w:p w14:paraId="0BCC9EC8" w14:textId="77777777" w:rsidR="00B03445" w:rsidRPr="00041D76" w:rsidRDefault="00B03445" w:rsidP="00B03445">
      <w:pPr>
        <w:spacing w:line="360" w:lineRule="auto"/>
        <w:jc w:val="center"/>
        <w:rPr>
          <w:rFonts w:ascii="Times New Roman" w:hAnsi="Times New Roman" w:cs="Times New Roman"/>
          <w:sz w:val="24"/>
          <w:szCs w:val="24"/>
          <w:lang w:val="de-DE"/>
        </w:rPr>
      </w:pPr>
    </w:p>
    <w:p w14:paraId="780336FE" w14:textId="77777777" w:rsidR="00B03445" w:rsidRPr="00041D76" w:rsidRDefault="00B03445" w:rsidP="00B03445">
      <w:pPr>
        <w:spacing w:line="360" w:lineRule="auto"/>
        <w:jc w:val="center"/>
        <w:rPr>
          <w:rFonts w:ascii="Times New Roman" w:hAnsi="Times New Roman" w:cs="Times New Roman"/>
          <w:sz w:val="24"/>
          <w:szCs w:val="24"/>
          <w:lang w:val="de-DE"/>
        </w:rPr>
      </w:pPr>
    </w:p>
    <w:p w14:paraId="78A58252" w14:textId="53F4F90C" w:rsidR="00E928B8" w:rsidRPr="00041D76" w:rsidRDefault="00000000" w:rsidP="00B03445">
      <w:pPr>
        <w:spacing w:line="360" w:lineRule="auto"/>
        <w:jc w:val="center"/>
        <w:rPr>
          <w:rFonts w:ascii="Times New Roman" w:hAnsi="Times New Roman" w:cs="Times New Roman"/>
          <w:sz w:val="24"/>
          <w:szCs w:val="24"/>
          <w:lang w:val="de-DE"/>
        </w:rPr>
      </w:pPr>
      <w:r w:rsidRPr="00041D76">
        <w:rPr>
          <w:rFonts w:ascii="Times New Roman" w:hAnsi="Times New Roman" w:cs="Times New Roman"/>
          <w:sz w:val="24"/>
          <w:szCs w:val="24"/>
          <w:lang w:val="de-DE"/>
        </w:rPr>
        <w:t xml:space="preserve">Name: Mark </w:t>
      </w:r>
      <w:r w:rsidR="00B03445" w:rsidRPr="00041D76">
        <w:rPr>
          <w:rFonts w:ascii="Times New Roman" w:hAnsi="Times New Roman" w:cs="Times New Roman"/>
          <w:sz w:val="24"/>
          <w:szCs w:val="24"/>
          <w:lang w:val="de-DE"/>
        </w:rPr>
        <w:t xml:space="preserve">Aleksander </w:t>
      </w:r>
      <w:proofErr w:type="spellStart"/>
      <w:r w:rsidR="00B03445" w:rsidRPr="00041D76">
        <w:rPr>
          <w:rFonts w:ascii="Times New Roman" w:hAnsi="Times New Roman" w:cs="Times New Roman"/>
          <w:sz w:val="24"/>
          <w:szCs w:val="24"/>
          <w:lang w:val="de-DE"/>
        </w:rPr>
        <w:t>Š</w:t>
      </w:r>
      <w:r w:rsidRPr="00041D76">
        <w:rPr>
          <w:rFonts w:ascii="Times New Roman" w:hAnsi="Times New Roman" w:cs="Times New Roman"/>
          <w:sz w:val="24"/>
          <w:szCs w:val="24"/>
          <w:lang w:val="de-DE"/>
        </w:rPr>
        <w:t>arman</w:t>
      </w:r>
      <w:proofErr w:type="spellEnd"/>
    </w:p>
    <w:p w14:paraId="00857070" w14:textId="3C9E5196" w:rsidR="00E928B8" w:rsidRPr="00041D76" w:rsidRDefault="00000000" w:rsidP="00B03445">
      <w:pPr>
        <w:spacing w:line="360" w:lineRule="auto"/>
        <w:jc w:val="center"/>
        <w:rPr>
          <w:rFonts w:ascii="Times New Roman" w:hAnsi="Times New Roman" w:cs="Times New Roman"/>
          <w:sz w:val="24"/>
          <w:szCs w:val="24"/>
        </w:rPr>
      </w:pPr>
      <w:r w:rsidRPr="00041D76">
        <w:rPr>
          <w:rFonts w:ascii="Times New Roman" w:hAnsi="Times New Roman" w:cs="Times New Roman"/>
          <w:sz w:val="24"/>
          <w:szCs w:val="24"/>
        </w:rPr>
        <w:t>Student ID</w:t>
      </w:r>
      <w:r w:rsidR="00B03445" w:rsidRPr="00041D76">
        <w:rPr>
          <w:rFonts w:ascii="Times New Roman" w:hAnsi="Times New Roman" w:cs="Times New Roman"/>
          <w:sz w:val="24"/>
          <w:szCs w:val="24"/>
        </w:rPr>
        <w:t>: 650234</w:t>
      </w:r>
    </w:p>
    <w:p w14:paraId="1A373AB4" w14:textId="30BB8A70" w:rsidR="00E928B8" w:rsidRPr="00041D76" w:rsidRDefault="00000000" w:rsidP="00B03445">
      <w:pPr>
        <w:spacing w:line="360" w:lineRule="auto"/>
        <w:jc w:val="center"/>
        <w:rPr>
          <w:rFonts w:ascii="Times New Roman" w:hAnsi="Times New Roman" w:cs="Times New Roman"/>
          <w:sz w:val="24"/>
          <w:szCs w:val="24"/>
        </w:rPr>
      </w:pPr>
      <w:r w:rsidRPr="00041D76">
        <w:rPr>
          <w:rFonts w:ascii="Times New Roman" w:hAnsi="Times New Roman" w:cs="Times New Roman"/>
          <w:sz w:val="24"/>
          <w:szCs w:val="24"/>
        </w:rPr>
        <w:t xml:space="preserve">Supervisor: </w:t>
      </w:r>
      <w:r w:rsidR="00D94E9D" w:rsidRPr="00041D76">
        <w:rPr>
          <w:rFonts w:ascii="Times New Roman" w:hAnsi="Times New Roman" w:cs="Times New Roman"/>
          <w:sz w:val="24"/>
          <w:szCs w:val="24"/>
        </w:rPr>
        <w:t xml:space="preserve">Dr. </w:t>
      </w:r>
      <w:proofErr w:type="spellStart"/>
      <w:r w:rsidR="00D94E9D" w:rsidRPr="00041D76">
        <w:rPr>
          <w:rFonts w:ascii="Times New Roman" w:hAnsi="Times New Roman" w:cs="Times New Roman"/>
          <w:sz w:val="24"/>
          <w:szCs w:val="24"/>
        </w:rPr>
        <w:t>Vareska</w:t>
      </w:r>
      <w:proofErr w:type="spellEnd"/>
      <w:r w:rsidR="00D94E9D" w:rsidRPr="00041D76">
        <w:rPr>
          <w:rFonts w:ascii="Times New Roman" w:hAnsi="Times New Roman" w:cs="Times New Roman"/>
          <w:sz w:val="24"/>
          <w:szCs w:val="24"/>
        </w:rPr>
        <w:t xml:space="preserve"> van de </w:t>
      </w:r>
      <w:proofErr w:type="spellStart"/>
      <w:r w:rsidR="00D94E9D" w:rsidRPr="00041D76">
        <w:rPr>
          <w:rFonts w:ascii="Times New Roman" w:hAnsi="Times New Roman" w:cs="Times New Roman"/>
          <w:sz w:val="24"/>
          <w:szCs w:val="24"/>
        </w:rPr>
        <w:t>Vrande</w:t>
      </w:r>
      <w:proofErr w:type="spellEnd"/>
    </w:p>
    <w:p w14:paraId="53D3BFD7" w14:textId="237E39AC" w:rsidR="00E928B8" w:rsidRPr="00041D76" w:rsidRDefault="00B03445" w:rsidP="00B03445">
      <w:pPr>
        <w:spacing w:line="360" w:lineRule="auto"/>
        <w:jc w:val="center"/>
        <w:rPr>
          <w:rFonts w:ascii="Times New Roman" w:hAnsi="Times New Roman" w:cs="Times New Roman"/>
          <w:sz w:val="24"/>
          <w:szCs w:val="24"/>
        </w:rPr>
      </w:pPr>
      <w:r w:rsidRPr="00041D76">
        <w:rPr>
          <w:rFonts w:ascii="Times New Roman" w:hAnsi="Times New Roman" w:cs="Times New Roman"/>
          <w:sz w:val="24"/>
          <w:szCs w:val="24"/>
        </w:rPr>
        <w:t>Amsterdam</w:t>
      </w:r>
      <w:r w:rsidR="00000000" w:rsidRPr="00041D76">
        <w:rPr>
          <w:rFonts w:ascii="Times New Roman" w:hAnsi="Times New Roman" w:cs="Times New Roman"/>
          <w:sz w:val="24"/>
          <w:szCs w:val="24"/>
        </w:rPr>
        <w:t>, 13 September 2026</w:t>
      </w:r>
    </w:p>
    <w:p w14:paraId="7D738623" w14:textId="77777777" w:rsidR="00E928B8" w:rsidRPr="00B03445" w:rsidRDefault="00000000" w:rsidP="00B03445">
      <w:pPr>
        <w:spacing w:line="360" w:lineRule="auto"/>
        <w:rPr>
          <w:rFonts w:ascii="Times New Roman" w:hAnsi="Times New Roman" w:cs="Times New Roman"/>
        </w:rPr>
      </w:pPr>
      <w:r w:rsidRPr="00B03445">
        <w:rPr>
          <w:rFonts w:ascii="Times New Roman" w:hAnsi="Times New Roman" w:cs="Times New Roman"/>
        </w:rPr>
        <w:br w:type="page"/>
      </w:r>
    </w:p>
    <w:p w14:paraId="53EDEBF1" w14:textId="77777777" w:rsidR="00E928B8" w:rsidRPr="00B03445" w:rsidRDefault="00E928B8" w:rsidP="00B03445">
      <w:pPr>
        <w:spacing w:line="360" w:lineRule="auto"/>
        <w:rPr>
          <w:rFonts w:ascii="Times New Roman" w:hAnsi="Times New Roman" w:cs="Times New Roman"/>
        </w:rPr>
        <w:sectPr w:rsidR="00E928B8" w:rsidRPr="00B03445" w:rsidSect="00B03445">
          <w:pgSz w:w="11906" w:h="16838"/>
          <w:pgMar w:top="1440" w:right="1440" w:bottom="1440" w:left="1440" w:header="709" w:footer="709" w:gutter="0"/>
          <w:cols w:space="720"/>
          <w:vAlign w:val="center"/>
          <w:docGrid w:linePitch="360"/>
        </w:sectPr>
      </w:pPr>
    </w:p>
    <w:p w14:paraId="698166B9" w14:textId="5075E3CC" w:rsidR="00E928B8" w:rsidRPr="00B03445" w:rsidRDefault="00000000" w:rsidP="00B03445">
      <w:pPr>
        <w:pStyle w:val="Heading1"/>
        <w:numPr>
          <w:ilvl w:val="0"/>
          <w:numId w:val="3"/>
        </w:numPr>
        <w:spacing w:line="360" w:lineRule="auto"/>
        <w:rPr>
          <w:rFonts w:ascii="Times New Roman" w:hAnsi="Times New Roman" w:cs="Times New Roman"/>
        </w:rPr>
      </w:pPr>
      <w:r w:rsidRPr="00B03445">
        <w:rPr>
          <w:rFonts w:ascii="Times New Roman" w:hAnsi="Times New Roman" w:cs="Times New Roman"/>
          <w:b/>
          <w:bCs/>
          <w:sz w:val="28"/>
          <w:szCs w:val="28"/>
        </w:rPr>
        <w:lastRenderedPageBreak/>
        <w:t>Introduction</w:t>
      </w:r>
    </w:p>
    <w:p w14:paraId="530BB6BE" w14:textId="3A795B38" w:rsidR="00FD50E6" w:rsidRDefault="00FD50E6" w:rsidP="00F14398">
      <w:pPr>
        <w:spacing w:line="360" w:lineRule="auto"/>
        <w:ind w:firstLine="720"/>
        <w:jc w:val="both"/>
        <w:rPr>
          <w:rFonts w:ascii="Times New Roman" w:hAnsi="Times New Roman" w:cs="Times New Roman"/>
          <w:sz w:val="24"/>
          <w:szCs w:val="24"/>
        </w:rPr>
      </w:pPr>
      <w:r w:rsidRPr="00FD50E6">
        <w:rPr>
          <w:rFonts w:ascii="Times New Roman" w:hAnsi="Times New Roman" w:cs="Times New Roman"/>
          <w:sz w:val="24"/>
          <w:szCs w:val="24"/>
        </w:rPr>
        <w:t xml:space="preserve">Venture capital (VC) investing in deep-tech, ventures built around technologically differentiated, intellectual-property-intensive innovation in fields such as semiconductors, biotechnology, robotics, and advanced materials, has grown steadily more international over the past decade. </w:t>
      </w:r>
      <w:proofErr w:type="spellStart"/>
      <w:r w:rsidRPr="00FD50E6">
        <w:rPr>
          <w:rFonts w:ascii="Times New Roman" w:hAnsi="Times New Roman" w:cs="Times New Roman"/>
          <w:sz w:val="24"/>
          <w:szCs w:val="24"/>
        </w:rPr>
        <w:t>Nörthemann</w:t>
      </w:r>
      <w:proofErr w:type="spellEnd"/>
      <w:r w:rsidRPr="00FD50E6">
        <w:rPr>
          <w:rFonts w:ascii="Times New Roman" w:hAnsi="Times New Roman" w:cs="Times New Roman"/>
          <w:sz w:val="24"/>
          <w:szCs w:val="24"/>
        </w:rPr>
        <w:t xml:space="preserve"> (2023) shows that specialized VC investors are increasingly willing to commit capital across borders, extending their reach beyond the domestic markets in which sector expertise is typically built and where information asymmetries are lowest. </w:t>
      </w:r>
      <w:proofErr w:type="gramStart"/>
      <w:r w:rsidRPr="00FD50E6">
        <w:rPr>
          <w:rFonts w:ascii="Times New Roman" w:hAnsi="Times New Roman" w:cs="Times New Roman"/>
          <w:sz w:val="24"/>
          <w:szCs w:val="24"/>
        </w:rPr>
        <w:t>Deep-tech</w:t>
      </w:r>
      <w:proofErr w:type="gramEnd"/>
      <w:r w:rsidRPr="00FD50E6">
        <w:rPr>
          <w:rFonts w:ascii="Times New Roman" w:hAnsi="Times New Roman" w:cs="Times New Roman"/>
          <w:sz w:val="24"/>
          <w:szCs w:val="24"/>
        </w:rPr>
        <w:t xml:space="preserve"> itself has grown from a niche category to a dominant one. By 2024, it captured 28% of all European VC funding, the single largest category ahead of any other sector, even as European tech funding overall contracted by roughly 60% from its 2021 peak (</w:t>
      </w:r>
      <w:proofErr w:type="spellStart"/>
      <w:r w:rsidRPr="00FD50E6">
        <w:rPr>
          <w:rFonts w:ascii="Times New Roman" w:hAnsi="Times New Roman" w:cs="Times New Roman"/>
          <w:sz w:val="24"/>
          <w:szCs w:val="24"/>
        </w:rPr>
        <w:t>Lakestar</w:t>
      </w:r>
      <w:proofErr w:type="spellEnd"/>
      <w:r w:rsidRPr="00FD50E6">
        <w:rPr>
          <w:rFonts w:ascii="Times New Roman" w:hAnsi="Times New Roman" w:cs="Times New Roman"/>
          <w:sz w:val="24"/>
          <w:szCs w:val="24"/>
        </w:rPr>
        <w:t xml:space="preserve"> et al., 2025). At the same time, cross-border capital has become the norm as roughly 60% of the funding raised by European startups between 2020 and 2024 came from investors based outside their home country (</w:t>
      </w:r>
      <w:proofErr w:type="spellStart"/>
      <w:r w:rsidRPr="00FD50E6">
        <w:rPr>
          <w:rFonts w:ascii="Times New Roman" w:hAnsi="Times New Roman" w:cs="Times New Roman"/>
          <w:sz w:val="24"/>
          <w:szCs w:val="24"/>
        </w:rPr>
        <w:t>Viete</w:t>
      </w:r>
      <w:proofErr w:type="spellEnd"/>
      <w:r w:rsidRPr="00FD50E6">
        <w:rPr>
          <w:rFonts w:ascii="Times New Roman" w:hAnsi="Times New Roman" w:cs="Times New Roman"/>
          <w:sz w:val="24"/>
          <w:szCs w:val="24"/>
        </w:rPr>
        <w:t xml:space="preserve"> &amp; Oschwald, 2025). This shift raises a question that goes beyond the decision to invest abroad: what happens to the investment once it is made?</w:t>
      </w:r>
    </w:p>
    <w:p w14:paraId="08143201" w14:textId="77777777" w:rsidR="00FD50E6" w:rsidRDefault="00FD50E6" w:rsidP="00F14398">
      <w:pPr>
        <w:spacing w:line="360" w:lineRule="auto"/>
        <w:ind w:firstLine="720"/>
        <w:jc w:val="both"/>
        <w:rPr>
          <w:rFonts w:ascii="Times New Roman" w:hAnsi="Times New Roman" w:cs="Times New Roman"/>
          <w:sz w:val="24"/>
          <w:szCs w:val="24"/>
        </w:rPr>
      </w:pPr>
      <w:r w:rsidRPr="00FD50E6">
        <w:rPr>
          <w:rFonts w:ascii="Times New Roman" w:hAnsi="Times New Roman" w:cs="Times New Roman"/>
          <w:sz w:val="24"/>
          <w:szCs w:val="24"/>
        </w:rPr>
        <w:t xml:space="preserve">Willingness to invest across borders is not the same as succeeding after the investment is made. </w:t>
      </w:r>
      <w:proofErr w:type="spellStart"/>
      <w:r w:rsidRPr="00FD50E6">
        <w:rPr>
          <w:rFonts w:ascii="Times New Roman" w:hAnsi="Times New Roman" w:cs="Times New Roman"/>
          <w:sz w:val="24"/>
          <w:szCs w:val="24"/>
        </w:rPr>
        <w:t>Nörthemann's</w:t>
      </w:r>
      <w:proofErr w:type="spellEnd"/>
      <w:r w:rsidRPr="00FD50E6">
        <w:rPr>
          <w:rFonts w:ascii="Times New Roman" w:hAnsi="Times New Roman" w:cs="Times New Roman"/>
          <w:sz w:val="24"/>
          <w:szCs w:val="24"/>
        </w:rPr>
        <w:t xml:space="preserve"> (2023) finding describes an entry decision, not an outcome. This distinction matters because operating internationally exposes a VC firm to costs a domestic investor does not face, namely unfamiliarity with local regulation, weaker access to local networks, and discrimination relative to home-market incumbents, all of which are captured in Zaheer's (1995) liability-of-foreignness framework. Consistent with this, Buchner et al. (2018) find that cross-border VC investments underperform domestic ones in a global sample, with geographic, cultural, and institutional distance each contributing independently to the gap.</w:t>
      </w:r>
    </w:p>
    <w:p w14:paraId="59196D3E" w14:textId="77777777" w:rsidR="00FD50E6" w:rsidRDefault="00FD50E6" w:rsidP="004B2E15">
      <w:pPr>
        <w:spacing w:line="360" w:lineRule="auto"/>
        <w:ind w:firstLine="720"/>
        <w:jc w:val="both"/>
        <w:rPr>
          <w:rFonts w:ascii="Times New Roman" w:hAnsi="Times New Roman" w:cs="Times New Roman"/>
          <w:sz w:val="24"/>
          <w:szCs w:val="24"/>
        </w:rPr>
      </w:pPr>
      <w:r w:rsidRPr="00FD50E6">
        <w:rPr>
          <w:rFonts w:ascii="Times New Roman" w:hAnsi="Times New Roman" w:cs="Times New Roman"/>
          <w:sz w:val="24"/>
          <w:szCs w:val="24"/>
        </w:rPr>
        <w:t>A fund confronting this liability has, in principle, two strategic responses available to it. It can rely on its own specialized, portable knowledge of an industry, a "build" strategy grounded in the resource-based and knowledge-based views of the firm, or it can access local knowledge it does not itself possess by syndicating with a host-country co-investor, a "borrow" strategy grounded in network and alliance theory. Whether, and under what conditions, these two levers actually offset the liability of foreignness in practice remains poorly understood, particularly in deep-tech, an industry marked by long development horizons, high technical uncertainty, and heavy reliance on investor expertise for both screening and value-add (Bertoni et al., 2013; Colombo &amp; Grilli, 2010).</w:t>
      </w:r>
    </w:p>
    <w:p w14:paraId="5C94BCDE" w14:textId="77777777" w:rsidR="00FD50E6" w:rsidRDefault="00FD50E6" w:rsidP="004B2E15">
      <w:pPr>
        <w:spacing w:line="360" w:lineRule="auto"/>
        <w:ind w:firstLine="720"/>
        <w:jc w:val="both"/>
        <w:rPr>
          <w:rFonts w:ascii="Times New Roman" w:hAnsi="Times New Roman" w:cs="Times New Roman"/>
          <w:sz w:val="24"/>
          <w:szCs w:val="24"/>
        </w:rPr>
      </w:pPr>
      <w:r w:rsidRPr="00FD50E6">
        <w:rPr>
          <w:rFonts w:ascii="Times New Roman" w:hAnsi="Times New Roman" w:cs="Times New Roman"/>
          <w:sz w:val="24"/>
          <w:szCs w:val="24"/>
        </w:rPr>
        <w:t xml:space="preserve">The current literature shows that specialization predicts the decision to invest cross-border, but not what happens to the venture afterward (Nörthemann, 2023). Additionally, Li et </w:t>
      </w:r>
      <w:r w:rsidRPr="00FD50E6">
        <w:rPr>
          <w:rFonts w:ascii="Times New Roman" w:hAnsi="Times New Roman" w:cs="Times New Roman"/>
          <w:sz w:val="24"/>
          <w:szCs w:val="24"/>
        </w:rPr>
        <w:lastRenderedPageBreak/>
        <w:t xml:space="preserve">al. (2014) show that national distance reduces cross-border VC performance and that a VC's prior international experience weakens this effect, but they test general international experience rather than industry-specific expertise. Liu and Maula (2021) show that a foreign VC's network status can substitute for weak host-country regulatory institutions, but they examine host-country institutional quality on its own rather than the distance between a specific investor's home institutions and a specific venture's host institutions, and they examine status rather than specialization. Taken together, no existing study jointly tests "build" (an investor's own industry specialization) against "borrow" (syndicating with a local partner) as competing or complementary strategic responses to institutional distance, at the level of the individual cross-border deep-tech deal. Reviewing the cross-border VC literature broadly, </w:t>
      </w:r>
      <w:proofErr w:type="spellStart"/>
      <w:r w:rsidRPr="00FD50E6">
        <w:rPr>
          <w:rFonts w:ascii="Times New Roman" w:hAnsi="Times New Roman" w:cs="Times New Roman"/>
          <w:sz w:val="24"/>
          <w:szCs w:val="24"/>
        </w:rPr>
        <w:t>Devigne</w:t>
      </w:r>
      <w:proofErr w:type="spellEnd"/>
      <w:r w:rsidRPr="00FD50E6">
        <w:rPr>
          <w:rFonts w:ascii="Times New Roman" w:hAnsi="Times New Roman" w:cs="Times New Roman"/>
          <w:sz w:val="24"/>
          <w:szCs w:val="24"/>
        </w:rPr>
        <w:t xml:space="preserve"> et al. (2018) likewise note that outcome-focused studies remain comparatively rare relative to studies of the entry decision itself, precisely the gap this study addresses. This study therefore asks the following research question: To what extent does VC industry specialization mitigate the negative relationship between institutional distance and the subsequent financing success of cross-border deep-tech ventures? A secondary question follows directly: to what extent does syndicating with a host-country co-investor operate as an alternative, or complementary, strategy to the lead investor's own specialization?</w:t>
      </w:r>
    </w:p>
    <w:p w14:paraId="05B4B224" w14:textId="1A493D78" w:rsidR="004B2E15" w:rsidRDefault="00FD50E6" w:rsidP="004B2E15">
      <w:pPr>
        <w:spacing w:line="360" w:lineRule="auto"/>
        <w:ind w:firstLine="720"/>
        <w:jc w:val="both"/>
        <w:rPr>
          <w:rFonts w:ascii="Times New Roman" w:hAnsi="Times New Roman" w:cs="Times New Roman"/>
          <w:sz w:val="24"/>
          <w:szCs w:val="24"/>
        </w:rPr>
      </w:pPr>
      <w:r w:rsidRPr="00FD50E6">
        <w:rPr>
          <w:rFonts w:ascii="Times New Roman" w:hAnsi="Times New Roman" w:cs="Times New Roman"/>
          <w:sz w:val="24"/>
          <w:szCs w:val="24"/>
        </w:rPr>
        <w:t>Theoretically, answering this question matters for two reasons. First, it compares two mechanisms for overcoming institutional distance: a resource-based and knowledge-based view, in which capability travels with the firm, and a network and alliance-based view, in which capability is accessed through a local tie. Second, it extends liability-of-foreignness and institutional-distance research into a capital-intensive empirical setting, deep-tech, where high uncertainty and heavy reliance on investor expertise raise the stakes of getting this trade-off wrong. Practically, the findings offer fund general partners a decision framework for institutionally distant markets: whether to build internal specialization, syndicate locally, or both.</w:t>
      </w:r>
    </w:p>
    <w:p w14:paraId="3DC144CE" w14:textId="77777777" w:rsidR="00FD50E6" w:rsidRPr="004B2E15" w:rsidRDefault="00FD50E6" w:rsidP="004B2E15">
      <w:pPr>
        <w:spacing w:line="360" w:lineRule="auto"/>
        <w:ind w:firstLine="720"/>
        <w:jc w:val="both"/>
        <w:rPr>
          <w:rFonts w:ascii="Times New Roman" w:hAnsi="Times New Roman" w:cs="Times New Roman"/>
          <w:sz w:val="24"/>
          <w:szCs w:val="24"/>
        </w:rPr>
      </w:pPr>
    </w:p>
    <w:p w14:paraId="4D26293E" w14:textId="08C262F1" w:rsidR="00E928B8" w:rsidRPr="00B03445" w:rsidRDefault="00000000" w:rsidP="00B03445">
      <w:pPr>
        <w:pStyle w:val="Heading1"/>
        <w:numPr>
          <w:ilvl w:val="0"/>
          <w:numId w:val="3"/>
        </w:numPr>
        <w:spacing w:line="360" w:lineRule="auto"/>
        <w:rPr>
          <w:rFonts w:ascii="Times New Roman" w:hAnsi="Times New Roman" w:cs="Times New Roman"/>
        </w:rPr>
      </w:pPr>
      <w:r w:rsidRPr="00B03445">
        <w:rPr>
          <w:rFonts w:ascii="Times New Roman" w:hAnsi="Times New Roman" w:cs="Times New Roman"/>
          <w:b/>
          <w:bCs/>
          <w:sz w:val="28"/>
          <w:szCs w:val="28"/>
        </w:rPr>
        <w:t>Theoretical Background</w:t>
      </w:r>
    </w:p>
    <w:p w14:paraId="653E372D" w14:textId="2D3155DD" w:rsidR="00D94E9D" w:rsidRPr="00D94E9D" w:rsidRDefault="00D94E9D" w:rsidP="00D94E9D">
      <w:pPr>
        <w:spacing w:line="360" w:lineRule="auto"/>
        <w:ind w:firstLine="720"/>
        <w:jc w:val="both"/>
        <w:rPr>
          <w:rFonts w:ascii="Times New Roman" w:hAnsi="Times New Roman" w:cs="Times New Roman"/>
          <w:sz w:val="24"/>
          <w:szCs w:val="24"/>
        </w:rPr>
      </w:pPr>
      <w:r w:rsidRPr="00D94E9D">
        <w:rPr>
          <w:rFonts w:ascii="Times New Roman" w:hAnsi="Times New Roman" w:cs="Times New Roman"/>
          <w:sz w:val="24"/>
          <w:szCs w:val="24"/>
        </w:rPr>
        <w:t xml:space="preserve">Cross-border venture capital investing has repeatedly been shown to underperform its domestic counterpart. In a global sample spanning nearly four decades, Buchner et al. (2018) find that geographic, cultural, and institutional distance each independently decreases the returns foreign investors earn relative to local competitors. Li et al. (2014) similarly show that geographic, cultural, economic, and administrative distance each reduce cross-border VC </w:t>
      </w:r>
      <w:r w:rsidRPr="00D94E9D">
        <w:rPr>
          <w:rFonts w:ascii="Times New Roman" w:hAnsi="Times New Roman" w:cs="Times New Roman"/>
          <w:sz w:val="24"/>
          <w:szCs w:val="24"/>
        </w:rPr>
        <w:lastRenderedPageBreak/>
        <w:t xml:space="preserve">performance, though a VC's prior international experience weakens the effect. This is consistent with Zaheer's (1995) liability-of-foreignness framework, which holds that foreign entrants face unfamiliarity costs, legitimacy costs, and, in some contexts, discrimination relative to domestic rivals. Venture capital is a particularly demanding test of this logic because VC investing is itself highly dependent on local networks. Sorenson and Stuart (2001) show that VC investment activity is geographically and socially embedded, and that investors who reach beyond their home network typically do so by syndicating with well-connected local partners rather than acting alone. However, </w:t>
      </w:r>
      <w:proofErr w:type="spellStart"/>
      <w:r w:rsidRPr="00D94E9D">
        <w:rPr>
          <w:rFonts w:ascii="Times New Roman" w:hAnsi="Times New Roman" w:cs="Times New Roman"/>
          <w:sz w:val="24"/>
          <w:szCs w:val="24"/>
        </w:rPr>
        <w:t>Nahata</w:t>
      </w:r>
      <w:proofErr w:type="spellEnd"/>
      <w:r w:rsidRPr="00D94E9D">
        <w:rPr>
          <w:rFonts w:ascii="Times New Roman" w:hAnsi="Times New Roman" w:cs="Times New Roman"/>
          <w:sz w:val="24"/>
          <w:szCs w:val="24"/>
        </w:rPr>
        <w:t xml:space="preserve"> et al. (2014) show that syndication does not fully offset the disadvantage of distance on performance, only weakens it.</w:t>
      </w:r>
    </w:p>
    <w:p w14:paraId="5474CDB7" w14:textId="0381FF71" w:rsidR="00D94E9D" w:rsidRPr="00D94E9D" w:rsidRDefault="00D94E9D" w:rsidP="00D94E9D">
      <w:pPr>
        <w:spacing w:line="360" w:lineRule="auto"/>
        <w:ind w:firstLine="720"/>
        <w:jc w:val="both"/>
        <w:rPr>
          <w:rFonts w:ascii="Times New Roman" w:hAnsi="Times New Roman" w:cs="Times New Roman"/>
          <w:sz w:val="24"/>
          <w:szCs w:val="24"/>
        </w:rPr>
      </w:pPr>
      <w:r w:rsidRPr="00D94E9D">
        <w:rPr>
          <w:rFonts w:ascii="Times New Roman" w:hAnsi="Times New Roman" w:cs="Times New Roman"/>
          <w:sz w:val="24"/>
          <w:szCs w:val="24"/>
        </w:rPr>
        <w:t xml:space="preserve">Further, </w:t>
      </w:r>
      <w:proofErr w:type="spellStart"/>
      <w:r w:rsidRPr="00D94E9D">
        <w:rPr>
          <w:rFonts w:ascii="Times New Roman" w:hAnsi="Times New Roman" w:cs="Times New Roman"/>
          <w:sz w:val="24"/>
          <w:szCs w:val="24"/>
        </w:rPr>
        <w:t>Nahata</w:t>
      </w:r>
      <w:proofErr w:type="spellEnd"/>
      <w:r w:rsidRPr="00D94E9D">
        <w:rPr>
          <w:rFonts w:ascii="Times New Roman" w:hAnsi="Times New Roman" w:cs="Times New Roman"/>
          <w:sz w:val="24"/>
          <w:szCs w:val="24"/>
        </w:rPr>
        <w:t xml:space="preserve"> et al. (2014) also find that institutional and cultural distance do not behave identically. Institutional distance, according to Kostova (1999), divides into regulative, normative, and cognitive pillars. Moore et al. (2015) find that normative and cognitive institutional distance reduce cross-border VC flows, but regulative distance does not. Additionally, Xu and </w:t>
      </w:r>
      <w:proofErr w:type="spellStart"/>
      <w:r w:rsidRPr="00D94E9D">
        <w:rPr>
          <w:rFonts w:ascii="Times New Roman" w:hAnsi="Times New Roman" w:cs="Times New Roman"/>
          <w:sz w:val="24"/>
          <w:szCs w:val="24"/>
        </w:rPr>
        <w:t>Shenkar</w:t>
      </w:r>
      <w:proofErr w:type="spellEnd"/>
      <w:r w:rsidRPr="00D94E9D">
        <w:rPr>
          <w:rFonts w:ascii="Times New Roman" w:hAnsi="Times New Roman" w:cs="Times New Roman"/>
          <w:sz w:val="24"/>
          <w:szCs w:val="24"/>
        </w:rPr>
        <w:t xml:space="preserve"> (2002) show that institutional distance raises legitimacy costs for foreign entrants that are different from cultural distance. Despite cultural distance being the </w:t>
      </w:r>
      <w:proofErr w:type="gramStart"/>
      <w:r w:rsidRPr="00D94E9D">
        <w:rPr>
          <w:rFonts w:ascii="Times New Roman" w:hAnsi="Times New Roman" w:cs="Times New Roman"/>
          <w:sz w:val="24"/>
          <w:szCs w:val="24"/>
        </w:rPr>
        <w:t>most commonly used</w:t>
      </w:r>
      <w:proofErr w:type="gramEnd"/>
      <w:r w:rsidRPr="00D94E9D">
        <w:rPr>
          <w:rFonts w:ascii="Times New Roman" w:hAnsi="Times New Roman" w:cs="Times New Roman"/>
          <w:sz w:val="24"/>
          <w:szCs w:val="24"/>
        </w:rPr>
        <w:t xml:space="preserve"> measure in international business research (Kogut &amp; Singh, 1988), it has often been criticized. </w:t>
      </w:r>
      <w:proofErr w:type="spellStart"/>
      <w:r w:rsidRPr="00D94E9D">
        <w:rPr>
          <w:rFonts w:ascii="Times New Roman" w:hAnsi="Times New Roman" w:cs="Times New Roman"/>
          <w:sz w:val="24"/>
          <w:szCs w:val="24"/>
        </w:rPr>
        <w:t>Shenkar</w:t>
      </w:r>
      <w:proofErr w:type="spellEnd"/>
      <w:r w:rsidRPr="00D94E9D">
        <w:rPr>
          <w:rFonts w:ascii="Times New Roman" w:hAnsi="Times New Roman" w:cs="Times New Roman"/>
          <w:sz w:val="24"/>
          <w:szCs w:val="24"/>
        </w:rPr>
        <w:t xml:space="preserve"> (2001) shows it wrongly assumes symmetry and stability across country pairs, while </w:t>
      </w:r>
      <w:proofErr w:type="spellStart"/>
      <w:r w:rsidRPr="00D94E9D">
        <w:rPr>
          <w:rFonts w:ascii="Times New Roman" w:hAnsi="Times New Roman" w:cs="Times New Roman"/>
          <w:sz w:val="24"/>
          <w:szCs w:val="24"/>
        </w:rPr>
        <w:t>Slangen</w:t>
      </w:r>
      <w:proofErr w:type="spellEnd"/>
      <w:r w:rsidRPr="00D94E9D">
        <w:rPr>
          <w:rFonts w:ascii="Times New Roman" w:hAnsi="Times New Roman" w:cs="Times New Roman"/>
          <w:sz w:val="24"/>
          <w:szCs w:val="24"/>
        </w:rPr>
        <w:t xml:space="preserve"> and Van </w:t>
      </w:r>
      <w:proofErr w:type="spellStart"/>
      <w:r w:rsidRPr="00D94E9D">
        <w:rPr>
          <w:rFonts w:ascii="Times New Roman" w:hAnsi="Times New Roman" w:cs="Times New Roman"/>
          <w:sz w:val="24"/>
          <w:szCs w:val="24"/>
        </w:rPr>
        <w:t>Tulder</w:t>
      </w:r>
      <w:proofErr w:type="spellEnd"/>
      <w:r w:rsidRPr="00D94E9D">
        <w:rPr>
          <w:rFonts w:ascii="Times New Roman" w:hAnsi="Times New Roman" w:cs="Times New Roman"/>
          <w:sz w:val="24"/>
          <w:szCs w:val="24"/>
        </w:rPr>
        <w:t xml:space="preserve"> (2009) demonstrate that it is often used as a poor proxy for what is </w:t>
      </w:r>
      <w:proofErr w:type="gramStart"/>
      <w:r w:rsidRPr="00D94E9D">
        <w:rPr>
          <w:rFonts w:ascii="Times New Roman" w:hAnsi="Times New Roman" w:cs="Times New Roman"/>
          <w:sz w:val="24"/>
          <w:szCs w:val="24"/>
        </w:rPr>
        <w:t>really institutional</w:t>
      </w:r>
      <w:proofErr w:type="gramEnd"/>
      <w:r w:rsidRPr="00D94E9D">
        <w:rPr>
          <w:rFonts w:ascii="Times New Roman" w:hAnsi="Times New Roman" w:cs="Times New Roman"/>
          <w:sz w:val="24"/>
          <w:szCs w:val="24"/>
        </w:rPr>
        <w:t xml:space="preserve"> distance, making it the more valid construct to isolate. Hence, this research focuses specifically on institutional, rather than cultural, distance. To mitigate this disadvantage, funds have two broad solutions: either build their own capability by </w:t>
      </w:r>
      <w:proofErr w:type="gramStart"/>
      <w:r w:rsidRPr="00D94E9D">
        <w:rPr>
          <w:rFonts w:ascii="Times New Roman" w:hAnsi="Times New Roman" w:cs="Times New Roman"/>
          <w:sz w:val="24"/>
          <w:szCs w:val="24"/>
        </w:rPr>
        <w:t>specializing, or</w:t>
      </w:r>
      <w:proofErr w:type="gramEnd"/>
      <w:r w:rsidRPr="00D94E9D">
        <w:rPr>
          <w:rFonts w:ascii="Times New Roman" w:hAnsi="Times New Roman" w:cs="Times New Roman"/>
          <w:sz w:val="24"/>
          <w:szCs w:val="24"/>
        </w:rPr>
        <w:t xml:space="preserve"> borrow a local partner's capability by syndicating.</w:t>
      </w:r>
    </w:p>
    <w:p w14:paraId="7026EA3A" w14:textId="2A9DD1AF" w:rsidR="00D94E9D" w:rsidRPr="00D94E9D" w:rsidRDefault="00D94E9D" w:rsidP="00D94E9D">
      <w:pPr>
        <w:spacing w:line="360" w:lineRule="auto"/>
        <w:ind w:firstLine="720"/>
        <w:jc w:val="both"/>
        <w:rPr>
          <w:rFonts w:ascii="Times New Roman" w:hAnsi="Times New Roman" w:cs="Times New Roman"/>
          <w:sz w:val="24"/>
          <w:szCs w:val="24"/>
        </w:rPr>
      </w:pPr>
      <w:r w:rsidRPr="00D94E9D">
        <w:rPr>
          <w:rFonts w:ascii="Times New Roman" w:hAnsi="Times New Roman" w:cs="Times New Roman"/>
          <w:sz w:val="24"/>
          <w:szCs w:val="24"/>
        </w:rPr>
        <w:t xml:space="preserve">The resource-based view (Wernerfelt, 1984; Barney, 1991) treats a firm's capabilities as a source of competitive advantage when they are valuable, rare, and difficult for competitors to imitate. The knowledge-based view (Kogut &amp; Zander, 1992; Grant, 1996) extends this specifically to knowledge, arguing that firms are more efficient than markets at transferring and applying tacit, specialized know-how internally. Applied to VC internationalization, Guler and Guillén (2010) distinguish between capabilities that are readily transferable across borders and those that are context-specific and travel poorly. They show that VC firms prefer to enter countries with stronger institutions, with accumulated international experience helping them overcome institutional constraints over time. Moreover, Zhou and Guillén (2015) show that the more international experience a firm builds up over time, the smaller the unfamiliarity and legitimacy costs of operating abroad become; this is evidence that firms can build internal capabilities that substitute for local knowledge. Industry specialization is one such capability, </w:t>
      </w:r>
      <w:r w:rsidRPr="00D94E9D">
        <w:rPr>
          <w:rFonts w:ascii="Times New Roman" w:hAnsi="Times New Roman" w:cs="Times New Roman"/>
          <w:sz w:val="24"/>
          <w:szCs w:val="24"/>
        </w:rPr>
        <w:lastRenderedPageBreak/>
        <w:t>and three mechanisms explain why it might improve outcomes. Specialization may improve a VC's screening or selection ability (Sørensen, 2007), its monitoring and value-add once invested (Sahlman, 1990; Gorman &amp; Sahlman, 1989), or its certification and signaling value (Megginson &amp; Weiss, 1991). This research draws on all three to motivate the expectation that specialization is positively related to a venture's subsequent financing success, consistent with direct evidence that specialized VCs achieve higher success rates than generalists, particularly in industries marked by high valuation uncertainty (Gompers et al., 2009).</w:t>
      </w:r>
    </w:p>
    <w:p w14:paraId="083285C1" w14:textId="18450357" w:rsidR="00D94E9D" w:rsidRPr="00D94E9D" w:rsidRDefault="00D94E9D" w:rsidP="00D94E9D">
      <w:pPr>
        <w:spacing w:line="360" w:lineRule="auto"/>
        <w:ind w:firstLine="720"/>
        <w:jc w:val="both"/>
        <w:rPr>
          <w:rFonts w:ascii="Times New Roman" w:hAnsi="Times New Roman" w:cs="Times New Roman"/>
          <w:sz w:val="24"/>
          <w:szCs w:val="24"/>
        </w:rPr>
      </w:pPr>
      <w:r w:rsidRPr="00D94E9D">
        <w:rPr>
          <w:rFonts w:ascii="Times New Roman" w:hAnsi="Times New Roman" w:cs="Times New Roman"/>
          <w:sz w:val="24"/>
          <w:szCs w:val="24"/>
        </w:rPr>
        <w:t>Whether a VC's specialization substitutes for the local, institution-specific knowledge it lacks abroad, rather than simply solving a different problem, is the central theoretical tension this study investigates. In the first account, specialization compensates for missing local knowledge by giving the investor a portable basis for screening and value-add that does not depend on familiarity with the host country's institutions, so its benefits should be undiminished, or even more valuable, as institutional distance grows. A competing account, developed by Alvarez-Garrido and Guler (2018), holds that firm-level advantages transfer only imperfectly across institutional and cultural contexts. They show that VC firm status is highly context-dependent abroad and can even reverse its domestic benefits. On this account, industry expertise and location-specific institutional knowledge solve different problems, and specialization does not straightforwardly compensate as distance increases.</w:t>
      </w:r>
    </w:p>
    <w:p w14:paraId="1DA3836F" w14:textId="0BCED16D" w:rsidR="00D94E9D" w:rsidRPr="00D94E9D" w:rsidRDefault="00D94E9D" w:rsidP="00D94E9D">
      <w:pPr>
        <w:spacing w:line="360" w:lineRule="auto"/>
        <w:ind w:firstLine="720"/>
        <w:jc w:val="both"/>
        <w:rPr>
          <w:rFonts w:ascii="Times New Roman" w:hAnsi="Times New Roman" w:cs="Times New Roman"/>
          <w:sz w:val="24"/>
          <w:szCs w:val="24"/>
        </w:rPr>
      </w:pPr>
      <w:r w:rsidRPr="00D94E9D">
        <w:rPr>
          <w:rFonts w:ascii="Times New Roman" w:hAnsi="Times New Roman" w:cs="Times New Roman"/>
          <w:sz w:val="24"/>
          <w:szCs w:val="24"/>
        </w:rPr>
        <w:t xml:space="preserve">The alternative to building capability internally is to borrow it. </w:t>
      </w:r>
      <w:proofErr w:type="spellStart"/>
      <w:r w:rsidRPr="00D94E9D">
        <w:rPr>
          <w:rFonts w:ascii="Times New Roman" w:hAnsi="Times New Roman" w:cs="Times New Roman"/>
          <w:sz w:val="24"/>
          <w:szCs w:val="24"/>
        </w:rPr>
        <w:t>Granovetter's</w:t>
      </w:r>
      <w:proofErr w:type="spellEnd"/>
      <w:r w:rsidRPr="00D94E9D">
        <w:rPr>
          <w:rFonts w:ascii="Times New Roman" w:hAnsi="Times New Roman" w:cs="Times New Roman"/>
          <w:sz w:val="24"/>
          <w:szCs w:val="24"/>
        </w:rPr>
        <w:t xml:space="preserve"> (1985) concept of embeddedness states that economic action is embedded in ongoing social relations, and Gulati (1998) frames alliances specifically as a means of accessing a partner's resources without owning them outright. Sorenson and Stuart's (2001) finding that VC investors typically reach international deals by syndicating with well-connected local partners rather than acting alone is the direct VC-specific application of this logic. A growing body of work supports syndication as a genuine distance-mitigation mechanism. Dai and </w:t>
      </w:r>
      <w:proofErr w:type="spellStart"/>
      <w:r w:rsidRPr="00D94E9D">
        <w:rPr>
          <w:rFonts w:ascii="Times New Roman" w:hAnsi="Times New Roman" w:cs="Times New Roman"/>
          <w:sz w:val="24"/>
          <w:szCs w:val="24"/>
        </w:rPr>
        <w:t>Nahata</w:t>
      </w:r>
      <w:proofErr w:type="spellEnd"/>
      <w:r w:rsidRPr="00D94E9D">
        <w:rPr>
          <w:rFonts w:ascii="Times New Roman" w:hAnsi="Times New Roman" w:cs="Times New Roman"/>
          <w:sz w:val="24"/>
          <w:szCs w:val="24"/>
        </w:rPr>
        <w:t xml:space="preserve"> (2015) find that cultural distance shapes cross-border VC syndicate composition, with culturally proximate co-investors reducing information and monitoring costs. Furthermore, </w:t>
      </w:r>
      <w:proofErr w:type="spellStart"/>
      <w:r w:rsidRPr="00D94E9D">
        <w:rPr>
          <w:rFonts w:ascii="Times New Roman" w:hAnsi="Times New Roman" w:cs="Times New Roman"/>
          <w:sz w:val="24"/>
          <w:szCs w:val="24"/>
        </w:rPr>
        <w:t>Chemmanur</w:t>
      </w:r>
      <w:proofErr w:type="spellEnd"/>
      <w:r w:rsidRPr="00D94E9D">
        <w:rPr>
          <w:rFonts w:ascii="Times New Roman" w:hAnsi="Times New Roman" w:cs="Times New Roman"/>
          <w:sz w:val="24"/>
          <w:szCs w:val="24"/>
        </w:rPr>
        <w:t xml:space="preserve"> et al. (2016) show that local and international co-investors' complementary expertise improves exit outcomes for both.</w:t>
      </w:r>
    </w:p>
    <w:p w14:paraId="0DCBB522" w14:textId="2B21E5EA" w:rsidR="00D94E9D" w:rsidRPr="00D94E9D" w:rsidRDefault="00D94E9D" w:rsidP="00D94E9D">
      <w:pPr>
        <w:spacing w:line="360" w:lineRule="auto"/>
        <w:ind w:firstLine="720"/>
        <w:jc w:val="both"/>
        <w:rPr>
          <w:rFonts w:ascii="Times New Roman" w:hAnsi="Times New Roman" w:cs="Times New Roman"/>
          <w:sz w:val="24"/>
          <w:szCs w:val="24"/>
        </w:rPr>
      </w:pPr>
      <w:r w:rsidRPr="00D94E9D">
        <w:rPr>
          <w:rFonts w:ascii="Times New Roman" w:hAnsi="Times New Roman" w:cs="Times New Roman"/>
          <w:sz w:val="24"/>
          <w:szCs w:val="24"/>
        </w:rPr>
        <w:t xml:space="preserve">Liu and Maula (2021) bring this together by showing that a foreign VC's network status matters more for performance precisely when host-country regulatory institutions are weak. This research asks the same question about a different resource: does industry specialization work the same way, substituting for institutional distance, and can syndicating with a host-country partner offer a second, possibly complementary, path to the same effect? Deep-tech </w:t>
      </w:r>
      <w:r w:rsidRPr="00D94E9D">
        <w:rPr>
          <w:rFonts w:ascii="Times New Roman" w:hAnsi="Times New Roman" w:cs="Times New Roman"/>
          <w:sz w:val="24"/>
          <w:szCs w:val="24"/>
        </w:rPr>
        <w:lastRenderedPageBreak/>
        <w:t xml:space="preserve">ventures are a particularly demanding, and therefore informative, context in which to test this framework. Investor type and expertise have been shown to matter more for young technology firms' growth trajectories than for ventures in less technically complex sectors (Bertoni et al., 2013; Colombo &amp; Grilli, 2010), and the long development horizons and high technical uncertainty characteristic of deep tech place unusually heavy weight on an investor's ability to screen, monitor, and certify quality. Reviewing the cross-border VC literature, </w:t>
      </w:r>
      <w:proofErr w:type="spellStart"/>
      <w:r w:rsidRPr="00D94E9D">
        <w:rPr>
          <w:rFonts w:ascii="Times New Roman" w:hAnsi="Times New Roman" w:cs="Times New Roman"/>
          <w:sz w:val="24"/>
          <w:szCs w:val="24"/>
        </w:rPr>
        <w:t>Devigne</w:t>
      </w:r>
      <w:proofErr w:type="spellEnd"/>
      <w:r w:rsidRPr="00D94E9D">
        <w:rPr>
          <w:rFonts w:ascii="Times New Roman" w:hAnsi="Times New Roman" w:cs="Times New Roman"/>
          <w:sz w:val="24"/>
          <w:szCs w:val="24"/>
        </w:rPr>
        <w:t xml:space="preserve"> et al. (2018) observe that research on the internationalization decision itself has outpaced research on what happens to performance afterward, precisely the imbalance this thesis addresses.</w:t>
      </w:r>
    </w:p>
    <w:p w14:paraId="2CB6C2EB" w14:textId="5AF09764" w:rsidR="00F14398" w:rsidRDefault="00D94E9D" w:rsidP="00D94E9D">
      <w:pPr>
        <w:spacing w:line="360" w:lineRule="auto"/>
        <w:ind w:firstLine="720"/>
        <w:jc w:val="both"/>
        <w:rPr>
          <w:rFonts w:ascii="Times New Roman" w:hAnsi="Times New Roman" w:cs="Times New Roman"/>
          <w:sz w:val="24"/>
          <w:szCs w:val="24"/>
        </w:rPr>
      </w:pPr>
      <w:r w:rsidRPr="00D94E9D">
        <w:rPr>
          <w:rFonts w:ascii="Times New Roman" w:hAnsi="Times New Roman" w:cs="Times New Roman"/>
          <w:sz w:val="24"/>
          <w:szCs w:val="24"/>
        </w:rPr>
        <w:t>Taken together, this literature suggests that institutional distance imposes a real cost on cross-border deep-tech investors, but the size of that cost, and whether it can be offset, plausibly depends on what the investor itself knows (its industry specialization) and on whom it invests alongside (a host-country co-investor).</w:t>
      </w:r>
    </w:p>
    <w:p w14:paraId="6346B886" w14:textId="77777777" w:rsidR="00D94E9D" w:rsidRPr="00F14398" w:rsidRDefault="00D94E9D" w:rsidP="00D94E9D">
      <w:pPr>
        <w:spacing w:line="360" w:lineRule="auto"/>
        <w:ind w:firstLine="720"/>
        <w:jc w:val="both"/>
        <w:rPr>
          <w:rFonts w:ascii="Times New Roman" w:hAnsi="Times New Roman" w:cs="Times New Roman"/>
          <w:sz w:val="24"/>
          <w:szCs w:val="24"/>
        </w:rPr>
      </w:pPr>
    </w:p>
    <w:p w14:paraId="4B2A23E4" w14:textId="17098B33" w:rsidR="00E928B8" w:rsidRPr="00B03445" w:rsidRDefault="00000000" w:rsidP="00B03445">
      <w:pPr>
        <w:pStyle w:val="Heading1"/>
        <w:numPr>
          <w:ilvl w:val="0"/>
          <w:numId w:val="3"/>
        </w:numPr>
        <w:spacing w:line="360" w:lineRule="auto"/>
        <w:rPr>
          <w:rFonts w:ascii="Times New Roman" w:hAnsi="Times New Roman" w:cs="Times New Roman"/>
        </w:rPr>
      </w:pPr>
      <w:r w:rsidRPr="00B03445">
        <w:rPr>
          <w:rFonts w:ascii="Times New Roman" w:hAnsi="Times New Roman" w:cs="Times New Roman"/>
          <w:b/>
          <w:bCs/>
          <w:sz w:val="28"/>
          <w:szCs w:val="28"/>
        </w:rPr>
        <w:t>Methods</w:t>
      </w:r>
    </w:p>
    <w:p w14:paraId="7D655FAB" w14:textId="4B21C8AC" w:rsidR="00BA3340" w:rsidRPr="00BA3340" w:rsidRDefault="00BA3340" w:rsidP="00BA3340">
      <w:pPr>
        <w:spacing w:line="360" w:lineRule="auto"/>
        <w:ind w:firstLine="720"/>
        <w:jc w:val="both"/>
        <w:rPr>
          <w:rFonts w:ascii="Times New Roman" w:hAnsi="Times New Roman" w:cs="Times New Roman"/>
          <w:sz w:val="24"/>
          <w:szCs w:val="24"/>
        </w:rPr>
        <w:sectPr w:rsidR="00BA3340" w:rsidRPr="00BA3340">
          <w:pgSz w:w="11906" w:h="16838"/>
          <w:pgMar w:top="1440" w:right="1440" w:bottom="1440" w:left="1440" w:header="708" w:footer="708" w:gutter="0"/>
          <w:cols w:space="720"/>
          <w:docGrid w:linePitch="360"/>
        </w:sectPr>
      </w:pPr>
      <w:r w:rsidRPr="00BA3340">
        <w:rPr>
          <w:rFonts w:ascii="Times New Roman" w:hAnsi="Times New Roman" w:cs="Times New Roman"/>
          <w:sz w:val="24"/>
          <w:szCs w:val="24"/>
        </w:rPr>
        <w:t>To answer the research question, a regression analysis will be conducted on a dataset of cross-border deep-tech financing rounds, with the unit of analysis being the individual financing round and its identifiable lead investor. Data will be drawn from LSEG Workspace</w:t>
      </w:r>
      <w:r w:rsidR="00FD50E6">
        <w:rPr>
          <w:rFonts w:ascii="Times New Roman" w:hAnsi="Times New Roman" w:cs="Times New Roman"/>
          <w:sz w:val="24"/>
          <w:szCs w:val="24"/>
        </w:rPr>
        <w:t xml:space="preserve">. </w:t>
      </w:r>
      <w:r w:rsidRPr="00BA3340">
        <w:rPr>
          <w:rFonts w:ascii="Times New Roman" w:hAnsi="Times New Roman" w:cs="Times New Roman"/>
          <w:sz w:val="24"/>
          <w:szCs w:val="24"/>
        </w:rPr>
        <w:t>The primary dependent variable is whether the venture secures a follow-on institutional round within 36 months of the focal round. The key independent variable is institutional distance between the VC's home country and the venture's host country, and VC industry specialization, the rolling share of a VC's prior deals in the venture's sub-sector, is examined as a moderator of this relationship. Host-country co-investor presence is included as an exploratory secondary moderator, testing whether local partnering offers a complementary or substitute path to the same effect. Exemplary control variables include geographic distance, VC firm characteristics, and deal size, as these are likely to affect the strength of the relationship.</w:t>
      </w:r>
    </w:p>
    <w:p w14:paraId="35140F9E" w14:textId="77777777" w:rsidR="00E928B8" w:rsidRPr="00B03445" w:rsidRDefault="00000000" w:rsidP="00B03445">
      <w:pPr>
        <w:pStyle w:val="Heading1"/>
        <w:spacing w:line="360" w:lineRule="auto"/>
        <w:rPr>
          <w:rFonts w:ascii="Times New Roman" w:hAnsi="Times New Roman" w:cs="Times New Roman"/>
        </w:rPr>
      </w:pPr>
      <w:r w:rsidRPr="00B03445">
        <w:rPr>
          <w:rFonts w:ascii="Times New Roman" w:hAnsi="Times New Roman" w:cs="Times New Roman"/>
          <w:b/>
          <w:bCs/>
          <w:sz w:val="28"/>
          <w:szCs w:val="28"/>
        </w:rPr>
        <w:lastRenderedPageBreak/>
        <w:t>4. Reference List</w:t>
      </w:r>
    </w:p>
    <w:p w14:paraId="104EC6CD" w14:textId="39345A90"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Alvarez-Garrido, E., &amp; Guler, I. (2018). Status in a strange land? Context-dependent value of status in cross-border venture capital. </w:t>
      </w:r>
      <w:r w:rsidRPr="0064510B">
        <w:rPr>
          <w:rFonts w:ascii="Times New Roman" w:hAnsi="Times New Roman" w:cs="Times New Roman"/>
          <w:i/>
          <w:iCs/>
          <w:sz w:val="24"/>
          <w:szCs w:val="24"/>
        </w:rPr>
        <w:t>Strategic Management Journal, 39</w:t>
      </w:r>
      <w:r w:rsidRPr="0064510B">
        <w:rPr>
          <w:rFonts w:ascii="Times New Roman" w:hAnsi="Times New Roman" w:cs="Times New Roman"/>
          <w:sz w:val="24"/>
          <w:szCs w:val="24"/>
        </w:rPr>
        <w:t>(7), 1887</w:t>
      </w:r>
      <w:r w:rsidR="00366DA2" w:rsidRPr="0064510B">
        <w:rPr>
          <w:rFonts w:ascii="Times New Roman" w:hAnsi="Times New Roman" w:cs="Times New Roman"/>
          <w:sz w:val="24"/>
          <w:szCs w:val="24"/>
        </w:rPr>
        <w:t>-</w:t>
      </w:r>
      <w:r w:rsidRPr="0064510B">
        <w:rPr>
          <w:rFonts w:ascii="Times New Roman" w:hAnsi="Times New Roman" w:cs="Times New Roman"/>
          <w:sz w:val="24"/>
          <w:szCs w:val="24"/>
        </w:rPr>
        <w:t>1911.</w:t>
      </w:r>
    </w:p>
    <w:p w14:paraId="392D5EE5" w14:textId="2AD2E95A"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Barney, J. (1991). Firm resources and sustained competitive advantage. </w:t>
      </w:r>
      <w:r w:rsidRPr="0064510B">
        <w:rPr>
          <w:rFonts w:ascii="Times New Roman" w:hAnsi="Times New Roman" w:cs="Times New Roman"/>
          <w:i/>
          <w:iCs/>
          <w:sz w:val="24"/>
          <w:szCs w:val="24"/>
        </w:rPr>
        <w:t>Journal of Management, 17</w:t>
      </w:r>
      <w:r w:rsidRPr="0064510B">
        <w:rPr>
          <w:rFonts w:ascii="Times New Roman" w:hAnsi="Times New Roman" w:cs="Times New Roman"/>
          <w:sz w:val="24"/>
          <w:szCs w:val="24"/>
        </w:rPr>
        <w:t>(1), 99</w:t>
      </w:r>
      <w:r w:rsidR="005A7048" w:rsidRPr="0064510B">
        <w:rPr>
          <w:rFonts w:ascii="Times New Roman" w:hAnsi="Times New Roman" w:cs="Times New Roman"/>
          <w:sz w:val="24"/>
          <w:szCs w:val="24"/>
        </w:rPr>
        <w:t>-</w:t>
      </w:r>
      <w:r w:rsidRPr="0064510B">
        <w:rPr>
          <w:rFonts w:ascii="Times New Roman" w:hAnsi="Times New Roman" w:cs="Times New Roman"/>
          <w:sz w:val="24"/>
          <w:szCs w:val="24"/>
        </w:rPr>
        <w:t>120.</w:t>
      </w:r>
    </w:p>
    <w:p w14:paraId="7F4CE072" w14:textId="7DCCD733"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Bertoni, F., Colombo, M. G., &amp; Grilli, L. (2013). Venture capital investor type and the growth mode of new technology-based firms. </w:t>
      </w:r>
      <w:r w:rsidRPr="0064510B">
        <w:rPr>
          <w:rFonts w:ascii="Times New Roman" w:hAnsi="Times New Roman" w:cs="Times New Roman"/>
          <w:i/>
          <w:iCs/>
          <w:sz w:val="24"/>
          <w:szCs w:val="24"/>
        </w:rPr>
        <w:t>Small Business Economics, 40</w:t>
      </w:r>
      <w:r w:rsidRPr="0064510B">
        <w:rPr>
          <w:rFonts w:ascii="Times New Roman" w:hAnsi="Times New Roman" w:cs="Times New Roman"/>
          <w:sz w:val="24"/>
          <w:szCs w:val="24"/>
        </w:rPr>
        <w:t>(3), 527</w:t>
      </w:r>
      <w:r w:rsidR="00765966" w:rsidRPr="0064510B">
        <w:rPr>
          <w:rFonts w:ascii="Times New Roman" w:hAnsi="Times New Roman" w:cs="Times New Roman"/>
          <w:sz w:val="24"/>
          <w:szCs w:val="24"/>
        </w:rPr>
        <w:t>-</w:t>
      </w:r>
      <w:r w:rsidRPr="0064510B">
        <w:rPr>
          <w:rFonts w:ascii="Times New Roman" w:hAnsi="Times New Roman" w:cs="Times New Roman"/>
          <w:sz w:val="24"/>
          <w:szCs w:val="24"/>
        </w:rPr>
        <w:t>552.</w:t>
      </w:r>
    </w:p>
    <w:p w14:paraId="42E30970" w14:textId="5242C348"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Buchner, A., Espenlaub, S., Khurshed, A., &amp; Mohamed, A. (2018). Cross-border venture capital investments: The impact of foreignness on returns. </w:t>
      </w:r>
      <w:r w:rsidRPr="0064510B">
        <w:rPr>
          <w:rFonts w:ascii="Times New Roman" w:hAnsi="Times New Roman" w:cs="Times New Roman"/>
          <w:i/>
          <w:iCs/>
          <w:sz w:val="24"/>
          <w:szCs w:val="24"/>
        </w:rPr>
        <w:t>Journal of International Business Studies, 49</w:t>
      </w:r>
      <w:r w:rsidRPr="0064510B">
        <w:rPr>
          <w:rFonts w:ascii="Times New Roman" w:hAnsi="Times New Roman" w:cs="Times New Roman"/>
          <w:sz w:val="24"/>
          <w:szCs w:val="24"/>
        </w:rPr>
        <w:t>(5), 575</w:t>
      </w:r>
      <w:r w:rsidR="00A157D0" w:rsidRPr="0064510B">
        <w:rPr>
          <w:rFonts w:ascii="Times New Roman" w:hAnsi="Times New Roman" w:cs="Times New Roman"/>
          <w:sz w:val="24"/>
          <w:szCs w:val="24"/>
        </w:rPr>
        <w:t>-</w:t>
      </w:r>
      <w:r w:rsidRPr="0064510B">
        <w:rPr>
          <w:rFonts w:ascii="Times New Roman" w:hAnsi="Times New Roman" w:cs="Times New Roman"/>
          <w:sz w:val="24"/>
          <w:szCs w:val="24"/>
        </w:rPr>
        <w:t>604.</w:t>
      </w:r>
    </w:p>
    <w:p w14:paraId="1AEDEECC" w14:textId="1C87FB09" w:rsidR="00E928B8" w:rsidRPr="0064510B" w:rsidRDefault="00000000" w:rsidP="00B03445">
      <w:pPr>
        <w:spacing w:line="360" w:lineRule="auto"/>
        <w:ind w:left="720" w:hanging="720"/>
        <w:rPr>
          <w:rFonts w:ascii="Times New Roman" w:hAnsi="Times New Roman" w:cs="Times New Roman"/>
          <w:sz w:val="28"/>
          <w:szCs w:val="28"/>
        </w:rPr>
      </w:pPr>
      <w:proofErr w:type="spellStart"/>
      <w:r w:rsidRPr="0064510B">
        <w:rPr>
          <w:rFonts w:ascii="Times New Roman" w:hAnsi="Times New Roman" w:cs="Times New Roman"/>
          <w:sz w:val="24"/>
          <w:szCs w:val="24"/>
        </w:rPr>
        <w:t>Chemmanur</w:t>
      </w:r>
      <w:proofErr w:type="spellEnd"/>
      <w:r w:rsidRPr="0064510B">
        <w:rPr>
          <w:rFonts w:ascii="Times New Roman" w:hAnsi="Times New Roman" w:cs="Times New Roman"/>
          <w:sz w:val="24"/>
          <w:szCs w:val="24"/>
        </w:rPr>
        <w:t xml:space="preserve">, T. J., Hull, T. J., &amp; Krishnan, K. (2016). Do local and international venture capitalists play well together? </w:t>
      </w:r>
      <w:r w:rsidRPr="0064510B">
        <w:rPr>
          <w:rFonts w:ascii="Times New Roman" w:hAnsi="Times New Roman" w:cs="Times New Roman"/>
          <w:i/>
          <w:iCs/>
          <w:sz w:val="24"/>
          <w:szCs w:val="24"/>
        </w:rPr>
        <w:t>Journal of Business Venturing, 31</w:t>
      </w:r>
      <w:r w:rsidRPr="0064510B">
        <w:rPr>
          <w:rFonts w:ascii="Times New Roman" w:hAnsi="Times New Roman" w:cs="Times New Roman"/>
          <w:sz w:val="24"/>
          <w:szCs w:val="24"/>
        </w:rPr>
        <w:t>(5), 573</w:t>
      </w:r>
      <w:r w:rsidR="00D94E9D" w:rsidRPr="0064510B">
        <w:rPr>
          <w:rFonts w:ascii="Times New Roman" w:hAnsi="Times New Roman" w:cs="Times New Roman"/>
          <w:sz w:val="24"/>
          <w:szCs w:val="24"/>
        </w:rPr>
        <w:t>-</w:t>
      </w:r>
      <w:r w:rsidRPr="0064510B">
        <w:rPr>
          <w:rFonts w:ascii="Times New Roman" w:hAnsi="Times New Roman" w:cs="Times New Roman"/>
          <w:sz w:val="24"/>
          <w:szCs w:val="24"/>
        </w:rPr>
        <w:t>594.</w:t>
      </w:r>
    </w:p>
    <w:p w14:paraId="34EECB2C" w14:textId="19DEC95B"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Colombo, M. G., &amp; Grilli, L. (2010). On growth drivers of high-tech start-ups: Exploring the role of founders' human capital and venture capital. </w:t>
      </w:r>
      <w:r w:rsidRPr="0064510B">
        <w:rPr>
          <w:rFonts w:ascii="Times New Roman" w:hAnsi="Times New Roman" w:cs="Times New Roman"/>
          <w:i/>
          <w:iCs/>
          <w:sz w:val="24"/>
          <w:szCs w:val="24"/>
        </w:rPr>
        <w:t>Journal of Business Venturing, 25</w:t>
      </w:r>
      <w:r w:rsidRPr="0064510B">
        <w:rPr>
          <w:rFonts w:ascii="Times New Roman" w:hAnsi="Times New Roman" w:cs="Times New Roman"/>
          <w:sz w:val="24"/>
          <w:szCs w:val="24"/>
        </w:rPr>
        <w:t>(6), 610</w:t>
      </w:r>
      <w:r w:rsidR="00D94E9D" w:rsidRPr="0064510B">
        <w:rPr>
          <w:rFonts w:ascii="Times New Roman" w:hAnsi="Times New Roman" w:cs="Times New Roman"/>
          <w:sz w:val="24"/>
          <w:szCs w:val="24"/>
        </w:rPr>
        <w:t>-</w:t>
      </w:r>
      <w:r w:rsidRPr="0064510B">
        <w:rPr>
          <w:rFonts w:ascii="Times New Roman" w:hAnsi="Times New Roman" w:cs="Times New Roman"/>
          <w:sz w:val="24"/>
          <w:szCs w:val="24"/>
        </w:rPr>
        <w:t>626.</w:t>
      </w:r>
    </w:p>
    <w:p w14:paraId="21E39CE8" w14:textId="312FCCF4"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Dai, N., &amp; </w:t>
      </w:r>
      <w:proofErr w:type="spellStart"/>
      <w:r w:rsidRPr="0064510B">
        <w:rPr>
          <w:rFonts w:ascii="Times New Roman" w:hAnsi="Times New Roman" w:cs="Times New Roman"/>
          <w:sz w:val="24"/>
          <w:szCs w:val="24"/>
        </w:rPr>
        <w:t>Nahata</w:t>
      </w:r>
      <w:proofErr w:type="spellEnd"/>
      <w:r w:rsidRPr="0064510B">
        <w:rPr>
          <w:rFonts w:ascii="Times New Roman" w:hAnsi="Times New Roman" w:cs="Times New Roman"/>
          <w:sz w:val="24"/>
          <w:szCs w:val="24"/>
        </w:rPr>
        <w:t xml:space="preserve">, R. </w:t>
      </w:r>
      <w:r w:rsidR="00231DFF" w:rsidRPr="0064510B">
        <w:rPr>
          <w:rFonts w:ascii="Times New Roman" w:hAnsi="Times New Roman" w:cs="Times New Roman"/>
          <w:sz w:val="24"/>
          <w:szCs w:val="24"/>
        </w:rPr>
        <w:t xml:space="preserve">(2015). </w:t>
      </w:r>
      <w:r w:rsidRPr="0064510B">
        <w:rPr>
          <w:rFonts w:ascii="Times New Roman" w:hAnsi="Times New Roman" w:cs="Times New Roman"/>
          <w:sz w:val="24"/>
          <w:szCs w:val="24"/>
        </w:rPr>
        <w:t>Cultural differences and cross-border venture capital syndication.</w:t>
      </w:r>
      <w:r w:rsidR="00231DFF" w:rsidRPr="0064510B">
        <w:rPr>
          <w:rFonts w:ascii="Times New Roman" w:hAnsi="Times New Roman" w:cs="Times New Roman"/>
          <w:sz w:val="24"/>
          <w:szCs w:val="24"/>
        </w:rPr>
        <w:t xml:space="preserve"> </w:t>
      </w:r>
      <w:r w:rsidR="00231DFF" w:rsidRPr="0064510B">
        <w:rPr>
          <w:rFonts w:ascii="Times New Roman" w:hAnsi="Times New Roman" w:cs="Times New Roman"/>
          <w:i/>
          <w:iCs/>
          <w:sz w:val="24"/>
          <w:szCs w:val="24"/>
        </w:rPr>
        <w:t>Journal of International Business Studies, 47</w:t>
      </w:r>
      <w:r w:rsidR="00231DFF" w:rsidRPr="0064510B">
        <w:rPr>
          <w:rFonts w:ascii="Times New Roman" w:hAnsi="Times New Roman" w:cs="Times New Roman"/>
          <w:sz w:val="24"/>
          <w:szCs w:val="24"/>
        </w:rPr>
        <w:t>, 140-169.</w:t>
      </w:r>
    </w:p>
    <w:p w14:paraId="1523CAEA" w14:textId="20EF241A" w:rsidR="00E928B8" w:rsidRPr="0064510B" w:rsidRDefault="00000000" w:rsidP="00B03445">
      <w:pPr>
        <w:spacing w:line="360" w:lineRule="auto"/>
        <w:ind w:left="720" w:hanging="720"/>
        <w:rPr>
          <w:rFonts w:ascii="Times New Roman" w:hAnsi="Times New Roman" w:cs="Times New Roman"/>
          <w:sz w:val="28"/>
          <w:szCs w:val="28"/>
        </w:rPr>
      </w:pPr>
      <w:proofErr w:type="spellStart"/>
      <w:r w:rsidRPr="0064510B">
        <w:rPr>
          <w:rFonts w:ascii="Times New Roman" w:hAnsi="Times New Roman" w:cs="Times New Roman"/>
          <w:sz w:val="24"/>
          <w:szCs w:val="24"/>
        </w:rPr>
        <w:t>Devigne</w:t>
      </w:r>
      <w:proofErr w:type="spellEnd"/>
      <w:r w:rsidRPr="0064510B">
        <w:rPr>
          <w:rFonts w:ascii="Times New Roman" w:hAnsi="Times New Roman" w:cs="Times New Roman"/>
          <w:sz w:val="24"/>
          <w:szCs w:val="24"/>
        </w:rPr>
        <w:t xml:space="preserve">, D., </w:t>
      </w:r>
      <w:proofErr w:type="spellStart"/>
      <w:r w:rsidRPr="0064510B">
        <w:rPr>
          <w:rFonts w:ascii="Times New Roman" w:hAnsi="Times New Roman" w:cs="Times New Roman"/>
          <w:sz w:val="24"/>
          <w:szCs w:val="24"/>
        </w:rPr>
        <w:t>Manigart</w:t>
      </w:r>
      <w:proofErr w:type="spellEnd"/>
      <w:r w:rsidRPr="0064510B">
        <w:rPr>
          <w:rFonts w:ascii="Times New Roman" w:hAnsi="Times New Roman" w:cs="Times New Roman"/>
          <w:sz w:val="24"/>
          <w:szCs w:val="24"/>
        </w:rPr>
        <w:t xml:space="preserve">, S., Wright, M., &amp; Meuleman, M. (2018). Venture capital internationalization: Synthesis and future research directions. </w:t>
      </w:r>
      <w:r w:rsidRPr="0064510B">
        <w:rPr>
          <w:rFonts w:ascii="Times New Roman" w:hAnsi="Times New Roman" w:cs="Times New Roman"/>
          <w:i/>
          <w:iCs/>
          <w:sz w:val="24"/>
          <w:szCs w:val="24"/>
        </w:rPr>
        <w:t>Journal of Economic Surveys, 32</w:t>
      </w:r>
      <w:r w:rsidRPr="0064510B">
        <w:rPr>
          <w:rFonts w:ascii="Times New Roman" w:hAnsi="Times New Roman" w:cs="Times New Roman"/>
          <w:sz w:val="24"/>
          <w:szCs w:val="24"/>
        </w:rPr>
        <w:t>(5), 1414</w:t>
      </w:r>
      <w:r w:rsidR="00D94E9D" w:rsidRPr="0064510B">
        <w:rPr>
          <w:rFonts w:ascii="Times New Roman" w:hAnsi="Times New Roman" w:cs="Times New Roman"/>
          <w:sz w:val="24"/>
          <w:szCs w:val="24"/>
        </w:rPr>
        <w:t>-</w:t>
      </w:r>
      <w:r w:rsidRPr="0064510B">
        <w:rPr>
          <w:rFonts w:ascii="Times New Roman" w:hAnsi="Times New Roman" w:cs="Times New Roman"/>
          <w:sz w:val="24"/>
          <w:szCs w:val="24"/>
        </w:rPr>
        <w:t>1445.</w:t>
      </w:r>
    </w:p>
    <w:p w14:paraId="192C236A" w14:textId="57066AB3"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Gompers, P., Kovner, A., &amp; Lerner, J. (2009). Specialization and success: Evidence from venture capital. </w:t>
      </w:r>
      <w:r w:rsidRPr="0064510B">
        <w:rPr>
          <w:rFonts w:ascii="Times New Roman" w:hAnsi="Times New Roman" w:cs="Times New Roman"/>
          <w:i/>
          <w:iCs/>
          <w:sz w:val="24"/>
          <w:szCs w:val="24"/>
        </w:rPr>
        <w:t>Journal of Economics &amp; Management Strategy, 18</w:t>
      </w:r>
      <w:r w:rsidRPr="0064510B">
        <w:rPr>
          <w:rFonts w:ascii="Times New Roman" w:hAnsi="Times New Roman" w:cs="Times New Roman"/>
          <w:sz w:val="24"/>
          <w:szCs w:val="24"/>
        </w:rPr>
        <w:t>(3), 817</w:t>
      </w:r>
      <w:r w:rsidR="0017177D" w:rsidRPr="0064510B">
        <w:rPr>
          <w:rFonts w:ascii="Times New Roman" w:hAnsi="Times New Roman" w:cs="Times New Roman"/>
          <w:sz w:val="24"/>
          <w:szCs w:val="24"/>
        </w:rPr>
        <w:t>-</w:t>
      </w:r>
      <w:r w:rsidRPr="0064510B">
        <w:rPr>
          <w:rFonts w:ascii="Times New Roman" w:hAnsi="Times New Roman" w:cs="Times New Roman"/>
          <w:sz w:val="24"/>
          <w:szCs w:val="24"/>
        </w:rPr>
        <w:t>844.</w:t>
      </w:r>
    </w:p>
    <w:p w14:paraId="4D575A05" w14:textId="681C7D24"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Gorman, M., &amp; Sahlman, W. A. (1989). What do venture capitalists do? </w:t>
      </w:r>
      <w:r w:rsidRPr="0064510B">
        <w:rPr>
          <w:rFonts w:ascii="Times New Roman" w:hAnsi="Times New Roman" w:cs="Times New Roman"/>
          <w:i/>
          <w:iCs/>
          <w:sz w:val="24"/>
          <w:szCs w:val="24"/>
        </w:rPr>
        <w:t>Journal of Business Venturing, 4</w:t>
      </w:r>
      <w:r w:rsidRPr="0064510B">
        <w:rPr>
          <w:rFonts w:ascii="Times New Roman" w:hAnsi="Times New Roman" w:cs="Times New Roman"/>
          <w:sz w:val="24"/>
          <w:szCs w:val="24"/>
        </w:rPr>
        <w:t>(4), 23</w:t>
      </w:r>
      <w:r w:rsidR="0017177D" w:rsidRPr="0064510B">
        <w:rPr>
          <w:rFonts w:ascii="Times New Roman" w:hAnsi="Times New Roman" w:cs="Times New Roman"/>
          <w:sz w:val="24"/>
          <w:szCs w:val="24"/>
        </w:rPr>
        <w:t>1-</w:t>
      </w:r>
      <w:r w:rsidRPr="0064510B">
        <w:rPr>
          <w:rFonts w:ascii="Times New Roman" w:hAnsi="Times New Roman" w:cs="Times New Roman"/>
          <w:sz w:val="24"/>
          <w:szCs w:val="24"/>
        </w:rPr>
        <w:t>248.</w:t>
      </w:r>
    </w:p>
    <w:p w14:paraId="2B255AB8" w14:textId="1F5B3FD5"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Grant, R. M. (1996). Toward a knowledge-based theory of the firm. </w:t>
      </w:r>
      <w:r w:rsidRPr="0064510B">
        <w:rPr>
          <w:rFonts w:ascii="Times New Roman" w:hAnsi="Times New Roman" w:cs="Times New Roman"/>
          <w:i/>
          <w:iCs/>
          <w:sz w:val="24"/>
          <w:szCs w:val="24"/>
        </w:rPr>
        <w:t>Strategic Management Journal, 17</w:t>
      </w:r>
      <w:r w:rsidRPr="0064510B">
        <w:rPr>
          <w:rFonts w:ascii="Times New Roman" w:hAnsi="Times New Roman" w:cs="Times New Roman"/>
          <w:sz w:val="24"/>
          <w:szCs w:val="24"/>
        </w:rPr>
        <w:t>(S2), 109</w:t>
      </w:r>
      <w:r w:rsidR="0077503B" w:rsidRPr="0064510B">
        <w:rPr>
          <w:rFonts w:ascii="Times New Roman" w:hAnsi="Times New Roman" w:cs="Times New Roman"/>
          <w:sz w:val="24"/>
          <w:szCs w:val="24"/>
        </w:rPr>
        <w:t>-</w:t>
      </w:r>
      <w:r w:rsidRPr="0064510B">
        <w:rPr>
          <w:rFonts w:ascii="Times New Roman" w:hAnsi="Times New Roman" w:cs="Times New Roman"/>
          <w:sz w:val="24"/>
          <w:szCs w:val="24"/>
        </w:rPr>
        <w:t>122.</w:t>
      </w:r>
    </w:p>
    <w:p w14:paraId="531603B5" w14:textId="760C6AC7" w:rsidR="00E928B8" w:rsidRPr="0064510B" w:rsidRDefault="00000000" w:rsidP="00B03445">
      <w:pPr>
        <w:spacing w:line="360" w:lineRule="auto"/>
        <w:ind w:left="720" w:hanging="720"/>
        <w:rPr>
          <w:rFonts w:ascii="Times New Roman" w:hAnsi="Times New Roman" w:cs="Times New Roman"/>
          <w:sz w:val="28"/>
          <w:szCs w:val="28"/>
        </w:rPr>
      </w:pPr>
      <w:proofErr w:type="spellStart"/>
      <w:r w:rsidRPr="0064510B">
        <w:rPr>
          <w:rFonts w:ascii="Times New Roman" w:hAnsi="Times New Roman" w:cs="Times New Roman"/>
          <w:sz w:val="24"/>
          <w:szCs w:val="24"/>
        </w:rPr>
        <w:t>Granovetter</w:t>
      </w:r>
      <w:proofErr w:type="spellEnd"/>
      <w:r w:rsidRPr="0064510B">
        <w:rPr>
          <w:rFonts w:ascii="Times New Roman" w:hAnsi="Times New Roman" w:cs="Times New Roman"/>
          <w:sz w:val="24"/>
          <w:szCs w:val="24"/>
        </w:rPr>
        <w:t xml:space="preserve">, M. (1985). Economic action and social structure: The problem of embeddedness. </w:t>
      </w:r>
      <w:r w:rsidRPr="0064510B">
        <w:rPr>
          <w:rFonts w:ascii="Times New Roman" w:hAnsi="Times New Roman" w:cs="Times New Roman"/>
          <w:i/>
          <w:iCs/>
          <w:sz w:val="24"/>
          <w:szCs w:val="24"/>
        </w:rPr>
        <w:t>American Journal of Sociology, 91</w:t>
      </w:r>
      <w:r w:rsidRPr="0064510B">
        <w:rPr>
          <w:rFonts w:ascii="Times New Roman" w:hAnsi="Times New Roman" w:cs="Times New Roman"/>
          <w:sz w:val="24"/>
          <w:szCs w:val="24"/>
        </w:rPr>
        <w:t>(3), 481</w:t>
      </w:r>
      <w:r w:rsidR="00A95C98" w:rsidRPr="0064510B">
        <w:rPr>
          <w:rFonts w:ascii="Times New Roman" w:hAnsi="Times New Roman" w:cs="Times New Roman"/>
          <w:sz w:val="24"/>
          <w:szCs w:val="24"/>
        </w:rPr>
        <w:t>-</w:t>
      </w:r>
      <w:r w:rsidRPr="0064510B">
        <w:rPr>
          <w:rFonts w:ascii="Times New Roman" w:hAnsi="Times New Roman" w:cs="Times New Roman"/>
          <w:sz w:val="24"/>
          <w:szCs w:val="24"/>
        </w:rPr>
        <w:t>510.</w:t>
      </w:r>
    </w:p>
    <w:p w14:paraId="0E991FCF" w14:textId="30BC1641"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Guler, I., &amp; Guillén, M. F. (2010). Institutions and the internationalization of US venture capital firms. </w:t>
      </w:r>
      <w:r w:rsidRPr="0064510B">
        <w:rPr>
          <w:rFonts w:ascii="Times New Roman" w:hAnsi="Times New Roman" w:cs="Times New Roman"/>
          <w:i/>
          <w:iCs/>
          <w:sz w:val="24"/>
          <w:szCs w:val="24"/>
        </w:rPr>
        <w:t>Journal of International Business Studies, 41</w:t>
      </w:r>
      <w:r w:rsidRPr="0064510B">
        <w:rPr>
          <w:rFonts w:ascii="Times New Roman" w:hAnsi="Times New Roman" w:cs="Times New Roman"/>
          <w:sz w:val="24"/>
          <w:szCs w:val="24"/>
        </w:rPr>
        <w:t>(2), 185</w:t>
      </w:r>
      <w:r w:rsidR="00D94E9D" w:rsidRPr="0064510B">
        <w:rPr>
          <w:rFonts w:ascii="Times New Roman" w:hAnsi="Times New Roman" w:cs="Times New Roman"/>
          <w:sz w:val="24"/>
          <w:szCs w:val="24"/>
        </w:rPr>
        <w:t>-</w:t>
      </w:r>
      <w:r w:rsidRPr="0064510B">
        <w:rPr>
          <w:rFonts w:ascii="Times New Roman" w:hAnsi="Times New Roman" w:cs="Times New Roman"/>
          <w:sz w:val="24"/>
          <w:szCs w:val="24"/>
        </w:rPr>
        <w:t>205.</w:t>
      </w:r>
    </w:p>
    <w:p w14:paraId="2365EEA4" w14:textId="22F0E9FB" w:rsidR="00E928B8" w:rsidRPr="0064510B" w:rsidRDefault="00000000" w:rsidP="00B03445">
      <w:pPr>
        <w:spacing w:line="360" w:lineRule="auto"/>
        <w:ind w:left="720" w:hanging="720"/>
        <w:rPr>
          <w:rFonts w:ascii="Times New Roman" w:hAnsi="Times New Roman" w:cs="Times New Roman"/>
          <w:sz w:val="28"/>
          <w:szCs w:val="28"/>
          <w:lang w:val="de-DE"/>
        </w:rPr>
      </w:pPr>
      <w:r w:rsidRPr="0064510B">
        <w:rPr>
          <w:rFonts w:ascii="Times New Roman" w:hAnsi="Times New Roman" w:cs="Times New Roman"/>
          <w:sz w:val="24"/>
          <w:szCs w:val="24"/>
        </w:rPr>
        <w:t xml:space="preserve">Gulati, R. (1998). Alliances and networks. </w:t>
      </w:r>
      <w:r w:rsidRPr="0064510B">
        <w:rPr>
          <w:rFonts w:ascii="Times New Roman" w:hAnsi="Times New Roman" w:cs="Times New Roman"/>
          <w:i/>
          <w:iCs/>
          <w:sz w:val="24"/>
          <w:szCs w:val="24"/>
          <w:lang w:val="de-DE"/>
        </w:rPr>
        <w:t>Strategic Management Journal, 19</w:t>
      </w:r>
      <w:r w:rsidRPr="0064510B">
        <w:rPr>
          <w:rFonts w:ascii="Times New Roman" w:hAnsi="Times New Roman" w:cs="Times New Roman"/>
          <w:sz w:val="24"/>
          <w:szCs w:val="24"/>
          <w:lang w:val="de-DE"/>
        </w:rPr>
        <w:t>(4), 293</w:t>
      </w:r>
      <w:r w:rsidR="00A95C98" w:rsidRPr="0064510B">
        <w:rPr>
          <w:rFonts w:ascii="Times New Roman" w:hAnsi="Times New Roman" w:cs="Times New Roman"/>
          <w:sz w:val="24"/>
          <w:szCs w:val="24"/>
          <w:lang w:val="de-DE"/>
        </w:rPr>
        <w:t>-</w:t>
      </w:r>
      <w:r w:rsidRPr="0064510B">
        <w:rPr>
          <w:rFonts w:ascii="Times New Roman" w:hAnsi="Times New Roman" w:cs="Times New Roman"/>
          <w:sz w:val="24"/>
          <w:szCs w:val="24"/>
          <w:lang w:val="de-DE"/>
        </w:rPr>
        <w:t>317.</w:t>
      </w:r>
    </w:p>
    <w:p w14:paraId="11A6FFBC" w14:textId="490BE9F0"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lastRenderedPageBreak/>
        <w:t xml:space="preserve">Kogut, B., &amp; Singh, H. (1988). The effect of national culture on the choice of entry mode. </w:t>
      </w:r>
      <w:r w:rsidRPr="0064510B">
        <w:rPr>
          <w:rFonts w:ascii="Times New Roman" w:hAnsi="Times New Roman" w:cs="Times New Roman"/>
          <w:i/>
          <w:iCs/>
          <w:sz w:val="24"/>
          <w:szCs w:val="24"/>
        </w:rPr>
        <w:t>Journal of International Business Studies, 19</w:t>
      </w:r>
      <w:r w:rsidRPr="0064510B">
        <w:rPr>
          <w:rFonts w:ascii="Times New Roman" w:hAnsi="Times New Roman" w:cs="Times New Roman"/>
          <w:sz w:val="24"/>
          <w:szCs w:val="24"/>
        </w:rPr>
        <w:t>(3), 411</w:t>
      </w:r>
      <w:r w:rsidR="00CD0C00" w:rsidRPr="0064510B">
        <w:rPr>
          <w:rFonts w:ascii="Times New Roman" w:hAnsi="Times New Roman" w:cs="Times New Roman"/>
          <w:sz w:val="24"/>
          <w:szCs w:val="24"/>
        </w:rPr>
        <w:t>-</w:t>
      </w:r>
      <w:r w:rsidRPr="0064510B">
        <w:rPr>
          <w:rFonts w:ascii="Times New Roman" w:hAnsi="Times New Roman" w:cs="Times New Roman"/>
          <w:sz w:val="24"/>
          <w:szCs w:val="24"/>
        </w:rPr>
        <w:t>432.</w:t>
      </w:r>
    </w:p>
    <w:p w14:paraId="4EAD8672" w14:textId="6B83622D"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Kogut, B., &amp; Zander, U. (1992). Knowledge of the firm, combinative capabilities, and the replication of technology. </w:t>
      </w:r>
      <w:r w:rsidRPr="0064510B">
        <w:rPr>
          <w:rFonts w:ascii="Times New Roman" w:hAnsi="Times New Roman" w:cs="Times New Roman"/>
          <w:i/>
          <w:iCs/>
          <w:sz w:val="24"/>
          <w:szCs w:val="24"/>
        </w:rPr>
        <w:t>Organization Science, 3</w:t>
      </w:r>
      <w:r w:rsidRPr="0064510B">
        <w:rPr>
          <w:rFonts w:ascii="Times New Roman" w:hAnsi="Times New Roman" w:cs="Times New Roman"/>
          <w:sz w:val="24"/>
          <w:szCs w:val="24"/>
        </w:rPr>
        <w:t>(3), 383</w:t>
      </w:r>
      <w:r w:rsidR="005A7048" w:rsidRPr="0064510B">
        <w:rPr>
          <w:rFonts w:ascii="Times New Roman" w:hAnsi="Times New Roman" w:cs="Times New Roman"/>
          <w:sz w:val="24"/>
          <w:szCs w:val="24"/>
        </w:rPr>
        <w:t>-</w:t>
      </w:r>
      <w:r w:rsidRPr="0064510B">
        <w:rPr>
          <w:rFonts w:ascii="Times New Roman" w:hAnsi="Times New Roman" w:cs="Times New Roman"/>
          <w:sz w:val="24"/>
          <w:szCs w:val="24"/>
        </w:rPr>
        <w:t>397.</w:t>
      </w:r>
    </w:p>
    <w:p w14:paraId="720B9CC3" w14:textId="5D2BF687"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Kostova, T. (1999). Transnational transfer of strategic organizational practices: A contextual perspective. </w:t>
      </w:r>
      <w:r w:rsidRPr="0064510B">
        <w:rPr>
          <w:rFonts w:ascii="Times New Roman" w:hAnsi="Times New Roman" w:cs="Times New Roman"/>
          <w:i/>
          <w:iCs/>
          <w:sz w:val="24"/>
          <w:szCs w:val="24"/>
        </w:rPr>
        <w:t>Academy of Management Review, 24</w:t>
      </w:r>
      <w:r w:rsidRPr="0064510B">
        <w:rPr>
          <w:rFonts w:ascii="Times New Roman" w:hAnsi="Times New Roman" w:cs="Times New Roman"/>
          <w:sz w:val="24"/>
          <w:szCs w:val="24"/>
        </w:rPr>
        <w:t>(2), 308</w:t>
      </w:r>
      <w:r w:rsidR="008206C4" w:rsidRPr="0064510B">
        <w:rPr>
          <w:rFonts w:ascii="Times New Roman" w:hAnsi="Times New Roman" w:cs="Times New Roman"/>
          <w:sz w:val="24"/>
          <w:szCs w:val="24"/>
        </w:rPr>
        <w:t>-</w:t>
      </w:r>
      <w:r w:rsidRPr="0064510B">
        <w:rPr>
          <w:rFonts w:ascii="Times New Roman" w:hAnsi="Times New Roman" w:cs="Times New Roman"/>
          <w:sz w:val="24"/>
          <w:szCs w:val="24"/>
        </w:rPr>
        <w:t>324.</w:t>
      </w:r>
    </w:p>
    <w:p w14:paraId="4289E92A" w14:textId="7F5AA6A9"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lang w:val="de-DE"/>
        </w:rPr>
        <w:t xml:space="preserve">Li, Y., </w:t>
      </w:r>
      <w:proofErr w:type="spellStart"/>
      <w:r w:rsidRPr="0064510B">
        <w:rPr>
          <w:rFonts w:ascii="Times New Roman" w:hAnsi="Times New Roman" w:cs="Times New Roman"/>
          <w:sz w:val="24"/>
          <w:szCs w:val="24"/>
          <w:lang w:val="de-DE"/>
        </w:rPr>
        <w:t>Vertinsky</w:t>
      </w:r>
      <w:proofErr w:type="spellEnd"/>
      <w:r w:rsidRPr="0064510B">
        <w:rPr>
          <w:rFonts w:ascii="Times New Roman" w:hAnsi="Times New Roman" w:cs="Times New Roman"/>
          <w:sz w:val="24"/>
          <w:szCs w:val="24"/>
          <w:lang w:val="de-DE"/>
        </w:rPr>
        <w:t xml:space="preserve">, I. B., &amp; Li, J. (2014). </w:t>
      </w:r>
      <w:r w:rsidRPr="0064510B">
        <w:rPr>
          <w:rFonts w:ascii="Times New Roman" w:hAnsi="Times New Roman" w:cs="Times New Roman"/>
          <w:sz w:val="24"/>
          <w:szCs w:val="24"/>
        </w:rPr>
        <w:t xml:space="preserve">National distances, international experience, and venture capital investment performance. </w:t>
      </w:r>
      <w:r w:rsidRPr="0064510B">
        <w:rPr>
          <w:rFonts w:ascii="Times New Roman" w:hAnsi="Times New Roman" w:cs="Times New Roman"/>
          <w:i/>
          <w:iCs/>
          <w:sz w:val="24"/>
          <w:szCs w:val="24"/>
        </w:rPr>
        <w:t>Journal of Business Venturing, 29</w:t>
      </w:r>
      <w:r w:rsidRPr="0064510B">
        <w:rPr>
          <w:rFonts w:ascii="Times New Roman" w:hAnsi="Times New Roman" w:cs="Times New Roman"/>
          <w:sz w:val="24"/>
          <w:szCs w:val="24"/>
        </w:rPr>
        <w:t>(4), 471</w:t>
      </w:r>
      <w:r w:rsidR="00CD0C00" w:rsidRPr="0064510B">
        <w:rPr>
          <w:rFonts w:ascii="Times New Roman" w:hAnsi="Times New Roman" w:cs="Times New Roman"/>
          <w:sz w:val="24"/>
          <w:szCs w:val="24"/>
        </w:rPr>
        <w:t>-</w:t>
      </w:r>
      <w:r w:rsidRPr="0064510B">
        <w:rPr>
          <w:rFonts w:ascii="Times New Roman" w:hAnsi="Times New Roman" w:cs="Times New Roman"/>
          <w:sz w:val="24"/>
          <w:szCs w:val="24"/>
        </w:rPr>
        <w:t>489.</w:t>
      </w:r>
    </w:p>
    <w:p w14:paraId="3FC2C18E" w14:textId="77777777"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Liu, Y., &amp; Maula, M. (2021). Contextual status effects: The performance effects of host-country network status and regulatory institutions in cross-border venture capital. Research Policy, 50(5), 104216.</w:t>
      </w:r>
    </w:p>
    <w:p w14:paraId="2D884180" w14:textId="3DAF99D5"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Markowitz, H. (1952). Portfolio selection. </w:t>
      </w:r>
      <w:r w:rsidRPr="0064510B">
        <w:rPr>
          <w:rFonts w:ascii="Times New Roman" w:hAnsi="Times New Roman" w:cs="Times New Roman"/>
          <w:i/>
          <w:iCs/>
          <w:sz w:val="24"/>
          <w:szCs w:val="24"/>
        </w:rPr>
        <w:t>Journal of Finance, 7</w:t>
      </w:r>
      <w:r w:rsidRPr="0064510B">
        <w:rPr>
          <w:rFonts w:ascii="Times New Roman" w:hAnsi="Times New Roman" w:cs="Times New Roman"/>
          <w:sz w:val="24"/>
          <w:szCs w:val="24"/>
        </w:rPr>
        <w:t>(1), 77</w:t>
      </w:r>
      <w:r w:rsidR="00D94E9D" w:rsidRPr="0064510B">
        <w:rPr>
          <w:rFonts w:ascii="Times New Roman" w:hAnsi="Times New Roman" w:cs="Times New Roman"/>
          <w:sz w:val="24"/>
          <w:szCs w:val="24"/>
        </w:rPr>
        <w:t>-</w:t>
      </w:r>
      <w:r w:rsidRPr="0064510B">
        <w:rPr>
          <w:rFonts w:ascii="Times New Roman" w:hAnsi="Times New Roman" w:cs="Times New Roman"/>
          <w:sz w:val="24"/>
          <w:szCs w:val="24"/>
        </w:rPr>
        <w:t>91.</w:t>
      </w:r>
    </w:p>
    <w:p w14:paraId="5F4587F7" w14:textId="09A89990"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Megginson, W. L., &amp; Weiss, K. A. (1991). Venture capitalist certification in initial public offerings. </w:t>
      </w:r>
      <w:r w:rsidRPr="0064510B">
        <w:rPr>
          <w:rFonts w:ascii="Times New Roman" w:hAnsi="Times New Roman" w:cs="Times New Roman"/>
          <w:i/>
          <w:iCs/>
          <w:sz w:val="24"/>
          <w:szCs w:val="24"/>
        </w:rPr>
        <w:t>Journal of Finance, 46</w:t>
      </w:r>
      <w:r w:rsidRPr="0064510B">
        <w:rPr>
          <w:rFonts w:ascii="Times New Roman" w:hAnsi="Times New Roman" w:cs="Times New Roman"/>
          <w:sz w:val="24"/>
          <w:szCs w:val="24"/>
        </w:rPr>
        <w:t>(3), 879</w:t>
      </w:r>
      <w:r w:rsidR="009E1B3D" w:rsidRPr="0064510B">
        <w:rPr>
          <w:rFonts w:ascii="Times New Roman" w:hAnsi="Times New Roman" w:cs="Times New Roman"/>
          <w:sz w:val="24"/>
          <w:szCs w:val="24"/>
        </w:rPr>
        <w:t>-</w:t>
      </w:r>
      <w:r w:rsidRPr="0064510B">
        <w:rPr>
          <w:rFonts w:ascii="Times New Roman" w:hAnsi="Times New Roman" w:cs="Times New Roman"/>
          <w:sz w:val="24"/>
          <w:szCs w:val="24"/>
        </w:rPr>
        <w:t>903.</w:t>
      </w:r>
    </w:p>
    <w:p w14:paraId="41AB740B" w14:textId="0AADFE1C"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Moore, C. B., Payne, G. T., Bell, R. G., &amp; Davis, J. L. (2015). Institutional distance and cross-border venture capital investment flows. </w:t>
      </w:r>
      <w:r w:rsidRPr="0064510B">
        <w:rPr>
          <w:rFonts w:ascii="Times New Roman" w:hAnsi="Times New Roman" w:cs="Times New Roman"/>
          <w:i/>
          <w:iCs/>
          <w:sz w:val="24"/>
          <w:szCs w:val="24"/>
        </w:rPr>
        <w:t>Journal of Small Business Management, 53</w:t>
      </w:r>
      <w:r w:rsidRPr="0064510B">
        <w:rPr>
          <w:rFonts w:ascii="Times New Roman" w:hAnsi="Times New Roman" w:cs="Times New Roman"/>
          <w:sz w:val="24"/>
          <w:szCs w:val="24"/>
        </w:rPr>
        <w:t>(2), 482</w:t>
      </w:r>
      <w:r w:rsidR="00520972" w:rsidRPr="0064510B">
        <w:rPr>
          <w:rFonts w:ascii="Times New Roman" w:hAnsi="Times New Roman" w:cs="Times New Roman"/>
          <w:sz w:val="24"/>
          <w:szCs w:val="24"/>
        </w:rPr>
        <w:t>-</w:t>
      </w:r>
      <w:r w:rsidRPr="0064510B">
        <w:rPr>
          <w:rFonts w:ascii="Times New Roman" w:hAnsi="Times New Roman" w:cs="Times New Roman"/>
          <w:sz w:val="24"/>
          <w:szCs w:val="24"/>
        </w:rPr>
        <w:t>500.</w:t>
      </w:r>
    </w:p>
    <w:p w14:paraId="45CC8314" w14:textId="3564C6FD" w:rsidR="00E928B8" w:rsidRPr="0064510B" w:rsidRDefault="00000000" w:rsidP="00B03445">
      <w:pPr>
        <w:spacing w:line="360" w:lineRule="auto"/>
        <w:ind w:left="720" w:hanging="720"/>
        <w:rPr>
          <w:rFonts w:ascii="Times New Roman" w:hAnsi="Times New Roman" w:cs="Times New Roman"/>
          <w:sz w:val="28"/>
          <w:szCs w:val="28"/>
        </w:rPr>
      </w:pPr>
      <w:proofErr w:type="spellStart"/>
      <w:r w:rsidRPr="0064510B">
        <w:rPr>
          <w:rFonts w:ascii="Times New Roman" w:hAnsi="Times New Roman" w:cs="Times New Roman"/>
          <w:sz w:val="24"/>
          <w:szCs w:val="24"/>
        </w:rPr>
        <w:t>Nahata</w:t>
      </w:r>
      <w:proofErr w:type="spellEnd"/>
      <w:r w:rsidRPr="0064510B">
        <w:rPr>
          <w:rFonts w:ascii="Times New Roman" w:hAnsi="Times New Roman" w:cs="Times New Roman"/>
          <w:sz w:val="24"/>
          <w:szCs w:val="24"/>
        </w:rPr>
        <w:t xml:space="preserve">, R., Hazarika, S., &amp; Tandon, K. (2014). Success in global venture capital investing: Do institutional and cultural differences matter? </w:t>
      </w:r>
      <w:r w:rsidRPr="0064510B">
        <w:rPr>
          <w:rFonts w:ascii="Times New Roman" w:hAnsi="Times New Roman" w:cs="Times New Roman"/>
          <w:i/>
          <w:iCs/>
          <w:sz w:val="24"/>
          <w:szCs w:val="24"/>
        </w:rPr>
        <w:t>Journal of Financial and Quantitative Analysis, 49</w:t>
      </w:r>
      <w:r w:rsidRPr="0064510B">
        <w:rPr>
          <w:rFonts w:ascii="Times New Roman" w:hAnsi="Times New Roman" w:cs="Times New Roman"/>
          <w:sz w:val="24"/>
          <w:szCs w:val="24"/>
        </w:rPr>
        <w:t>(4), 1039</w:t>
      </w:r>
      <w:r w:rsidR="00F8096D" w:rsidRPr="0064510B">
        <w:rPr>
          <w:rFonts w:ascii="Times New Roman" w:hAnsi="Times New Roman" w:cs="Times New Roman"/>
          <w:sz w:val="24"/>
          <w:szCs w:val="24"/>
        </w:rPr>
        <w:t>-</w:t>
      </w:r>
      <w:r w:rsidRPr="0064510B">
        <w:rPr>
          <w:rFonts w:ascii="Times New Roman" w:hAnsi="Times New Roman" w:cs="Times New Roman"/>
          <w:sz w:val="24"/>
          <w:szCs w:val="24"/>
        </w:rPr>
        <w:t>1070.</w:t>
      </w:r>
    </w:p>
    <w:p w14:paraId="4113CE55" w14:textId="3B4CA670" w:rsidR="00F14398" w:rsidRPr="0064510B" w:rsidRDefault="00F14398" w:rsidP="00B03445">
      <w:pPr>
        <w:spacing w:line="360" w:lineRule="auto"/>
        <w:ind w:left="720" w:hanging="720"/>
        <w:rPr>
          <w:rFonts w:ascii="Times New Roman" w:hAnsi="Times New Roman" w:cs="Times New Roman"/>
          <w:sz w:val="24"/>
          <w:szCs w:val="24"/>
        </w:rPr>
      </w:pPr>
      <w:proofErr w:type="spellStart"/>
      <w:r w:rsidRPr="0064510B">
        <w:rPr>
          <w:rFonts w:ascii="Times New Roman" w:hAnsi="Times New Roman" w:cs="Times New Roman"/>
          <w:sz w:val="24"/>
          <w:szCs w:val="24"/>
        </w:rPr>
        <w:t>Nörthemann</w:t>
      </w:r>
      <w:proofErr w:type="spellEnd"/>
      <w:r w:rsidRPr="0064510B">
        <w:rPr>
          <w:rFonts w:ascii="Times New Roman" w:hAnsi="Times New Roman" w:cs="Times New Roman"/>
          <w:sz w:val="24"/>
          <w:szCs w:val="24"/>
        </w:rPr>
        <w:t>, A. (2023)</w:t>
      </w:r>
      <w:r w:rsidRPr="0064510B">
        <w:rPr>
          <w:rFonts w:ascii="Times New Roman" w:hAnsi="Times New Roman" w:cs="Times New Roman"/>
          <w:sz w:val="24"/>
          <w:szCs w:val="24"/>
        </w:rPr>
        <w:t xml:space="preserve">. </w:t>
      </w:r>
      <w:r w:rsidRPr="0064510B">
        <w:rPr>
          <w:rFonts w:ascii="Times New Roman" w:hAnsi="Times New Roman" w:cs="Times New Roman"/>
          <w:sz w:val="24"/>
          <w:szCs w:val="24"/>
        </w:rPr>
        <w:t xml:space="preserve">Industry-specific specialization in venture capitalists’ internationalization decisions. </w:t>
      </w:r>
      <w:r w:rsidRPr="0064510B">
        <w:rPr>
          <w:rFonts w:ascii="Times New Roman" w:hAnsi="Times New Roman" w:cs="Times New Roman"/>
          <w:i/>
          <w:iCs/>
          <w:sz w:val="24"/>
          <w:szCs w:val="24"/>
        </w:rPr>
        <w:t>J</w:t>
      </w:r>
      <w:r w:rsidRPr="0064510B">
        <w:rPr>
          <w:rFonts w:ascii="Times New Roman" w:hAnsi="Times New Roman" w:cs="Times New Roman"/>
          <w:i/>
          <w:iCs/>
          <w:sz w:val="24"/>
          <w:szCs w:val="24"/>
        </w:rPr>
        <w:t>ournal of</w:t>
      </w:r>
      <w:r w:rsidRPr="0064510B">
        <w:rPr>
          <w:rFonts w:ascii="Times New Roman" w:hAnsi="Times New Roman" w:cs="Times New Roman"/>
          <w:i/>
          <w:iCs/>
          <w:sz w:val="24"/>
          <w:szCs w:val="24"/>
        </w:rPr>
        <w:t xml:space="preserve"> Bus</w:t>
      </w:r>
      <w:r w:rsidRPr="0064510B">
        <w:rPr>
          <w:rFonts w:ascii="Times New Roman" w:hAnsi="Times New Roman" w:cs="Times New Roman"/>
          <w:i/>
          <w:iCs/>
          <w:sz w:val="24"/>
          <w:szCs w:val="24"/>
        </w:rPr>
        <w:t>iness</w:t>
      </w:r>
      <w:r w:rsidRPr="0064510B">
        <w:rPr>
          <w:rFonts w:ascii="Times New Roman" w:hAnsi="Times New Roman" w:cs="Times New Roman"/>
          <w:i/>
          <w:iCs/>
          <w:sz w:val="24"/>
          <w:szCs w:val="24"/>
        </w:rPr>
        <w:t xml:space="preserve"> Econ</w:t>
      </w:r>
      <w:r w:rsidRPr="0064510B">
        <w:rPr>
          <w:rFonts w:ascii="Times New Roman" w:hAnsi="Times New Roman" w:cs="Times New Roman"/>
          <w:i/>
          <w:iCs/>
          <w:sz w:val="24"/>
          <w:szCs w:val="24"/>
        </w:rPr>
        <w:t>omics,</w:t>
      </w:r>
      <w:r w:rsidRPr="0064510B">
        <w:rPr>
          <w:rFonts w:ascii="Times New Roman" w:hAnsi="Times New Roman" w:cs="Times New Roman"/>
          <w:i/>
          <w:iCs/>
          <w:sz w:val="24"/>
          <w:szCs w:val="24"/>
        </w:rPr>
        <w:t xml:space="preserve"> 93</w:t>
      </w:r>
      <w:r w:rsidRPr="0064510B">
        <w:rPr>
          <w:rFonts w:ascii="Times New Roman" w:hAnsi="Times New Roman" w:cs="Times New Roman"/>
          <w:sz w:val="24"/>
          <w:szCs w:val="24"/>
        </w:rPr>
        <w:t>, 891</w:t>
      </w:r>
      <w:r w:rsidRPr="0064510B">
        <w:rPr>
          <w:rFonts w:ascii="Times New Roman" w:hAnsi="Times New Roman" w:cs="Times New Roman"/>
          <w:sz w:val="24"/>
          <w:szCs w:val="24"/>
        </w:rPr>
        <w:t>-</w:t>
      </w:r>
      <w:r w:rsidRPr="0064510B">
        <w:rPr>
          <w:rFonts w:ascii="Times New Roman" w:hAnsi="Times New Roman" w:cs="Times New Roman"/>
          <w:sz w:val="24"/>
          <w:szCs w:val="24"/>
        </w:rPr>
        <w:t>927</w:t>
      </w:r>
      <w:r w:rsidRPr="0064510B">
        <w:rPr>
          <w:rFonts w:ascii="Times New Roman" w:hAnsi="Times New Roman" w:cs="Times New Roman"/>
          <w:sz w:val="24"/>
          <w:szCs w:val="24"/>
        </w:rPr>
        <w:t>.</w:t>
      </w:r>
    </w:p>
    <w:p w14:paraId="532BCCAF" w14:textId="189C5920"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Sahlman, W. A. (1990). The structure and governance of venture-capital organizations. </w:t>
      </w:r>
      <w:r w:rsidRPr="0064510B">
        <w:rPr>
          <w:rFonts w:ascii="Times New Roman" w:hAnsi="Times New Roman" w:cs="Times New Roman"/>
          <w:i/>
          <w:iCs/>
          <w:sz w:val="24"/>
          <w:szCs w:val="24"/>
        </w:rPr>
        <w:t>Journal of Financial Economics, 27</w:t>
      </w:r>
      <w:r w:rsidRPr="0064510B">
        <w:rPr>
          <w:rFonts w:ascii="Times New Roman" w:hAnsi="Times New Roman" w:cs="Times New Roman"/>
          <w:sz w:val="24"/>
          <w:szCs w:val="24"/>
        </w:rPr>
        <w:t>(2), 473</w:t>
      </w:r>
      <w:r w:rsidR="0017177D" w:rsidRPr="0064510B">
        <w:rPr>
          <w:rFonts w:ascii="Times New Roman" w:hAnsi="Times New Roman" w:cs="Times New Roman"/>
          <w:sz w:val="24"/>
          <w:szCs w:val="24"/>
        </w:rPr>
        <w:t>-</w:t>
      </w:r>
      <w:r w:rsidRPr="0064510B">
        <w:rPr>
          <w:rFonts w:ascii="Times New Roman" w:hAnsi="Times New Roman" w:cs="Times New Roman"/>
          <w:sz w:val="24"/>
          <w:szCs w:val="24"/>
        </w:rPr>
        <w:t>521.</w:t>
      </w:r>
    </w:p>
    <w:p w14:paraId="52584764" w14:textId="6C2B3DE2" w:rsidR="00E928B8" w:rsidRPr="0064510B" w:rsidRDefault="00000000" w:rsidP="00B03445">
      <w:pPr>
        <w:spacing w:line="360" w:lineRule="auto"/>
        <w:ind w:left="720" w:hanging="720"/>
        <w:rPr>
          <w:rFonts w:ascii="Times New Roman" w:hAnsi="Times New Roman" w:cs="Times New Roman"/>
          <w:sz w:val="28"/>
          <w:szCs w:val="28"/>
        </w:rPr>
      </w:pPr>
      <w:proofErr w:type="spellStart"/>
      <w:r w:rsidRPr="0064510B">
        <w:rPr>
          <w:rFonts w:ascii="Times New Roman" w:hAnsi="Times New Roman" w:cs="Times New Roman"/>
          <w:sz w:val="24"/>
          <w:szCs w:val="24"/>
        </w:rPr>
        <w:t>Shenkar</w:t>
      </w:r>
      <w:proofErr w:type="spellEnd"/>
      <w:r w:rsidRPr="0064510B">
        <w:rPr>
          <w:rFonts w:ascii="Times New Roman" w:hAnsi="Times New Roman" w:cs="Times New Roman"/>
          <w:sz w:val="24"/>
          <w:szCs w:val="24"/>
        </w:rPr>
        <w:t xml:space="preserve">, O. (2001). Cultural distance revisited: Towards a more rigorous conceptualization and measurement of cultural differences. </w:t>
      </w:r>
      <w:r w:rsidRPr="0064510B">
        <w:rPr>
          <w:rFonts w:ascii="Times New Roman" w:hAnsi="Times New Roman" w:cs="Times New Roman"/>
          <w:i/>
          <w:iCs/>
          <w:sz w:val="24"/>
          <w:szCs w:val="24"/>
        </w:rPr>
        <w:t>Journal of International Business Studies, 32</w:t>
      </w:r>
      <w:r w:rsidRPr="0064510B">
        <w:rPr>
          <w:rFonts w:ascii="Times New Roman" w:hAnsi="Times New Roman" w:cs="Times New Roman"/>
          <w:sz w:val="24"/>
          <w:szCs w:val="24"/>
        </w:rPr>
        <w:t>(3), 519</w:t>
      </w:r>
      <w:r w:rsidR="00EF434A" w:rsidRPr="0064510B">
        <w:rPr>
          <w:rFonts w:ascii="Times New Roman" w:hAnsi="Times New Roman" w:cs="Times New Roman"/>
          <w:sz w:val="24"/>
          <w:szCs w:val="24"/>
        </w:rPr>
        <w:t>-</w:t>
      </w:r>
      <w:r w:rsidRPr="0064510B">
        <w:rPr>
          <w:rFonts w:ascii="Times New Roman" w:hAnsi="Times New Roman" w:cs="Times New Roman"/>
          <w:sz w:val="24"/>
          <w:szCs w:val="24"/>
        </w:rPr>
        <w:t>535.</w:t>
      </w:r>
    </w:p>
    <w:p w14:paraId="622D661C" w14:textId="61D9FBE1" w:rsidR="00E928B8" w:rsidRPr="0064510B" w:rsidRDefault="00000000" w:rsidP="00B03445">
      <w:pPr>
        <w:spacing w:line="360" w:lineRule="auto"/>
        <w:ind w:left="720" w:hanging="720"/>
        <w:rPr>
          <w:rFonts w:ascii="Times New Roman" w:hAnsi="Times New Roman" w:cs="Times New Roman"/>
          <w:sz w:val="28"/>
          <w:szCs w:val="28"/>
        </w:rPr>
      </w:pPr>
      <w:proofErr w:type="spellStart"/>
      <w:r w:rsidRPr="0064510B">
        <w:rPr>
          <w:rFonts w:ascii="Times New Roman" w:hAnsi="Times New Roman" w:cs="Times New Roman"/>
          <w:sz w:val="24"/>
          <w:szCs w:val="24"/>
        </w:rPr>
        <w:t>Slangen</w:t>
      </w:r>
      <w:proofErr w:type="spellEnd"/>
      <w:r w:rsidRPr="0064510B">
        <w:rPr>
          <w:rFonts w:ascii="Times New Roman" w:hAnsi="Times New Roman" w:cs="Times New Roman"/>
          <w:sz w:val="24"/>
          <w:szCs w:val="24"/>
        </w:rPr>
        <w:t xml:space="preserve">, A. H. L., &amp; Van </w:t>
      </w:r>
      <w:proofErr w:type="spellStart"/>
      <w:r w:rsidRPr="0064510B">
        <w:rPr>
          <w:rFonts w:ascii="Times New Roman" w:hAnsi="Times New Roman" w:cs="Times New Roman"/>
          <w:sz w:val="24"/>
          <w:szCs w:val="24"/>
        </w:rPr>
        <w:t>Tulder</w:t>
      </w:r>
      <w:proofErr w:type="spellEnd"/>
      <w:r w:rsidRPr="0064510B">
        <w:rPr>
          <w:rFonts w:ascii="Times New Roman" w:hAnsi="Times New Roman" w:cs="Times New Roman"/>
          <w:sz w:val="24"/>
          <w:szCs w:val="24"/>
        </w:rPr>
        <w:t xml:space="preserve">, R. J. M. (2009). Cultural distance, political risk, or governance quality? Towards a more accurate conceptualization and measurement of external uncertainty in foreign entry mode research. </w:t>
      </w:r>
      <w:r w:rsidRPr="0064510B">
        <w:rPr>
          <w:rFonts w:ascii="Times New Roman" w:hAnsi="Times New Roman" w:cs="Times New Roman"/>
          <w:i/>
          <w:iCs/>
          <w:sz w:val="24"/>
          <w:szCs w:val="24"/>
        </w:rPr>
        <w:t>International Business Review, 18</w:t>
      </w:r>
      <w:r w:rsidRPr="0064510B">
        <w:rPr>
          <w:rFonts w:ascii="Times New Roman" w:hAnsi="Times New Roman" w:cs="Times New Roman"/>
          <w:sz w:val="24"/>
          <w:szCs w:val="24"/>
        </w:rPr>
        <w:t>(3), 276</w:t>
      </w:r>
      <w:r w:rsidR="00EF434A" w:rsidRPr="0064510B">
        <w:rPr>
          <w:rFonts w:ascii="Times New Roman" w:hAnsi="Times New Roman" w:cs="Times New Roman"/>
          <w:sz w:val="24"/>
          <w:szCs w:val="24"/>
        </w:rPr>
        <w:t>-</w:t>
      </w:r>
      <w:r w:rsidRPr="0064510B">
        <w:rPr>
          <w:rFonts w:ascii="Times New Roman" w:hAnsi="Times New Roman" w:cs="Times New Roman"/>
          <w:sz w:val="24"/>
          <w:szCs w:val="24"/>
        </w:rPr>
        <w:t>291.</w:t>
      </w:r>
    </w:p>
    <w:p w14:paraId="02B3398F" w14:textId="5FF06FD2"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Sørensen, M. (2007). How smart is smart money? A two-sided matching model of venture capital. </w:t>
      </w:r>
      <w:r w:rsidRPr="0064510B">
        <w:rPr>
          <w:rFonts w:ascii="Times New Roman" w:hAnsi="Times New Roman" w:cs="Times New Roman"/>
          <w:i/>
          <w:iCs/>
          <w:sz w:val="24"/>
          <w:szCs w:val="24"/>
        </w:rPr>
        <w:t>Journal of Finance, 62</w:t>
      </w:r>
      <w:r w:rsidRPr="0064510B">
        <w:rPr>
          <w:rFonts w:ascii="Times New Roman" w:hAnsi="Times New Roman" w:cs="Times New Roman"/>
          <w:sz w:val="24"/>
          <w:szCs w:val="24"/>
        </w:rPr>
        <w:t>(6), 2725</w:t>
      </w:r>
      <w:r w:rsidR="00724946" w:rsidRPr="0064510B">
        <w:rPr>
          <w:rFonts w:ascii="Times New Roman" w:hAnsi="Times New Roman" w:cs="Times New Roman"/>
          <w:sz w:val="24"/>
          <w:szCs w:val="24"/>
        </w:rPr>
        <w:t>-</w:t>
      </w:r>
      <w:r w:rsidRPr="0064510B">
        <w:rPr>
          <w:rFonts w:ascii="Times New Roman" w:hAnsi="Times New Roman" w:cs="Times New Roman"/>
          <w:sz w:val="24"/>
          <w:szCs w:val="24"/>
        </w:rPr>
        <w:t>2762.</w:t>
      </w:r>
    </w:p>
    <w:p w14:paraId="30B3E051" w14:textId="5DC14684"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lang w:val="de-DE"/>
        </w:rPr>
        <w:lastRenderedPageBreak/>
        <w:t>S</w:t>
      </w:r>
      <w:r w:rsidR="00724946" w:rsidRPr="0064510B">
        <w:rPr>
          <w:rFonts w:ascii="Times New Roman" w:hAnsi="Times New Roman" w:cs="Times New Roman"/>
          <w:sz w:val="24"/>
          <w:szCs w:val="24"/>
          <w:lang w:val="de-DE"/>
        </w:rPr>
        <w:t>o</w:t>
      </w:r>
      <w:r w:rsidRPr="0064510B">
        <w:rPr>
          <w:rFonts w:ascii="Times New Roman" w:hAnsi="Times New Roman" w:cs="Times New Roman"/>
          <w:sz w:val="24"/>
          <w:szCs w:val="24"/>
          <w:lang w:val="de-DE"/>
        </w:rPr>
        <w:t xml:space="preserve">renson, O., &amp; Stuart, T. E. (2001). </w:t>
      </w:r>
      <w:r w:rsidRPr="0064510B">
        <w:rPr>
          <w:rFonts w:ascii="Times New Roman" w:hAnsi="Times New Roman" w:cs="Times New Roman"/>
          <w:sz w:val="24"/>
          <w:szCs w:val="24"/>
        </w:rPr>
        <w:t xml:space="preserve">Syndication networks and the spatial distribution of venture capital investments. </w:t>
      </w:r>
      <w:r w:rsidRPr="0064510B">
        <w:rPr>
          <w:rFonts w:ascii="Times New Roman" w:hAnsi="Times New Roman" w:cs="Times New Roman"/>
          <w:i/>
          <w:iCs/>
          <w:sz w:val="24"/>
          <w:szCs w:val="24"/>
        </w:rPr>
        <w:t>American Journal of Sociology, 106</w:t>
      </w:r>
      <w:r w:rsidRPr="0064510B">
        <w:rPr>
          <w:rFonts w:ascii="Times New Roman" w:hAnsi="Times New Roman" w:cs="Times New Roman"/>
          <w:sz w:val="24"/>
          <w:szCs w:val="24"/>
        </w:rPr>
        <w:t>(6), 1546</w:t>
      </w:r>
      <w:r w:rsidR="00A157D0" w:rsidRPr="0064510B">
        <w:rPr>
          <w:rFonts w:ascii="Times New Roman" w:hAnsi="Times New Roman" w:cs="Times New Roman"/>
          <w:sz w:val="24"/>
          <w:szCs w:val="24"/>
        </w:rPr>
        <w:t>-</w:t>
      </w:r>
      <w:r w:rsidRPr="0064510B">
        <w:rPr>
          <w:rFonts w:ascii="Times New Roman" w:hAnsi="Times New Roman" w:cs="Times New Roman"/>
          <w:sz w:val="24"/>
          <w:szCs w:val="24"/>
        </w:rPr>
        <w:t>1588.</w:t>
      </w:r>
    </w:p>
    <w:p w14:paraId="50F81207" w14:textId="61558811"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Wernerfelt, B. (1984). A resource-based view of the firm. </w:t>
      </w:r>
      <w:r w:rsidRPr="0064510B">
        <w:rPr>
          <w:rFonts w:ascii="Times New Roman" w:hAnsi="Times New Roman" w:cs="Times New Roman"/>
          <w:i/>
          <w:iCs/>
          <w:sz w:val="24"/>
          <w:szCs w:val="24"/>
        </w:rPr>
        <w:t>Strategic Management Journal, 5</w:t>
      </w:r>
      <w:r w:rsidRPr="0064510B">
        <w:rPr>
          <w:rFonts w:ascii="Times New Roman" w:hAnsi="Times New Roman" w:cs="Times New Roman"/>
          <w:sz w:val="24"/>
          <w:szCs w:val="24"/>
        </w:rPr>
        <w:t>(2), 171</w:t>
      </w:r>
      <w:r w:rsidR="00D94E9D" w:rsidRPr="0064510B">
        <w:rPr>
          <w:rFonts w:ascii="Times New Roman" w:hAnsi="Times New Roman" w:cs="Times New Roman"/>
          <w:sz w:val="24"/>
          <w:szCs w:val="24"/>
        </w:rPr>
        <w:t>-</w:t>
      </w:r>
      <w:r w:rsidRPr="0064510B">
        <w:rPr>
          <w:rFonts w:ascii="Times New Roman" w:hAnsi="Times New Roman" w:cs="Times New Roman"/>
          <w:sz w:val="24"/>
          <w:szCs w:val="24"/>
        </w:rPr>
        <w:t>180.</w:t>
      </w:r>
    </w:p>
    <w:p w14:paraId="57D866CA" w14:textId="7DBB6A94"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Xu, D., &amp; </w:t>
      </w:r>
      <w:proofErr w:type="spellStart"/>
      <w:r w:rsidRPr="0064510B">
        <w:rPr>
          <w:rFonts w:ascii="Times New Roman" w:hAnsi="Times New Roman" w:cs="Times New Roman"/>
          <w:sz w:val="24"/>
          <w:szCs w:val="24"/>
        </w:rPr>
        <w:t>Shenkar</w:t>
      </w:r>
      <w:proofErr w:type="spellEnd"/>
      <w:r w:rsidRPr="0064510B">
        <w:rPr>
          <w:rFonts w:ascii="Times New Roman" w:hAnsi="Times New Roman" w:cs="Times New Roman"/>
          <w:sz w:val="24"/>
          <w:szCs w:val="24"/>
        </w:rPr>
        <w:t xml:space="preserve">, O. (2002). Institutional distance and the multinational enterprise. </w:t>
      </w:r>
      <w:r w:rsidRPr="0064510B">
        <w:rPr>
          <w:rFonts w:ascii="Times New Roman" w:hAnsi="Times New Roman" w:cs="Times New Roman"/>
          <w:i/>
          <w:iCs/>
          <w:sz w:val="24"/>
          <w:szCs w:val="24"/>
        </w:rPr>
        <w:t>Academy of Management Review, 27</w:t>
      </w:r>
      <w:r w:rsidRPr="0064510B">
        <w:rPr>
          <w:rFonts w:ascii="Times New Roman" w:hAnsi="Times New Roman" w:cs="Times New Roman"/>
          <w:sz w:val="24"/>
          <w:szCs w:val="24"/>
        </w:rPr>
        <w:t>(4), 608</w:t>
      </w:r>
      <w:r w:rsidR="008206C4" w:rsidRPr="0064510B">
        <w:rPr>
          <w:rFonts w:ascii="Times New Roman" w:hAnsi="Times New Roman" w:cs="Times New Roman"/>
          <w:sz w:val="24"/>
          <w:szCs w:val="24"/>
        </w:rPr>
        <w:t>-</w:t>
      </w:r>
      <w:r w:rsidRPr="0064510B">
        <w:rPr>
          <w:rFonts w:ascii="Times New Roman" w:hAnsi="Times New Roman" w:cs="Times New Roman"/>
          <w:sz w:val="24"/>
          <w:szCs w:val="24"/>
        </w:rPr>
        <w:t>618.</w:t>
      </w:r>
    </w:p>
    <w:p w14:paraId="23EC41D4" w14:textId="07BE45BC" w:rsidR="00E928B8" w:rsidRPr="0064510B" w:rsidRDefault="00000000" w:rsidP="00B03445">
      <w:pPr>
        <w:spacing w:line="360" w:lineRule="auto"/>
        <w:ind w:left="720" w:hanging="720"/>
        <w:rPr>
          <w:rFonts w:ascii="Times New Roman" w:hAnsi="Times New Roman" w:cs="Times New Roman"/>
          <w:sz w:val="28"/>
          <w:szCs w:val="28"/>
        </w:rPr>
      </w:pPr>
      <w:r w:rsidRPr="0064510B">
        <w:rPr>
          <w:rFonts w:ascii="Times New Roman" w:hAnsi="Times New Roman" w:cs="Times New Roman"/>
          <w:sz w:val="24"/>
          <w:szCs w:val="24"/>
        </w:rPr>
        <w:t xml:space="preserve">Zaheer, S. (1995). Overcoming the liability of foreignness. </w:t>
      </w:r>
      <w:r w:rsidRPr="0064510B">
        <w:rPr>
          <w:rFonts w:ascii="Times New Roman" w:hAnsi="Times New Roman" w:cs="Times New Roman"/>
          <w:i/>
          <w:iCs/>
          <w:sz w:val="24"/>
          <w:szCs w:val="24"/>
        </w:rPr>
        <w:t>Academy of Management Journal, 38</w:t>
      </w:r>
      <w:r w:rsidRPr="0064510B">
        <w:rPr>
          <w:rFonts w:ascii="Times New Roman" w:hAnsi="Times New Roman" w:cs="Times New Roman"/>
          <w:sz w:val="24"/>
          <w:szCs w:val="24"/>
        </w:rPr>
        <w:t>(2), 341</w:t>
      </w:r>
      <w:r w:rsidR="00A157D0" w:rsidRPr="0064510B">
        <w:rPr>
          <w:rFonts w:ascii="Times New Roman" w:hAnsi="Times New Roman" w:cs="Times New Roman"/>
          <w:sz w:val="24"/>
          <w:szCs w:val="24"/>
        </w:rPr>
        <w:t>-</w:t>
      </w:r>
      <w:r w:rsidRPr="0064510B">
        <w:rPr>
          <w:rFonts w:ascii="Times New Roman" w:hAnsi="Times New Roman" w:cs="Times New Roman"/>
          <w:sz w:val="24"/>
          <w:szCs w:val="24"/>
        </w:rPr>
        <w:t>363.</w:t>
      </w:r>
    </w:p>
    <w:p w14:paraId="34BE83B5" w14:textId="42EEBA66" w:rsidR="00E928B8" w:rsidRPr="0064510B" w:rsidRDefault="00000000" w:rsidP="00A01123">
      <w:pPr>
        <w:spacing w:line="360" w:lineRule="auto"/>
        <w:ind w:left="720" w:hanging="720"/>
        <w:rPr>
          <w:rFonts w:ascii="Times New Roman" w:hAnsi="Times New Roman" w:cs="Times New Roman"/>
          <w:sz w:val="28"/>
          <w:szCs w:val="28"/>
        </w:rPr>
        <w:sectPr w:rsidR="00E928B8" w:rsidRPr="0064510B">
          <w:pgSz w:w="11906" w:h="16838"/>
          <w:pgMar w:top="1440" w:right="1440" w:bottom="1440" w:left="1440" w:header="708" w:footer="708" w:gutter="0"/>
          <w:cols w:space="720"/>
          <w:docGrid w:linePitch="360"/>
        </w:sectPr>
      </w:pPr>
      <w:r w:rsidRPr="0064510B">
        <w:rPr>
          <w:rFonts w:ascii="Times New Roman" w:hAnsi="Times New Roman" w:cs="Times New Roman"/>
          <w:sz w:val="24"/>
          <w:szCs w:val="24"/>
        </w:rPr>
        <w:t xml:space="preserve">Zhou, N., &amp; Guillén, M. F. (2015). From home country to home base: A dynamic approach to the liability of foreignness. </w:t>
      </w:r>
      <w:r w:rsidRPr="0064510B">
        <w:rPr>
          <w:rFonts w:ascii="Times New Roman" w:hAnsi="Times New Roman" w:cs="Times New Roman"/>
          <w:i/>
          <w:iCs/>
          <w:sz w:val="24"/>
          <w:szCs w:val="24"/>
        </w:rPr>
        <w:t>Strategic Management Journal, 36</w:t>
      </w:r>
      <w:r w:rsidRPr="0064510B">
        <w:rPr>
          <w:rFonts w:ascii="Times New Roman" w:hAnsi="Times New Roman" w:cs="Times New Roman"/>
          <w:sz w:val="24"/>
          <w:szCs w:val="24"/>
        </w:rPr>
        <w:t>(6), 907</w:t>
      </w:r>
      <w:r w:rsidR="00D94E9D" w:rsidRPr="0064510B">
        <w:rPr>
          <w:rFonts w:ascii="Times New Roman" w:hAnsi="Times New Roman" w:cs="Times New Roman"/>
          <w:sz w:val="24"/>
          <w:szCs w:val="24"/>
        </w:rPr>
        <w:t>-</w:t>
      </w:r>
      <w:r w:rsidRPr="0064510B">
        <w:rPr>
          <w:rFonts w:ascii="Times New Roman" w:hAnsi="Times New Roman" w:cs="Times New Roman"/>
          <w:sz w:val="24"/>
          <w:szCs w:val="24"/>
        </w:rPr>
        <w:t>917.</w:t>
      </w:r>
    </w:p>
    <w:p w14:paraId="0BCF8E0D" w14:textId="77777777" w:rsidR="00E928B8" w:rsidRPr="00B03445" w:rsidRDefault="00000000" w:rsidP="00B03445">
      <w:pPr>
        <w:pStyle w:val="Heading1"/>
        <w:spacing w:line="360" w:lineRule="auto"/>
        <w:rPr>
          <w:rFonts w:ascii="Times New Roman" w:hAnsi="Times New Roman" w:cs="Times New Roman"/>
        </w:rPr>
      </w:pPr>
      <w:r w:rsidRPr="00B03445">
        <w:rPr>
          <w:rFonts w:ascii="Times New Roman" w:hAnsi="Times New Roman" w:cs="Times New Roman"/>
          <w:b/>
          <w:bCs/>
          <w:sz w:val="28"/>
          <w:szCs w:val="28"/>
        </w:rPr>
        <w:lastRenderedPageBreak/>
        <w:t>5. Appendix</w:t>
      </w:r>
    </w:p>
    <w:p w14:paraId="0D9B3BF0" w14:textId="7BE0A1A1" w:rsidR="00E928B8" w:rsidRPr="00B03445" w:rsidRDefault="00000000" w:rsidP="00BA3340">
      <w:pPr>
        <w:pStyle w:val="Heading2"/>
        <w:spacing w:line="360" w:lineRule="auto"/>
        <w:rPr>
          <w:rFonts w:ascii="Times New Roman" w:hAnsi="Times New Roman" w:cs="Times New Roman"/>
        </w:rPr>
      </w:pPr>
      <w:r w:rsidRPr="00B03445">
        <w:rPr>
          <w:rFonts w:ascii="Times New Roman" w:hAnsi="Times New Roman" w:cs="Times New Roman"/>
          <w:b/>
          <w:bCs/>
          <w:sz w:val="24"/>
          <w:szCs w:val="24"/>
        </w:rPr>
        <w:t>5.1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5"/>
        <w:gridCol w:w="2191"/>
      </w:tblGrid>
      <w:tr w:rsidR="00113B0E" w:rsidRPr="00B03445" w14:paraId="5ECA21D6"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175727AD" w14:textId="31384C91"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Deadline preliminary proposal submission</w:t>
            </w:r>
          </w:p>
        </w:tc>
        <w:tc>
          <w:tcPr>
            <w:tcW w:w="1215" w:type="pct"/>
            <w:tcMar>
              <w:top w:w="80" w:type="dxa"/>
              <w:left w:w="100" w:type="dxa"/>
              <w:bottom w:w="80" w:type="dxa"/>
              <w:right w:w="100" w:type="dxa"/>
            </w:tcMar>
            <w:vAlign w:val="center"/>
          </w:tcPr>
          <w:p w14:paraId="0599E840" w14:textId="7E8E30F0"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13 September 2026</w:t>
            </w:r>
          </w:p>
        </w:tc>
      </w:tr>
      <w:tr w:rsidR="00113B0E" w:rsidRPr="00B03445" w14:paraId="0BC05F41"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0B80FA91" w14:textId="6598109C"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Write final proposal + LSEG data-feasibility check</w:t>
            </w:r>
          </w:p>
        </w:tc>
        <w:tc>
          <w:tcPr>
            <w:tcW w:w="1215" w:type="pct"/>
            <w:tcMar>
              <w:top w:w="80" w:type="dxa"/>
              <w:left w:w="100" w:type="dxa"/>
              <w:bottom w:w="80" w:type="dxa"/>
              <w:right w:w="100" w:type="dxa"/>
            </w:tcMar>
            <w:vAlign w:val="center"/>
          </w:tcPr>
          <w:p w14:paraId="6E194EC3" w14:textId="543EC58A"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9 October 2026</w:t>
            </w:r>
          </w:p>
        </w:tc>
      </w:tr>
      <w:tr w:rsidR="00113B0E" w:rsidRPr="00B03445" w14:paraId="201F116A"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6E12EBC5" w14:textId="6A2662FA"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Deadline final proposal submission</w:t>
            </w:r>
          </w:p>
        </w:tc>
        <w:tc>
          <w:tcPr>
            <w:tcW w:w="1215" w:type="pct"/>
            <w:tcMar>
              <w:top w:w="80" w:type="dxa"/>
              <w:left w:w="100" w:type="dxa"/>
              <w:bottom w:w="80" w:type="dxa"/>
              <w:right w:w="100" w:type="dxa"/>
            </w:tcMar>
            <w:vAlign w:val="center"/>
          </w:tcPr>
          <w:p w14:paraId="66EBD661" w14:textId="452854C2"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11 October 2026</w:t>
            </w:r>
          </w:p>
        </w:tc>
      </w:tr>
      <w:tr w:rsidR="00113B0E" w:rsidRPr="00B03445" w14:paraId="512582E3"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62EBDE68" w14:textId="7231B7C6"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Write literature review + methods sections</w:t>
            </w:r>
          </w:p>
        </w:tc>
        <w:tc>
          <w:tcPr>
            <w:tcW w:w="1215" w:type="pct"/>
            <w:tcMar>
              <w:top w:w="80" w:type="dxa"/>
              <w:left w:w="100" w:type="dxa"/>
              <w:bottom w:w="80" w:type="dxa"/>
              <w:right w:w="100" w:type="dxa"/>
            </w:tcMar>
            <w:vAlign w:val="center"/>
          </w:tcPr>
          <w:p w14:paraId="0DC02B64" w14:textId="34CDFA11"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13 October 2026</w:t>
            </w:r>
          </w:p>
        </w:tc>
      </w:tr>
      <w:tr w:rsidR="00113B0E" w:rsidRPr="00B03445" w14:paraId="54008318"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271B178E" w14:textId="471D373A"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 xml:space="preserve">Collect and analyze data </w:t>
            </w:r>
          </w:p>
        </w:tc>
        <w:tc>
          <w:tcPr>
            <w:tcW w:w="1215" w:type="pct"/>
            <w:tcMar>
              <w:top w:w="80" w:type="dxa"/>
              <w:left w:w="100" w:type="dxa"/>
              <w:bottom w:w="80" w:type="dxa"/>
              <w:right w:w="100" w:type="dxa"/>
            </w:tcMar>
            <w:vAlign w:val="center"/>
          </w:tcPr>
          <w:p w14:paraId="55637B4D" w14:textId="15A54656"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13 November 2026</w:t>
            </w:r>
          </w:p>
        </w:tc>
      </w:tr>
      <w:tr w:rsidR="00113B0E" w:rsidRPr="00B03445" w14:paraId="220C7CA6"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32B21EB0" w14:textId="7E3DCC19"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Write results sections + robustness checks</w:t>
            </w:r>
          </w:p>
        </w:tc>
        <w:tc>
          <w:tcPr>
            <w:tcW w:w="1215" w:type="pct"/>
            <w:tcMar>
              <w:top w:w="80" w:type="dxa"/>
              <w:left w:w="100" w:type="dxa"/>
              <w:bottom w:w="80" w:type="dxa"/>
              <w:right w:w="100" w:type="dxa"/>
            </w:tcMar>
            <w:vAlign w:val="center"/>
          </w:tcPr>
          <w:p w14:paraId="76502026" w14:textId="5CCB321F"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20 November 2026</w:t>
            </w:r>
          </w:p>
        </w:tc>
      </w:tr>
      <w:tr w:rsidR="00113B0E" w:rsidRPr="00B03445" w14:paraId="5B2FBB06"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5416C372" w14:textId="7BAFB1FC"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Write discussion, limitations, and conclusion sections – full draft</w:t>
            </w:r>
          </w:p>
        </w:tc>
        <w:tc>
          <w:tcPr>
            <w:tcW w:w="1215" w:type="pct"/>
            <w:tcMar>
              <w:top w:w="80" w:type="dxa"/>
              <w:left w:w="100" w:type="dxa"/>
              <w:bottom w:w="80" w:type="dxa"/>
              <w:right w:w="100" w:type="dxa"/>
            </w:tcMar>
            <w:vAlign w:val="center"/>
          </w:tcPr>
          <w:p w14:paraId="0854CFC6" w14:textId="4E91C872"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13 December 2026</w:t>
            </w:r>
          </w:p>
        </w:tc>
      </w:tr>
      <w:tr w:rsidR="00113B0E" w:rsidRPr="00B03445" w14:paraId="2A906F6A"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53A8F91B" w14:textId="0308ED2E"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Adopt feedback</w:t>
            </w:r>
          </w:p>
        </w:tc>
        <w:tc>
          <w:tcPr>
            <w:tcW w:w="1215" w:type="pct"/>
            <w:tcMar>
              <w:top w:w="80" w:type="dxa"/>
              <w:left w:w="100" w:type="dxa"/>
              <w:bottom w:w="80" w:type="dxa"/>
              <w:right w:w="100" w:type="dxa"/>
            </w:tcMar>
            <w:vAlign w:val="center"/>
          </w:tcPr>
          <w:p w14:paraId="14696690" w14:textId="6AA7EBC6"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13 January 2027</w:t>
            </w:r>
          </w:p>
        </w:tc>
      </w:tr>
      <w:tr w:rsidR="00113B0E" w:rsidRPr="00B03445" w14:paraId="383F8836"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5126AC9F" w14:textId="7C3AF1E0"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Deadline definitive thesis submission</w:t>
            </w:r>
          </w:p>
        </w:tc>
        <w:tc>
          <w:tcPr>
            <w:tcW w:w="1215" w:type="pct"/>
            <w:tcMar>
              <w:top w:w="80" w:type="dxa"/>
              <w:left w:w="100" w:type="dxa"/>
              <w:bottom w:w="80" w:type="dxa"/>
              <w:right w:w="100" w:type="dxa"/>
            </w:tcMar>
            <w:vAlign w:val="center"/>
          </w:tcPr>
          <w:p w14:paraId="53B928A0" w14:textId="6DDB962D"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February 2027</w:t>
            </w:r>
          </w:p>
        </w:tc>
      </w:tr>
      <w:tr w:rsidR="00113B0E" w:rsidRPr="00B03445" w14:paraId="47C19F6B" w14:textId="77777777" w:rsidTr="00113B0E">
        <w:tblPrEx>
          <w:tblCellMar>
            <w:top w:w="0" w:type="dxa"/>
            <w:bottom w:w="0" w:type="dxa"/>
          </w:tblCellMar>
        </w:tblPrEx>
        <w:tc>
          <w:tcPr>
            <w:tcW w:w="3785" w:type="pct"/>
            <w:tcMar>
              <w:top w:w="80" w:type="dxa"/>
              <w:left w:w="100" w:type="dxa"/>
              <w:bottom w:w="80" w:type="dxa"/>
              <w:right w:w="100" w:type="dxa"/>
            </w:tcMar>
            <w:vAlign w:val="center"/>
          </w:tcPr>
          <w:p w14:paraId="785948F8" w14:textId="08F7A186"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 xml:space="preserve">Oral </w:t>
            </w:r>
            <w:proofErr w:type="spellStart"/>
            <w:r w:rsidRPr="00113B0E">
              <w:rPr>
                <w:rFonts w:ascii="Times New Roman" w:hAnsi="Times New Roman" w:cs="Times New Roman"/>
                <w:sz w:val="24"/>
                <w:szCs w:val="24"/>
              </w:rPr>
              <w:t>defence</w:t>
            </w:r>
            <w:proofErr w:type="spellEnd"/>
          </w:p>
        </w:tc>
        <w:tc>
          <w:tcPr>
            <w:tcW w:w="1215" w:type="pct"/>
            <w:tcMar>
              <w:top w:w="80" w:type="dxa"/>
              <w:left w:w="100" w:type="dxa"/>
              <w:bottom w:w="80" w:type="dxa"/>
              <w:right w:w="100" w:type="dxa"/>
            </w:tcMar>
            <w:vAlign w:val="center"/>
          </w:tcPr>
          <w:p w14:paraId="14515718" w14:textId="5950F153" w:rsidR="00113B0E" w:rsidRPr="00113B0E" w:rsidRDefault="00113B0E" w:rsidP="00B03445">
            <w:pPr>
              <w:spacing w:line="360" w:lineRule="auto"/>
              <w:rPr>
                <w:rFonts w:ascii="Times New Roman" w:hAnsi="Times New Roman" w:cs="Times New Roman"/>
                <w:sz w:val="24"/>
                <w:szCs w:val="24"/>
              </w:rPr>
            </w:pPr>
            <w:r w:rsidRPr="00113B0E">
              <w:rPr>
                <w:rFonts w:ascii="Times New Roman" w:hAnsi="Times New Roman" w:cs="Times New Roman"/>
                <w:sz w:val="24"/>
                <w:szCs w:val="24"/>
              </w:rPr>
              <w:t>February 2027</w:t>
            </w:r>
          </w:p>
        </w:tc>
      </w:tr>
    </w:tbl>
    <w:p w14:paraId="53E9785F" w14:textId="77777777" w:rsidR="00CE5804" w:rsidRPr="00B03445" w:rsidRDefault="00CE5804" w:rsidP="00B03445">
      <w:pPr>
        <w:spacing w:line="360" w:lineRule="auto"/>
        <w:rPr>
          <w:rFonts w:ascii="Times New Roman" w:hAnsi="Times New Roman" w:cs="Times New Roman"/>
        </w:rPr>
      </w:pPr>
    </w:p>
    <w:sectPr w:rsidR="00CE5804" w:rsidRPr="00B034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6421AA"/>
    <w:multiLevelType w:val="hybridMultilevel"/>
    <w:tmpl w:val="59580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A1E2A"/>
    <w:multiLevelType w:val="hybridMultilevel"/>
    <w:tmpl w:val="CB96F78A"/>
    <w:lvl w:ilvl="0" w:tplc="F850A668">
      <w:start w:val="1"/>
      <w:numFmt w:val="bullet"/>
      <w:lvlText w:val="●"/>
      <w:lvlJc w:val="left"/>
      <w:pPr>
        <w:ind w:left="720" w:hanging="360"/>
      </w:pPr>
    </w:lvl>
    <w:lvl w:ilvl="1" w:tplc="8DDE1BAC">
      <w:start w:val="1"/>
      <w:numFmt w:val="bullet"/>
      <w:lvlText w:val="○"/>
      <w:lvlJc w:val="left"/>
      <w:pPr>
        <w:ind w:left="1440" w:hanging="360"/>
      </w:pPr>
    </w:lvl>
    <w:lvl w:ilvl="2" w:tplc="10862DC2">
      <w:start w:val="1"/>
      <w:numFmt w:val="bullet"/>
      <w:lvlText w:val="■"/>
      <w:lvlJc w:val="left"/>
      <w:pPr>
        <w:ind w:left="2160" w:hanging="360"/>
      </w:pPr>
    </w:lvl>
    <w:lvl w:ilvl="3" w:tplc="C82E3046">
      <w:start w:val="1"/>
      <w:numFmt w:val="bullet"/>
      <w:lvlText w:val="●"/>
      <w:lvlJc w:val="left"/>
      <w:pPr>
        <w:ind w:left="2880" w:hanging="360"/>
      </w:pPr>
    </w:lvl>
    <w:lvl w:ilvl="4" w:tplc="374A9E22">
      <w:start w:val="1"/>
      <w:numFmt w:val="bullet"/>
      <w:lvlText w:val="○"/>
      <w:lvlJc w:val="left"/>
      <w:pPr>
        <w:ind w:left="3600" w:hanging="360"/>
      </w:pPr>
    </w:lvl>
    <w:lvl w:ilvl="5" w:tplc="E4FC4810">
      <w:start w:val="1"/>
      <w:numFmt w:val="bullet"/>
      <w:lvlText w:val="■"/>
      <w:lvlJc w:val="left"/>
      <w:pPr>
        <w:ind w:left="4320" w:hanging="360"/>
      </w:pPr>
    </w:lvl>
    <w:lvl w:ilvl="6" w:tplc="FB9E67F8">
      <w:start w:val="1"/>
      <w:numFmt w:val="bullet"/>
      <w:lvlText w:val="●"/>
      <w:lvlJc w:val="left"/>
      <w:pPr>
        <w:ind w:left="5040" w:hanging="360"/>
      </w:pPr>
    </w:lvl>
    <w:lvl w:ilvl="7" w:tplc="0BE83DEA">
      <w:start w:val="1"/>
      <w:numFmt w:val="bullet"/>
      <w:lvlText w:val="●"/>
      <w:lvlJc w:val="left"/>
      <w:pPr>
        <w:ind w:left="5760" w:hanging="360"/>
      </w:pPr>
    </w:lvl>
    <w:lvl w:ilvl="8" w:tplc="B54CCDD0">
      <w:start w:val="1"/>
      <w:numFmt w:val="bullet"/>
      <w:lvlText w:val="●"/>
      <w:lvlJc w:val="left"/>
      <w:pPr>
        <w:ind w:left="6480" w:hanging="360"/>
      </w:pPr>
    </w:lvl>
  </w:abstractNum>
  <w:abstractNum w:abstractNumId="2" w15:restartNumberingAfterBreak="0">
    <w:nsid w:val="4A3C2A96"/>
    <w:multiLevelType w:val="hybridMultilevel"/>
    <w:tmpl w:val="E98680BC"/>
    <w:lvl w:ilvl="0" w:tplc="3B4E6736">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6269532">
    <w:abstractNumId w:val="1"/>
    <w:lvlOverride w:ilvl="0">
      <w:startOverride w:val="1"/>
    </w:lvlOverride>
  </w:num>
  <w:num w:numId="2" w16cid:durableId="901067009">
    <w:abstractNumId w:val="0"/>
  </w:num>
  <w:num w:numId="3" w16cid:durableId="110272130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B8"/>
    <w:rsid w:val="00041D76"/>
    <w:rsid w:val="00113B0E"/>
    <w:rsid w:val="00123F42"/>
    <w:rsid w:val="0017177D"/>
    <w:rsid w:val="00230706"/>
    <w:rsid w:val="00231DFF"/>
    <w:rsid w:val="00366DA2"/>
    <w:rsid w:val="004521DE"/>
    <w:rsid w:val="004834F1"/>
    <w:rsid w:val="004B2E15"/>
    <w:rsid w:val="00520972"/>
    <w:rsid w:val="005A7048"/>
    <w:rsid w:val="0064510B"/>
    <w:rsid w:val="00724946"/>
    <w:rsid w:val="00732E29"/>
    <w:rsid w:val="0076355C"/>
    <w:rsid w:val="00765966"/>
    <w:rsid w:val="0077503B"/>
    <w:rsid w:val="007B62BF"/>
    <w:rsid w:val="008206C4"/>
    <w:rsid w:val="00945144"/>
    <w:rsid w:val="009E1B3D"/>
    <w:rsid w:val="00A01123"/>
    <w:rsid w:val="00A157D0"/>
    <w:rsid w:val="00A95C98"/>
    <w:rsid w:val="00B03445"/>
    <w:rsid w:val="00B61C8A"/>
    <w:rsid w:val="00BA3340"/>
    <w:rsid w:val="00BF2C33"/>
    <w:rsid w:val="00C24A8E"/>
    <w:rsid w:val="00C402A5"/>
    <w:rsid w:val="00CD0C00"/>
    <w:rsid w:val="00CE5804"/>
    <w:rsid w:val="00D94E9D"/>
    <w:rsid w:val="00E928B8"/>
    <w:rsid w:val="00EF311D"/>
    <w:rsid w:val="00EF434A"/>
    <w:rsid w:val="00F14398"/>
    <w:rsid w:val="00F8096D"/>
    <w:rsid w:val="00FD50E6"/>
    <w:rsid w:val="00FF5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978CD9"/>
  <w15:docId w15:val="{AE0CCFEB-D12C-D443-AB71-85D92215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10</Pages>
  <Words>2990</Words>
  <Characters>17048</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Sarman</cp:lastModifiedBy>
  <cp:revision>6</cp:revision>
  <dcterms:created xsi:type="dcterms:W3CDTF">2026-09-13T11:54:00Z</dcterms:created>
  <dcterms:modified xsi:type="dcterms:W3CDTF">2026-09-13T21:57:00Z</dcterms:modified>
</cp:coreProperties>
</file>