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EA599" w14:textId="6A881D9C" w:rsidR="0062084D" w:rsidRPr="00F70FB0" w:rsidRDefault="00000000" w:rsidP="00F70FB0">
      <w:pPr>
        <w:pStyle w:val="Heading1"/>
        <w:numPr>
          <w:ilvl w:val="0"/>
          <w:numId w:val="3"/>
        </w:numPr>
        <w:spacing w:line="276" w:lineRule="auto"/>
        <w:jc w:val="both"/>
        <w:rPr>
          <w:color w:val="000000" w:themeColor="text1"/>
        </w:rPr>
      </w:pPr>
      <w:r w:rsidRPr="00F70FB0">
        <w:rPr>
          <w:b/>
          <w:bCs/>
          <w:color w:val="000000" w:themeColor="text1"/>
        </w:rPr>
        <w:t>Conceptual model</w:t>
      </w:r>
    </w:p>
    <w:p w14:paraId="1473C251" w14:textId="77777777" w:rsidR="0062084D" w:rsidRPr="00F70FB0" w:rsidRDefault="00000000" w:rsidP="00F70FB0">
      <w:pPr>
        <w:spacing w:line="276" w:lineRule="auto"/>
        <w:jc w:val="center"/>
        <w:rPr>
          <w:color w:val="000000" w:themeColor="text1"/>
          <w:sz w:val="24"/>
          <w:szCs w:val="24"/>
        </w:rPr>
      </w:pPr>
      <w:r w:rsidRPr="00F70FB0">
        <w:rPr>
          <w:noProof/>
          <w:color w:val="000000" w:themeColor="text1"/>
          <w:sz w:val="24"/>
          <w:szCs w:val="24"/>
        </w:rPr>
        <w:drawing>
          <wp:inline distT="0" distB="0" distL="0" distR="0" wp14:anchorId="7B789AB9" wp14:editId="5CD4B659">
            <wp:extent cx="4476750" cy="2419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0C4D" w14:textId="77777777" w:rsidR="00F70FB0" w:rsidRPr="00F70FB0" w:rsidRDefault="00F70FB0" w:rsidP="00F70FB0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64BD8F1B" w14:textId="3AE69E57" w:rsidR="0062084D" w:rsidRPr="00F70FB0" w:rsidRDefault="00000000" w:rsidP="00F70FB0">
      <w:pPr>
        <w:pStyle w:val="Heading1"/>
        <w:numPr>
          <w:ilvl w:val="0"/>
          <w:numId w:val="3"/>
        </w:numPr>
        <w:spacing w:line="276" w:lineRule="auto"/>
        <w:jc w:val="both"/>
        <w:rPr>
          <w:color w:val="000000" w:themeColor="text1"/>
        </w:rPr>
      </w:pPr>
      <w:r w:rsidRPr="00F70FB0">
        <w:rPr>
          <w:b/>
          <w:bCs/>
          <w:color w:val="000000" w:themeColor="text1"/>
        </w:rPr>
        <w:t>Hypotheses</w:t>
      </w:r>
    </w:p>
    <w:p w14:paraId="51C2EB6C" w14:textId="77777777" w:rsidR="00F70FB0" w:rsidRDefault="00000000" w:rsidP="00F70FB0">
      <w:p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b/>
          <w:bCs/>
          <w:color w:val="000000" w:themeColor="text1"/>
          <w:sz w:val="24"/>
          <w:szCs w:val="24"/>
        </w:rPr>
        <w:t xml:space="preserve">H1: </w:t>
      </w:r>
      <w:r w:rsidR="00F70FB0">
        <w:rPr>
          <w:color w:val="000000" w:themeColor="text1"/>
          <w:sz w:val="24"/>
          <w:szCs w:val="24"/>
        </w:rPr>
        <w:t>I</w:t>
      </w:r>
      <w:r w:rsidRPr="00F70FB0">
        <w:rPr>
          <w:color w:val="000000" w:themeColor="text1"/>
          <w:sz w:val="24"/>
          <w:szCs w:val="24"/>
        </w:rPr>
        <w:t xml:space="preserve">nstitutional distance between a VC's home country and a venture's host country is negatively related to the venture's financing success. </w:t>
      </w:r>
    </w:p>
    <w:p w14:paraId="33BCAFC8" w14:textId="16F50B65" w:rsidR="0062084D" w:rsidRPr="00F70FB0" w:rsidRDefault="00000000" w:rsidP="00F70FB0">
      <w:pPr>
        <w:spacing w:line="276" w:lineRule="auto"/>
        <w:jc w:val="both"/>
        <w:rPr>
          <w:i/>
          <w:iCs/>
          <w:color w:val="000000" w:themeColor="text1"/>
          <w:sz w:val="24"/>
          <w:szCs w:val="24"/>
        </w:rPr>
      </w:pPr>
      <w:r w:rsidRPr="00F70FB0">
        <w:rPr>
          <w:i/>
          <w:iCs/>
          <w:color w:val="000000" w:themeColor="text1"/>
          <w:sz w:val="24"/>
          <w:szCs w:val="24"/>
        </w:rPr>
        <w:t>This hypothesis states the baseline liability-of-foreignness effect implied by the research question, before any moderation is considered.</w:t>
      </w:r>
    </w:p>
    <w:p w14:paraId="1AFAE3F0" w14:textId="77777777" w:rsidR="00F70FB0" w:rsidRDefault="00000000" w:rsidP="00F70FB0">
      <w:p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b/>
          <w:bCs/>
          <w:color w:val="000000" w:themeColor="text1"/>
          <w:sz w:val="24"/>
          <w:szCs w:val="24"/>
        </w:rPr>
        <w:t xml:space="preserve">H2: </w:t>
      </w:r>
      <w:r w:rsidRPr="00F70FB0">
        <w:rPr>
          <w:color w:val="000000" w:themeColor="text1"/>
          <w:sz w:val="24"/>
          <w:szCs w:val="24"/>
        </w:rPr>
        <w:t xml:space="preserve">VC industry specialization moderates the relationship between institutional distance and financing success, such that the negative relationship is weaker for VCs with higher specialization in the venture's sub-sector. </w:t>
      </w:r>
    </w:p>
    <w:p w14:paraId="68B05802" w14:textId="569B32DB" w:rsidR="0062084D" w:rsidRPr="00F70FB0" w:rsidRDefault="00000000" w:rsidP="00F70FB0">
      <w:pPr>
        <w:spacing w:line="276" w:lineRule="auto"/>
        <w:jc w:val="both"/>
        <w:rPr>
          <w:i/>
          <w:iCs/>
          <w:color w:val="000000" w:themeColor="text1"/>
          <w:sz w:val="24"/>
          <w:szCs w:val="24"/>
        </w:rPr>
      </w:pPr>
      <w:r w:rsidRPr="00F70FB0">
        <w:rPr>
          <w:i/>
          <w:iCs/>
          <w:color w:val="000000" w:themeColor="text1"/>
          <w:sz w:val="24"/>
          <w:szCs w:val="24"/>
        </w:rPr>
        <w:t>This hypothesis operationalizes the primary research question, namely to what extent specialization mitigates the distance</w:t>
      </w:r>
      <w:r w:rsidR="00F70FB0" w:rsidRPr="00F70FB0">
        <w:rPr>
          <w:i/>
          <w:iCs/>
          <w:color w:val="000000" w:themeColor="text1"/>
          <w:sz w:val="24"/>
          <w:szCs w:val="24"/>
        </w:rPr>
        <w:t>-</w:t>
      </w:r>
      <w:r w:rsidRPr="00F70FB0">
        <w:rPr>
          <w:i/>
          <w:iCs/>
          <w:color w:val="000000" w:themeColor="text1"/>
          <w:sz w:val="24"/>
          <w:szCs w:val="24"/>
        </w:rPr>
        <w:t>success relationship.</w:t>
      </w:r>
    </w:p>
    <w:p w14:paraId="089BC68F" w14:textId="77777777" w:rsidR="00F70FB0" w:rsidRDefault="00000000" w:rsidP="00F70FB0">
      <w:p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b/>
          <w:bCs/>
          <w:color w:val="000000" w:themeColor="text1"/>
          <w:sz w:val="24"/>
          <w:szCs w:val="24"/>
        </w:rPr>
        <w:t xml:space="preserve">H3: </w:t>
      </w:r>
      <w:r w:rsidR="00F70FB0">
        <w:rPr>
          <w:color w:val="000000" w:themeColor="text1"/>
          <w:sz w:val="24"/>
          <w:szCs w:val="24"/>
        </w:rPr>
        <w:t>H</w:t>
      </w:r>
      <w:r w:rsidRPr="00F70FB0">
        <w:rPr>
          <w:color w:val="000000" w:themeColor="text1"/>
          <w:sz w:val="24"/>
          <w:szCs w:val="24"/>
        </w:rPr>
        <w:t xml:space="preserve">ost-country co-investor presence moderates the relationship between institutional distance and financing success, such that the negative relationship is weaker when the lead investor syndicates with a co-investor headquartered in the venture's host country. </w:t>
      </w:r>
    </w:p>
    <w:p w14:paraId="502D2216" w14:textId="7EB1DDED" w:rsidR="0062084D" w:rsidRPr="00F70FB0" w:rsidRDefault="00000000" w:rsidP="00F70FB0">
      <w:pPr>
        <w:spacing w:line="276" w:lineRule="auto"/>
        <w:jc w:val="both"/>
        <w:rPr>
          <w:i/>
          <w:iCs/>
          <w:color w:val="000000" w:themeColor="text1"/>
          <w:sz w:val="24"/>
          <w:szCs w:val="24"/>
        </w:rPr>
      </w:pPr>
      <w:r w:rsidRPr="00F70FB0">
        <w:rPr>
          <w:i/>
          <w:iCs/>
          <w:color w:val="000000" w:themeColor="text1"/>
          <w:sz w:val="24"/>
          <w:szCs w:val="24"/>
        </w:rPr>
        <w:t>This hypothesis addresses the first half of the secondary research question, testing syndication as an alternative distance-mitigation strategy to specialization.</w:t>
      </w:r>
    </w:p>
    <w:p w14:paraId="3AC738C4" w14:textId="77777777" w:rsidR="00F70FB0" w:rsidRDefault="00000000" w:rsidP="00F70FB0">
      <w:p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b/>
          <w:bCs/>
          <w:color w:val="000000" w:themeColor="text1"/>
          <w:sz w:val="24"/>
          <w:szCs w:val="24"/>
        </w:rPr>
        <w:t xml:space="preserve">H4: </w:t>
      </w:r>
      <w:r w:rsidR="00F70FB0">
        <w:rPr>
          <w:color w:val="000000" w:themeColor="text1"/>
          <w:sz w:val="24"/>
          <w:szCs w:val="24"/>
        </w:rPr>
        <w:t>T</w:t>
      </w:r>
      <w:r w:rsidRPr="00F70FB0">
        <w:rPr>
          <w:color w:val="000000" w:themeColor="text1"/>
          <w:sz w:val="24"/>
          <w:szCs w:val="24"/>
        </w:rPr>
        <w:t xml:space="preserve">he moderating effect of VC industry specialization on the institutional distance–financing success relationship depends on host-country co-investor presence. </w:t>
      </w:r>
    </w:p>
    <w:p w14:paraId="6E818C44" w14:textId="7E63191C" w:rsidR="0062084D" w:rsidRPr="00F70FB0" w:rsidRDefault="00000000" w:rsidP="00F70FB0">
      <w:pPr>
        <w:spacing w:line="276" w:lineRule="auto"/>
        <w:jc w:val="both"/>
        <w:rPr>
          <w:i/>
          <w:iCs/>
          <w:color w:val="000000" w:themeColor="text1"/>
          <w:sz w:val="24"/>
          <w:szCs w:val="24"/>
        </w:rPr>
      </w:pPr>
      <w:r w:rsidRPr="00F70FB0">
        <w:rPr>
          <w:i/>
          <w:iCs/>
          <w:color w:val="000000" w:themeColor="text1"/>
          <w:sz w:val="24"/>
          <w:szCs w:val="24"/>
        </w:rPr>
        <w:t>This three-way interaction addresses the remainder of the secondary research question, namely whether specialization and syndication act as substitute or complementary strategies.</w:t>
      </w:r>
    </w:p>
    <w:p w14:paraId="25A1F5B3" w14:textId="77777777" w:rsidR="00F70FB0" w:rsidRPr="00F70FB0" w:rsidRDefault="00F70FB0" w:rsidP="00F70FB0">
      <w:pPr>
        <w:spacing w:line="276" w:lineRule="auto"/>
        <w:jc w:val="both"/>
        <w:rPr>
          <w:color w:val="000000" w:themeColor="text1"/>
          <w:sz w:val="24"/>
          <w:szCs w:val="24"/>
        </w:rPr>
      </w:pPr>
    </w:p>
    <w:p w14:paraId="7AEF0A94" w14:textId="4DF3C181" w:rsidR="0062084D" w:rsidRPr="00F70FB0" w:rsidRDefault="00000000" w:rsidP="00F70FB0">
      <w:pPr>
        <w:pStyle w:val="Heading1"/>
        <w:numPr>
          <w:ilvl w:val="0"/>
          <w:numId w:val="3"/>
        </w:numPr>
        <w:spacing w:line="276" w:lineRule="auto"/>
        <w:jc w:val="both"/>
        <w:rPr>
          <w:color w:val="000000" w:themeColor="text1"/>
        </w:rPr>
      </w:pPr>
      <w:r w:rsidRPr="00F70FB0">
        <w:rPr>
          <w:b/>
          <w:bCs/>
          <w:color w:val="000000" w:themeColor="text1"/>
        </w:rPr>
        <w:t>Data and measures</w:t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0"/>
        <w:gridCol w:w="2220"/>
        <w:gridCol w:w="3353"/>
        <w:gridCol w:w="1963"/>
      </w:tblGrid>
      <w:tr w:rsidR="0062084D" w:rsidRPr="00F70FB0" w14:paraId="26BF7DE4" w14:textId="77777777" w:rsidTr="004C0A49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725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5D5F6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b/>
                <w:bCs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1263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E247F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b/>
                <w:bCs/>
                <w:color w:val="000000" w:themeColor="text1"/>
                <w:sz w:val="24"/>
                <w:szCs w:val="24"/>
              </w:rPr>
              <w:t>Role</w:t>
            </w:r>
          </w:p>
        </w:tc>
        <w:tc>
          <w:tcPr>
            <w:tcW w:w="1891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AE5B8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b/>
                <w:bCs/>
                <w:color w:val="000000" w:themeColor="text1"/>
                <w:sz w:val="24"/>
                <w:szCs w:val="24"/>
              </w:rPr>
              <w:t>Operational measure</w:t>
            </w:r>
          </w:p>
        </w:tc>
        <w:tc>
          <w:tcPr>
            <w:tcW w:w="1120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B858F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b/>
                <w:bCs/>
                <w:color w:val="000000" w:themeColor="text1"/>
                <w:sz w:val="24"/>
                <w:szCs w:val="24"/>
              </w:rPr>
              <w:t>Data source</w:t>
            </w:r>
          </w:p>
        </w:tc>
      </w:tr>
      <w:tr w:rsidR="0062084D" w:rsidRPr="00F70FB0" w14:paraId="0CD5039B" w14:textId="77777777" w:rsidTr="00F70FB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725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D5D7C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Institutional distance</w:t>
            </w:r>
          </w:p>
        </w:tc>
        <w:tc>
          <w:tcPr>
            <w:tcW w:w="1263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826BB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Independent variable</w:t>
            </w:r>
          </w:p>
        </w:tc>
        <w:tc>
          <w:tcPr>
            <w:tcW w:w="1891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28EC1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 xml:space="preserve">Aggregated regulative, normative, and cognitive distance between the lead VC's home country and the venture's host country, computed as a </w:t>
            </w:r>
            <w:r w:rsidRPr="00F70FB0">
              <w:rPr>
                <w:color w:val="000000" w:themeColor="text1"/>
                <w:sz w:val="24"/>
                <w:szCs w:val="24"/>
              </w:rPr>
              <w:lastRenderedPageBreak/>
              <w:t>composite index from national governance and institutional-quality scores.</w:t>
            </w:r>
          </w:p>
        </w:tc>
        <w:tc>
          <w:tcPr>
            <w:tcW w:w="1120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B4C24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lastRenderedPageBreak/>
              <w:t xml:space="preserve">World Bank Worldwide Governance Indicators, merged with LSEG </w:t>
            </w:r>
            <w:r w:rsidRPr="00F70FB0">
              <w:rPr>
                <w:color w:val="000000" w:themeColor="text1"/>
                <w:sz w:val="24"/>
                <w:szCs w:val="24"/>
              </w:rPr>
              <w:lastRenderedPageBreak/>
              <w:t>Workspace by headquarters country</w:t>
            </w:r>
          </w:p>
        </w:tc>
      </w:tr>
      <w:tr w:rsidR="0062084D" w:rsidRPr="00F70FB0" w14:paraId="16D11EC3" w14:textId="77777777" w:rsidTr="00F70FB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725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814D1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lastRenderedPageBreak/>
              <w:t>Financing success</w:t>
            </w:r>
          </w:p>
        </w:tc>
        <w:tc>
          <w:tcPr>
            <w:tcW w:w="1263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38904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Dependent variable</w:t>
            </w:r>
          </w:p>
        </w:tc>
        <w:tc>
          <w:tcPr>
            <w:tcW w:w="1891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C384B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Binary indicator equal to one if the venture secures a follow-on institutional financing round within thirty-six months of the focal round, zero otherwise.</w:t>
            </w:r>
          </w:p>
        </w:tc>
        <w:tc>
          <w:tcPr>
            <w:tcW w:w="1120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866EB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LSEG Workspace deal and round history</w:t>
            </w:r>
          </w:p>
        </w:tc>
      </w:tr>
      <w:tr w:rsidR="0062084D" w:rsidRPr="00F70FB0" w14:paraId="38765A73" w14:textId="77777777" w:rsidTr="00F70FB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725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5ED10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VC industry specialization</w:t>
            </w:r>
          </w:p>
        </w:tc>
        <w:tc>
          <w:tcPr>
            <w:tcW w:w="1263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470ED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Moderator (build)</w:t>
            </w:r>
          </w:p>
        </w:tc>
        <w:tc>
          <w:tcPr>
            <w:tcW w:w="1891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D2683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Rolling share of the lead VC's financing rounds in the venture's deep-tech sub-sector over the preceding five years, relative to its total deal count in that window.</w:t>
            </w:r>
          </w:p>
        </w:tc>
        <w:tc>
          <w:tcPr>
            <w:tcW w:w="1120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B5771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LSEG Workspace investor deal history and sub-sector classification</w:t>
            </w:r>
          </w:p>
        </w:tc>
      </w:tr>
      <w:tr w:rsidR="0062084D" w:rsidRPr="00F70FB0" w14:paraId="3AF4F0DF" w14:textId="77777777" w:rsidTr="00F70FB0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725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8C3CC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Host-country co-investor presence</w:t>
            </w:r>
          </w:p>
        </w:tc>
        <w:tc>
          <w:tcPr>
            <w:tcW w:w="1263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C30AA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Moderator (borrow)</w:t>
            </w:r>
          </w:p>
        </w:tc>
        <w:tc>
          <w:tcPr>
            <w:tcW w:w="1891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3D581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Binary indicator equal to one if at least one syndicate member in the focal round is headquartered in the venture's host country, zero otherwise.</w:t>
            </w:r>
          </w:p>
        </w:tc>
        <w:tc>
          <w:tcPr>
            <w:tcW w:w="1120" w:type="pct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29758" w14:textId="77777777" w:rsidR="0062084D" w:rsidRPr="00F70FB0" w:rsidRDefault="00000000" w:rsidP="00F70FB0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F70FB0">
              <w:rPr>
                <w:color w:val="000000" w:themeColor="text1"/>
                <w:sz w:val="24"/>
                <w:szCs w:val="24"/>
              </w:rPr>
              <w:t>LSEG Workspace syndicate and participant records</w:t>
            </w:r>
          </w:p>
        </w:tc>
      </w:tr>
    </w:tbl>
    <w:p w14:paraId="1615C010" w14:textId="42D15184" w:rsidR="00F70FB0" w:rsidRDefault="00F70FB0" w:rsidP="00F70FB0">
      <w:pPr>
        <w:pStyle w:val="Heading1"/>
        <w:spacing w:line="276" w:lineRule="auto"/>
        <w:jc w:val="both"/>
        <w:rPr>
          <w:b/>
          <w:bCs/>
          <w:color w:val="000000" w:themeColor="text1"/>
          <w:sz w:val="24"/>
          <w:szCs w:val="24"/>
        </w:rPr>
      </w:pPr>
    </w:p>
    <w:p w14:paraId="61C9760C" w14:textId="0AD4F378" w:rsidR="0062084D" w:rsidRPr="00F70FB0" w:rsidRDefault="00000000" w:rsidP="00F70FB0">
      <w:pPr>
        <w:pStyle w:val="Heading1"/>
        <w:numPr>
          <w:ilvl w:val="0"/>
          <w:numId w:val="3"/>
        </w:numPr>
        <w:spacing w:line="276" w:lineRule="auto"/>
        <w:jc w:val="both"/>
        <w:rPr>
          <w:color w:val="000000" w:themeColor="text1"/>
        </w:rPr>
      </w:pPr>
      <w:r w:rsidRPr="00F70FB0">
        <w:rPr>
          <w:b/>
          <w:bCs/>
          <w:color w:val="000000" w:themeColor="text1"/>
        </w:rPr>
        <w:t>Control variables</w:t>
      </w:r>
    </w:p>
    <w:p w14:paraId="08C29ECD" w14:textId="3B184AF9" w:rsidR="0062084D" w:rsidRPr="00F70FB0" w:rsidRDefault="00000000" w:rsidP="00F70FB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color w:val="000000" w:themeColor="text1"/>
          <w:sz w:val="24"/>
          <w:szCs w:val="24"/>
        </w:rPr>
        <w:t>Geographic distance between VC and venture headquarters, to separate the institutional component of distance from its purely geographic component</w:t>
      </w:r>
      <w:r w:rsidR="004C0A49">
        <w:rPr>
          <w:color w:val="000000" w:themeColor="text1"/>
          <w:sz w:val="24"/>
          <w:szCs w:val="24"/>
        </w:rPr>
        <w:t>.</w:t>
      </w:r>
    </w:p>
    <w:p w14:paraId="2D52DC4A" w14:textId="77777777" w:rsidR="0062084D" w:rsidRPr="00F70FB0" w:rsidRDefault="00000000" w:rsidP="00F70FB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color w:val="000000" w:themeColor="text1"/>
          <w:sz w:val="24"/>
          <w:szCs w:val="24"/>
        </w:rPr>
        <w:t>VC firm characteristics, including firm age, fund size, and total prior deal count, to rule out that specialization merely proxies for general firm capability or experience.</w:t>
      </w:r>
    </w:p>
    <w:p w14:paraId="5ED9D71A" w14:textId="77777777" w:rsidR="0062084D" w:rsidRPr="00F70FB0" w:rsidRDefault="00000000" w:rsidP="00F70FB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color w:val="000000" w:themeColor="text1"/>
          <w:sz w:val="24"/>
          <w:szCs w:val="24"/>
        </w:rPr>
        <w:t>Deal size, to account for the mechanical association between larger rounds and a higher likelihood of attracting follow-on financing.</w:t>
      </w:r>
    </w:p>
    <w:p w14:paraId="661DE094" w14:textId="77777777" w:rsidR="0062084D" w:rsidRPr="00F70FB0" w:rsidRDefault="00000000" w:rsidP="00F70FB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color w:val="000000" w:themeColor="text1"/>
          <w:sz w:val="24"/>
          <w:szCs w:val="24"/>
        </w:rPr>
        <w:t>Syndicate size, to separate a diversification effect of having more co-investors from the effect of a co-investor's host-country identity specifically.</w:t>
      </w:r>
    </w:p>
    <w:p w14:paraId="233D6955" w14:textId="77777777" w:rsidR="0062084D" w:rsidRPr="00F70FB0" w:rsidRDefault="00000000" w:rsidP="00F70FB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color w:val="000000" w:themeColor="text1"/>
          <w:sz w:val="24"/>
          <w:szCs w:val="24"/>
        </w:rPr>
        <w:t>Venture stage and sub-sector fixed effects, to absorb heterogeneity across the deep-tech sub-fields covered by the sample, such as semiconductors, biotechnology, robotics, and advanced materials.</w:t>
      </w:r>
    </w:p>
    <w:p w14:paraId="05FE9403" w14:textId="77777777" w:rsidR="0062084D" w:rsidRPr="00F70FB0" w:rsidRDefault="00000000" w:rsidP="00F70FB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color w:val="000000" w:themeColor="text1"/>
          <w:sz w:val="24"/>
          <w:szCs w:val="24"/>
        </w:rPr>
        <w:t xml:space="preserve">Investment-year fixed effects, to absorb VC funding-cycle effects that are common to all deals </w:t>
      </w:r>
      <w:proofErr w:type="gramStart"/>
      <w:r w:rsidRPr="00F70FB0">
        <w:rPr>
          <w:color w:val="000000" w:themeColor="text1"/>
          <w:sz w:val="24"/>
          <w:szCs w:val="24"/>
        </w:rPr>
        <w:t>in a given year</w:t>
      </w:r>
      <w:proofErr w:type="gramEnd"/>
      <w:r w:rsidRPr="00F70FB0">
        <w:rPr>
          <w:color w:val="000000" w:themeColor="text1"/>
          <w:sz w:val="24"/>
          <w:szCs w:val="24"/>
        </w:rPr>
        <w:t>.</w:t>
      </w:r>
    </w:p>
    <w:p w14:paraId="73ED8E4A" w14:textId="4A6F0224" w:rsidR="0062084D" w:rsidRPr="004C0A49" w:rsidRDefault="00000000" w:rsidP="00F70FB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000000" w:themeColor="text1"/>
          <w:sz w:val="24"/>
          <w:szCs w:val="24"/>
        </w:rPr>
      </w:pPr>
      <w:r w:rsidRPr="00F70FB0">
        <w:rPr>
          <w:color w:val="000000" w:themeColor="text1"/>
          <w:sz w:val="24"/>
          <w:szCs w:val="24"/>
        </w:rPr>
        <w:t>Home-country and host-country fixed effects, to absorb time-invariant country-level factors unrelated to institutional distance itself.</w:t>
      </w:r>
    </w:p>
    <w:sectPr w:rsidR="0062084D" w:rsidRPr="004C0A49" w:rsidSect="00F70F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6E5884"/>
    <w:multiLevelType w:val="hybridMultilevel"/>
    <w:tmpl w:val="0C9E8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F4A33"/>
    <w:multiLevelType w:val="hybridMultilevel"/>
    <w:tmpl w:val="B7D62490"/>
    <w:lvl w:ilvl="0" w:tplc="F564878C">
      <w:start w:val="1"/>
      <w:numFmt w:val="bullet"/>
      <w:lvlText w:val="●"/>
      <w:lvlJc w:val="left"/>
      <w:pPr>
        <w:ind w:left="720" w:hanging="360"/>
      </w:pPr>
    </w:lvl>
    <w:lvl w:ilvl="1" w:tplc="8454F5D2">
      <w:start w:val="1"/>
      <w:numFmt w:val="bullet"/>
      <w:lvlText w:val="○"/>
      <w:lvlJc w:val="left"/>
      <w:pPr>
        <w:ind w:left="1440" w:hanging="360"/>
      </w:pPr>
    </w:lvl>
    <w:lvl w:ilvl="2" w:tplc="241A5C5E">
      <w:start w:val="1"/>
      <w:numFmt w:val="bullet"/>
      <w:lvlText w:val="■"/>
      <w:lvlJc w:val="left"/>
      <w:pPr>
        <w:ind w:left="2160" w:hanging="360"/>
      </w:pPr>
    </w:lvl>
    <w:lvl w:ilvl="3" w:tplc="EEC6D2DC">
      <w:start w:val="1"/>
      <w:numFmt w:val="bullet"/>
      <w:lvlText w:val="●"/>
      <w:lvlJc w:val="left"/>
      <w:pPr>
        <w:ind w:left="2880" w:hanging="360"/>
      </w:pPr>
    </w:lvl>
    <w:lvl w:ilvl="4" w:tplc="C500032E">
      <w:start w:val="1"/>
      <w:numFmt w:val="bullet"/>
      <w:lvlText w:val="○"/>
      <w:lvlJc w:val="left"/>
      <w:pPr>
        <w:ind w:left="3600" w:hanging="360"/>
      </w:pPr>
    </w:lvl>
    <w:lvl w:ilvl="5" w:tplc="5A6EAAA6">
      <w:start w:val="1"/>
      <w:numFmt w:val="bullet"/>
      <w:lvlText w:val="■"/>
      <w:lvlJc w:val="left"/>
      <w:pPr>
        <w:ind w:left="4320" w:hanging="360"/>
      </w:pPr>
    </w:lvl>
    <w:lvl w:ilvl="6" w:tplc="17B85CC6">
      <w:start w:val="1"/>
      <w:numFmt w:val="bullet"/>
      <w:lvlText w:val="●"/>
      <w:lvlJc w:val="left"/>
      <w:pPr>
        <w:ind w:left="5040" w:hanging="360"/>
      </w:pPr>
    </w:lvl>
    <w:lvl w:ilvl="7" w:tplc="A8A2C312">
      <w:start w:val="1"/>
      <w:numFmt w:val="bullet"/>
      <w:lvlText w:val="●"/>
      <w:lvlJc w:val="left"/>
      <w:pPr>
        <w:ind w:left="5760" w:hanging="360"/>
      </w:pPr>
    </w:lvl>
    <w:lvl w:ilvl="8" w:tplc="13DC24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F750FE"/>
    <w:multiLevelType w:val="hybridMultilevel"/>
    <w:tmpl w:val="4274DD68"/>
    <w:lvl w:ilvl="0" w:tplc="C9B2391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522908">
    <w:abstractNumId w:val="1"/>
    <w:lvlOverride w:ilvl="0">
      <w:startOverride w:val="1"/>
    </w:lvlOverride>
  </w:num>
  <w:num w:numId="2" w16cid:durableId="118257460">
    <w:abstractNumId w:val="0"/>
  </w:num>
  <w:num w:numId="3" w16cid:durableId="28115948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4D"/>
    <w:rsid w:val="0008771F"/>
    <w:rsid w:val="004C0A49"/>
    <w:rsid w:val="0062084D"/>
    <w:rsid w:val="00F7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EEF5"/>
  <w15:docId w15:val="{765E379C-4F67-FA4B-A741-F0791DEA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Sarman</cp:lastModifiedBy>
  <cp:revision>2</cp:revision>
  <dcterms:created xsi:type="dcterms:W3CDTF">2026-09-27T20:55:00Z</dcterms:created>
  <dcterms:modified xsi:type="dcterms:W3CDTF">2026-09-27T21:12:00Z</dcterms:modified>
</cp:coreProperties>
</file>