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/>
    <w:p/>
    <w:p/>
    <w:p/>
    <w:p/>
    <w:p/>
    <w:p/>
    <w:p/>
    <w:p>
      <w:pPr>
        <w:spacing w:after="40" w:before="0" w:line="300" w:lineRule="auto"/>
      </w:pPr>
      <w:r>
        <w:rPr>
          <w:rFonts w:ascii="Arial Unicode MS" w:hAnsi="Arial Unicode MS" w:eastAsia="Arial Unicode MS"/>
          <w:b w:val="0"/>
          <w:color w:val="5E7891"/>
          <w:sz w:val="56"/>
        </w:rPr>
        <w:t>AI 预测私有化</w:t>
      </w:r>
    </w:p>
    <w:p>
      <w:pPr>
        <w:spacing w:after="360" w:before="0" w:line="300" w:lineRule="auto"/>
      </w:pPr>
      <w:r>
        <w:rPr>
          <w:rFonts w:ascii="Arial Unicode MS" w:hAnsi="Arial Unicode MS" w:eastAsia="Arial Unicode MS"/>
          <w:b/>
          <w:color w:val="10395F"/>
          <w:sz w:val="56"/>
        </w:rPr>
        <w:t>本地化需求缺口清单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b w:val="0"/>
          <w:color w:val="24364B"/>
          <w:sz w:val="21"/>
        </w:rPr>
        <w:t>范围：基于《AI预测私有化部署解决方案_恒瑞》与现有本地化需求，识别未覆盖的重点增量。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b w:val="0"/>
          <w:color w:val="24364B"/>
          <w:sz w:val="21"/>
        </w:rPr>
        <w:t>状态：评审稿    |    更新日期：2026-07-15</w:t>
      </w:r>
    </w:p>
    <w:p>
      <w:r>
        <w:br w:type="page"/>
      </w:r>
    </w:p>
    <w:p>
      <w:pPr>
        <w:spacing w:after="160" w:before="240" w:line="300" w:lineRule="auto"/>
      </w:pPr>
      <w:r>
        <w:rPr>
          <w:rFonts w:ascii="Arial Unicode MS" w:hAnsi="Arial Unicode MS" w:eastAsia="Arial Unicode MS"/>
          <w:b/>
          <w:color w:val="10395F"/>
          <w:sz w:val="44"/>
        </w:rPr>
        <w:t>1. 结论与范围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b w:val="0"/>
          <w:color w:val="24364B"/>
          <w:sz w:val="21"/>
        </w:rPr>
        <w:t>现有需求已覆盖离线部署、配置、数据接入、黑盒推理、离线授权、基础监控、升级回滚和诊断包。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b w:val="0"/>
          <w:color w:val="24364B"/>
          <w:sz w:val="21"/>
        </w:rPr>
        <w:t>本次仅补充私有化后不可省略的本地化能力；不重复 SaaS 已有的账户、预测浏览、下载、订阅和业务反馈能力。</w:t>
      </w:r>
    </w:p>
    <w:p>
      <w:pPr>
        <w:spacing w:after="160" w:before="160" w:line="300" w:lineRule="auto"/>
      </w:pPr>
      <w:r>
        <w:rPr>
          <w:rFonts w:ascii="Arial Unicode MS" w:hAnsi="Arial Unicode MS" w:eastAsia="Arial Unicode MS"/>
          <w:b/>
          <w:color w:val="10395F"/>
          <w:sz w:val="32"/>
        </w:rPr>
        <w:t>重点遗漏</w:t>
      </w:r>
    </w:p>
    <w:p>
      <w:pPr>
        <w:spacing w:after="80" w:line="288" w:lineRule="auto"/>
        <w:ind w:left="312" w:hanging="198"/>
      </w:pPr>
      <w:r>
        <w:rPr>
          <w:rFonts w:ascii="Arial Unicode MS" w:hAnsi="Arial Unicode MS" w:eastAsia="Arial Unicode MS"/>
          <w:b w:val="0"/>
          <w:color w:val="24364B"/>
          <w:sz w:val="20"/>
        </w:rPr>
        <w:t>• MLOps：部署准入、数据契约、运行溯源、训练推理一致性、候选模型晋升、真实值误差闭环、交付物完整性和恢复演练。</w:t>
      </w:r>
    </w:p>
    <w:p>
      <w:pPr>
        <w:spacing w:after="80" w:line="288" w:lineRule="auto"/>
        <w:ind w:left="312" w:hanging="198"/>
      </w:pPr>
      <w:r>
        <w:rPr>
          <w:rFonts w:ascii="Arial Unicode MS" w:hAnsi="Arial Unicode MS" w:eastAsia="Arial Unicode MS"/>
          <w:b w:val="0"/>
          <w:color w:val="24364B"/>
          <w:sz w:val="20"/>
        </w:rPr>
        <w:t>• Client：本地身份集成、离线授权可见性、本地审计留存、任务质量说明和远程支持审批。</w:t>
      </w:r>
    </w:p>
    <w:p>
      <w:pPr>
        <w:spacing w:after="160" w:before="240" w:line="300" w:lineRule="auto"/>
      </w:pPr>
      <w:r>
        <w:rPr>
          <w:rFonts w:ascii="Arial Unicode MS" w:hAnsi="Arial Unicode MS" w:eastAsia="Arial Unicode MS"/>
          <w:b/>
          <w:color w:val="10395F"/>
          <w:sz w:val="44"/>
        </w:rPr>
        <w:t>2. 新增 MLOps 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rPr>
          <w:tblHeader w:val="true"/>
        </w:trPr>
        <w:tc>
          <w:tcPr>
            <w:tcW w:type="dxa" w:w="1191"/>
            <w:shd w:fill="1039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1134"/>
            <w:shd w:fill="1039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需求编号</w:t>
            </w:r>
          </w:p>
        </w:tc>
        <w:tc>
          <w:tcPr>
            <w:tcW w:type="dxa" w:w="567"/>
            <w:shd w:fill="1039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用户</w:t>
            </w:r>
          </w:p>
        </w:tc>
        <w:tc>
          <w:tcPr>
            <w:tcW w:type="dxa" w:w="5216"/>
            <w:shd w:fill="1039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工程化需求</w:t>
            </w:r>
          </w:p>
        </w:tc>
        <w:tc>
          <w:tcPr>
            <w:tcW w:type="dxa" w:w="1474"/>
            <w:shd w:fill="1039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适配改造</w:t>
            </w:r>
          </w:p>
        </w:tc>
      </w:tr>
      <w:tr>
        <w:tc>
          <w:tcPr>
            <w:tcW w:type="dxa" w:w="1191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部署准入</w:t>
            </w:r>
          </w:p>
        </w:tc>
        <w:tc>
          <w:tcPr>
            <w:tcW w:type="dxa" w:w="1134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L-ML020</w:t>
            </w:r>
          </w:p>
        </w:tc>
        <w:tc>
          <w:tcPr>
            <w:tcW w:type="dxa" w:w="567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运维</w:t>
            </w:r>
          </w:p>
        </w:tc>
        <w:tc>
          <w:tcPr>
            <w:tcW w:type="dxa" w:w="5216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支持安装前校验服务器资源、操作系统、Docker、网络连通、目录挂载和端口，并输出检查报告</w:t>
            </w:r>
          </w:p>
        </w:tc>
        <w:tc>
          <w:tcPr>
            <w:tcW w:type="dxa" w:w="1474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环境适配</w:t>
            </w:r>
          </w:p>
        </w:tc>
      </w:tr>
      <w:tr>
        <w:tc>
          <w:tcPr>
            <w:tcW w:type="dxa" w:w="1191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数据契约</w:t>
            </w:r>
          </w:p>
        </w:tc>
        <w:tc>
          <w:tcPr>
            <w:tcW w:type="dxa" w:w="1134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L-ML021</w:t>
            </w:r>
          </w:p>
        </w:tc>
        <w:tc>
          <w:tcPr>
            <w:tcW w:type="dxa" w:w="567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算法</w:t>
            </w:r>
          </w:p>
        </w:tc>
        <w:tc>
          <w:tcPr>
            <w:tcW w:type="dxa" w:w="5216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支持固化输入字段、主键、时间范围、单位和空值规则；按阻断、警告、信息三级执行质检</w:t>
            </w:r>
          </w:p>
        </w:tc>
        <w:tc>
          <w:tcPr>
            <w:tcW w:type="dxa" w:w="1474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数据质量</w:t>
            </w:r>
          </w:p>
        </w:tc>
      </w:tr>
      <w:tr>
        <w:tc>
          <w:tcPr>
            <w:tcW w:type="dxa" w:w="1191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运行溯源</w:t>
            </w:r>
          </w:p>
        </w:tc>
        <w:tc>
          <w:tcPr>
            <w:tcW w:type="dxa" w:w="1134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L-ML022</w:t>
            </w:r>
          </w:p>
        </w:tc>
        <w:tc>
          <w:tcPr>
            <w:tcW w:type="dxa" w:w="567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算法</w:t>
            </w:r>
          </w:p>
        </w:tc>
        <w:tc>
          <w:tcPr>
            <w:tcW w:type="dxa" w:w="5216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支持每次运行关联数据快照、配置、pipeline、特征、镜像、模型、输出批次和运行日志</w:t>
            </w:r>
          </w:p>
        </w:tc>
        <w:tc>
          <w:tcPr>
            <w:tcW w:type="dxa" w:w="1474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可复现</w:t>
            </w:r>
          </w:p>
        </w:tc>
      </w:tr>
      <w:tr>
        <w:tc>
          <w:tcPr>
            <w:tcW w:type="dxa" w:w="1191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推理校验</w:t>
            </w:r>
          </w:p>
        </w:tc>
        <w:tc>
          <w:tcPr>
            <w:tcW w:type="dxa" w:w="1134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L-ML023</w:t>
            </w:r>
          </w:p>
        </w:tc>
        <w:tc>
          <w:tcPr>
            <w:tcW w:type="dxa" w:w="567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算法</w:t>
            </w:r>
          </w:p>
        </w:tc>
        <w:tc>
          <w:tcPr>
            <w:tcW w:type="dxa" w:w="5216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支持推理前校验输入 schema、数据版本和新鲜度；不满足要求时停止写入预测结果</w:t>
            </w:r>
          </w:p>
        </w:tc>
        <w:tc>
          <w:tcPr>
            <w:tcW w:type="dxa" w:w="1474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服务可靠性</w:t>
            </w:r>
          </w:p>
        </w:tc>
      </w:tr>
      <w:tr>
        <w:tc>
          <w:tcPr>
            <w:tcW w:type="dxa" w:w="1191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模型晋升</w:t>
            </w:r>
          </w:p>
        </w:tc>
        <w:tc>
          <w:tcPr>
            <w:tcW w:type="dxa" w:w="1134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L-ML024</w:t>
            </w:r>
          </w:p>
        </w:tc>
        <w:tc>
          <w:tcPr>
            <w:tcW w:type="dxa" w:w="567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算法</w:t>
            </w:r>
          </w:p>
        </w:tc>
        <w:tc>
          <w:tcPr>
            <w:tcW w:type="dxa" w:w="5216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支持候选模型完成回测并与当前模型比较，通过人工审批后才可提升为正式版本</w:t>
            </w:r>
          </w:p>
        </w:tc>
        <w:tc>
          <w:tcPr>
            <w:tcW w:type="dxa" w:w="1474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发布门禁</w:t>
            </w:r>
          </w:p>
        </w:tc>
      </w:tr>
      <w:tr>
        <w:tc>
          <w:tcPr>
            <w:tcW w:type="dxa" w:w="1191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效果闭环</w:t>
            </w:r>
          </w:p>
        </w:tc>
        <w:tc>
          <w:tcPr>
            <w:tcW w:type="dxa" w:w="1134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L-ML025</w:t>
            </w:r>
          </w:p>
        </w:tc>
        <w:tc>
          <w:tcPr>
            <w:tcW w:type="dxa" w:w="567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算法</w:t>
            </w:r>
          </w:p>
        </w:tc>
        <w:tc>
          <w:tcPr>
            <w:tcW w:type="dxa" w:w="5216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支持实际值回流后按项目、产品、医院和模型版本计算误差并生成本地评估报告</w:t>
            </w:r>
          </w:p>
        </w:tc>
        <w:tc>
          <w:tcPr>
            <w:tcW w:type="dxa" w:w="1474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持续监控</w:t>
            </w:r>
          </w:p>
        </w:tc>
      </w:tr>
      <w:tr>
        <w:tc>
          <w:tcPr>
            <w:tcW w:type="dxa" w:w="1191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交付完整性</w:t>
            </w:r>
          </w:p>
        </w:tc>
        <w:tc>
          <w:tcPr>
            <w:tcW w:type="dxa" w:w="1134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L-ML026</w:t>
            </w:r>
          </w:p>
        </w:tc>
        <w:tc>
          <w:tcPr>
            <w:tcW w:type="dxa" w:w="567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运维</w:t>
            </w:r>
          </w:p>
        </w:tc>
        <w:tc>
          <w:tcPr>
            <w:tcW w:type="dxa" w:w="5216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支持离线镜像、模型包和升级包进行签名、哈希和依赖清单校验，拒绝篡改包运行</w:t>
            </w:r>
          </w:p>
        </w:tc>
        <w:tc>
          <w:tcPr>
            <w:tcW w:type="dxa" w:w="1474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供应链安全</w:t>
            </w:r>
          </w:p>
        </w:tc>
      </w:tr>
      <w:tr>
        <w:tc>
          <w:tcPr>
            <w:tcW w:type="dxa" w:w="1191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恢复演练</w:t>
            </w:r>
          </w:p>
        </w:tc>
        <w:tc>
          <w:tcPr>
            <w:tcW w:type="dxa" w:w="1134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L-ML027</w:t>
            </w:r>
          </w:p>
        </w:tc>
        <w:tc>
          <w:tcPr>
            <w:tcW w:type="dxa" w:w="567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运维</w:t>
            </w:r>
          </w:p>
        </w:tc>
        <w:tc>
          <w:tcPr>
            <w:tcW w:type="dxa" w:w="5216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支持备份配置、数据快照、pipeline、模型和元数据，并定期验证恢复及回滚可用性</w:t>
            </w:r>
          </w:p>
        </w:tc>
        <w:tc>
          <w:tcPr>
            <w:tcW w:type="dxa" w:w="1474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灾备恢复</w:t>
            </w:r>
          </w:p>
        </w:tc>
      </w:tr>
      <w:tr>
        <w:tc>
          <w:tcPr>
            <w:tcW w:type="dxa" w:w="1191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存储生命周期</w:t>
            </w:r>
          </w:p>
        </w:tc>
        <w:tc>
          <w:tcPr>
            <w:tcW w:type="dxa" w:w="1134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L-ML028</w:t>
            </w:r>
          </w:p>
        </w:tc>
        <w:tc>
          <w:tcPr>
            <w:tcW w:type="dxa" w:w="567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运维</w:t>
            </w:r>
          </w:p>
        </w:tc>
        <w:tc>
          <w:tcPr>
            <w:tcW w:type="dxa" w:w="5216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支持对数据快照、日志、模型和镜像配置保留期限、归档和清理策略，避免本地磁盘耗尽</w:t>
            </w:r>
          </w:p>
        </w:tc>
        <w:tc>
          <w:tcPr>
            <w:tcW w:type="dxa" w:w="1474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本地运维</w:t>
            </w:r>
          </w:p>
        </w:tc>
      </w:tr>
    </w:tbl>
    <w:p>
      <w:pPr>
        <w:spacing w:after="40"/>
      </w:pPr>
    </w:p>
    <w:p>
      <w:pPr>
        <w:spacing w:after="160" w:before="240" w:line="300" w:lineRule="auto"/>
      </w:pPr>
      <w:r>
        <w:rPr>
          <w:rFonts w:ascii="Arial Unicode MS" w:hAnsi="Arial Unicode MS" w:eastAsia="Arial Unicode MS"/>
          <w:b/>
          <w:color w:val="10395F"/>
          <w:sz w:val="44"/>
        </w:rPr>
        <w:t>3. 新增 Client 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rPr>
          <w:tblHeader w:val="true"/>
        </w:trPr>
        <w:tc>
          <w:tcPr>
            <w:tcW w:type="dxa" w:w="1191"/>
            <w:shd w:fill="1039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1134"/>
            <w:shd w:fill="1039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需求编号</w:t>
            </w:r>
          </w:p>
        </w:tc>
        <w:tc>
          <w:tcPr>
            <w:tcW w:type="dxa" w:w="907"/>
            <w:shd w:fill="1039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用户</w:t>
            </w:r>
          </w:p>
        </w:tc>
        <w:tc>
          <w:tcPr>
            <w:tcW w:type="dxa" w:w="4876"/>
            <w:shd w:fill="1039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工程化需求</w:t>
            </w:r>
          </w:p>
        </w:tc>
        <w:tc>
          <w:tcPr>
            <w:tcW w:type="dxa" w:w="1474"/>
            <w:shd w:fill="1039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适配改造</w:t>
            </w:r>
          </w:p>
        </w:tc>
      </w:tr>
      <w:tr>
        <w:tc>
          <w:tcPr>
            <w:tcW w:type="dxa" w:w="1191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本地身份</w:t>
            </w:r>
          </w:p>
        </w:tc>
        <w:tc>
          <w:tcPr>
            <w:tcW w:type="dxa" w:w="1134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L-CL006</w:t>
            </w:r>
          </w:p>
        </w:tc>
        <w:tc>
          <w:tcPr>
            <w:tcW w:type="dxa" w:w="907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运维</w:t>
            </w:r>
          </w:p>
        </w:tc>
        <w:tc>
          <w:tcPr>
            <w:tcW w:type="dxa" w:w="4876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支持对接客户内网 AD、LDAP 或 OIDC，并由客户管理员维护本地用户与角色映射</w:t>
            </w:r>
          </w:p>
        </w:tc>
        <w:tc>
          <w:tcPr>
            <w:tcW w:type="dxa" w:w="1474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账户管理</w:t>
            </w:r>
          </w:p>
        </w:tc>
      </w:tr>
      <w:tr>
        <w:tc>
          <w:tcPr>
            <w:tcW w:type="dxa" w:w="1191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授权可见性</w:t>
            </w:r>
          </w:p>
        </w:tc>
        <w:tc>
          <w:tcPr>
            <w:tcW w:type="dxa" w:w="1134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L-CL007</w:t>
            </w:r>
          </w:p>
        </w:tc>
        <w:tc>
          <w:tcPr>
            <w:tcW w:type="dxa" w:w="907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运维</w:t>
            </w:r>
          </w:p>
        </w:tc>
        <w:tc>
          <w:tcPr>
            <w:tcW w:type="dxa" w:w="4876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支持展示 License 授权范围、绑定机器、到期时间和续期申请状态，并限制未授权功能访问</w:t>
            </w:r>
          </w:p>
        </w:tc>
        <w:tc>
          <w:tcPr>
            <w:tcW w:type="dxa" w:w="1474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离线授权</w:t>
            </w:r>
          </w:p>
        </w:tc>
      </w:tr>
      <w:tr>
        <w:tc>
          <w:tcPr>
            <w:tcW w:type="dxa" w:w="1191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本地审计</w:t>
            </w:r>
          </w:p>
        </w:tc>
        <w:tc>
          <w:tcPr>
            <w:tcW w:type="dxa" w:w="1134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L-CL008</w:t>
            </w:r>
          </w:p>
        </w:tc>
        <w:tc>
          <w:tcPr>
            <w:tcW w:type="dxa" w:w="907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运维</w:t>
            </w:r>
          </w:p>
        </w:tc>
        <w:tc>
          <w:tcPr>
            <w:tcW w:type="dxa" w:w="4876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支持将登录、授权、查询、下载和运维审批日志保存在客户环境，并按权限检索和导出</w:t>
            </w:r>
          </w:p>
        </w:tc>
        <w:tc>
          <w:tcPr>
            <w:tcW w:type="dxa" w:w="1474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日志审计</w:t>
            </w:r>
          </w:p>
        </w:tc>
      </w:tr>
      <w:tr>
        <w:tc>
          <w:tcPr>
            <w:tcW w:type="dxa" w:w="1191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任务说明</w:t>
            </w:r>
          </w:p>
        </w:tc>
        <w:tc>
          <w:tcPr>
            <w:tcW w:type="dxa" w:w="1134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L-CL009</w:t>
            </w:r>
          </w:p>
        </w:tc>
        <w:tc>
          <w:tcPr>
            <w:tcW w:type="dxa" w:w="907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客户</w:t>
            </w:r>
          </w:p>
        </w:tc>
        <w:tc>
          <w:tcPr>
            <w:tcW w:type="dxa" w:w="4876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支持展示数据截止时间、质检结论、任务失败原因、模型版本和预测结果输出批次</w:t>
            </w:r>
          </w:p>
        </w:tc>
        <w:tc>
          <w:tcPr>
            <w:tcW w:type="dxa" w:w="1474"/>
            <w:shd w:fill="F2F6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预测门户</w:t>
            </w:r>
          </w:p>
        </w:tc>
      </w:tr>
      <w:tr>
        <w:tc>
          <w:tcPr>
            <w:tcW w:type="dxa" w:w="1191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远程支持审批</w:t>
            </w:r>
          </w:p>
        </w:tc>
        <w:tc>
          <w:tcPr>
            <w:tcW w:type="dxa" w:w="1134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L-CL010</w:t>
            </w:r>
          </w:p>
        </w:tc>
        <w:tc>
          <w:tcPr>
            <w:tcW w:type="dxa" w:w="907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客户管理员</w:t>
            </w:r>
          </w:p>
        </w:tc>
        <w:tc>
          <w:tcPr>
            <w:tcW w:type="dxa" w:w="4876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支持客户管理员审批临时远程支持的时间窗口、访问范围和操作留痕</w:t>
            </w:r>
          </w:p>
        </w:tc>
        <w:tc>
          <w:tcPr>
            <w:tcW w:type="dxa" w:w="1474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网络隔离</w:t>
            </w:r>
          </w:p>
        </w:tc>
      </w:tr>
    </w:tbl>
    <w:p>
      <w:pPr>
        <w:spacing w:after="40"/>
      </w:pPr>
    </w:p>
    <w:p>
      <w:pPr>
        <w:spacing w:after="160" w:before="240" w:line="300" w:lineRule="auto"/>
      </w:pPr>
      <w:r>
        <w:rPr>
          <w:rFonts w:ascii="Arial Unicode MS" w:hAnsi="Arial Unicode MS" w:eastAsia="Arial Unicode MS"/>
          <w:b/>
          <w:color w:val="10395F"/>
          <w:sz w:val="44"/>
        </w:rPr>
        <w:t>4. 现有需求的必要改写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b w:val="0"/>
          <w:color w:val="24364B"/>
          <w:sz w:val="21"/>
        </w:rPr>
        <w:t>L-ML004 不应直接表述为“允许远程登录进行开发和训练”。方案仅建议通过 VPN 进行远程运维，且应限制特定 IP 白名单。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1"/>
        <w:gridCol w:w="5111"/>
      </w:tblGrid>
      <w:tr>
        <w:trPr>
          <w:tblHeader w:val="true"/>
        </w:trPr>
        <w:tc>
          <w:tcPr>
            <w:tcW w:type="dxa" w:w="1417"/>
            <w:shd w:fill="1039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需求编号</w:t>
            </w:r>
          </w:p>
        </w:tc>
        <w:tc>
          <w:tcPr>
            <w:tcW w:type="dxa" w:w="8164"/>
            <w:shd w:fill="10395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建议替换后的工程化需求</w:t>
            </w:r>
          </w:p>
        </w:tc>
      </w:tr>
      <w:tr>
        <w:tc>
          <w:tcPr>
            <w:tcW w:type="dxa" w:w="1417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L-ML004</w:t>
            </w:r>
          </w:p>
        </w:tc>
        <w:tc>
          <w:tcPr>
            <w:tcW w:type="dxa" w:w="8164"/>
            <w:shd w:fill="DDEAF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before="0" w:line="30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4364B"/>
                <w:sz w:val="17"/>
              </w:rPr>
              <w:t>支持通过 VPN、IP 白名单、堡垒机和最小权限账号提供受控远程运维，并记录会话和操作日志。</w:t>
            </w:r>
          </w:p>
        </w:tc>
      </w:tr>
    </w:tbl>
    <w:p>
      <w:pPr>
        <w:spacing w:after="40"/>
      </w:pPr>
    </w:p>
    <w:p>
      <w:pPr>
        <w:spacing w:after="160" w:before="240" w:line="300" w:lineRule="auto"/>
      </w:pPr>
      <w:r>
        <w:rPr>
          <w:rFonts w:ascii="Arial Unicode MS" w:hAnsi="Arial Unicode MS" w:eastAsia="Arial Unicode MS"/>
          <w:b/>
          <w:color w:val="10395F"/>
          <w:sz w:val="44"/>
        </w:rPr>
        <w:t>5. 评审结论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b w:val="0"/>
          <w:color w:val="24364B"/>
          <w:sz w:val="21"/>
        </w:rPr>
        <w:t>建议将 L-ML020 至 L-ML028 作为本地化上线前补充项，其中 L-ML021、L-ML022、L-ML024、L-ML025 和 L-ML027 为优先级最高项。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b w:val="0"/>
          <w:color w:val="24364B"/>
          <w:sz w:val="21"/>
        </w:rPr>
        <w:t>Client 增项不应扩展为第二套门户；其目标是让客户在内网内完成身份、授权、审计、异常说明和远程支持审批闭环。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0" w:top="1009" w:left="1009" w:right="1009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30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 Unicode MS" w:hAnsi="Arial Unicode MS" w:eastAsia="Arial Unicode MS"/>
        <w:b w:val="0"/>
        <w:color w:val="5E7891"/>
        <w:sz w:val="17"/>
      </w:rPr>
      <w:t>倍通药品智能预测系统 | 私有化需求缺口清单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spacing w:after="0" w:before="0" w:line="300" w:lineRule="auto"/>
      <w:jc w:val="right"/>
      <w:rPr/>
    </w:pPr>
    <w:r>
      <w:rPr>
        <w:rFonts w:ascii="Arial Unicode MS" w:hAnsi="Arial Unicode MS" w:eastAsia="Arial Unicode MS"/>
        <w:b w:val="0"/>
        <w:color w:val="5E7891"/>
        <w:sz w:val="17"/>
      </w:rPr>
      <w:t>倍通药品智能预测系统 | 私有化需求缺口清单</w:t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