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rFonts w:ascii="Aptos Display" w:hAnsi="Aptos Display"/>
          <w:b/>
          <w:sz w:val="40"/>
        </w:rPr>
        <w:t>Sports Reporting AI Tools and Papers</w:t>
      </w:r>
    </w:p>
    <w:p>
      <w:pPr>
        <w:spacing w:after="120" w:line="252" w:lineRule="auto"/>
        <w:jc w:val="center"/>
      </w:pPr>
      <w:r>
        <w:rPr>
          <w:i/>
          <w:sz w:val="24"/>
        </w:rPr>
        <w:t>Introduction, numbering system and article index</w:t>
      </w:r>
    </w:p>
    <w:p>
      <w:pPr>
        <w:spacing w:after="120" w:line="252" w:lineRule="auto"/>
      </w:pPr>
      <w:r>
        <w:t>This archive contains a toolkit plus supporting paper set, rather than one flat set of articles. The files have therefore been renamed using separate streams: SR1-SR3 for the runnable prompt tools, SRD for design and theory notes, SRE for evidence and testing material, and SRP for article-level or publishable working-paper drafts. This keeps the development logic visible without implying that every file has the same purpose or status.</w:t>
      </w:r>
    </w:p>
    <w:p>
      <w:pPr>
        <w:pStyle w:val="Heading1"/>
        <w:spacing w:after="120" w:line="252" w:lineRule="auto"/>
      </w:pPr>
      <w:r>
        <w:t>Numbering system</w:t>
      </w:r>
    </w:p>
    <w:p>
      <w:pPr>
        <w:pStyle w:val="ListBullet"/>
        <w:spacing w:after="120" w:line="252" w:lineRule="auto"/>
      </w:pPr>
      <w:r>
        <w:rPr>
          <w:b/>
        </w:rPr>
        <w:t xml:space="preserve">SR1-SR3: </w:t>
      </w:r>
      <w:r>
        <w:t>Runnable sports-reporting prompt tools.</w:t>
      </w:r>
    </w:p>
    <w:p>
      <w:pPr>
        <w:pStyle w:val="ListBullet"/>
        <w:spacing w:after="120" w:line="252" w:lineRule="auto"/>
      </w:pPr>
      <w:r>
        <w:rPr>
          <w:b/>
        </w:rPr>
        <w:t xml:space="preserve">SRD-01, SRD-02...: </w:t>
      </w:r>
      <w:r>
        <w:t>Sports Reporting Design papers and working notes.</w:t>
      </w:r>
    </w:p>
    <w:p>
      <w:pPr>
        <w:pStyle w:val="ListBullet"/>
        <w:spacing w:after="120" w:line="252" w:lineRule="auto"/>
      </w:pPr>
      <w:r>
        <w:rPr>
          <w:b/>
        </w:rPr>
        <w:t xml:space="preserve">SRE-01...: </w:t>
      </w:r>
      <w:r>
        <w:t>Evidence, validation and test logs.</w:t>
      </w:r>
    </w:p>
    <w:p>
      <w:pPr>
        <w:pStyle w:val="ListBullet"/>
        <w:spacing w:after="120" w:line="252" w:lineRule="auto"/>
      </w:pPr>
      <w:r>
        <w:rPr>
          <w:b/>
        </w:rPr>
        <w:t xml:space="preserve">SRP-01...: </w:t>
      </w:r>
      <w:r>
        <w:t>Publishable or near-publishable working papers and article drafts.</w:t>
      </w:r>
    </w:p>
    <w:p>
      <w:pPr>
        <w:pStyle w:val="Heading1"/>
        <w:spacing w:after="120" w:line="252" w:lineRule="auto"/>
      </w:pPr>
      <w:r>
        <w:t>Renamed file index</w:t>
      </w:r>
    </w:p>
    <w:tbl>
      <w:tblPr>
        <w:tblStyle w:val="TableGrid"/>
        <w:tblW w:type="auto" w:w="0"/>
        <w:jc w:val="center"/>
        <w:tblLook w:firstColumn="1" w:firstRow="1" w:lastColumn="0" w:lastRow="0" w:noHBand="0" w:noVBand="1" w:val="04A0"/>
      </w:tblPr>
      <w:tblGrid>
        <w:gridCol w:w="3360"/>
        <w:gridCol w:w="3360"/>
        <w:gridCol w:w="3360"/>
      </w:tblGrid>
      <w:tr>
        <w:tc>
          <w:tcPr>
            <w:tcW w:type="dxa" w:w="1080"/>
            <w:vAlign w:val="top"/>
            <w:shd w:fill="D9EAF7"/>
          </w:tcPr>
          <w:p>
            <w:pPr>
              <w:spacing w:after="0"/>
            </w:pPr>
            <w:r/>
            <w:r>
              <w:rPr>
                <w:b/>
                <w:sz w:val="18"/>
              </w:rPr>
              <w:t>Code</w:t>
            </w:r>
          </w:p>
        </w:tc>
        <w:tc>
          <w:tcPr>
            <w:tcW w:type="dxa" w:w="6048"/>
            <w:vAlign w:val="top"/>
            <w:shd w:fill="D9EAF7"/>
          </w:tcPr>
          <w:p>
            <w:pPr>
              <w:spacing w:after="0"/>
            </w:pPr>
            <w:r/>
            <w:r>
              <w:rPr>
                <w:b/>
                <w:sz w:val="18"/>
              </w:rPr>
              <w:t>Renamed file</w:t>
            </w:r>
          </w:p>
        </w:tc>
        <w:tc>
          <w:tcPr>
            <w:tcW w:type="dxa" w:w="4320"/>
            <w:vAlign w:val="top"/>
            <w:shd w:fill="D9EAF7"/>
          </w:tcPr>
          <w:p>
            <w:pPr>
              <w:spacing w:after="0"/>
            </w:pPr>
            <w:r/>
            <w:r>
              <w:rPr>
                <w:b/>
                <w:sz w:val="18"/>
              </w:rPr>
              <w:t>Former file</w:t>
            </w:r>
          </w:p>
        </w:tc>
      </w:tr>
      <w:tr>
        <w:tc>
          <w:tcPr>
            <w:tcW w:type="dxa" w:w="1080"/>
            <w:vAlign w:val="top"/>
          </w:tcPr>
          <w:p>
            <w:pPr>
              <w:spacing w:after="0"/>
            </w:pPr>
            <w:r/>
            <w:r>
              <w:rPr>
                <w:b w:val="0"/>
                <w:sz w:val="18"/>
              </w:rPr>
              <w:t>SRD-01</w:t>
            </w:r>
          </w:p>
        </w:tc>
        <w:tc>
          <w:tcPr>
            <w:tcW w:type="dxa" w:w="6048"/>
            <w:vAlign w:val="top"/>
          </w:tcPr>
          <w:p>
            <w:pPr>
              <w:spacing w:after="0"/>
            </w:pPr>
            <w:r/>
            <w:r>
              <w:rPr>
                <w:b w:val="0"/>
                <w:sz w:val="18"/>
              </w:rPr>
              <w:t>SRD-01-ai-sports-journalism-writing-tutor-design-rationale.docx</w:t>
            </w:r>
          </w:p>
        </w:tc>
        <w:tc>
          <w:tcPr>
            <w:tcW w:type="dxa" w:w="4320"/>
            <w:vAlign w:val="top"/>
          </w:tcPr>
          <w:p>
            <w:pPr>
              <w:spacing w:after="0"/>
            </w:pPr>
            <w:r/>
            <w:r>
              <w:rPr>
                <w:b w:val="0"/>
                <w:sz w:val="18"/>
              </w:rPr>
              <w:t>sports-journalism-tutor-design.docx</w:t>
            </w:r>
          </w:p>
        </w:tc>
      </w:tr>
      <w:tr>
        <w:tc>
          <w:tcPr>
            <w:tcW w:type="dxa" w:w="1080"/>
            <w:vAlign w:val="top"/>
          </w:tcPr>
          <w:p>
            <w:pPr>
              <w:spacing w:after="0"/>
            </w:pPr>
            <w:r/>
            <w:r>
              <w:rPr>
                <w:b w:val="0"/>
                <w:sz w:val="18"/>
              </w:rPr>
              <w:t>SRD-02</w:t>
            </w:r>
          </w:p>
        </w:tc>
        <w:tc>
          <w:tcPr>
            <w:tcW w:type="dxa" w:w="6048"/>
            <w:vAlign w:val="top"/>
          </w:tcPr>
          <w:p>
            <w:pPr>
              <w:spacing w:after="0"/>
            </w:pPr>
            <w:r/>
            <w:r>
              <w:rPr>
                <w:b w:val="0"/>
                <w:sz w:val="18"/>
              </w:rPr>
              <w:t>SRD-02-readers-journey-attachment-and-economy.docx</w:t>
            </w:r>
          </w:p>
        </w:tc>
        <w:tc>
          <w:tcPr>
            <w:tcW w:type="dxa" w:w="4320"/>
            <w:vAlign w:val="top"/>
          </w:tcPr>
          <w:p>
            <w:pPr>
              <w:spacing w:after="0"/>
            </w:pPr>
            <w:r/>
            <w:r>
              <w:rPr>
                <w:b w:val="0"/>
                <w:sz w:val="18"/>
              </w:rPr>
              <w:t>readers-journey-design-part2.docx</w:t>
            </w:r>
          </w:p>
        </w:tc>
      </w:tr>
      <w:tr>
        <w:tc>
          <w:tcPr>
            <w:tcW w:type="dxa" w:w="1080"/>
            <w:vAlign w:val="top"/>
          </w:tcPr>
          <w:p>
            <w:pPr>
              <w:spacing w:after="0"/>
            </w:pPr>
            <w:r/>
            <w:r>
              <w:rPr>
                <w:b w:val="0"/>
                <w:sz w:val="18"/>
              </w:rPr>
              <w:t>SRD-03</w:t>
            </w:r>
          </w:p>
        </w:tc>
        <w:tc>
          <w:tcPr>
            <w:tcW w:type="dxa" w:w="6048"/>
            <w:vAlign w:val="top"/>
          </w:tcPr>
          <w:p>
            <w:pPr>
              <w:spacing w:after="0"/>
            </w:pPr>
            <w:r/>
            <w:r>
              <w:rPr>
                <w:b w:val="0"/>
                <w:sz w:val="18"/>
              </w:rPr>
              <w:t>SRD-03-important-because-it-isnt-conceptual-spine.docx</w:t>
            </w:r>
          </w:p>
        </w:tc>
        <w:tc>
          <w:tcPr>
            <w:tcW w:type="dxa" w:w="4320"/>
            <w:vAlign w:val="top"/>
          </w:tcPr>
          <w:p>
            <w:pPr>
              <w:spacing w:after="0"/>
            </w:pPr>
            <w:r/>
            <w:r>
              <w:rPr>
                <w:b w:val="0"/>
                <w:sz w:val="18"/>
              </w:rPr>
              <w:t>important-because-it-isnt-part3.docx</w:t>
            </w:r>
          </w:p>
        </w:tc>
      </w:tr>
      <w:tr>
        <w:tc>
          <w:tcPr>
            <w:tcW w:type="dxa" w:w="1080"/>
            <w:vAlign w:val="top"/>
          </w:tcPr>
          <w:p>
            <w:pPr>
              <w:spacing w:after="0"/>
            </w:pPr>
            <w:r/>
            <w:r>
              <w:rPr>
                <w:b w:val="0"/>
                <w:sz w:val="18"/>
              </w:rPr>
              <w:t>SRD-04</w:t>
            </w:r>
          </w:p>
        </w:tc>
        <w:tc>
          <w:tcPr>
            <w:tcW w:type="dxa" w:w="6048"/>
            <w:vAlign w:val="top"/>
          </w:tcPr>
          <w:p>
            <w:pPr>
              <w:spacing w:after="0"/>
            </w:pPr>
            <w:r/>
            <w:r>
              <w:rPr>
                <w:b w:val="0"/>
                <w:sz w:val="18"/>
              </w:rPr>
              <w:t>SRD-04-voice-fine-grain-of-economy-cliche-test.docx</w:t>
            </w:r>
          </w:p>
        </w:tc>
        <w:tc>
          <w:tcPr>
            <w:tcW w:type="dxa" w:w="4320"/>
            <w:vAlign w:val="top"/>
          </w:tcPr>
          <w:p>
            <w:pPr>
              <w:spacing w:after="0"/>
            </w:pPr>
            <w:r/>
            <w:r>
              <w:rPr>
                <w:b w:val="0"/>
                <w:sz w:val="18"/>
              </w:rPr>
              <w:t>voice-track-design-part4.docx</w:t>
            </w:r>
          </w:p>
        </w:tc>
      </w:tr>
      <w:tr>
        <w:tc>
          <w:tcPr>
            <w:tcW w:type="dxa" w:w="1080"/>
            <w:vAlign w:val="top"/>
          </w:tcPr>
          <w:p>
            <w:pPr>
              <w:spacing w:after="0"/>
            </w:pPr>
            <w:r/>
            <w:r>
              <w:rPr>
                <w:b w:val="0"/>
                <w:sz w:val="18"/>
              </w:rPr>
              <w:t>SRD-05</w:t>
            </w:r>
          </w:p>
        </w:tc>
        <w:tc>
          <w:tcPr>
            <w:tcW w:type="dxa" w:w="6048"/>
            <w:vAlign w:val="top"/>
          </w:tcPr>
          <w:p>
            <w:pPr>
              <w:spacing w:after="0"/>
            </w:pPr>
            <w:r/>
            <w:r>
              <w:rPr>
                <w:b w:val="0"/>
                <w:sz w:val="18"/>
              </w:rPr>
              <w:t>SRD-05-teaching-not-coaching-sr2-beginner-route.docx</w:t>
            </w:r>
          </w:p>
        </w:tc>
        <w:tc>
          <w:tcPr>
            <w:tcW w:type="dxa" w:w="4320"/>
            <w:vAlign w:val="top"/>
          </w:tcPr>
          <w:p>
            <w:pPr>
              <w:spacing w:after="0"/>
            </w:pPr>
            <w:r/>
            <w:r>
              <w:rPr>
                <w:b w:val="0"/>
                <w:sz w:val="18"/>
              </w:rPr>
              <w:t>sr2-design-part5.docx</w:t>
            </w:r>
          </w:p>
        </w:tc>
      </w:tr>
      <w:tr>
        <w:tc>
          <w:tcPr>
            <w:tcW w:type="dxa" w:w="1080"/>
            <w:vAlign w:val="top"/>
          </w:tcPr>
          <w:p>
            <w:pPr>
              <w:spacing w:after="0"/>
            </w:pPr>
            <w:r/>
            <w:r>
              <w:rPr>
                <w:b w:val="0"/>
                <w:sz w:val="18"/>
              </w:rPr>
              <w:t>SRD-06</w:t>
            </w:r>
          </w:p>
        </w:tc>
        <w:tc>
          <w:tcPr>
            <w:tcW w:type="dxa" w:w="6048"/>
            <w:vAlign w:val="top"/>
          </w:tcPr>
          <w:p>
            <w:pPr>
              <w:spacing w:after="0"/>
            </w:pPr>
            <w:r/>
            <w:r>
              <w:rPr>
                <w:b w:val="0"/>
                <w:sz w:val="18"/>
              </w:rPr>
              <w:t>SRD-06-preview-pull-before-event-social-currency.docx</w:t>
            </w:r>
          </w:p>
        </w:tc>
        <w:tc>
          <w:tcPr>
            <w:tcW w:type="dxa" w:w="4320"/>
            <w:vAlign w:val="top"/>
          </w:tcPr>
          <w:p>
            <w:pPr>
              <w:spacing w:after="0"/>
            </w:pPr>
            <w:r/>
            <w:r>
              <w:rPr>
                <w:b w:val="0"/>
                <w:sz w:val="18"/>
              </w:rPr>
              <w:t>preview-and-social-currency-part6_1.docx</w:t>
            </w:r>
          </w:p>
        </w:tc>
      </w:tr>
      <w:tr>
        <w:tc>
          <w:tcPr>
            <w:tcW w:type="dxa" w:w="1080"/>
            <w:vAlign w:val="top"/>
          </w:tcPr>
          <w:p>
            <w:pPr>
              <w:spacing w:after="0"/>
            </w:pPr>
            <w:r/>
            <w:r>
              <w:rPr>
                <w:b w:val="0"/>
                <w:sz w:val="18"/>
              </w:rPr>
              <w:t>SRE-01</w:t>
            </w:r>
          </w:p>
        </w:tc>
        <w:tc>
          <w:tcPr>
            <w:tcW w:type="dxa" w:w="6048"/>
            <w:vAlign w:val="top"/>
          </w:tcPr>
          <w:p>
            <w:pPr>
              <w:spacing w:after="0"/>
            </w:pPr>
            <w:r/>
            <w:r>
              <w:rPr>
                <w:b w:val="0"/>
                <w:sz w:val="18"/>
              </w:rPr>
              <w:t>SRE-01-sr1-match-report-analyser-test-log.docx</w:t>
            </w:r>
          </w:p>
        </w:tc>
        <w:tc>
          <w:tcPr>
            <w:tcW w:type="dxa" w:w="4320"/>
            <w:vAlign w:val="top"/>
          </w:tcPr>
          <w:p>
            <w:pPr>
              <w:spacing w:after="0"/>
            </w:pPr>
            <w:r/>
            <w:r>
              <w:rPr>
                <w:b w:val="0"/>
                <w:sz w:val="18"/>
              </w:rPr>
              <w:t>sr1-test-log.docx</w:t>
            </w:r>
          </w:p>
        </w:tc>
      </w:tr>
      <w:tr>
        <w:tc>
          <w:tcPr>
            <w:tcW w:type="dxa" w:w="1080"/>
            <w:vAlign w:val="top"/>
          </w:tcPr>
          <w:p>
            <w:pPr>
              <w:spacing w:after="0"/>
            </w:pPr>
            <w:r/>
            <w:r>
              <w:rPr>
                <w:b w:val="0"/>
                <w:sz w:val="18"/>
              </w:rPr>
              <w:t>SRP-01</w:t>
            </w:r>
          </w:p>
        </w:tc>
        <w:tc>
          <w:tcPr>
            <w:tcW w:type="dxa" w:w="6048"/>
            <w:vAlign w:val="top"/>
          </w:tcPr>
          <w:p>
            <w:pPr>
              <w:spacing w:after="0"/>
            </w:pPr>
            <w:r/>
            <w:r>
              <w:rPr>
                <w:b w:val="0"/>
                <w:sz w:val="18"/>
              </w:rPr>
              <w:t>SRP-01-important-because-it-isnt-paper-skeleton.docx</w:t>
            </w:r>
          </w:p>
        </w:tc>
        <w:tc>
          <w:tcPr>
            <w:tcW w:type="dxa" w:w="4320"/>
            <w:vAlign w:val="top"/>
          </w:tcPr>
          <w:p>
            <w:pPr>
              <w:spacing w:after="0"/>
            </w:pPr>
            <w:r/>
            <w:r>
              <w:rPr>
                <w:b w:val="0"/>
                <w:sz w:val="18"/>
              </w:rPr>
              <w:t>paper-skeleton.docx</w:t>
            </w:r>
          </w:p>
        </w:tc>
      </w:tr>
      <w:tr>
        <w:tc>
          <w:tcPr>
            <w:tcW w:type="dxa" w:w="1080"/>
            <w:vAlign w:val="top"/>
          </w:tcPr>
          <w:p>
            <w:pPr>
              <w:spacing w:after="0"/>
            </w:pPr>
            <w:r/>
            <w:r>
              <w:rPr>
                <w:b w:val="0"/>
                <w:sz w:val="18"/>
              </w:rPr>
              <w:t>SRP-02</w:t>
            </w:r>
          </w:p>
        </w:tc>
        <w:tc>
          <w:tcPr>
            <w:tcW w:type="dxa" w:w="6048"/>
            <w:vAlign w:val="top"/>
          </w:tcPr>
          <w:p>
            <w:pPr>
              <w:spacing w:after="0"/>
            </w:pPr>
            <w:r/>
            <w:r>
              <w:rPr>
                <w:b w:val="0"/>
                <w:sz w:val="18"/>
              </w:rPr>
              <w:t>SRP-02-previewing-the-unplayed-match-working-paper.docx</w:t>
            </w:r>
          </w:p>
        </w:tc>
        <w:tc>
          <w:tcPr>
            <w:tcW w:type="dxa" w:w="4320"/>
            <w:vAlign w:val="top"/>
          </w:tcPr>
          <w:p>
            <w:pPr>
              <w:spacing w:after="0"/>
            </w:pPr>
            <w:r/>
            <w:r>
              <w:rPr>
                <w:b w:val="0"/>
                <w:sz w:val="18"/>
              </w:rPr>
              <w:t>preview-reporting-paper.docx</w:t>
            </w:r>
          </w:p>
        </w:tc>
      </w:tr>
      <w:tr>
        <w:tc>
          <w:tcPr>
            <w:tcW w:type="dxa" w:w="1080"/>
            <w:vAlign w:val="top"/>
          </w:tcPr>
          <w:p>
            <w:pPr>
              <w:spacing w:after="0"/>
            </w:pPr>
            <w:r/>
            <w:r>
              <w:rPr>
                <w:b w:val="0"/>
                <w:sz w:val="18"/>
              </w:rPr>
              <w:t>SR1</w:t>
            </w:r>
          </w:p>
        </w:tc>
        <w:tc>
          <w:tcPr>
            <w:tcW w:type="dxa" w:w="6048"/>
            <w:vAlign w:val="top"/>
          </w:tcPr>
          <w:p>
            <w:pPr>
              <w:spacing w:after="0"/>
            </w:pPr>
            <w:r/>
            <w:r>
              <w:rPr>
                <w:b w:val="0"/>
                <w:sz w:val="18"/>
              </w:rPr>
              <w:t>SR1-match-report-analyser-v0.6.md</w:t>
            </w:r>
          </w:p>
        </w:tc>
        <w:tc>
          <w:tcPr>
            <w:tcW w:type="dxa" w:w="4320"/>
            <w:vAlign w:val="top"/>
          </w:tcPr>
          <w:p>
            <w:pPr>
              <w:spacing w:after="0"/>
            </w:pPr>
            <w:r/>
            <w:r>
              <w:rPr>
                <w:b w:val="0"/>
                <w:sz w:val="18"/>
              </w:rPr>
              <w:t>match-report-analyser.md</w:t>
            </w:r>
          </w:p>
        </w:tc>
      </w:tr>
      <w:tr>
        <w:tc>
          <w:tcPr>
            <w:tcW w:type="dxa" w:w="1080"/>
            <w:vAlign w:val="top"/>
          </w:tcPr>
          <w:p>
            <w:pPr>
              <w:spacing w:after="0"/>
            </w:pPr>
            <w:r/>
            <w:r>
              <w:rPr>
                <w:b w:val="0"/>
                <w:sz w:val="18"/>
              </w:rPr>
              <w:t>SR2</w:t>
            </w:r>
          </w:p>
        </w:tc>
        <w:tc>
          <w:tcPr>
            <w:tcW w:type="dxa" w:w="6048"/>
            <w:vAlign w:val="top"/>
          </w:tcPr>
          <w:p>
            <w:pPr>
              <w:spacing w:after="0"/>
            </w:pPr>
            <w:r/>
            <w:r>
              <w:rPr>
                <w:b w:val="0"/>
                <w:sz w:val="18"/>
              </w:rPr>
              <w:t>SR2-match-report-coach-beginner-route-v0.2.md</w:t>
            </w:r>
          </w:p>
        </w:tc>
        <w:tc>
          <w:tcPr>
            <w:tcW w:type="dxa" w:w="4320"/>
            <w:vAlign w:val="top"/>
          </w:tcPr>
          <w:p>
            <w:pPr>
              <w:spacing w:after="0"/>
            </w:pPr>
            <w:r/>
            <w:r>
              <w:rPr>
                <w:b w:val="0"/>
                <w:sz w:val="18"/>
              </w:rPr>
              <w:t>match-report-coach-sr2.md</w:t>
            </w:r>
          </w:p>
        </w:tc>
      </w:tr>
      <w:tr>
        <w:tc>
          <w:tcPr>
            <w:tcW w:type="dxa" w:w="1080"/>
            <w:vAlign w:val="top"/>
          </w:tcPr>
          <w:p>
            <w:pPr>
              <w:spacing w:after="0"/>
            </w:pPr>
            <w:r/>
            <w:r>
              <w:rPr>
                <w:b w:val="0"/>
                <w:sz w:val="18"/>
              </w:rPr>
              <w:t>SR3</w:t>
            </w:r>
          </w:p>
        </w:tc>
        <w:tc>
          <w:tcPr>
            <w:tcW w:type="dxa" w:w="6048"/>
            <w:vAlign w:val="top"/>
          </w:tcPr>
          <w:p>
            <w:pPr>
              <w:spacing w:after="0"/>
            </w:pPr>
            <w:r/>
            <w:r>
              <w:rPr>
                <w:b w:val="0"/>
                <w:sz w:val="18"/>
              </w:rPr>
              <w:t>SR3-match-preview-analyser-v0.5-beta.md</w:t>
            </w:r>
          </w:p>
        </w:tc>
        <w:tc>
          <w:tcPr>
            <w:tcW w:type="dxa" w:w="4320"/>
            <w:vAlign w:val="top"/>
          </w:tcPr>
          <w:p>
            <w:pPr>
              <w:spacing w:after="0"/>
            </w:pPr>
            <w:r/>
            <w:r>
              <w:rPr>
                <w:b w:val="0"/>
                <w:sz w:val="18"/>
              </w:rPr>
              <w:t>match-preview-analyser-sr3-v0.5.md</w:t>
            </w:r>
          </w:p>
        </w:tc>
      </w:tr>
    </w:tbl>
    <w:p>
      <w:pPr>
        <w:pStyle w:val="Heading1"/>
        <w:spacing w:after="120" w:line="252" w:lineRule="auto"/>
      </w:pPr>
      <w:r>
        <w:t>Index and summaries</w:t>
      </w:r>
    </w:p>
    <w:p>
      <w:pPr>
        <w:pStyle w:val="Heading2"/>
        <w:spacing w:after="120" w:line="252" w:lineRule="auto"/>
      </w:pPr>
      <w:r>
        <w:t>SR1 - Match Report Analyser</w:t>
      </w:r>
    </w:p>
    <w:p>
      <w:pPr>
        <w:spacing w:after="120" w:line="252" w:lineRule="auto"/>
      </w:pPr>
      <w:r>
        <w:rPr>
          <w:b/>
        </w:rPr>
        <w:t xml:space="preserve">File: </w:t>
      </w:r>
      <w:r>
        <w:t>SR1-match-report-analyser-v0.6.md</w:t>
      </w:r>
    </w:p>
    <w:p>
      <w:pPr>
        <w:spacing w:after="120" w:line="252" w:lineRule="auto"/>
      </w:pPr>
      <w:r>
        <w:t>This is the core expert-facing prompt tool. It analyses a pasted match report through three linked journeys: what the reader learns, what the reader is invited to care about, and how economically the writing spends its words. It deliberately does not rewrite the student’s piece; it diagnoses the reader journey, calibrates judgement to the form of report, watches for live-versus-merely-important angles, and folds voice into economy through phrase-level tests such as cliche, tell-not-show and live detail.</w:t>
      </w:r>
    </w:p>
    <w:p>
      <w:pPr>
        <w:pStyle w:val="Heading2"/>
        <w:spacing w:after="120" w:line="252" w:lineRule="auto"/>
      </w:pPr>
      <w:r>
        <w:t>SR2 - Match Report Coach, beginner route</w:t>
      </w:r>
    </w:p>
    <w:p>
      <w:pPr>
        <w:spacing w:after="120" w:line="252" w:lineRule="auto"/>
      </w:pPr>
      <w:r>
        <w:rPr>
          <w:b/>
        </w:rPr>
        <w:t xml:space="preserve">File: </w:t>
      </w:r>
      <w:r>
        <w:t>SR2-match-report-coach-beginner-route-v0.2.md</w:t>
      </w:r>
    </w:p>
    <w:p>
      <w:pPr>
        <w:spacing w:after="120" w:line="252" w:lineRule="auto"/>
      </w:pPr>
      <w:r>
        <w:t>This is the beginner-facing fork of SR1. It silently performs a broad analysis but teaches only one move: the most important move the writer can actually take on. Its pedagogy is concept first, reader effect second, practical experiment third. It is not a shorter SR1; it is built on the idea that a novice needs the frame taught before the critique can land.</w:t>
      </w:r>
    </w:p>
    <w:p>
      <w:pPr>
        <w:pStyle w:val="Heading2"/>
        <w:spacing w:after="120" w:line="252" w:lineRule="auto"/>
      </w:pPr>
      <w:r>
        <w:t>SR3 - Match Preview Analyser</w:t>
      </w:r>
    </w:p>
    <w:p>
      <w:pPr>
        <w:spacing w:after="120" w:line="252" w:lineRule="auto"/>
      </w:pPr>
      <w:r>
        <w:rPr>
          <w:b/>
        </w:rPr>
        <w:t xml:space="preserve">File: </w:t>
      </w:r>
      <w:r>
        <w:t>SR3-match-preview-analyser-v0.5-beta.md</w:t>
      </w:r>
    </w:p>
    <w:p>
      <w:pPr>
        <w:spacing w:after="120" w:line="252" w:lineRule="auto"/>
      </w:pPr>
      <w:r>
        <w:t>This is the preview-analysis tool. It reads a pasted match preview and asks what the piece gives the reader before the match: a reason to care, a way to understand the wider sporting context, and/or something to say socially. Its central diagnostic is the strong fact left unconnected to any reason to watch, judge or talk. It is more provisional than SR1 and carries explicit beta caveats, especially around whether pre-match caring works like post-match attachment.</w:t>
      </w:r>
    </w:p>
    <w:p>
      <w:pPr>
        <w:pStyle w:val="Heading2"/>
        <w:spacing w:after="120" w:line="252" w:lineRule="auto"/>
      </w:pPr>
      <w:r>
        <w:t>SRD-01 - AI Sports Journalism Writing Tutor: design rationale</w:t>
      </w:r>
    </w:p>
    <w:p>
      <w:pPr>
        <w:spacing w:after="120" w:line="252" w:lineRule="auto"/>
      </w:pPr>
      <w:r>
        <w:rPr>
          <w:b/>
        </w:rPr>
        <w:t xml:space="preserve">File: </w:t>
      </w:r>
      <w:r>
        <w:t>SRD-01-ai-sports-journalism-writing-tutor-design-rationale.docx</w:t>
      </w:r>
    </w:p>
    <w:p>
      <w:pPr>
        <w:spacing w:after="120" w:line="252" w:lineRule="auto"/>
      </w:pPr>
      <w:r>
        <w:t>This is the foundation note for the whole project. It argues that sports journalism is not a cosmetic reskin of an academic writing tutor because its hardest problems are story selection, lead precision, sporting context, voice, cliche and fast reader engagement. It sets the integrity boundary for journalism - no fabricated facts, quotes or sources - and maps existing tutor families into sports-writing equivalents, ending with a minimum viable shape centred on angle, lead, reader journey, quote handling and cliche.</w:t>
      </w:r>
    </w:p>
    <w:p>
      <w:pPr>
        <w:pStyle w:val="Heading2"/>
        <w:spacing w:after="120" w:line="252" w:lineRule="auto"/>
      </w:pPr>
      <w:r>
        <w:t>SRD-02 - The Reader’s Journey in Sports Writing</w:t>
      </w:r>
    </w:p>
    <w:p>
      <w:pPr>
        <w:spacing w:after="120" w:line="252" w:lineRule="auto"/>
      </w:pPr>
      <w:r>
        <w:rPr>
          <w:b/>
        </w:rPr>
        <w:t xml:space="preserve">File: </w:t>
      </w:r>
      <w:r>
        <w:t>SRD-02-readers-journey-attachment-and-economy.docx</w:t>
      </w:r>
    </w:p>
    <w:p>
      <w:pPr>
        <w:spacing w:after="120" w:line="252" w:lineRule="auto"/>
      </w:pPr>
      <w:r>
        <w:t>This note develops the analytical model behind SR1. It moves beyond a simple factual beat-spine into the idea of vicarious attachment: readers, even neutral ones, are lightly recruited into caring about a team, player, manager, fanbase or storyline. It also introduces economy as the central constraint of match reporting: the report cannot build feeling slowly, so it must trigger existing feeling fast, with each word pulling a lever rather than merely carrying information.</w:t>
      </w:r>
    </w:p>
    <w:p>
      <w:pPr>
        <w:pStyle w:val="Heading2"/>
        <w:spacing w:after="120" w:line="252" w:lineRule="auto"/>
      </w:pPr>
      <w:r>
        <w:t>SRD-03 - Important Because It Isn’t</w:t>
      </w:r>
    </w:p>
    <w:p>
      <w:pPr>
        <w:spacing w:after="120" w:line="252" w:lineRule="auto"/>
      </w:pPr>
      <w:r>
        <w:rPr>
          <w:b/>
        </w:rPr>
        <w:t xml:space="preserve">File: </w:t>
      </w:r>
      <w:r>
        <w:t>SRD-03-important-because-it-isnt-conceptual-spine.docx</w:t>
      </w:r>
    </w:p>
    <w:p>
      <w:pPr>
        <w:spacing w:after="120" w:line="252" w:lineRule="auto"/>
      </w:pPr>
      <w:r>
        <w:t>This is the conceptual spine of the project. It argues that sport matters precisely because, in ordinary worldly terms, it does not matter: its lack of material consequence creates a safe arena in which strong feeling, loyalty, bias, anger and joy can run freely. This explains why partisanship is not treated as a flaw in sports writing in the same way bias is in consequential journalism, and why the analyser’s real question is whether the writing honours that freedom by letting the reader feel the drama truthfully.</w:t>
      </w:r>
    </w:p>
    <w:p>
      <w:pPr>
        <w:pStyle w:val="Heading2"/>
        <w:spacing w:after="120" w:line="252" w:lineRule="auto"/>
      </w:pPr>
      <w:r>
        <w:t>SRD-04 - Voice</w:t>
      </w:r>
    </w:p>
    <w:p>
      <w:pPr>
        <w:spacing w:after="120" w:line="252" w:lineRule="auto"/>
      </w:pPr>
      <w:r>
        <w:rPr>
          <w:b/>
        </w:rPr>
        <w:t xml:space="preserve">File: </w:t>
      </w:r>
      <w:r>
        <w:t>SRD-04-voice-fine-grain-of-economy-cliche-test.docx</w:t>
      </w:r>
    </w:p>
    <w:p>
      <w:pPr>
        <w:spacing w:after="120" w:line="252" w:lineRule="auto"/>
      </w:pPr>
      <w:r>
        <w:t>This note adds voice to the model without making it a fourth independent track. Voice is treated as economy seen up close: phrase-level spending. The note defines four kinds of voice observation - dead currency, tell-not-show, reach that misfires, and live detail - and develops the important cliche distinction between passing cliche and load-bearing cliche. Its strongest claim is that cliches should be judged by their job and position, not by freshness alone.</w:t>
      </w:r>
    </w:p>
    <w:p>
      <w:pPr>
        <w:pStyle w:val="Heading2"/>
        <w:spacing w:after="120" w:line="252" w:lineRule="auto"/>
      </w:pPr>
      <w:r>
        <w:t>SRD-05 - Teaching, Not Coaching</w:t>
      </w:r>
    </w:p>
    <w:p>
      <w:pPr>
        <w:spacing w:after="120" w:line="252" w:lineRule="auto"/>
      </w:pPr>
      <w:r>
        <w:rPr>
          <w:b/>
        </w:rPr>
        <w:t xml:space="preserve">File: </w:t>
      </w:r>
      <w:r>
        <w:t>SRD-05-teaching-not-coaching-sr2-beginner-route.docx</w:t>
      </w:r>
    </w:p>
    <w:p>
      <w:pPr>
        <w:spacing w:after="120" w:line="252" w:lineRule="auto"/>
      </w:pPr>
      <w:r>
        <w:t>This note explains why SR2 had to be a different pedagogy rather than a cut-down SR1. SR1 assumes a writer who already understands the craft frame and can handle multiple findings; SR2 assumes a learner who first needs the move named, explained and made usable. The note settles on teaching the most important move the student can actually attempt, with reachability constraining the lesson but not replacing importance.</w:t>
      </w:r>
    </w:p>
    <w:p>
      <w:pPr>
        <w:pStyle w:val="Heading2"/>
        <w:spacing w:after="120" w:line="252" w:lineRule="auto"/>
      </w:pPr>
      <w:r>
        <w:t>SRD-06 - The Preview and the Pull Before the Event</w:t>
      </w:r>
    </w:p>
    <w:p>
      <w:pPr>
        <w:spacing w:after="120" w:line="252" w:lineRule="auto"/>
      </w:pPr>
      <w:r>
        <w:rPr>
          <w:b/>
        </w:rPr>
        <w:t xml:space="preserve">File: </w:t>
      </w:r>
      <w:r>
        <w:t>SRD-06-preview-pull-before-event-social-currency.docx</w:t>
      </w:r>
    </w:p>
    <w:p>
      <w:pPr>
        <w:spacing w:after="120" w:line="252" w:lineRule="auto"/>
      </w:pPr>
      <w:r>
        <w:t>This note extends the theory from match reports to match previews. It argues that the preview is not just a report pointed forwards: it asks the reader to pre-live the match, to invest before the event, and to enter the safe arena early. The note develops offer/frame analysis, distinguishes pre-attachment from social currency, and then reflects back on the report model, suggesting that giving the reader something to say may need to become a first-class function across the whole toolkit.</w:t>
      </w:r>
    </w:p>
    <w:p>
      <w:pPr>
        <w:pStyle w:val="Heading2"/>
        <w:spacing w:after="120" w:line="252" w:lineRule="auto"/>
      </w:pPr>
      <w:r>
        <w:t>SRE-01 - SR1 Match Report Analyser: test log</w:t>
      </w:r>
    </w:p>
    <w:p>
      <w:pPr>
        <w:spacing w:after="120" w:line="252" w:lineRule="auto"/>
      </w:pPr>
      <w:r>
        <w:rPr>
          <w:b/>
        </w:rPr>
        <w:t xml:space="preserve">File: </w:t>
      </w:r>
      <w:r>
        <w:t>SRE-01-sr1-match-report-analyser-test-log.docx</w:t>
      </w:r>
    </w:p>
    <w:p>
      <w:pPr>
        <w:spacing w:after="120" w:line="252" w:lineRule="auto"/>
      </w:pPr>
      <w:r>
        <w:t>This is the evidence and validation log for SR1. It records early runs on match reports, including cases where the tool worked, cases where it overreached, and the caveat that much of the testing was done inside a primed context by the same model family that helped design the tool. Its value is its honesty: it treats the results as promising but not validated, lists the cold re-test protocol, and identifies unresolved risks including confabulation, form classification, verbosity and the need for an LLM-adversary test.</w:t>
      </w:r>
    </w:p>
    <w:p>
      <w:pPr>
        <w:pStyle w:val="Heading2"/>
        <w:spacing w:after="120" w:line="252" w:lineRule="auto"/>
      </w:pPr>
      <w:r>
        <w:t>SRP-01 - Important Because It Isn’t: paper skeleton</w:t>
      </w:r>
    </w:p>
    <w:p>
      <w:pPr>
        <w:spacing w:after="120" w:line="252" w:lineRule="auto"/>
      </w:pPr>
      <w:r>
        <w:rPr>
          <w:b/>
        </w:rPr>
        <w:t xml:space="preserve">File: </w:t>
      </w:r>
      <w:r>
        <w:t>SRP-01-important-because-it-isnt-paper-skeleton.docx</w:t>
      </w:r>
    </w:p>
    <w:p>
      <w:pPr>
        <w:spacing w:after="120" w:line="252" w:lineRule="auto"/>
      </w:pPr>
      <w:r>
        <w:t>This is a scaffold for a theoretical article rather than a finished paper. It turns the project’s conceptual argument into an academic structure: sport as safe arena, disposition and schema-triggered affect as the mechanism, economy as the craft constraint, and automated reporting as the empirical problem. It includes a gap statement, section outline and reference list, and is careful to mark which literature characterisations still need checking against full texts before submission.</w:t>
      </w:r>
    </w:p>
    <w:p>
      <w:pPr>
        <w:pStyle w:val="Heading2"/>
        <w:spacing w:after="120" w:line="252" w:lineRule="auto"/>
      </w:pPr>
      <w:r>
        <w:t>SRP-02 - Previewing the Unplayed Match</w:t>
      </w:r>
    </w:p>
    <w:p>
      <w:pPr>
        <w:spacing w:after="120" w:line="252" w:lineRule="auto"/>
      </w:pPr>
      <w:r>
        <w:rPr>
          <w:b/>
        </w:rPr>
        <w:t xml:space="preserve">File: </w:t>
      </w:r>
      <w:r>
        <w:t>SRP-02-previewing-the-unplayed-match-working-paper.docx</w:t>
      </w:r>
    </w:p>
    <w:p>
      <w:pPr>
        <w:spacing w:after="120" w:line="252" w:lineRule="auto"/>
      </w:pPr>
      <w:r>
        <w:t>This is the strongest self-contained working paper in the set. It narrates how the preview model and SR3 were developed, rewritten, tested against real previews, corrected by examples, and chastened by an actual football result. Its central lessons are methodological as much as sporting: a model is only worth what it survives; coherent reasoning inside one discussion is not validation; tools must be judged separately from the model running them; and the next natural tool is probably a general feature-writing tool rather than a preview coach.</w:t>
      </w:r>
    </w:p>
    <w:p>
      <w:pPr>
        <w:pStyle w:val="Heading1"/>
        <w:spacing w:after="120" w:line="252" w:lineRule="auto"/>
      </w:pPr>
      <w:r>
        <w:t>Suggested reading order</w:t>
      </w:r>
    </w:p>
    <w:p>
      <w:pPr>
        <w:spacing w:after="120" w:line="252" w:lineRule="auto"/>
      </w:pPr>
      <w:r>
        <w:t>SRD-01 -&gt; SRD-02 -&gt; SRD-03 -&gt; SRD-04 -&gt; SR1 -&gt; SRE-01 -&gt; SRD-05 -&gt; SR2 -&gt; SRD-06 -&gt; SR3 -&gt; SRP-01 -&gt; SRP-02.</w:t>
      </w:r>
    </w:p>
    <w:p>
      <w:pPr>
        <w:spacing w:after="120" w:line="252" w:lineRule="auto"/>
      </w:pPr>
      <w:r>
        <w:t>That order preserves the intellectual development: first the sports-writing tutor rationale, then the reader-journey theory, then the conceptual spine, then voice, then the first working tool and its tests, then the beginner fork, then the preview extension and preview tool, followed by the two article-level outputs.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