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8"/>
          <w:szCs w:val="38"/>
        </w:rPr>
        <w:t xml:space="preserve">Important Because It Isn't</w:t>
      </w:r>
    </w:p>
    <w:p>
      <w:pPr>
        <w:spacing w:after="40"/>
      </w:pPr>
      <w:r>
        <w:rPr>
          <w:color w:val="2E75B6"/>
          <w:sz w:val="24"/>
          <w:szCs w:val="24"/>
        </w:rPr>
        <w:t xml:space="preserve">Paper skeleton: argument, gap, outline and references</w:t>
      </w:r>
    </w:p>
    <w:p>
      <w:pPr>
        <w:spacing w:after="200"/>
      </w:pPr>
      <w:r>
        <w:rPr>
          <w:i/>
          <w:iCs/>
          <w:color w:val="555555"/>
        </w:rPr>
        <w:t xml:space="preserve">A working scaffold for a theoretical article on the reader's journey in sports reporting, attachment under economy, and the limits of automation</w:t>
      </w:r>
    </w:p>
    <w:p>
      <w:pPr>
        <w:pBdr>
          <w:bottom w:val="single" w:color="2E75B6" w:sz="6" w:space="1"/>
        </w:pBd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2E75B6"/>
              </w:rPr>
              <w:t xml:space="preserve">How to use this document</w:t>
            </w:r>
          </w:p>
          <w:p>
            <w:pPr>
              <w:spacing w:after="0" w:line="276"/>
            </w:pPr>
            <w:r>
              <w:t xml:space="preserve">This is a scaffold to write into, not a draft. It sets out a working title, the one-sentence thesis, the gap statement (the paragraph a reviewer will look for), a section-by-section outline with notes on what each section must do and what to read for it, and a consolidated, grouped reference list in Harvard style. Bibliographic details are verified; the characterisation of arguments inside paywalled or summarised sources is from abstracts and reliable secondary summary and must be checked against the full texts before submission. The craft claims — what students do, what good reports do — are the author's and are the spine; the literature is scaffolding around them.</w:t>
            </w:r>
          </w:p>
        </w:tc>
      </w:tr>
    </w:tbl>
    <w:p>
      <w:pPr>
        <w:pStyle w:val="Heading1"/>
      </w:pPr>
      <w:r>
        <w:t xml:space="preserve">1. Working title and thesis</w:t>
      </w:r>
    </w:p>
    <w:p>
      <w:pPr>
        <w:spacing w:after="140" w:line="276"/>
      </w:pPr>
      <w:r>
        <w:rPr>
          <w:b/>
          <w:bCs/>
        </w:rPr>
        <w:t xml:space="preserve">Working title: </w:t>
      </w:r>
      <w:r>
        <w:t xml:space="preserve">“Important because it isn't: triggering reader attachment under economy, and what automated match reports cannot do.”</w:t>
      </w:r>
    </w:p>
    <w:p>
      <w:pPr>
        <w:spacing w:after="140" w:line="276"/>
      </w:pPr>
      <w:r>
        <w:rPr>
          <w:b/>
          <w:bCs/>
        </w:rPr>
        <w:t xml:space="preserve">One-sentence thesis: </w:t>
      </w:r>
      <w:r>
        <w:t xml:space="preserve">Because sport is, in the worldly sense, without material consequence, the match report's task is not to inform but to grant the reader permission to feel fully and safely; this is achieved by triggering pre-existing affective dispositions through extreme economy of language, and it is precisely this — not accuracy — that automated reporting cannot do.</w:t>
      </w:r>
    </w:p>
    <w:p>
      <w:pPr>
        <w:pStyle w:val="Heading1"/>
      </w:pPr>
      <w:r>
        <w:t xml:space="preserve">2. Gap statement (the paragraph the reviewer looks for)</w:t>
      </w:r>
    </w:p>
    <w:p>
      <w:pPr>
        <w:spacing w:after="140" w:line="276"/>
      </w:pPr>
      <w:r>
        <w:t xml:space="preserve">Affective disposition theory explains sports enjoyment as a product of the reader's dispositions toward competitors and the outcome (Zillmann, Bryant and Sapolsky, 1989; Raney, 2006), and schema-triggered affect explains how those dispositions can form rapidly, even toward unknown figures, from cues in a text (Fiske, 1982; Raney, 2004; Kinnally et al., 2013). Separately, a sociology of play locates sport within a “magic circle” set apart from ordinary life, where freedom is possible precisely because no material interest is at stake (Huizinga, 1949; Caillois, 1961). And a small empirical literature shows that readers find human-written match reports more enjoyable than automated ones even when they rate the two equally accurate (Clerwall, 2014; Graefe and Bohlken, 2020; Duncan, Kunert and Karg, 2025). Each of these literatures is, however, developed for a different object than the one studied here. Disposition and schema research is built on the live spectator and the long feature, where attachment can be BUILT over time; play theory is largely silent on journalism; and the automation studies measure THAT an enjoyment gap exists without theorising WHY it falls where it does, or WHERE in a text it is made and lost. This article addresses the under-examined case at their intersection: the match report, a perishable form of a few hundred words in which a writer cannot build disposition but must TRIGGER it under severe economy, and in which the value created is not information but sanctioned feeling. It argues that this reframing both explains the measured human-automation gap and specifies the craft the gap consists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Defending originality against the obvious objection</w:t>
            </w:r>
          </w:p>
          <w:p>
            <w:pPr>
              <w:spacing w:after="0" w:line="276"/>
            </w:pPr>
            <w:r>
              <w:t xml:space="preserve">A reviewer will say “this is the magic circle restated.” The defence: the contribution is not the meaninglessness idea but the BRIDGE between three things usually kept apart — the ontology of the safe arena, a specific craft mechanism (disposition-triggering under report-economy), and a contemporary empirical problem (what LLMs cannot do). Note too that Huizinga himself resisted a clean separation of play from life and closed Homo Ludens arguing against it; the position here is the sophisticated, leaky version the ludologists arrived at (Consalvo, 2009), not naive separation — which is exactly why the bias argument works: partisanship is free WITHIN the circle and harmful only where the circle leaks back into consequence.</w:t>
            </w:r>
          </w:p>
        </w:tc>
      </w:tr>
    </w:tbl>
    <w:p>
      <w:pPr>
        <w:pStyle w:val="Heading1"/>
      </w:pPr>
      <w:r>
        <w:t xml:space="preserve">3. Section outline</w:t>
      </w:r>
    </w:p>
    <w:p>
      <w:pPr>
        <w:pStyle w:val="Heading2"/>
      </w:pPr>
      <w:r>
        <w:t xml:space="preserve">1. Introduction — the puzzle</w:t>
      </w:r>
    </w:p>
    <w:p>
      <w:pPr>
        <w:spacing w:after="140" w:line="276"/>
      </w:pPr>
      <w:r>
        <w:t xml:space="preserve">Open on the measured anomaly: readers enjoy human reports more but rate them no more accurate (Duncan et al., 2025). Pose the question the measuring studies leave open — why, and where in the writing? State thesis. </w:t>
      </w:r>
      <w:r>
        <w:rPr>
          <w:i/>
          <w:iCs/>
        </w:rPr>
        <w:t xml:space="preserve">Read: Duncan et al. (2025); Clerwall (2014).</w:t>
      </w:r>
    </w:p>
    <w:p>
      <w:pPr>
        <w:pStyle w:val="Heading2"/>
      </w:pPr>
      <w:r>
        <w:t xml:space="preserve">2. What the report is for — important because it isn't</w:t>
      </w:r>
    </w:p>
    <w:p>
      <w:pPr>
        <w:spacing w:after="140" w:line="276"/>
      </w:pPr>
      <w:r>
        <w:t xml:space="preserve">The ontology section. Sport as magic circle: free because without material interest. Crucially, use the LEAKY version — Huizinga's own ambivalence, and the ludological critique — to set up the bias argument later. The report's value is sanctioned feeling, not information. </w:t>
      </w:r>
      <w:r>
        <w:rPr>
          <w:i/>
          <w:iCs/>
        </w:rPr>
        <w:t xml:space="preserve">Read: Huizinga (1949); Caillois (1961); Consalvo (2009).</w:t>
      </w:r>
    </w:p>
    <w:p>
      <w:pPr>
        <w:pStyle w:val="Heading2"/>
      </w:pPr>
      <w:r>
        <w:t xml:space="preserve">3. How feeling is produced — disposition and schema</w:t>
      </w:r>
    </w:p>
    <w:p>
      <w:pPr>
        <w:spacing w:after="140" w:line="276"/>
      </w:pPr>
      <w:r>
        <w:t xml:space="preserve">The mechanism section. Disposition theory (enjoyment = disposition × outcome) and the counter-intuitive suspense result (affection HEIGHTENS the pain of possible loss — “it's the hope that kills you”). Then schema-triggered affect: dispositions can be triggered fast, from cues, even toward the unknown. </w:t>
      </w:r>
      <w:r>
        <w:rPr>
          <w:i/>
          <w:iCs/>
        </w:rPr>
        <w:t xml:space="preserve">Read: Zillmann, Bryant and Sapolsky (1989); Zillmann (1996); Raney (2004, 2006); Fiske (1982); Kinnally et al. (2013).</w:t>
      </w:r>
    </w:p>
    <w:p>
      <w:pPr>
        <w:pStyle w:val="Heading2"/>
      </w:pPr>
      <w:r>
        <w:t xml:space="preserve">4. The constraint the literature skips — economy</w:t>
      </w:r>
    </w:p>
    <w:p>
      <w:pPr>
        <w:spacing w:after="140" w:line="276"/>
      </w:pPr>
      <w:r>
        <w:t xml:space="preserve">The contribution's hinge. The feature BUILDS disposition; the report must TRIGGER it in a few hundred words. Develop “economy”: the lever-pull, the reader-supplied weight (“1935”), the misallocation failure (budget spent on frame, bankrupt before the moment). This is where the paper goes beyond all cited work. </w:t>
      </w:r>
      <w:r>
        <w:rPr>
          <w:i/>
          <w:iCs/>
        </w:rPr>
        <w:t xml:space="preserve">Read: Kinnally et al. (2013) for the unknown-character case; the rest is the author's craft argument.</w:t>
      </w:r>
    </w:p>
    <w:p>
      <w:pPr>
        <w:pStyle w:val="Heading2"/>
      </w:pPr>
      <w:r>
        <w:t xml:space="preserve">5. Why automation fails here specifically</w:t>
      </w:r>
    </w:p>
    <w:p>
      <w:pPr>
        <w:spacing w:after="140" w:line="276"/>
      </w:pPr>
      <w:r>
        <w:t xml:space="preserve">Tie ontology + mechanism + economy to the empirical gap. Automation clears accuracy (quality ties) and fails at sanctioned feeling (enjoyment diverges) because it hands a database, which cannot open the safe arena. Distinguish the HONEST failure of template systems from the predicted DISHONEST failure of LLMs (imitating levers without lived context). </w:t>
      </w:r>
      <w:r>
        <w:rPr>
          <w:i/>
          <w:iCs/>
        </w:rPr>
        <w:t xml:space="preserve">Read: Duncan et al. (2025); Graefe and Bohlken (2020); Thurman, Dörr and Kunert (2017).</w:t>
      </w:r>
    </w:p>
    <w:p>
      <w:pPr>
        <w:pStyle w:val="Heading2"/>
      </w:pPr>
      <w:r>
        <w:t xml:space="preserve">6. Bias, freedom and the leak</w:t>
      </w:r>
    </w:p>
    <w:p>
      <w:pPr>
        <w:spacing w:after="140" w:line="276"/>
      </w:pPr>
      <w:r>
        <w:t xml:space="preserve">The ethics/discourse section, and a genuine sub-contribution. Partisanship is the circle exercising freedom and is harmless WITHIN it; it becomes harmful only where the circle leaks into consequence (race, real harm). This explains why bias is lifeblood in sport and poison in consequential journalism — same fact, different tethering. </w:t>
      </w:r>
      <w:r>
        <w:rPr>
          <w:i/>
          <w:iCs/>
        </w:rPr>
        <w:t xml:space="preserve">Read: Sapolsky (1980) on race-as-predictor; the leak argument is the author's, grounded in Huizinga's own anti-separation.</w:t>
      </w:r>
    </w:p>
    <w:p>
      <w:pPr>
        <w:pStyle w:val="Heading2"/>
      </w:pPr>
      <w:r>
        <w:t xml:space="preserve">7. An instrument and a programme (future work)</w:t>
      </w:r>
    </w:p>
    <w:p>
      <w:pPr>
        <w:spacing w:after="140" w:line="276"/>
      </w:pPr>
      <w:r>
        <w:t xml:space="preserve">Introduce SR1 as an operationalisation — a three-track (factual / attachment / economy) reader-journey analyser — and report the matched-pair convergence with Duncan et al. AS PRELIMINARY, foregrounding the validity limits (self-marking, priming, untested LLM-adversary). Present the cold re-test protocol as the proposed programme. Do NOT overclaim the instrument. </w:t>
      </w:r>
      <w:r>
        <w:rPr>
          <w:i/>
          <w:iCs/>
        </w:rPr>
        <w:t xml:space="preserve">This is the bridge to a second, empirical paper.</w:t>
      </w:r>
    </w:p>
    <w:p>
      <w:pPr>
        <w:pStyle w:val="Heading2"/>
      </w:pPr>
      <w:r>
        <w:t xml:space="preserve">8. Conclusion</w:t>
      </w:r>
    </w:p>
    <w:p>
      <w:pPr>
        <w:spacing w:after="140" w:line="276"/>
      </w:pPr>
      <w:r>
        <w:t xml:space="preserve">Restate: the match report's craft is granting safe, full feeling under economy; this is what automation cannot do and what the analyst can be taught to see. The meaninglessness of sport is not the limit of the form's seriousness but the source of its freedom.</w:t>
      </w:r>
    </w:p>
    <w:p>
      <w:pPr>
        <w:pStyle w:val="Heading1"/>
      </w:pPr>
      <w:r>
        <w:t xml:space="preserve">4. Consolidated references (Harvard)</w:t>
      </w:r>
    </w:p>
    <w:p>
      <w:pPr>
        <w:pStyle w:val="Heading2"/>
      </w:pPr>
      <w:r>
        <w:t xml:space="preserve">Disposition theory and schema-triggered affect (the mechanism)</w:t>
      </w:r>
    </w:p>
    <w:p>
      <w:pPr>
        <w:spacing w:after="100" w:line="264"/>
        <w:ind w:left="480" w:hanging="480"/>
      </w:pPr>
      <w:r>
        <w:t xml:space="preserve">Fiske, S.T. (1982) ‘Schema-triggered affect: applications to social perception’, in Clark, M.S. and Fiske, S.T. (eds.) </w:t>
      </w:r>
      <w:r>
        <w:rPr>
          <w:i/>
          <w:iCs/>
        </w:rPr>
        <w:t xml:space="preserve">Affect and cognition: the seventeenth annual Carnegie symposium on cognition.</w:t>
      </w:r>
      <w:r>
        <w:t xml:space="preserve"> Hillsdale, NJ: Lawrence Erlbaum Associates, pp. 55–78.</w:t>
      </w:r>
    </w:p>
    <w:p>
      <w:pPr>
        <w:spacing w:after="100" w:line="264"/>
        <w:ind w:left="480" w:hanging="480"/>
      </w:pPr>
      <w:r>
        <w:t xml:space="preserve">Kinnally, W., Tuzunkan, F., Raney, A.A., Fitzgerald, M. and Smith, J.K. (2013) ‘Using the schema-triggered affect model to examine disposition formation in the context of sports news’, </w:t>
      </w:r>
      <w:r>
        <w:rPr>
          <w:i/>
          <w:iCs/>
        </w:rPr>
        <w:t xml:space="preserve">Journal of Sports Media,</w:t>
      </w:r>
      <w:r>
        <w:t xml:space="preserve"> 8(1), pp. 117–137.</w:t>
      </w:r>
    </w:p>
    <w:p>
      <w:pPr>
        <w:spacing w:after="100" w:line="264"/>
        <w:ind w:left="480" w:hanging="480"/>
      </w:pPr>
      <w:r>
        <w:t xml:space="preserve">Raney, A.A. (2004) ‘Expanding disposition theory: reconsidering character liking, moral evaluations, and enjoyment’, </w:t>
      </w:r>
      <w:r>
        <w:rPr>
          <w:i/>
          <w:iCs/>
        </w:rPr>
        <w:t xml:space="preserve">Communication Theory,</w:t>
      </w:r>
      <w:r>
        <w:t xml:space="preserve"> 14(4), pp. 348–369. doi:10.1111/j.1468-2885.2004.tb00319.x.</w:t>
      </w:r>
    </w:p>
    <w:p>
      <w:pPr>
        <w:spacing w:after="100" w:line="264"/>
        <w:ind w:left="480" w:hanging="480"/>
      </w:pPr>
      <w:r>
        <w:t xml:space="preserve">Raney, A.A. (2006) ‘Why we watch and enjoy mediated sports’, in Raney, A.A. and Bryant, J. (eds.) </w:t>
      </w:r>
      <w:r>
        <w:rPr>
          <w:i/>
          <w:iCs/>
        </w:rPr>
        <w:t xml:space="preserve">Handbook of sports and media.</w:t>
      </w:r>
      <w:r>
        <w:t xml:space="preserve"> New York: Routledge, pp. 313–329.</w:t>
      </w:r>
    </w:p>
    <w:p>
      <w:pPr>
        <w:spacing w:after="100" w:line="264"/>
        <w:ind w:left="480" w:hanging="480"/>
      </w:pPr>
      <w:r>
        <w:t xml:space="preserve">Sapolsky, B.S. (1980) ‘The effect of spectator disposition and suspense on the enjoyment of sports contests’, </w:t>
      </w:r>
      <w:r>
        <w:rPr>
          <w:i/>
          <w:iCs/>
        </w:rPr>
        <w:t xml:space="preserve">International Journal of Sport Psychology,</w:t>
      </w:r>
      <w:r>
        <w:t xml:space="preserve"> 11(1), pp. 1–10.</w:t>
      </w:r>
    </w:p>
    <w:p>
      <w:pPr>
        <w:spacing w:after="100" w:line="264"/>
        <w:ind w:left="480" w:hanging="480"/>
      </w:pPr>
      <w:r>
        <w:t xml:space="preserve">Zillmann, D. (1996) ‘The psychology of suspense in dramatic exposition’, in Vorderer, P., Wulff, H.J. and Friedrichsen, M. (eds.) </w:t>
      </w:r>
      <w:r>
        <w:rPr>
          <w:i/>
          <w:iCs/>
        </w:rPr>
        <w:t xml:space="preserve">Suspense: conceptualizations, theoretical analyses, and empirical explorations.</w:t>
      </w:r>
      <w:r>
        <w:t xml:space="preserve"> Mahwah, NJ: Lawrence Erlbaum Associates, pp. 199–231.</w:t>
      </w:r>
    </w:p>
    <w:p>
      <w:pPr>
        <w:spacing w:after="100" w:line="264"/>
        <w:ind w:left="480" w:hanging="480"/>
      </w:pPr>
      <w:r>
        <w:t xml:space="preserve">Zillmann, D., Bryant, J. and Sapolsky, B.S. (1989) ‘Enjoyment from sports spectatorship’, in Goldstein, J.H. (ed.) </w:t>
      </w:r>
      <w:r>
        <w:rPr>
          <w:i/>
          <w:iCs/>
        </w:rPr>
        <w:t xml:space="preserve">Sports, games, and play: social and psychological viewpoints.</w:t>
      </w:r>
      <w:r>
        <w:t xml:space="preserve"> 2nd edn. Hillsdale, NJ: Lawrence Erlbaum Associates, pp. 241–278.</w:t>
      </w:r>
    </w:p>
    <w:p>
      <w:pPr>
        <w:spacing w:after="100" w:line="264"/>
        <w:ind w:left="480" w:hanging="480"/>
      </w:pPr>
      <w:r>
        <w:t xml:space="preserve">Zillmann, D., Taylor, K. and Lewis, K. (1998) ‘News as nonfiction theater: how dispositions toward the public cast of characters affect reactions’, </w:t>
      </w:r>
      <w:r>
        <w:rPr>
          <w:i/>
          <w:iCs/>
        </w:rPr>
        <w:t xml:space="preserve">Journal of Broadcasting &amp; Electronic Media,</w:t>
      </w:r>
      <w:r>
        <w:t xml:space="preserve"> 42(2), pp. 153–169.</w:t>
      </w:r>
    </w:p>
    <w:p>
      <w:pPr>
        <w:pStyle w:val="Heading2"/>
      </w:pPr>
      <w:r>
        <w:t xml:space="preserve">Play, the magic circle and the ontology of the form</w:t>
      </w:r>
    </w:p>
    <w:p>
      <w:pPr>
        <w:spacing w:after="100" w:line="264"/>
        <w:ind w:left="480" w:hanging="480"/>
      </w:pPr>
      <w:r>
        <w:t xml:space="preserve">Caillois, R. (1961) </w:t>
      </w:r>
      <w:r>
        <w:rPr>
          <w:i/>
          <w:iCs/>
        </w:rPr>
        <w:t xml:space="preserve">Man, play and games.</w:t>
      </w:r>
      <w:r>
        <w:t xml:space="preserve"> Translated by M. Barash. New York: Free Press of Glencoe.</w:t>
      </w:r>
    </w:p>
    <w:p>
      <w:pPr>
        <w:spacing w:after="100" w:line="264"/>
        <w:ind w:left="480" w:hanging="480"/>
      </w:pPr>
      <w:r>
        <w:t xml:space="preserve">Consalvo, M. (2009) ‘There is no magic circle’, </w:t>
      </w:r>
      <w:r>
        <w:rPr>
          <w:i/>
          <w:iCs/>
        </w:rPr>
        <w:t xml:space="preserve">Games and Culture,</w:t>
      </w:r>
      <w:r>
        <w:t xml:space="preserve"> 4(4), pp. 408–417. doi:10.1177/1555412009343575.</w:t>
      </w:r>
    </w:p>
    <w:p>
      <w:pPr>
        <w:spacing w:after="100" w:line="264"/>
        <w:ind w:left="480" w:hanging="480"/>
      </w:pPr>
      <w:r>
        <w:t xml:space="preserve">Huizinga, J. (1949) </w:t>
      </w:r>
      <w:r>
        <w:rPr>
          <w:i/>
          <w:iCs/>
        </w:rPr>
        <w:t xml:space="preserve">Homo ludens: a study of the play-element in culture.</w:t>
      </w:r>
      <w:r>
        <w:t xml:space="preserve"> London: Routledge &amp; Kegan Paul. (Original work published 1938.)</w:t>
      </w:r>
    </w:p>
    <w:p>
      <w:pPr>
        <w:pStyle w:val="Heading2"/>
      </w:pPr>
      <w:r>
        <w:t xml:space="preserve">Automation, audience perception and the enjoyment gap (the empirical anchor)</w:t>
      </w:r>
    </w:p>
    <w:p>
      <w:pPr>
        <w:spacing w:after="100" w:line="264"/>
        <w:ind w:left="480" w:hanging="480"/>
      </w:pPr>
      <w:r>
        <w:t xml:space="preserve">Clerwall, C. (2014) ‘Enter the robot journalist: users’ perceptions of automated content’, </w:t>
      </w:r>
      <w:r>
        <w:rPr>
          <w:i/>
          <w:iCs/>
        </w:rPr>
        <w:t xml:space="preserve">Journalism Practice,</w:t>
      </w:r>
      <w:r>
        <w:t xml:space="preserve"> 8(5), pp. 519–531.</w:t>
      </w:r>
    </w:p>
    <w:p>
      <w:pPr>
        <w:spacing w:after="100" w:line="264"/>
        <w:ind w:left="480" w:hanging="480"/>
      </w:pPr>
      <w:r>
        <w:t xml:space="preserve">Duncan, S., Kunert, J. and Karg, A. (2025) ‘Attitudes to automated and human written sport journalism’, </w:t>
      </w:r>
      <w:r>
        <w:rPr>
          <w:i/>
          <w:iCs/>
        </w:rPr>
        <w:t xml:space="preserve">Journalism,</w:t>
      </w:r>
      <w:r>
        <w:t xml:space="preserve"> 26(9), pp. 1937–1961. doi:10.1177/14648849241260944.</w:t>
      </w:r>
    </w:p>
    <w:p>
      <w:pPr>
        <w:spacing w:after="100" w:line="264"/>
        <w:ind w:left="480" w:hanging="480"/>
      </w:pPr>
      <w:r>
        <w:t xml:space="preserve">Graefe, A. and Bohlken, N. (2020) ‘Automated journalism: a meta-analysis of readers’ perceptions of human-written in comparison to automated news’, </w:t>
      </w:r>
      <w:r>
        <w:rPr>
          <w:i/>
          <w:iCs/>
        </w:rPr>
        <w:t xml:space="preserve">Media and Communication,</w:t>
      </w:r>
      <w:r>
        <w:t xml:space="preserve"> 8(3), pp. 50–59.</w:t>
      </w:r>
    </w:p>
    <w:p>
      <w:pPr>
        <w:spacing w:after="100" w:line="264"/>
        <w:ind w:left="480" w:hanging="480"/>
      </w:pPr>
      <w:r>
        <w:t xml:space="preserve">Thurman, N., Dörr, K. and Kunert, J. (2017) ‘When reporters get hands-on with robo-writing: professionals consider automated journalism’s capabilities and consequences’, </w:t>
      </w:r>
      <w:r>
        <w:rPr>
          <w:i/>
          <w:iCs/>
        </w:rPr>
        <w:t xml:space="preserve">Digital Journalism,</w:t>
      </w:r>
      <w:r>
        <w:t xml:space="preserve"> 5(10), pp. 1240–1259.</w:t>
      </w:r>
    </w:p>
    <w:p>
      <w:pPr>
        <w:pStyle w:val="Heading2"/>
      </w:pPr>
      <w:r>
        <w:t xml:space="preserve">Sports journalism craft and context (supporting)</w:t>
      </w:r>
    </w:p>
    <w:p>
      <w:pPr>
        <w:spacing w:after="100" w:line="264"/>
        <w:ind w:left="480" w:hanging="480"/>
      </w:pPr>
      <w:r>
        <w:t xml:space="preserve">Boyle, R. (2006) </w:t>
      </w:r>
      <w:r>
        <w:rPr>
          <w:i/>
          <w:iCs/>
        </w:rPr>
        <w:t xml:space="preserve">Sports journalism: context and issues.</w:t>
      </w:r>
      <w:r>
        <w:t xml:space="preserve"> London: Sage.</w:t>
      </w:r>
    </w:p>
    <w:p>
      <w:pPr>
        <w:spacing w:after="100" w:line="264"/>
        <w:ind w:left="480" w:hanging="480"/>
      </w:pPr>
      <w:r>
        <w:t xml:space="preserve">Duncan, S. (2020) </w:t>
      </w:r>
      <w:r>
        <w:rPr>
          <w:i/>
          <w:iCs/>
        </w:rPr>
        <w:t xml:space="preserve">The digital world of sport: the impact of emerging media on sports news, information and journalism.</w:t>
      </w:r>
      <w:r>
        <w:t xml:space="preserve"> New York: Anthem Press.</w:t>
      </w:r>
    </w:p>
    <w:p>
      <w:pPr>
        <w:spacing w:after="100" w:line="264"/>
        <w:ind w:left="480" w:hanging="480"/>
      </w:pPr>
      <w:r>
        <w:t xml:space="preserve">Steen, R. (2014) </w:t>
      </w:r>
      <w:r>
        <w:rPr>
          <w:i/>
          <w:iCs/>
        </w:rPr>
        <w:t xml:space="preserve">Sports journalism: a multimedia primer.</w:t>
      </w:r>
      <w:r>
        <w:t xml:space="preserve"> London: Routledge.</w:t>
      </w:r>
    </w:p>
    <w:p>
      <w:pPr>
        <w:pStyle w:val="Heading2"/>
      </w:pPr>
      <w:r>
        <w:t xml:space="preserve">Theory to treat with caution (cite as the frame being moved beyond)</w:t>
      </w:r>
    </w:p>
    <w:p>
      <w:pPr>
        <w:spacing w:after="100" w:line="264"/>
        <w:ind w:left="480" w:hanging="480"/>
      </w:pPr>
      <w:r>
        <w:t xml:space="preserve">Ruggiero, T.E. (2000) ‘Uses and gratifications theory in the 21st century’, </w:t>
      </w:r>
      <w:r>
        <w:rPr>
          <w:i/>
          <w:iCs/>
        </w:rPr>
        <w:t xml:space="preserve">Mass Communication and Society,</w:t>
      </w:r>
      <w:r>
        <w:t xml:space="preserve"> 3(1), pp. 3–37. </w:t>
      </w:r>
    </w:p>
    <w:p>
      <w:pPr>
        <w:spacing w:after="140" w:line="276"/>
      </w:pPr>
      <w:r>
        <w:rPr>
          <w:b/>
          <w:bCs/>
        </w:rPr>
        <w:t xml:space="preserve">Note: </w:t>
      </w:r>
      <w:r>
        <w:rPr>
          <w:i/>
          <w:iCs/>
        </w:rPr>
        <w:t xml:space="preserve">uses and gratifications is included so the paper can position itself against it, not lean on it. Its list of needs is post-hoc and effectively unfalsifiable; it explains the demand side weakly and says nothing about how prose evokes feeling. Use it to mark what the disposition/economy account does better.</w:t>
      </w:r>
    </w:p>
    <w:p>
      <w:pPr>
        <w:pStyle w:val="Heading2"/>
      </w:pPr>
      <w:r>
        <w:t xml:space="preserve">Reading still to do before submission</w:t>
      </w:r>
    </w:p>
    <w:p>
      <w:pPr>
        <w:pStyle w:val="ListParagraph"/>
        <w:numPr>
          <w:ilvl w:val="0"/>
          <w:numId w:val="2"/>
        </w:numPr>
        <w:spacing w:after="70" w:line="272"/>
      </w:pPr>
      <w:r>
        <w:rPr>
          <w:b/>
          <w:bCs/>
        </w:rPr>
        <w:t xml:space="preserve">Read in full (not abstract): </w:t>
      </w:r>
      <w:r>
        <w:t xml:space="preserve">Zillmann, Bryant and Sapolsky (1989); Raney (2004); Fiske (1982); Huizinga (1949), esp. the closing argument against separation; Caillois (1961).</w:t>
      </w:r>
    </w:p>
    <w:p>
      <w:pPr>
        <w:pStyle w:val="ListParagraph"/>
        <w:numPr>
          <w:ilvl w:val="0"/>
          <w:numId w:val="2"/>
        </w:numPr>
        <w:spacing w:after="70" w:line="272"/>
      </w:pPr>
      <w:r>
        <w:rPr>
          <w:b/>
          <w:bCs/>
        </w:rPr>
        <w:t xml:space="preserve">Verify the leak/critique line: </w:t>
      </w:r>
      <w:r>
        <w:t xml:space="preserve">Consalvo (2009) and the wider ‘magic circle’ debate, to position the bias argument correctly.</w:t>
      </w:r>
    </w:p>
    <w:p>
      <w:pPr>
        <w:pStyle w:val="ListParagraph"/>
        <w:numPr>
          <w:ilvl w:val="0"/>
          <w:numId w:val="2"/>
        </w:numPr>
        <w:spacing w:after="70" w:line="272"/>
      </w:pPr>
      <w:r>
        <w:rPr>
          <w:b/>
          <w:bCs/>
        </w:rPr>
        <w:t xml:space="preserve">Scope the craft literature: </w:t>
      </w:r>
      <w:r>
        <w:t xml:space="preserve">Boyle, Steen, Duncan for the heroes-and-villains / emotive-licence tradition, so the craft claims are anchored, not freelanced.</w:t>
      </w:r>
    </w:p>
    <w:p>
      <w:pPr>
        <w:pStyle w:val="ListParagraph"/>
        <w:numPr>
          <w:ilvl w:val="0"/>
          <w:numId w:val="2"/>
        </w:numPr>
        <w:spacing w:after="70" w:line="272"/>
      </w:pPr>
      <w:r>
        <w:rPr>
          <w:b/>
          <w:bCs/>
        </w:rPr>
        <w:t xml:space="preserve">Confirm: </w:t>
      </w:r>
      <w:r>
        <w:t xml:space="preserve">characterisations of paywalled sources against full texts; the author's institutional library covers these.</w:t>
      </w:r>
    </w:p>
    <w:p>
      <w:pPr>
        <w:pBdr>
          <w:bottom w:val="single" w:color="2E75B6" w:sz="6" w:space="1"/>
        </w:pBdr>
        <w:spacing w:after="160" w:before="60"/>
      </w:pPr>
      <w:r>
        <w:t xml:space="preserve"/>
      </w:r>
    </w:p>
    <w:p>
      <w:pPr>
        <w:spacing w:before="80"/>
      </w:pPr>
      <w:r>
        <w:rPr>
          <w:i/>
          <w:iCs/>
          <w:color w:val="777777"/>
          <w:sz w:val="18"/>
          <w:szCs w:val="18"/>
        </w:rPr>
        <w:t xml:space="preserve">Paper skeleton — AI Personal Tutor Toolkit / sports-journalism variant. To be read with the three design notes and the SR1 test log. Bibliographic details verified; argument-level summaries of paywalled sources to be confirmed at full text.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5F"/>
      <w:sz w:val="29"/>
      <w:szCs w:val="29"/>
    </w:rPr>
  </w:style>
  <w:style w:type="paragraph" w:styleId="Heading2">
    <w:name w:val="Heading 2"/>
    <w:basedOn w:val="Normal"/>
    <w:next w:val="Normal"/>
    <w:qFormat/>
    <w:pPr>
      <w:spacing w:after="90" w:before="20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Important Because It Isn't — paper skeleton</dc:title>
  <dc:creator>AI Personal Tutor Toolkit</dc:creator>
  <cp:lastModifiedBy>Un-named</cp:lastModifiedBy>
  <cp:revision>1</cp:revision>
  <dcterms:created xsi:type="dcterms:W3CDTF">2026-06-25T08:25:08.257Z</dcterms:created>
  <dcterms:modified xsi:type="dcterms:W3CDTF">2026-06-25T08:25:08.273Z</dcterms:modified>
</cp:coreProperties>
</file>

<file path=docProps/custom.xml><?xml version="1.0" encoding="utf-8"?>
<Properties xmlns="http://schemas.openxmlformats.org/officeDocument/2006/custom-properties" xmlns:vt="http://schemas.openxmlformats.org/officeDocument/2006/docPropsVTypes"/>
</file>